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pPr>
        <w:jc w:val="left"/>
        <w:rPr>
          <w:rFonts w:hAnsi="SimSun"/>
          <w:b/>
          <w:sz w:val="96"/>
          <w:szCs w:val="96"/>
        </w:rPr>
      </w:pPr>
    </w:p>
    <w:p>
      <w:pPr>
        <w:topLinePunct/>
        <w:autoSpaceDE w:val="0"/>
        <w:autoSpaceDN w:val="0"/>
        <w:jc w:val="center"/>
        <w:rPr>
          <w:rFonts w:hAnsi="SimSun"/>
          <w:b/>
          <w:sz w:val="96"/>
          <w:szCs w:val="96"/>
        </w:rPr>
      </w:pPr>
      <w:r>
        <w:rPr>
          <w:rFonts w:hAnsi="SimSun" w:hint="eastAsia"/>
          <w:b/>
          <w:sz w:val="96"/>
          <w:szCs w:val="96"/>
        </w:rPr>
        <w:t>招 标 文 件</w:t>
      </w:r>
    </w:p>
    <w:p>
      <w:pPr>
        <w:topLinePunct/>
        <w:autoSpaceDE w:val="0"/>
        <w:autoSpaceDN w:val="0"/>
        <w:spacing w:line="60" w:lineRule="exact"/>
        <w:jc w:val="center"/>
        <w:rPr>
          <w:rFonts w:hAnsi="SimSun"/>
          <w:sz w:val="96"/>
          <w:szCs w:val="96"/>
        </w:rPr>
      </w:pPr>
    </w:p>
    <w:p>
      <w:pPr>
        <w:topLinePunct/>
        <w:autoSpaceDE w:val="0"/>
        <w:autoSpaceDN w:val="0"/>
        <w:snapToGrid w:val="0"/>
        <w:jc w:val="center"/>
        <w:rPr>
          <w:rFonts w:ascii="SimSun" w:hAnsi="SimSun"/>
          <w:sz w:val="96"/>
          <w:szCs w:val="96"/>
        </w:rPr>
      </w:pPr>
      <w:r>
        <w:rPr>
          <w:rFonts w:hAnsi="SimSun" w:hint="eastAsia"/>
          <w:b/>
          <w:sz w:val="56"/>
          <w:szCs w:val="56"/>
        </w:rPr>
        <w:t>（技术部分）</w:t>
      </w: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2521" w:hanging="1400" w:leftChars="534" w:hangingChars="500"/>
        <w:rPr>
          <w:rFonts w:ascii="SimSun"/>
          <w:b/>
          <w:bCs/>
          <w:sz w:val="28"/>
          <w:szCs w:val="28"/>
        </w:rPr>
      </w:pPr>
      <w:r>
        <w:rPr>
          <w:rFonts w:ascii="SimSun" w:hint="eastAsia"/>
          <w:b/>
          <w:bCs/>
          <w:sz w:val="28"/>
          <w:szCs w:val="28"/>
        </w:rPr>
        <w:t>项目名称：</w:t>
      </w:r>
      <w:bookmarkStart w:id="0" w:name="项目名称_fa_planName"/>
      <w:r>
        <w:rPr>
          <w:rFonts w:ascii="SimSun" w:hint="eastAsia"/>
          <w:b/>
          <w:bCs/>
          <w:sz w:val="28"/>
          <w:szCs w:val="28"/>
        </w:rPr>
        <w:t>国家税务总局吉林省税务局2025年双向安全交换系统扩容项目</w:t>
      </w:r>
      <w:bookmarkEnd w:id="0"/>
    </w:p>
    <w:p>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Pr>
          <w:rFonts w:ascii="SimSun" w:hint="eastAsia"/>
          <w:b/>
          <w:bCs/>
          <w:sz w:val="28"/>
          <w:szCs w:val="28"/>
        </w:rPr>
        <w:t>JL2025-ZXGK-A0019-B00</w:t>
      </w:r>
      <w:bookmarkEnd w:id="1"/>
    </w:p>
    <w:p>
      <w:pPr>
        <w:topLinePunct/>
        <w:autoSpaceDE w:val="0"/>
        <w:autoSpaceDN w:val="0"/>
        <w:snapToGrid w:val="0"/>
        <w:spacing w:line="360" w:lineRule="auto"/>
        <w:ind w:firstLine="1120" w:firstLineChars="400"/>
        <w:rPr>
          <w:rFonts w:ascii="SimSun"/>
          <w:b/>
          <w:bCs/>
          <w:sz w:val="28"/>
          <w:szCs w:val="28"/>
        </w:rPr>
      </w:pPr>
    </w:p>
    <w:p>
      <w:pPr>
        <w:topLinePunct/>
        <w:autoSpaceDE w:val="0"/>
        <w:autoSpaceDN w:val="0"/>
        <w:snapToGrid w:val="0"/>
        <w:spacing w:line="360" w:lineRule="auto"/>
        <w:rPr>
          <w:rFonts w:ascii="SimSun"/>
          <w:b/>
          <w:bCs/>
          <w:sz w:val="28"/>
          <w:szCs w:val="28"/>
        </w:rPr>
      </w:pPr>
    </w:p>
    <w:p>
      <w:pPr>
        <w:topLinePunct/>
        <w:autoSpaceDE w:val="0"/>
        <w:autoSpaceDN w:val="0"/>
        <w:spacing w:line="460" w:lineRule="exact"/>
        <w:rPr>
          <w:rFonts w:ascii="SimHei" w:eastAsia="SimHei"/>
          <w:b/>
          <w:sz w:val="52"/>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pPr>
        <w:widowControl/>
        <w:topLinePunct/>
        <w:autoSpaceDE w:val="0"/>
        <w:autoSpaceDN w:val="0"/>
        <w:jc w:val="center"/>
        <w:rPr>
          <w:rFonts w:ascii="SimSun" w:hAnsi="SimSun" w:cs="SimSun"/>
        </w:rPr>
        <w:sectPr>
          <w:pgSz w:w="11906" w:h="16838"/>
          <w:pgMar w:top="1440" w:right="1508" w:bottom="1440" w:left="1588" w:header="851" w:footer="851" w:gutter="0"/>
          <w:cols w:num="1" w:space="720"/>
          <w:titlePg/>
          <w:docGrid w:type="lines" w:linePitch="312" w:charSpace="0"/>
        </w:sectPr>
      </w:pPr>
      <w:bookmarkStart w:id="3" w:name="生成日期_currentDateTime_ymd"/>
      <w:r>
        <w:rPr>
          <w:rFonts w:ascii="SimHei" w:eastAsia="SimHei" w:hAnsi="Courier New" w:cs="Courier New" w:hint="eastAsia"/>
          <w:sz w:val="36"/>
          <w:szCs w:val="36"/>
        </w:rPr>
        <w:t>2025年5月</w:t>
      </w:r>
      <w:bookmarkEnd w:id="3"/>
    </w:p>
    <w:p>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0"/>
        <w:tabs>
          <w:tab w:val="right" w:leader="dot" w:pos="9350"/>
        </w:tabs>
        <w:spacing w:before="0" w:after="0" w:line="360" w:lineRule="auto"/>
        <w:rPr>
          <w:rFonts w:ascii="Calibri" w:hAnsi="Calibri"/>
          <w:sz w:val="22"/>
        </w:rPr>
      </w:pPr>
      <w:r>
        <w:rPr>
          <w:rFonts w:ascii="SimSun" w:eastAsia="SimSun" w:hAnsi="SimSun" w:cs="SimSun"/>
          <w:sz w:val="32"/>
        </w:rPr>
        <w:fldChar w:fldCharType="begin"/>
      </w:r>
      <w:r>
        <w:rPr>
          <w:rFonts w:ascii="SimSun" w:eastAsia="SimSun" w:hAnsi="SimSun" w:cs="SimSun"/>
          <w:sz w:val="32"/>
        </w:rPr>
        <w:instrText>TOC \o "1-3" \h \z \u</w:instrText>
      </w:r>
      <w:r>
        <w:rPr>
          <w:rFonts w:ascii="SimSun" w:eastAsia="SimSun" w:hAnsi="SimSun" w:cs="SimSun"/>
          <w:sz w:val="32"/>
        </w:rPr>
        <w:fldChar w:fldCharType="separate"/>
      </w:r>
      <w:hyperlink w:anchor="_Toc256000000" w:history="1">
        <w:r>
          <w:rPr>
            <w:rStyle w:val="Hyperlink0"/>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350"/>
        </w:tabs>
        <w:spacing w:before="0" w:after="0" w:line="360" w:lineRule="auto"/>
        <w:rPr>
          <w:rFonts w:ascii="Calibri" w:hAnsi="Calibri"/>
          <w:sz w:val="22"/>
        </w:rPr>
      </w:pPr>
      <w:hyperlink w:anchor="_Toc256000001" w:history="1">
        <w:r>
          <w:rPr>
            <w:rStyle w:val="Hyperlink0"/>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2" w:history="1">
        <w:r>
          <w:rPr>
            <w:rStyle w:val="Hyperlink0"/>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350"/>
        </w:tabs>
        <w:spacing w:before="0" w:after="0" w:line="360" w:lineRule="auto"/>
        <w:rPr>
          <w:rFonts w:ascii="Calibri" w:hAnsi="Calibri"/>
          <w:sz w:val="22"/>
        </w:rPr>
      </w:pPr>
      <w:hyperlink w:anchor="_Toc256000003" w:history="1">
        <w:r>
          <w:rPr>
            <w:rStyle w:val="Hyperlink0"/>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4" w:history="1">
        <w:r>
          <w:rPr>
            <w:rStyle w:val="Hyperlink0"/>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5" w:history="1">
        <w:r>
          <w:rPr>
            <w:rStyle w:val="Hyperlink0"/>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6" w:history="1">
        <w:r>
          <w:rPr>
            <w:rStyle w:val="Hyperlink0"/>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7" w:history="1">
        <w:r>
          <w:rPr>
            <w:rStyle w:val="Hyperlink0"/>
            <w:rFonts w:ascii="仿宋_GB2312" w:eastAsia="仿宋_GB2312" w:hAnsi="仿宋_GB2312" w:cs="仿宋_GB2312"/>
          </w:rPr>
          <w:t>1.2.4系统情况</w:t>
        </w:r>
        <w:r>
          <w:tab/>
        </w:r>
        <w:r>
          <w:fldChar w:fldCharType="begin"/>
        </w:r>
        <w:r>
          <w:instrText xml:space="preserve"> PAGEREF _Toc256000007 \h </w:instrText>
        </w:r>
        <w:r>
          <w:fldChar w:fldCharType="separate"/>
        </w:r>
        <w:r>
          <w:t>5</w:t>
        </w:r>
        <w:r>
          <w:fldChar w:fldCharType="end"/>
        </w:r>
      </w:hyperlink>
    </w:p>
    <w:p>
      <w:pPr>
        <w:pStyle w:val="TOC2"/>
        <w:tabs>
          <w:tab w:val="right" w:leader="dot" w:pos="9350"/>
        </w:tabs>
        <w:spacing w:before="0" w:after="0" w:line="360" w:lineRule="auto"/>
        <w:rPr>
          <w:rFonts w:ascii="Calibri" w:hAnsi="Calibri"/>
          <w:sz w:val="22"/>
        </w:rPr>
      </w:pPr>
      <w:hyperlink w:anchor="_Toc256000008" w:history="1">
        <w:r>
          <w:rPr>
            <w:rStyle w:val="Hyperlink0"/>
            <w:rFonts w:ascii="仿宋_GB2312" w:eastAsia="仿宋_GB2312" w:hAnsi="仿宋_GB2312" w:cs="仿宋_GB2312"/>
          </w:rPr>
          <w:t>1.3其他要求</w:t>
        </w:r>
        <w:r>
          <w:tab/>
        </w:r>
        <w:r>
          <w:fldChar w:fldCharType="begin"/>
        </w:r>
        <w:r>
          <w:instrText xml:space="preserve"> PAGEREF _Toc256000008 \h </w:instrText>
        </w:r>
        <w:r>
          <w:fldChar w:fldCharType="separate"/>
        </w:r>
        <w:r>
          <w:t>5</w:t>
        </w:r>
        <w:r>
          <w:fldChar w:fldCharType="end"/>
        </w:r>
      </w:hyperlink>
    </w:p>
    <w:p>
      <w:pPr>
        <w:pStyle w:val="TOC3"/>
        <w:tabs>
          <w:tab w:val="right" w:leader="dot" w:pos="9350"/>
        </w:tabs>
        <w:spacing w:before="0" w:after="0" w:line="360" w:lineRule="auto"/>
        <w:rPr>
          <w:rFonts w:ascii="Calibri" w:hAnsi="Calibri"/>
          <w:sz w:val="22"/>
        </w:rPr>
      </w:pPr>
      <w:hyperlink w:anchor="_Toc256000009" w:history="1">
        <w:r>
          <w:rPr>
            <w:rStyle w:val="Hyperlink0"/>
            <w:rFonts w:ascii="仿宋_GB2312" w:eastAsia="仿宋_GB2312" w:hAnsi="仿宋_GB2312" w:cs="仿宋_GB2312"/>
          </w:rPr>
          <w:t>1.3.1采购标的需执行的相关标准规范</w:t>
        </w:r>
        <w:r>
          <w:tab/>
        </w:r>
        <w:r>
          <w:fldChar w:fldCharType="begin"/>
        </w:r>
        <w:r>
          <w:instrText xml:space="preserve"> PAGEREF _Toc256000009 \h </w:instrText>
        </w:r>
        <w:r>
          <w:fldChar w:fldCharType="separate"/>
        </w:r>
        <w:r>
          <w:t>5</w:t>
        </w:r>
        <w:r>
          <w:fldChar w:fldCharType="end"/>
        </w:r>
      </w:hyperlink>
    </w:p>
    <w:p>
      <w:pPr>
        <w:pStyle w:val="TOC10"/>
        <w:tabs>
          <w:tab w:val="right" w:leader="dot" w:pos="9350"/>
        </w:tabs>
        <w:spacing w:before="0" w:after="0" w:line="360" w:lineRule="auto"/>
        <w:rPr>
          <w:rFonts w:ascii="Calibri" w:hAnsi="Calibri"/>
          <w:sz w:val="22"/>
        </w:rPr>
      </w:pPr>
      <w:hyperlink w:anchor="_Toc256000010" w:history="1">
        <w:r>
          <w:rPr>
            <w:rStyle w:val="Hyperlink0"/>
            <w:rFonts w:ascii="仿宋_GB2312" w:eastAsia="仿宋_GB2312" w:hAnsi="仿宋_GB2312" w:cs="仿宋_GB2312"/>
            <w:kern w:val="36"/>
          </w:rPr>
          <w:t>2投标/响应要求</w:t>
        </w:r>
        <w:r>
          <w:tab/>
        </w:r>
        <w:r>
          <w:fldChar w:fldCharType="begin"/>
        </w:r>
        <w:r>
          <w:instrText xml:space="preserve"> PAGEREF _Toc256000010 \h </w:instrText>
        </w:r>
        <w:r>
          <w:fldChar w:fldCharType="separate"/>
        </w:r>
        <w:r>
          <w:t>5</w:t>
        </w:r>
        <w:r>
          <w:fldChar w:fldCharType="end"/>
        </w:r>
      </w:hyperlink>
    </w:p>
    <w:p>
      <w:pPr>
        <w:pStyle w:val="TOC2"/>
        <w:tabs>
          <w:tab w:val="right" w:leader="dot" w:pos="9350"/>
        </w:tabs>
        <w:spacing w:before="0" w:after="0" w:line="360" w:lineRule="auto"/>
        <w:rPr>
          <w:rFonts w:ascii="Calibri" w:hAnsi="Calibri"/>
          <w:sz w:val="22"/>
        </w:rPr>
      </w:pPr>
      <w:hyperlink w:anchor="_Toc256000011" w:history="1">
        <w:r>
          <w:rPr>
            <w:rStyle w:val="Hyperlink0"/>
            <w:rFonts w:ascii="仿宋_GB2312" w:eastAsia="仿宋_GB2312" w:hAnsi="仿宋_GB2312" w:cs="仿宋_GB2312"/>
          </w:rPr>
          <w:t>2.1对供应商的要求</w:t>
        </w:r>
        <w:r>
          <w:tab/>
        </w:r>
        <w:r>
          <w:fldChar w:fldCharType="begin"/>
        </w:r>
        <w:r>
          <w:instrText xml:space="preserve"> PAGEREF _Toc256000011 \h </w:instrText>
        </w:r>
        <w:r>
          <w:fldChar w:fldCharType="separate"/>
        </w:r>
        <w:r>
          <w:t>5</w:t>
        </w:r>
        <w:r>
          <w:fldChar w:fldCharType="end"/>
        </w:r>
      </w:hyperlink>
    </w:p>
    <w:p>
      <w:pPr>
        <w:pStyle w:val="TOC3"/>
        <w:tabs>
          <w:tab w:val="right" w:leader="dot" w:pos="9350"/>
        </w:tabs>
        <w:spacing w:before="0" w:after="0" w:line="360" w:lineRule="auto"/>
        <w:rPr>
          <w:rFonts w:ascii="Calibri" w:hAnsi="Calibri"/>
          <w:sz w:val="22"/>
        </w:rPr>
      </w:pPr>
      <w:hyperlink w:anchor="_Toc256000012" w:history="1">
        <w:r>
          <w:rPr>
            <w:rStyle w:val="Hyperlink0"/>
            <w:rFonts w:ascii="仿宋_GB2312" w:eastAsia="仿宋_GB2312" w:hAnsi="仿宋_GB2312" w:cs="仿宋_GB2312"/>
          </w:rPr>
          <w:t>2.1.1必备资质</w:t>
        </w:r>
        <w:r>
          <w:tab/>
        </w:r>
        <w:r>
          <w:fldChar w:fldCharType="begin"/>
        </w:r>
        <w:r>
          <w:instrText xml:space="preserve"> PAGEREF _Toc256000012 \h </w:instrText>
        </w:r>
        <w:r>
          <w:fldChar w:fldCharType="separate"/>
        </w:r>
        <w:r>
          <w:t>5</w:t>
        </w:r>
        <w:r>
          <w:fldChar w:fldCharType="end"/>
        </w:r>
      </w:hyperlink>
    </w:p>
    <w:p>
      <w:pPr>
        <w:pStyle w:val="TOC3"/>
        <w:tabs>
          <w:tab w:val="right" w:leader="dot" w:pos="9350"/>
        </w:tabs>
        <w:spacing w:before="0" w:after="0" w:line="360" w:lineRule="auto"/>
        <w:rPr>
          <w:rFonts w:ascii="Calibri" w:hAnsi="Calibri"/>
          <w:sz w:val="22"/>
        </w:rPr>
      </w:pPr>
      <w:hyperlink w:anchor="_Toc256000013" w:history="1">
        <w:r>
          <w:rPr>
            <w:rStyle w:val="Hyperlink0"/>
            <w:rFonts w:ascii="仿宋_GB2312" w:eastAsia="仿宋_GB2312" w:hAnsi="仿宋_GB2312" w:cs="仿宋_GB2312"/>
          </w:rPr>
          <w:t>2.1.2优选资质/优选指标</w:t>
        </w:r>
        <w:r>
          <w:tab/>
        </w:r>
        <w:r>
          <w:fldChar w:fldCharType="begin"/>
        </w:r>
        <w:r>
          <w:instrText xml:space="preserve"> PAGEREF _Toc256000013 \h </w:instrText>
        </w:r>
        <w:r>
          <w:fldChar w:fldCharType="separate"/>
        </w:r>
        <w:r>
          <w:t>5</w:t>
        </w:r>
        <w:r>
          <w:fldChar w:fldCharType="end"/>
        </w:r>
      </w:hyperlink>
    </w:p>
    <w:p>
      <w:pPr>
        <w:pStyle w:val="TOC3"/>
        <w:tabs>
          <w:tab w:val="right" w:leader="dot" w:pos="9350"/>
        </w:tabs>
        <w:spacing w:before="0" w:after="0" w:line="360" w:lineRule="auto"/>
        <w:rPr>
          <w:rFonts w:ascii="Calibri" w:hAnsi="Calibri"/>
          <w:sz w:val="22"/>
        </w:rPr>
      </w:pPr>
      <w:hyperlink w:anchor="_Toc256000014" w:history="1">
        <w:r>
          <w:rPr>
            <w:rStyle w:val="Hyperlink0"/>
            <w:rFonts w:ascii="仿宋_GB2312" w:eastAsia="仿宋_GB2312" w:hAnsi="仿宋_GB2312" w:cs="仿宋_GB2312"/>
          </w:rPr>
          <w:t>2.1.3是否允许联合体</w:t>
        </w:r>
        <w:r>
          <w:tab/>
        </w:r>
        <w:r>
          <w:fldChar w:fldCharType="begin"/>
        </w:r>
        <w:r>
          <w:instrText xml:space="preserve"> PAGEREF _Toc256000014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5" w:history="1">
        <w:r>
          <w:rPr>
            <w:rStyle w:val="Hyperlink0"/>
            <w:rFonts w:ascii="仿宋_GB2312" w:eastAsia="仿宋_GB2312" w:hAnsi="仿宋_GB2312" w:cs="仿宋_GB2312"/>
          </w:rPr>
          <w:t>2.1.4是否专门面向中小企业</w:t>
        </w:r>
        <w:r>
          <w:tab/>
        </w:r>
        <w:r>
          <w:fldChar w:fldCharType="begin"/>
        </w:r>
        <w:r>
          <w:instrText xml:space="preserve"> PAGEREF _Toc256000015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6" w:history="1">
        <w:r>
          <w:rPr>
            <w:rStyle w:val="Hyperlink0"/>
            <w:rFonts w:ascii="仿宋_GB2312" w:eastAsia="仿宋_GB2312" w:hAnsi="仿宋_GB2312" w:cs="仿宋_GB2312"/>
          </w:rPr>
          <w:t>2.1.5其他要求</w:t>
        </w:r>
        <w:r>
          <w:tab/>
        </w:r>
        <w:r>
          <w:fldChar w:fldCharType="begin"/>
        </w:r>
        <w:r>
          <w:instrText xml:space="preserve"> PAGEREF _Toc256000016 \h </w:instrText>
        </w:r>
        <w:r>
          <w:fldChar w:fldCharType="separate"/>
        </w:r>
        <w:r>
          <w:t>6</w:t>
        </w:r>
        <w:r>
          <w:fldChar w:fldCharType="end"/>
        </w:r>
      </w:hyperlink>
    </w:p>
    <w:p>
      <w:pPr>
        <w:pStyle w:val="TOC2"/>
        <w:tabs>
          <w:tab w:val="right" w:leader="dot" w:pos="9350"/>
        </w:tabs>
        <w:spacing w:before="0" w:after="0" w:line="360" w:lineRule="auto"/>
        <w:rPr>
          <w:rFonts w:ascii="Calibri" w:hAnsi="Calibri"/>
          <w:sz w:val="22"/>
        </w:rPr>
      </w:pPr>
      <w:hyperlink w:anchor="_Toc256000017" w:history="1">
        <w:r>
          <w:rPr>
            <w:rStyle w:val="Hyperlink0"/>
            <w:rFonts w:ascii="仿宋_GB2312" w:eastAsia="仿宋_GB2312" w:hAnsi="仿宋_GB2312" w:cs="仿宋_GB2312"/>
          </w:rPr>
          <w:t>2.2技术部分投标/响应内容</w:t>
        </w:r>
        <w:r>
          <w:tab/>
        </w:r>
        <w:r>
          <w:fldChar w:fldCharType="begin"/>
        </w:r>
        <w:r>
          <w:instrText xml:space="preserve"> PAGEREF _Toc256000017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8" w:history="1">
        <w:r>
          <w:rPr>
            <w:rStyle w:val="Hyperlink0"/>
            <w:rFonts w:ascii="仿宋_GB2312" w:eastAsia="仿宋_GB2312" w:hAnsi="仿宋_GB2312" w:cs="仿宋_GB2312"/>
          </w:rPr>
          <w:t>2.2.1技术投标/响应总要求</w:t>
        </w:r>
        <w:r>
          <w:tab/>
        </w:r>
        <w:r>
          <w:fldChar w:fldCharType="begin"/>
        </w:r>
        <w:r>
          <w:instrText xml:space="preserve"> PAGEREF _Toc256000018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9" w:history="1">
        <w:r>
          <w:rPr>
            <w:rStyle w:val="Hyperlink0"/>
            <w:rFonts w:ascii="仿宋_GB2312" w:eastAsia="仿宋_GB2312" w:hAnsi="仿宋_GB2312" w:cs="仿宋_GB2312"/>
          </w:rPr>
          <w:t>2.2.2投标/响应方案要求</w:t>
        </w:r>
        <w:r>
          <w:tab/>
        </w:r>
        <w:r>
          <w:fldChar w:fldCharType="begin"/>
        </w:r>
        <w:r>
          <w:instrText xml:space="preserve"> PAGEREF _Toc256000019 \h </w:instrText>
        </w:r>
        <w:r>
          <w:fldChar w:fldCharType="separate"/>
        </w:r>
        <w:r>
          <w:t>7</w:t>
        </w:r>
        <w:r>
          <w:fldChar w:fldCharType="end"/>
        </w:r>
      </w:hyperlink>
    </w:p>
    <w:p>
      <w:pPr>
        <w:pStyle w:val="TOC10"/>
        <w:tabs>
          <w:tab w:val="right" w:leader="dot" w:pos="9350"/>
        </w:tabs>
        <w:spacing w:before="0" w:after="0" w:line="360" w:lineRule="auto"/>
        <w:rPr>
          <w:rFonts w:ascii="Calibri" w:hAnsi="Calibri"/>
          <w:sz w:val="22"/>
        </w:rPr>
      </w:pPr>
      <w:hyperlink w:anchor="_Toc256000020" w:history="1">
        <w:r>
          <w:rPr>
            <w:rStyle w:val="Hyperlink0"/>
            <w:rFonts w:ascii="仿宋_GB2312" w:eastAsia="仿宋_GB2312" w:hAnsi="仿宋_GB2312" w:cs="仿宋_GB2312"/>
            <w:kern w:val="36"/>
          </w:rPr>
          <w:t>3项目需求</w:t>
        </w:r>
        <w:r>
          <w:tab/>
        </w:r>
        <w:r>
          <w:fldChar w:fldCharType="begin"/>
        </w:r>
        <w:r>
          <w:instrText xml:space="preserve"> PAGEREF _Toc256000020 \h </w:instrText>
        </w:r>
        <w:r>
          <w:fldChar w:fldCharType="separate"/>
        </w:r>
        <w:r>
          <w:t>7</w:t>
        </w:r>
        <w:r>
          <w:fldChar w:fldCharType="end"/>
        </w:r>
      </w:hyperlink>
    </w:p>
    <w:p>
      <w:pPr>
        <w:pStyle w:val="TOC2"/>
        <w:tabs>
          <w:tab w:val="right" w:leader="dot" w:pos="9350"/>
        </w:tabs>
        <w:spacing w:before="0" w:after="0" w:line="360" w:lineRule="auto"/>
        <w:rPr>
          <w:rFonts w:ascii="Calibri" w:hAnsi="Calibri"/>
          <w:sz w:val="22"/>
        </w:rPr>
      </w:pPr>
      <w:hyperlink w:anchor="_Toc256000021" w:history="1">
        <w:r>
          <w:rPr>
            <w:rStyle w:val="Hyperlink0"/>
            <w:rFonts w:ascii="仿宋_GB2312" w:eastAsia="仿宋_GB2312" w:hAnsi="仿宋_GB2312" w:cs="仿宋_GB2312"/>
          </w:rPr>
          <w:t>3.1总体要求</w:t>
        </w:r>
        <w:r>
          <w:tab/>
        </w:r>
        <w:r>
          <w:fldChar w:fldCharType="begin"/>
        </w:r>
        <w:r>
          <w:instrText xml:space="preserve"> PAGEREF _Toc256000021 \h </w:instrText>
        </w:r>
        <w:r>
          <w:fldChar w:fldCharType="separate"/>
        </w:r>
        <w:r>
          <w:t>7</w:t>
        </w:r>
        <w:r>
          <w:fldChar w:fldCharType="end"/>
        </w:r>
      </w:hyperlink>
    </w:p>
    <w:p>
      <w:pPr>
        <w:pStyle w:val="TOC2"/>
        <w:tabs>
          <w:tab w:val="right" w:leader="dot" w:pos="9350"/>
        </w:tabs>
        <w:spacing w:before="0" w:after="0" w:line="360" w:lineRule="auto"/>
        <w:rPr>
          <w:rFonts w:ascii="Calibri" w:hAnsi="Calibri"/>
          <w:sz w:val="22"/>
        </w:rPr>
      </w:pPr>
      <w:hyperlink w:anchor="_Toc256000022" w:history="1">
        <w:r>
          <w:rPr>
            <w:rStyle w:val="Hyperlink0"/>
            <w:rFonts w:ascii="仿宋_GB2312" w:eastAsia="仿宋_GB2312" w:hAnsi="仿宋_GB2312" w:cs="仿宋_GB2312"/>
          </w:rPr>
          <w:t>3.2服务内容和要求</w:t>
        </w:r>
        <w:r>
          <w:tab/>
        </w:r>
        <w:r>
          <w:fldChar w:fldCharType="begin"/>
        </w:r>
        <w:r>
          <w:instrText xml:space="preserve"> PAGEREF _Toc256000022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23" w:history="1">
        <w:r>
          <w:rPr>
            <w:rStyle w:val="Hyperlink0"/>
            <w:rFonts w:ascii="仿宋_GB2312" w:eastAsia="仿宋_GB2312" w:hAnsi="仿宋_GB2312" w:cs="仿宋_GB2312"/>
          </w:rPr>
          <w:t>3.2.1技术和服务客观指标</w:t>
        </w:r>
        <w:r>
          <w:tab/>
        </w:r>
        <w:r>
          <w:fldChar w:fldCharType="begin"/>
        </w:r>
        <w:r>
          <w:instrText xml:space="preserve"> PAGEREF _Toc256000023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24" w:history="1">
        <w:r>
          <w:rPr>
            <w:rStyle w:val="Hyperlink0"/>
            <w:rFonts w:ascii="仿宋_GB2312" w:eastAsia="仿宋_GB2312" w:hAnsi="仿宋_GB2312" w:cs="仿宋_GB2312"/>
          </w:rPr>
          <w:t>3.2.2技术和服务其他要求</w:t>
        </w:r>
        <w:r>
          <w:tab/>
        </w:r>
        <w:r>
          <w:fldChar w:fldCharType="begin"/>
        </w:r>
        <w:r>
          <w:instrText xml:space="preserve"> PAGEREF _Toc256000024 \h </w:instrText>
        </w:r>
        <w:r>
          <w:fldChar w:fldCharType="separate"/>
        </w:r>
        <w:r>
          <w:t>29</w:t>
        </w:r>
        <w:r>
          <w:fldChar w:fldCharType="end"/>
        </w:r>
      </w:hyperlink>
    </w:p>
    <w:p>
      <w:pPr>
        <w:pStyle w:val="TOC10"/>
        <w:tabs>
          <w:tab w:val="right" w:leader="dot" w:pos="9350"/>
        </w:tabs>
        <w:spacing w:before="0" w:after="0" w:line="360" w:lineRule="auto"/>
        <w:rPr>
          <w:rFonts w:ascii="Calibri" w:hAnsi="Calibri"/>
          <w:sz w:val="22"/>
        </w:rPr>
      </w:pPr>
      <w:hyperlink w:anchor="_Toc256000025" w:history="1">
        <w:r>
          <w:rPr>
            <w:rStyle w:val="Hyperlink0"/>
            <w:rFonts w:ascii="仿宋_GB2312" w:eastAsia="仿宋_GB2312" w:hAnsi="仿宋_GB2312" w:cs="仿宋_GB2312"/>
            <w:kern w:val="36"/>
          </w:rPr>
          <w:t>4人员要求</w:t>
        </w:r>
        <w:r>
          <w:tab/>
        </w:r>
        <w:r>
          <w:fldChar w:fldCharType="begin"/>
        </w:r>
        <w:r>
          <w:instrText xml:space="preserve"> PAGEREF _Toc256000025 \h </w:instrText>
        </w:r>
        <w:r>
          <w:fldChar w:fldCharType="separate"/>
        </w:r>
        <w:r>
          <w:t>29</w:t>
        </w:r>
        <w:r>
          <w:fldChar w:fldCharType="end"/>
        </w:r>
      </w:hyperlink>
    </w:p>
    <w:p>
      <w:pPr>
        <w:pStyle w:val="TOC2"/>
        <w:tabs>
          <w:tab w:val="right" w:leader="dot" w:pos="9350"/>
        </w:tabs>
        <w:spacing w:before="0" w:after="0" w:line="360" w:lineRule="auto"/>
        <w:rPr>
          <w:rFonts w:ascii="Calibri" w:hAnsi="Calibri"/>
          <w:sz w:val="22"/>
        </w:rPr>
      </w:pPr>
      <w:hyperlink w:anchor="_Toc256000026" w:history="1">
        <w:r>
          <w:rPr>
            <w:rStyle w:val="Hyperlink0"/>
            <w:rFonts w:ascii="仿宋_GB2312" w:eastAsia="仿宋_GB2312" w:hAnsi="仿宋_GB2312" w:cs="仿宋_GB2312"/>
          </w:rPr>
          <w:t>4.1总体要求</w:t>
        </w:r>
        <w:r>
          <w:tab/>
        </w:r>
        <w:r>
          <w:fldChar w:fldCharType="begin"/>
        </w:r>
        <w:r>
          <w:instrText xml:space="preserve"> PAGEREF _Toc256000026 \h </w:instrText>
        </w:r>
        <w:r>
          <w:fldChar w:fldCharType="separate"/>
        </w:r>
        <w:r>
          <w:t>29</w:t>
        </w:r>
        <w:r>
          <w:fldChar w:fldCharType="end"/>
        </w:r>
      </w:hyperlink>
    </w:p>
    <w:p>
      <w:pPr>
        <w:pStyle w:val="TOC2"/>
        <w:tabs>
          <w:tab w:val="right" w:leader="dot" w:pos="9350"/>
        </w:tabs>
        <w:spacing w:before="0" w:after="0" w:line="360" w:lineRule="auto"/>
        <w:rPr>
          <w:rFonts w:ascii="Calibri" w:hAnsi="Calibri"/>
          <w:sz w:val="22"/>
        </w:rPr>
      </w:pPr>
      <w:hyperlink w:anchor="_Toc256000027" w:history="1">
        <w:r>
          <w:rPr>
            <w:rStyle w:val="Hyperlink0"/>
            <w:rFonts w:ascii="仿宋_GB2312" w:eastAsia="仿宋_GB2312" w:hAnsi="仿宋_GB2312" w:cs="仿宋_GB2312"/>
          </w:rPr>
          <w:t>4.2管理团队</w:t>
        </w:r>
        <w:r>
          <w:tab/>
        </w:r>
        <w:r>
          <w:fldChar w:fldCharType="begin"/>
        </w:r>
        <w:r>
          <w:instrText xml:space="preserve"> PAGEREF _Toc256000027 \h </w:instrText>
        </w:r>
        <w:r>
          <w:fldChar w:fldCharType="separate"/>
        </w:r>
        <w:r>
          <w:t>30</w:t>
        </w:r>
        <w:r>
          <w:fldChar w:fldCharType="end"/>
        </w:r>
      </w:hyperlink>
    </w:p>
    <w:p>
      <w:pPr>
        <w:pStyle w:val="TOC3"/>
        <w:tabs>
          <w:tab w:val="right" w:leader="dot" w:pos="9350"/>
        </w:tabs>
        <w:spacing w:before="0" w:after="0" w:line="360" w:lineRule="auto"/>
        <w:rPr>
          <w:rFonts w:ascii="Calibri" w:hAnsi="Calibri"/>
          <w:sz w:val="22"/>
        </w:rPr>
      </w:pPr>
      <w:hyperlink w:anchor="_Toc256000028" w:history="1">
        <w:r>
          <w:rPr>
            <w:rStyle w:val="Hyperlink0"/>
            <w:rFonts w:ascii="仿宋_GB2312" w:eastAsia="仿宋_GB2312" w:hAnsi="仿宋_GB2312" w:cs="仿宋_GB2312"/>
          </w:rPr>
          <w:t>4.2.1项目总监</w:t>
        </w:r>
        <w:r>
          <w:tab/>
        </w:r>
        <w:r>
          <w:fldChar w:fldCharType="begin"/>
        </w:r>
        <w:r>
          <w:instrText xml:space="preserve"> PAGEREF _Toc256000028 \h </w:instrText>
        </w:r>
        <w:r>
          <w:fldChar w:fldCharType="separate"/>
        </w:r>
        <w:r>
          <w:t>30</w:t>
        </w:r>
        <w:r>
          <w:fldChar w:fldCharType="end"/>
        </w:r>
      </w:hyperlink>
    </w:p>
    <w:p>
      <w:pPr>
        <w:pStyle w:val="TOC3"/>
        <w:tabs>
          <w:tab w:val="right" w:leader="dot" w:pos="9350"/>
        </w:tabs>
        <w:spacing w:before="0" w:after="0" w:line="360" w:lineRule="auto"/>
        <w:rPr>
          <w:rFonts w:ascii="Calibri" w:hAnsi="Calibri"/>
          <w:sz w:val="22"/>
        </w:rPr>
      </w:pPr>
      <w:hyperlink w:anchor="_Toc256000029" w:history="1">
        <w:r>
          <w:rPr>
            <w:rStyle w:val="Hyperlink0"/>
            <w:rFonts w:ascii="仿宋_GB2312" w:eastAsia="仿宋_GB2312" w:hAnsi="仿宋_GB2312" w:cs="仿宋_GB2312"/>
          </w:rPr>
          <w:t>4.2.2项目经理</w:t>
        </w:r>
        <w:r>
          <w:tab/>
        </w:r>
        <w:r>
          <w:fldChar w:fldCharType="begin"/>
        </w:r>
        <w:r>
          <w:instrText xml:space="preserve"> PAGEREF _Toc256000029 \h </w:instrText>
        </w:r>
        <w:r>
          <w:fldChar w:fldCharType="separate"/>
        </w:r>
        <w:r>
          <w:t>30</w:t>
        </w:r>
        <w:r>
          <w:fldChar w:fldCharType="end"/>
        </w:r>
      </w:hyperlink>
    </w:p>
    <w:p>
      <w:pPr>
        <w:pStyle w:val="TOC2"/>
        <w:tabs>
          <w:tab w:val="right" w:leader="dot" w:pos="9350"/>
        </w:tabs>
        <w:spacing w:before="0" w:after="0" w:line="360" w:lineRule="auto"/>
        <w:rPr>
          <w:rFonts w:ascii="Calibri" w:hAnsi="Calibri"/>
          <w:sz w:val="22"/>
        </w:rPr>
      </w:pPr>
      <w:hyperlink w:anchor="_Toc256000030" w:history="1">
        <w:r>
          <w:rPr>
            <w:rStyle w:val="Hyperlink0"/>
            <w:rFonts w:ascii="仿宋_GB2312" w:eastAsia="仿宋_GB2312" w:hAnsi="仿宋_GB2312" w:cs="仿宋_GB2312"/>
          </w:rPr>
          <w:t>4.3技术团队</w:t>
        </w:r>
        <w:r>
          <w:tab/>
        </w:r>
        <w:r>
          <w:fldChar w:fldCharType="begin"/>
        </w:r>
        <w:r>
          <w:instrText xml:space="preserve"> PAGEREF _Toc256000030 \h </w:instrText>
        </w:r>
        <w:r>
          <w:fldChar w:fldCharType="separate"/>
        </w:r>
        <w:r>
          <w:t>30</w:t>
        </w:r>
        <w:r>
          <w:fldChar w:fldCharType="end"/>
        </w:r>
      </w:hyperlink>
    </w:p>
    <w:p>
      <w:pPr>
        <w:pStyle w:val="TOC2"/>
        <w:tabs>
          <w:tab w:val="right" w:leader="dot" w:pos="9350"/>
        </w:tabs>
        <w:spacing w:before="0" w:after="0" w:line="360" w:lineRule="auto"/>
        <w:rPr>
          <w:rFonts w:ascii="Calibri" w:hAnsi="Calibri"/>
          <w:sz w:val="22"/>
        </w:rPr>
      </w:pPr>
      <w:hyperlink w:anchor="_Toc256000031" w:history="1">
        <w:r>
          <w:rPr>
            <w:rStyle w:val="Hyperlink0"/>
            <w:rFonts w:ascii="仿宋_GB2312" w:eastAsia="仿宋_GB2312" w:hAnsi="仿宋_GB2312" w:cs="仿宋_GB2312"/>
          </w:rPr>
          <w:t>4.4优选资质/优选指标</w:t>
        </w:r>
        <w:r>
          <w:tab/>
        </w:r>
        <w:r>
          <w:fldChar w:fldCharType="begin"/>
        </w:r>
        <w:r>
          <w:instrText xml:space="preserve"> PAGEREF _Toc256000031 \h </w:instrText>
        </w:r>
        <w:r>
          <w:fldChar w:fldCharType="separate"/>
        </w:r>
        <w:r>
          <w:t>30</w:t>
        </w:r>
        <w:r>
          <w:fldChar w:fldCharType="end"/>
        </w:r>
      </w:hyperlink>
    </w:p>
    <w:p>
      <w:pPr>
        <w:pStyle w:val="TOC10"/>
        <w:tabs>
          <w:tab w:val="right" w:leader="dot" w:pos="9350"/>
        </w:tabs>
        <w:spacing w:before="0" w:after="0" w:line="360" w:lineRule="auto"/>
        <w:rPr>
          <w:rFonts w:ascii="Calibri" w:hAnsi="Calibri"/>
          <w:sz w:val="22"/>
        </w:rPr>
      </w:pPr>
      <w:hyperlink w:anchor="_Toc256000032" w:history="1">
        <w:r>
          <w:rPr>
            <w:rStyle w:val="Hyperlink0"/>
            <w:rFonts w:ascii="仿宋_GB2312" w:eastAsia="仿宋_GB2312" w:hAnsi="仿宋_GB2312" w:cs="仿宋_GB2312"/>
            <w:kern w:val="36"/>
          </w:rPr>
          <w:t>5管理实施要求</w:t>
        </w:r>
        <w:r>
          <w:tab/>
        </w:r>
        <w:r>
          <w:fldChar w:fldCharType="begin"/>
        </w:r>
        <w:r>
          <w:instrText xml:space="preserve"> PAGEREF _Toc256000032 \h </w:instrText>
        </w:r>
        <w:r>
          <w:fldChar w:fldCharType="separate"/>
        </w:r>
        <w:r>
          <w:t>30</w:t>
        </w:r>
        <w:r>
          <w:fldChar w:fldCharType="end"/>
        </w:r>
      </w:hyperlink>
    </w:p>
    <w:p>
      <w:pPr>
        <w:pStyle w:val="TOC10"/>
        <w:tabs>
          <w:tab w:val="right" w:leader="dot" w:pos="9350"/>
        </w:tabs>
        <w:spacing w:before="0" w:after="0" w:line="360" w:lineRule="auto"/>
        <w:rPr>
          <w:rFonts w:ascii="Calibri" w:hAnsi="Calibri"/>
          <w:sz w:val="22"/>
        </w:rPr>
      </w:pPr>
      <w:hyperlink w:anchor="_Toc256000033" w:history="1">
        <w:r>
          <w:rPr>
            <w:rStyle w:val="Hyperlink0"/>
            <w:rFonts w:ascii="仿宋_GB2312" w:eastAsia="仿宋_GB2312" w:hAnsi="仿宋_GB2312" w:cs="仿宋_GB2312"/>
            <w:kern w:val="36"/>
          </w:rPr>
          <w:t>6保密要求</w:t>
        </w:r>
        <w:r>
          <w:tab/>
        </w:r>
        <w:r>
          <w:fldChar w:fldCharType="begin"/>
        </w:r>
        <w:r>
          <w:instrText xml:space="preserve"> PAGEREF _Toc256000033 \h </w:instrText>
        </w:r>
        <w:r>
          <w:fldChar w:fldCharType="separate"/>
        </w:r>
        <w:r>
          <w:t>31</w:t>
        </w:r>
        <w:r>
          <w:fldChar w:fldCharType="end"/>
        </w:r>
      </w:hyperlink>
    </w:p>
    <w:p>
      <w:pPr>
        <w:pStyle w:val="TOC10"/>
        <w:tabs>
          <w:tab w:val="right" w:leader="dot" w:pos="9350"/>
        </w:tabs>
        <w:spacing w:before="0" w:after="0" w:line="360" w:lineRule="auto"/>
        <w:rPr>
          <w:rFonts w:ascii="Calibri" w:hAnsi="Calibri"/>
          <w:sz w:val="22"/>
        </w:rPr>
      </w:pPr>
      <w:hyperlink w:anchor="_Toc256000034" w:history="1">
        <w:r>
          <w:rPr>
            <w:rStyle w:val="Hyperlink0"/>
            <w:rFonts w:ascii="仿宋_GB2312" w:eastAsia="仿宋_GB2312" w:hAnsi="仿宋_GB2312" w:cs="仿宋_GB2312"/>
            <w:kern w:val="36"/>
          </w:rPr>
          <w:t>7知识转移要求</w:t>
        </w:r>
        <w:r>
          <w:tab/>
        </w:r>
        <w:r>
          <w:fldChar w:fldCharType="begin"/>
        </w:r>
        <w:r>
          <w:instrText xml:space="preserve"> PAGEREF _Toc256000034 \h </w:instrText>
        </w:r>
        <w:r>
          <w:fldChar w:fldCharType="separate"/>
        </w:r>
        <w:r>
          <w:t>32</w:t>
        </w:r>
        <w:r>
          <w:fldChar w:fldCharType="end"/>
        </w:r>
      </w:hyperlink>
    </w:p>
    <w:p>
      <w:pPr>
        <w:pStyle w:val="TOC10"/>
        <w:tabs>
          <w:tab w:val="right" w:leader="dot" w:pos="9350"/>
        </w:tabs>
        <w:spacing w:before="0" w:after="0" w:line="360" w:lineRule="auto"/>
        <w:rPr>
          <w:rFonts w:ascii="Calibri" w:hAnsi="Calibri"/>
          <w:sz w:val="22"/>
        </w:rPr>
      </w:pPr>
      <w:hyperlink w:anchor="_Toc256000035" w:history="1">
        <w:r>
          <w:rPr>
            <w:rStyle w:val="Hyperlink0"/>
            <w:rFonts w:ascii="仿宋_GB2312" w:eastAsia="仿宋_GB2312" w:hAnsi="仿宋_GB2312" w:cs="仿宋_GB2312"/>
            <w:kern w:val="36"/>
          </w:rPr>
          <w:t>8风险管控要求</w:t>
        </w:r>
        <w:r>
          <w:tab/>
        </w:r>
        <w:r>
          <w:fldChar w:fldCharType="begin"/>
        </w:r>
        <w:r>
          <w:instrText xml:space="preserve"> PAGEREF _Toc256000035 \h </w:instrText>
        </w:r>
        <w:r>
          <w:fldChar w:fldCharType="separate"/>
        </w:r>
        <w:r>
          <w:t>32</w:t>
        </w:r>
        <w:r>
          <w:fldChar w:fldCharType="end"/>
        </w:r>
      </w:hyperlink>
    </w:p>
    <w:p>
      <w:pPr>
        <w:pStyle w:val="TOC10"/>
        <w:tabs>
          <w:tab w:val="right" w:leader="dot" w:pos="9350"/>
        </w:tabs>
        <w:spacing w:before="0" w:after="0" w:line="360" w:lineRule="auto"/>
        <w:rPr>
          <w:rFonts w:ascii="Calibri" w:hAnsi="Calibri"/>
          <w:sz w:val="22"/>
        </w:rPr>
      </w:pPr>
      <w:hyperlink w:anchor="_Toc256000036" w:history="1">
        <w:r>
          <w:rPr>
            <w:rStyle w:val="Hyperlink0"/>
            <w:rFonts w:ascii="仿宋_GB2312" w:eastAsia="仿宋_GB2312" w:hAnsi="仿宋_GB2312" w:cs="仿宋_GB2312"/>
            <w:kern w:val="36"/>
          </w:rPr>
          <w:t>9履约验收要求</w:t>
        </w:r>
        <w:r>
          <w:tab/>
        </w:r>
        <w:r>
          <w:fldChar w:fldCharType="begin"/>
        </w:r>
        <w:r>
          <w:instrText xml:space="preserve"> PAGEREF _Toc256000036 \h </w:instrText>
        </w:r>
        <w:r>
          <w:fldChar w:fldCharType="separate"/>
        </w:r>
        <w:r>
          <w:t>33</w:t>
        </w:r>
        <w:r>
          <w:fldChar w:fldCharType="end"/>
        </w:r>
      </w:hyperlink>
    </w:p>
    <w:p>
      <w:pPr>
        <w:pStyle w:val="TOC2"/>
        <w:tabs>
          <w:tab w:val="right" w:leader="dot" w:pos="9350"/>
        </w:tabs>
        <w:spacing w:before="0" w:after="0" w:line="360" w:lineRule="auto"/>
        <w:rPr>
          <w:rFonts w:ascii="Calibri" w:hAnsi="Calibri"/>
          <w:sz w:val="22"/>
        </w:rPr>
      </w:pPr>
      <w:hyperlink w:anchor="_Toc256000037" w:history="1">
        <w:r>
          <w:rPr>
            <w:rStyle w:val="Hyperlink0"/>
            <w:rFonts w:ascii="仿宋_GB2312" w:eastAsia="仿宋_GB2312" w:hAnsi="仿宋_GB2312" w:cs="仿宋_GB2312"/>
          </w:rPr>
          <w:t>9.1总体要求</w:t>
        </w:r>
        <w:r>
          <w:tab/>
        </w:r>
        <w:r>
          <w:fldChar w:fldCharType="begin"/>
        </w:r>
        <w:r>
          <w:instrText xml:space="preserve"> PAGEREF _Toc256000037 \h </w:instrText>
        </w:r>
        <w:r>
          <w:fldChar w:fldCharType="separate"/>
        </w:r>
        <w:r>
          <w:t>33</w:t>
        </w:r>
        <w:r>
          <w:fldChar w:fldCharType="end"/>
        </w:r>
      </w:hyperlink>
    </w:p>
    <w:p>
      <w:pPr>
        <w:pStyle w:val="TOC2"/>
        <w:tabs>
          <w:tab w:val="right" w:leader="dot" w:pos="9350"/>
        </w:tabs>
        <w:spacing w:before="0" w:after="0" w:line="360" w:lineRule="auto"/>
        <w:rPr>
          <w:rFonts w:ascii="Calibri" w:hAnsi="Calibri"/>
          <w:sz w:val="22"/>
        </w:rPr>
      </w:pPr>
      <w:hyperlink w:anchor="_Toc256000038" w:history="1">
        <w:r>
          <w:rPr>
            <w:rStyle w:val="Hyperlink0"/>
            <w:rFonts w:ascii="仿宋_GB2312" w:eastAsia="仿宋_GB2312" w:hAnsi="仿宋_GB2312" w:cs="仿宋_GB2312"/>
          </w:rPr>
          <w:t>9.2具体要求</w:t>
        </w:r>
        <w:r>
          <w:tab/>
        </w:r>
        <w:r>
          <w:fldChar w:fldCharType="begin"/>
        </w:r>
        <w:r>
          <w:instrText xml:space="preserve"> PAGEREF _Toc256000038 \h </w:instrText>
        </w:r>
        <w:r>
          <w:fldChar w:fldCharType="separate"/>
        </w:r>
        <w:r>
          <w:t>33</w:t>
        </w:r>
        <w:r>
          <w:fldChar w:fldCharType="end"/>
        </w:r>
      </w:hyperlink>
    </w:p>
    <w:p>
      <w:pPr>
        <w:pStyle w:val="TOC10"/>
        <w:tabs>
          <w:tab w:val="right" w:leader="dot" w:pos="9350"/>
        </w:tabs>
        <w:spacing w:before="0" w:after="0" w:line="360" w:lineRule="auto"/>
        <w:rPr>
          <w:rFonts w:ascii="Calibri" w:hAnsi="Calibri"/>
          <w:sz w:val="22"/>
        </w:rPr>
      </w:pPr>
      <w:hyperlink w:anchor="_Toc256000039" w:history="1">
        <w:r>
          <w:rPr>
            <w:rStyle w:val="Hyperlink0"/>
            <w:rFonts w:ascii="仿宋_GB2312" w:eastAsia="仿宋_GB2312" w:hAnsi="仿宋_GB2312" w:cs="仿宋_GB2312"/>
            <w:kern w:val="36"/>
          </w:rPr>
          <w:t>10其他要求</w:t>
        </w:r>
        <w:r>
          <w:tab/>
        </w:r>
        <w:r>
          <w:fldChar w:fldCharType="begin"/>
        </w:r>
        <w:r>
          <w:instrText xml:space="preserve"> PAGEREF _Toc256000039 \h </w:instrText>
        </w:r>
        <w:r>
          <w:fldChar w:fldCharType="separate"/>
        </w:r>
        <w:r>
          <w:t>34</w:t>
        </w:r>
        <w:r>
          <w:fldChar w:fldCharType="end"/>
        </w:r>
      </w:hyperlink>
    </w:p>
    <w:p>
      <w:pPr>
        <w:pStyle w:val="TOC2"/>
        <w:tabs>
          <w:tab w:val="right" w:leader="dot" w:pos="9350"/>
        </w:tabs>
        <w:spacing w:before="0" w:after="0" w:line="360" w:lineRule="auto"/>
        <w:rPr>
          <w:rFonts w:ascii="Calibri" w:hAnsi="Calibri"/>
          <w:sz w:val="22"/>
        </w:rPr>
      </w:pPr>
      <w:hyperlink w:anchor="_Toc256000040" w:history="1">
        <w:r>
          <w:rPr>
            <w:rStyle w:val="Hyperlink0"/>
            <w:rFonts w:ascii="仿宋_GB2312" w:eastAsia="仿宋_GB2312" w:hAnsi="仿宋_GB2312" w:cs="仿宋_GB2312"/>
          </w:rPr>
          <w:t>10.1必备要求</w:t>
        </w:r>
        <w:r>
          <w:tab/>
        </w:r>
        <w:r>
          <w:fldChar w:fldCharType="begin"/>
        </w:r>
        <w:r>
          <w:instrText xml:space="preserve"> PAGEREF _Toc256000040 \h </w:instrText>
        </w:r>
        <w:r>
          <w:fldChar w:fldCharType="separate"/>
        </w:r>
        <w:r>
          <w:t>34</w:t>
        </w:r>
        <w:r>
          <w:fldChar w:fldCharType="end"/>
        </w:r>
      </w:hyperlink>
    </w:p>
    <w:p>
      <w:pPr>
        <w:pStyle w:val="TOC3"/>
        <w:tabs>
          <w:tab w:val="right" w:leader="dot" w:pos="9350"/>
        </w:tabs>
        <w:spacing w:before="0" w:after="0" w:line="360" w:lineRule="auto"/>
        <w:rPr>
          <w:rFonts w:ascii="Calibri" w:hAnsi="Calibri"/>
          <w:sz w:val="22"/>
        </w:rPr>
      </w:pPr>
      <w:hyperlink w:anchor="_Toc256000041" w:history="1">
        <w:r>
          <w:rPr>
            <w:rStyle w:val="Hyperlink0"/>
            <w:rFonts w:ascii="仿宋_GB2312" w:eastAsia="仿宋_GB2312" w:hAnsi="仿宋_GB2312" w:cs="仿宋_GB2312"/>
          </w:rPr>
          <w:t>10.1.1★税收信息化项目开发和应用管理工作要求</w:t>
        </w:r>
        <w:r>
          <w:tab/>
        </w:r>
        <w:r>
          <w:fldChar w:fldCharType="begin"/>
        </w:r>
        <w:r>
          <w:instrText xml:space="preserve"> PAGEREF _Toc256000041 \h </w:instrText>
        </w:r>
        <w:r>
          <w:fldChar w:fldCharType="separate"/>
        </w:r>
        <w:r>
          <w:t>34</w:t>
        </w:r>
        <w:r>
          <w:fldChar w:fldCharType="end"/>
        </w:r>
      </w:hyperlink>
    </w:p>
    <w:p>
      <w:pPr>
        <w:pStyle w:val="TOC3"/>
        <w:tabs>
          <w:tab w:val="right" w:leader="dot" w:pos="9350"/>
        </w:tabs>
        <w:spacing w:before="0" w:after="0" w:line="360" w:lineRule="auto"/>
        <w:rPr>
          <w:rFonts w:ascii="Calibri" w:hAnsi="Calibri"/>
          <w:sz w:val="22"/>
        </w:rPr>
      </w:pPr>
      <w:hyperlink w:anchor="_Toc256000042" w:history="1">
        <w:r>
          <w:rPr>
            <w:rStyle w:val="Hyperlink0"/>
            <w:rFonts w:ascii="仿宋_GB2312" w:eastAsia="仿宋_GB2312" w:hAnsi="仿宋_GB2312" w:cs="仿宋_GB2312"/>
          </w:rPr>
          <w:t>10.1.2★供应链安全管理要求</w:t>
        </w:r>
        <w:r>
          <w:tab/>
        </w:r>
        <w:r>
          <w:fldChar w:fldCharType="begin"/>
        </w:r>
        <w:r>
          <w:instrText xml:space="preserve"> PAGEREF _Toc256000042 \h </w:instrText>
        </w:r>
        <w:r>
          <w:fldChar w:fldCharType="separate"/>
        </w:r>
        <w:r>
          <w:t>39</w:t>
        </w:r>
        <w:r>
          <w:fldChar w:fldCharType="end"/>
        </w:r>
      </w:hyperlink>
    </w:p>
    <w:p>
      <w:pPr>
        <w:pStyle w:val="TOC3"/>
        <w:tabs>
          <w:tab w:val="right" w:leader="dot" w:pos="9350"/>
        </w:tabs>
        <w:spacing w:before="0" w:after="0" w:line="360" w:lineRule="auto"/>
        <w:rPr>
          <w:rFonts w:ascii="Calibri" w:hAnsi="Calibri"/>
          <w:sz w:val="22"/>
        </w:rPr>
      </w:pPr>
      <w:hyperlink w:anchor="_Toc256000043" w:history="1">
        <w:r>
          <w:rPr>
            <w:rStyle w:val="Hyperlink0"/>
            <w:rFonts w:ascii="仿宋_GB2312" w:eastAsia="仿宋_GB2312" w:hAnsi="仿宋_GB2312" w:cs="仿宋_GB2312"/>
          </w:rPr>
          <w:t>10.1.3★信息化服务运维人员要求</w:t>
        </w:r>
        <w:r>
          <w:tab/>
        </w:r>
        <w:r>
          <w:fldChar w:fldCharType="begin"/>
        </w:r>
        <w:r>
          <w:instrText xml:space="preserve"> PAGEREF _Toc256000043 \h </w:instrText>
        </w:r>
        <w:r>
          <w:fldChar w:fldCharType="separate"/>
        </w:r>
        <w:r>
          <w:t>40</w:t>
        </w:r>
        <w:r>
          <w:fldChar w:fldCharType="end"/>
        </w:r>
      </w:hyperlink>
    </w:p>
    <w:p>
      <w:pPr>
        <w:pStyle w:val="TOC3"/>
        <w:tabs>
          <w:tab w:val="right" w:leader="dot" w:pos="9350"/>
        </w:tabs>
        <w:spacing w:before="0" w:after="0" w:line="360" w:lineRule="auto"/>
        <w:rPr>
          <w:rFonts w:ascii="Calibri" w:hAnsi="Calibri"/>
          <w:sz w:val="22"/>
        </w:rPr>
      </w:pPr>
      <w:hyperlink w:anchor="_Toc256000044" w:history="1">
        <w:r>
          <w:rPr>
            <w:rStyle w:val="Hyperlink0"/>
            <w:rFonts w:ascii="仿宋_GB2312" w:eastAsia="仿宋_GB2312" w:hAnsi="仿宋_GB2312" w:cs="仿宋_GB2312"/>
          </w:rPr>
          <w:t>10.1.4其他</w:t>
        </w:r>
        <w:r>
          <w:tab/>
        </w:r>
        <w:r>
          <w:fldChar w:fldCharType="begin"/>
        </w:r>
        <w:r>
          <w:instrText xml:space="preserve"> PAGEREF _Toc256000044 \h </w:instrText>
        </w:r>
        <w:r>
          <w:fldChar w:fldCharType="separate"/>
        </w:r>
        <w:r>
          <w:t>40</w:t>
        </w:r>
        <w:r>
          <w:fldChar w:fldCharType="end"/>
        </w:r>
      </w:hyperlink>
    </w:p>
    <w:p>
      <w:pPr>
        <w:pStyle w:val="TOC2"/>
        <w:tabs>
          <w:tab w:val="right" w:leader="dot" w:pos="9350"/>
        </w:tabs>
        <w:spacing w:before="0" w:after="0" w:line="360" w:lineRule="auto"/>
        <w:rPr>
          <w:rFonts w:ascii="Calibri" w:hAnsi="Calibri"/>
          <w:sz w:val="22"/>
        </w:rPr>
      </w:pPr>
      <w:hyperlink w:anchor="_Toc256000045" w:history="1">
        <w:r>
          <w:rPr>
            <w:rStyle w:val="Hyperlink0"/>
            <w:rFonts w:ascii="仿宋_GB2312" w:eastAsia="仿宋_GB2312" w:hAnsi="仿宋_GB2312" w:cs="仿宋_GB2312"/>
          </w:rPr>
          <w:t>10.2知识产权要求</w:t>
        </w:r>
        <w:r>
          <w:tab/>
        </w:r>
        <w:r>
          <w:fldChar w:fldCharType="begin"/>
        </w:r>
        <w:r>
          <w:instrText xml:space="preserve"> PAGEREF _Toc256000045 \h </w:instrText>
        </w:r>
        <w:r>
          <w:fldChar w:fldCharType="separate"/>
        </w:r>
        <w:r>
          <w:t>40</w:t>
        </w:r>
        <w:r>
          <w:fldChar w:fldCharType="end"/>
        </w:r>
      </w:hyperlink>
    </w:p>
    <w:p>
      <w:pPr>
        <w:pStyle w:val="TOC2"/>
        <w:tabs>
          <w:tab w:val="right" w:leader="dot" w:pos="9350"/>
        </w:tabs>
        <w:spacing w:before="0" w:after="0" w:line="360" w:lineRule="auto"/>
        <w:rPr>
          <w:rFonts w:ascii="Calibri" w:hAnsi="Calibri"/>
          <w:sz w:val="22"/>
        </w:rPr>
      </w:pPr>
      <w:hyperlink w:anchor="_Toc256000046" w:history="1">
        <w:r>
          <w:rPr>
            <w:rStyle w:val="Hyperlink0"/>
            <w:rFonts w:ascii="仿宋_GB2312" w:eastAsia="仿宋_GB2312" w:hAnsi="仿宋_GB2312" w:cs="仿宋_GB2312"/>
          </w:rPr>
          <w:t>10.3付款安排建议</w:t>
        </w:r>
        <w:r>
          <w:tab/>
        </w:r>
        <w:r>
          <w:fldChar w:fldCharType="begin"/>
        </w:r>
        <w:r>
          <w:instrText xml:space="preserve"> PAGEREF _Toc256000046 \h </w:instrText>
        </w:r>
        <w:r>
          <w:fldChar w:fldCharType="separate"/>
        </w:r>
        <w:r>
          <w:t>41</w:t>
        </w:r>
        <w:r>
          <w:fldChar w:fldCharType="end"/>
        </w:r>
      </w:hyperlink>
    </w:p>
    <w:p>
      <w:pPr>
        <w:pStyle w:val="TOC2"/>
        <w:tabs>
          <w:tab w:val="right" w:leader="dot" w:pos="9350"/>
        </w:tabs>
        <w:spacing w:before="0" w:after="0" w:line="360" w:lineRule="auto"/>
        <w:rPr>
          <w:rFonts w:ascii="Calibri" w:hAnsi="Calibri"/>
          <w:sz w:val="22"/>
        </w:rPr>
      </w:pPr>
      <w:hyperlink w:anchor="_Toc256000047" w:history="1">
        <w:r>
          <w:rPr>
            <w:rStyle w:val="Hyperlink0"/>
            <w:rFonts w:ascii="仿宋_GB2312" w:eastAsia="仿宋_GB2312" w:hAnsi="仿宋_GB2312" w:cs="仿宋_GB2312"/>
          </w:rPr>
          <w:t>10.4其它</w:t>
        </w:r>
        <w:r>
          <w:tab/>
        </w:r>
        <w:r>
          <w:fldChar w:fldCharType="begin"/>
        </w:r>
        <w:r>
          <w:instrText xml:space="preserve"> PAGEREF _Toc256000047 \h </w:instrText>
        </w:r>
        <w:r>
          <w:fldChar w:fldCharType="separate"/>
        </w:r>
        <w:r>
          <w:t>41</w:t>
        </w:r>
        <w:r>
          <w:fldChar w:fldCharType="end"/>
        </w:r>
      </w:hyperlink>
    </w:p>
    <w:p>
      <w:pPr>
        <w:pStyle w:val="Normal0"/>
        <w:spacing w:before="0" w:after="0" w:line="360" w:lineRule="auto"/>
        <w:jc w:val="left"/>
      </w:pPr>
      <w:r>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按照网络安全法和数据安全法等法律法规要求，为提升税务系统网络安全建设水平，保障业务专网区和外联网区数据安全交互，根据税务总局相关工作要求，需在业务专网区和外联网区增加配套的交换机和服务器等设备，以实现业务专网区和外联网区的数据安全交互。</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在业务专网区和外联网区增加配套的交换机和服务器等设备，以实现业务专网区和外联网区的数据安全交互。</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采购设备包括：服务器6台、万兆交换机4台。</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在业务专网区和外联网区增加配套的交换机和服务器设备，包括：服务器6台、万兆交换机4台，售后及质量保障服务要求：自验收通过之日起3年。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rPr>
          <w:rFonts w:ascii="Calibri" w:eastAsia="Calibri" w:hAnsi="Calibri" w:cs="Calibri"/>
          <w:sz w:val="32"/>
          <w:szCs w:val="32"/>
        </w:rPr>
      </w:pPr>
      <w:r>
        <w:rPr>
          <w:rFonts w:ascii="FangSong_GB2312" w:eastAsia="FangSong_GB2312" w:hAnsi="FangSong_GB2312" w:cs="FangSong_GB2312"/>
          <w:sz w:val="28"/>
          <w:szCs w:val="28"/>
        </w:rPr>
        <w:t>到货期限：自合同签订之日起15天到达吉林省税务局指定地点，并保证所有货物全部符合质量标准</w:t>
      </w:r>
      <w:r>
        <w:rPr>
          <w:rFonts w:ascii="FangSong_GB2312" w:eastAsia="FangSong_GB2312" w:hAnsi="FangSong_GB2312" w:cs="FangSong_GB2312"/>
          <w:color w:val="000000"/>
          <w:sz w:val="28"/>
          <w:szCs w:val="28"/>
        </w:rPr>
        <w:t>和要求。货物经验收合格后，15天内完成部署上线，并保证所有设备稳定运行。</w:t>
      </w:r>
    </w:p>
    <w:p>
      <w:pPr>
        <w:pStyle w:val="MsoNormal"/>
        <w:spacing w:before="0" w:after="0" w:line="360" w:lineRule="auto"/>
        <w:ind w:left="0" w:right="0"/>
        <w:jc w:val="both"/>
        <w:rPr>
          <w:rFonts w:ascii="Calibri" w:eastAsia="Calibri" w:hAnsi="Calibri" w:cs="Calibri"/>
          <w:sz w:val="32"/>
          <w:szCs w:val="32"/>
        </w:rPr>
      </w:pPr>
      <w:r>
        <w:rPr>
          <w:rFonts w:ascii="FangSong_GB2312" w:eastAsia="FangSong_GB2312" w:hAnsi="FangSong_GB2312" w:cs="FangSong_GB2312"/>
          <w:sz w:val="28"/>
          <w:szCs w:val="28"/>
        </w:rPr>
        <w:t>质量保障服务期限：自验收通过之日起三年。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国家税务总局吉林省税务局</w:t>
      </w:r>
    </w:p>
    <w:p>
      <w:pPr>
        <w:pStyle w:val="Heading3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sz w:val="28"/>
          <w:szCs w:val="28"/>
        </w:rPr>
        <w:t>1.2.4系统情况</w:t>
      </w:r>
      <w:bookmarkEnd w:id="11"/>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1.2.4.1现有软件系统的主要功能</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实现业务专网区和外联网区的数据安全交互。</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1.2.4.2业务和技术体系架构及部署</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保障业务专网区和外联网区数据安全交互。</w:t>
      </w:r>
    </w:p>
    <w:p>
      <w:pPr>
        <w:pStyle w:val="Heading2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i w:val="0"/>
          <w:iCs w:val="0"/>
        </w:rPr>
        <w:t>1.3其他要求</w:t>
      </w:r>
      <w:bookmarkEnd w:id="12"/>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1.3.1采购标的需执行的相关标准规范</w:t>
      </w:r>
      <w:bookmarkEnd w:id="13"/>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按照网络安全法和数据安全法等法律法规要求，为提升税务系统网络安全建设水平。</w:t>
      </w:r>
    </w:p>
    <w:p>
      <w:pPr>
        <w:pStyle w:val="Heading10"/>
        <w:keepNext w:val="0"/>
        <w:spacing w:before="0" w:after="0" w:line="360" w:lineRule="auto"/>
        <w:jc w:val="center"/>
        <w:rPr>
          <w:rFonts w:ascii="仿宋_GB2312" w:eastAsia="仿宋_GB2312" w:hAnsi="仿宋_GB2312" w:cs="仿宋_GB2312"/>
          <w:b/>
          <w:bCs/>
          <w:sz w:val="32"/>
          <w:szCs w:val="32"/>
        </w:rPr>
      </w:pPr>
      <w:bookmarkStart w:id="14" w:name="_Toc256000010"/>
      <w:r>
        <w:rPr>
          <w:rFonts w:ascii="仿宋_GB2312" w:eastAsia="仿宋_GB2312" w:hAnsi="仿宋_GB2312" w:cs="仿宋_GB2312"/>
          <w:kern w:val="36"/>
        </w:rPr>
        <w:t>2投标/响应要求</w:t>
      </w:r>
      <w:bookmarkEnd w:id="14"/>
    </w:p>
    <w:p>
      <w:pPr>
        <w:pStyle w:val="Heading2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i w:val="0"/>
          <w:iCs w:val="0"/>
        </w:rPr>
        <w:t>2.1对供应商的要求</w:t>
      </w:r>
      <w:bookmarkEnd w:id="15"/>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2.1.1必备资质</w:t>
      </w:r>
      <w:bookmarkEnd w:id="1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FangSong_GB2312" w:eastAsia="FangSong_GB2312" w:hAnsi="FangSong_GB2312" w:cs="FangSong_GB2312"/>
          <w:color w:val="95A5A6"/>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2.1.2优选资质/优选指标</w:t>
      </w:r>
      <w:bookmarkEnd w:id="17"/>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296"/>
        <w:gridCol w:w="2591"/>
        <w:gridCol w:w="2591"/>
        <w:gridCol w:w="2592"/>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bookmarkStart w:id="18" w:name="_GoBack"/>
            <w:bookmarkEnd w:id="18"/>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hint="eastAsia"/>
                <w:b w:val="0"/>
                <w:bCs w:val="0"/>
                <w:i w:val="0"/>
                <w:iCs w:val="0"/>
                <w:smallCaps w:val="0"/>
                <w:color w:val="000000"/>
                <w:sz w:val="21"/>
                <w:szCs w:val="21"/>
                <w:lang w:val="en" w:eastAsia="zh-CN"/>
              </w:rPr>
            </w:pPr>
            <w:r>
              <w:rPr>
                <w:rFonts w:ascii="仿宋_GB2312" w:eastAsia="仿宋_GB2312" w:hAnsi="仿宋_GB2312" w:cs="仿宋_GB2312" w:hint="eastAsia"/>
                <w:b w:val="0"/>
                <w:bCs w:val="0"/>
                <w:i w:val="0"/>
                <w:iCs w:val="0"/>
                <w:smallCaps w:val="0"/>
                <w:color w:val="000000"/>
                <w:sz w:val="21"/>
                <w:szCs w:val="21"/>
                <w:lang w:val="en" w:eastAsia="zh-CN"/>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w:t>
            </w:r>
            <w:r>
              <w:rPr>
                <w:rFonts w:ascii="仿宋_GB2312" w:eastAsia="仿宋_GB2312" w:hAnsi="仿宋_GB2312" w:cs="仿宋_GB2312" w:hint="default"/>
                <w:b w:val="0"/>
                <w:bCs w:val="0"/>
                <w:i w:val="0"/>
                <w:iCs w:val="0"/>
                <w:smallCaps w:val="0"/>
                <w:color w:val="000000"/>
                <w:sz w:val="21"/>
                <w:szCs w:val="21"/>
                <w:lang w:val="en"/>
              </w:rPr>
              <w:t>:</w:t>
            </w:r>
            <w:r>
              <w:rPr>
                <w:rFonts w:ascii="仿宋_GB2312" w:eastAsia="仿宋_GB2312" w:hAnsi="仿宋_GB2312" w:cs="仿宋_GB2312"/>
                <w:b w:val="0"/>
                <w:bCs w:val="0"/>
                <w:i w:val="0"/>
                <w:iCs w:val="0"/>
                <w:smallCaps w:val="0"/>
                <w:color w:val="000000"/>
                <w:sz w:val="21"/>
                <w:szCs w:val="21"/>
              </w:rPr>
              <w:t>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hint="eastAsia"/>
                <w:b w:val="0"/>
                <w:bCs w:val="0"/>
                <w:i w:val="0"/>
                <w:iCs w:val="0"/>
                <w:smallCaps w:val="0"/>
                <w:color w:val="000000"/>
                <w:sz w:val="21"/>
                <w:szCs w:val="21"/>
                <w:lang w:val="en" w:eastAsia="zh-CN"/>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w:t>
            </w:r>
            <w:r>
              <w:rPr>
                <w:rFonts w:ascii="仿宋_GB2312" w:eastAsia="仿宋_GB2312" w:hAnsi="仿宋_GB2312" w:cs="仿宋_GB2312" w:hint="default"/>
                <w:b w:val="0"/>
                <w:bCs w:val="0"/>
                <w:i w:val="0"/>
                <w:iCs w:val="0"/>
                <w:smallCaps w:val="0"/>
                <w:color w:val="000000"/>
                <w:sz w:val="21"/>
                <w:szCs w:val="21"/>
                <w:lang w:val="en"/>
              </w:rPr>
              <w:t>:</w:t>
            </w:r>
            <w:r>
              <w:rPr>
                <w:rFonts w:ascii="仿宋_GB2312" w:eastAsia="仿宋_GB2312" w:hAnsi="仿宋_GB2312" w:cs="仿宋_GB2312"/>
                <w:b w:val="0"/>
                <w:bCs w:val="0"/>
                <w:i w:val="0"/>
                <w:iCs w:val="0"/>
                <w:smallCaps w:val="0"/>
                <w:color w:val="000000"/>
                <w:sz w:val="21"/>
                <w:szCs w:val="21"/>
              </w:rPr>
              <w:t>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hint="eastAsia"/>
                <w:b w:val="0"/>
                <w:bCs w:val="0"/>
                <w:i w:val="0"/>
                <w:iCs w:val="0"/>
                <w:smallCaps w:val="0"/>
                <w:color w:val="000000"/>
                <w:sz w:val="21"/>
                <w:szCs w:val="21"/>
                <w:lang w:val="en" w:eastAsia="zh-CN"/>
              </w:rPr>
              <w:t>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提供2022年1月1日以来（以合同签订日期为准）独立承担类似项目成功案例。</w:t>
      </w:r>
    </w:p>
    <w:p>
      <w:pPr>
        <w:pStyle w:val="Heading30"/>
        <w:keepNext w:val="0"/>
        <w:spacing w:before="0" w:after="0" w:line="360" w:lineRule="auto"/>
        <w:rPr>
          <w:rFonts w:ascii="仿宋_GB2312" w:eastAsia="仿宋_GB2312" w:hAnsi="仿宋_GB2312" w:cs="仿宋_GB2312"/>
          <w:b/>
          <w:bCs/>
          <w:sz w:val="28"/>
          <w:szCs w:val="28"/>
        </w:rPr>
      </w:pPr>
      <w:bookmarkStart w:id="19" w:name="_Toc256000014"/>
      <w:r>
        <w:rPr>
          <w:rFonts w:ascii="仿宋_GB2312" w:eastAsia="仿宋_GB2312" w:hAnsi="仿宋_GB2312" w:cs="仿宋_GB2312"/>
          <w:sz w:val="28"/>
          <w:szCs w:val="28"/>
        </w:rPr>
        <w:t>2.1.3是否允许联合体</w:t>
      </w:r>
      <w:bookmarkEnd w:id="1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20" w:name="_Toc256000015"/>
      <w:r>
        <w:rPr>
          <w:rFonts w:ascii="仿宋_GB2312" w:eastAsia="仿宋_GB2312" w:hAnsi="仿宋_GB2312" w:cs="仿宋_GB2312"/>
          <w:sz w:val="28"/>
          <w:szCs w:val="28"/>
        </w:rPr>
        <w:t>2.1.4是否专门面向中小企业</w:t>
      </w:r>
      <w:bookmarkEnd w:id="20"/>
    </w:p>
    <w:p>
      <w:pPr>
        <w:pStyle w:val="Normal0"/>
        <w:spacing w:before="0" w:after="0" w:line="360" w:lineRule="auto"/>
        <w:ind w:firstLine="561"/>
        <w:rPr>
          <w:rFonts w:ascii="仿宋_GB2312" w:eastAsia="仿宋_GB2312" w:hAnsi="仿宋_GB2312" w:cs="仿宋_GB2312" w:hint="eastAsia"/>
          <w:sz w:val="28"/>
          <w:szCs w:val="28"/>
          <w:lang w:eastAsia="zh-CN"/>
        </w:rPr>
      </w:pPr>
      <w:r>
        <w:rPr>
          <w:rFonts w:ascii="仿宋_GB2312" w:eastAsia="仿宋_GB2312" w:hAnsi="仿宋_GB2312" w:cs="仿宋_GB2312"/>
          <w:sz w:val="28"/>
          <w:szCs w:val="28"/>
        </w:rPr>
        <w:t>本项目不专门面向中小企业采购项目</w:t>
      </w:r>
      <w:r>
        <w:rPr>
          <w:rFonts w:ascii="仿宋_GB2312" w:eastAsia="仿宋_GB2312" w:hAnsi="仿宋_GB2312" w:cs="仿宋_GB2312" w:hint="eastAsia"/>
          <w:sz w:val="28"/>
          <w:szCs w:val="28"/>
          <w:lang w:eastAsia="zh-CN"/>
        </w:rPr>
        <w:t>，对小型和微型企业的投标价格给予15 %的扣除，用扣除后的价格参与评审。</w:t>
      </w:r>
    </w:p>
    <w:p>
      <w:pPr>
        <w:pStyle w:val="Heading30"/>
        <w:keepNext w:val="0"/>
        <w:spacing w:before="0" w:after="0" w:line="360" w:lineRule="auto"/>
        <w:rPr>
          <w:rFonts w:ascii="仿宋_GB2312" w:eastAsia="仿宋_GB2312" w:hAnsi="仿宋_GB2312" w:cs="仿宋_GB2312"/>
          <w:b/>
          <w:bCs/>
          <w:sz w:val="28"/>
          <w:szCs w:val="28"/>
        </w:rPr>
      </w:pPr>
      <w:bookmarkStart w:id="21" w:name="_Toc256000016"/>
      <w:r>
        <w:rPr>
          <w:rFonts w:ascii="仿宋_GB2312" w:eastAsia="仿宋_GB2312" w:hAnsi="仿宋_GB2312" w:cs="仿宋_GB2312"/>
          <w:sz w:val="28"/>
          <w:szCs w:val="28"/>
        </w:rPr>
        <w:t>2.1.5其他要求</w:t>
      </w:r>
      <w:bookmarkEnd w:id="21"/>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20"/>
        <w:keepNext w:val="0"/>
        <w:spacing w:before="0" w:after="0" w:line="360" w:lineRule="auto"/>
        <w:rPr>
          <w:rFonts w:ascii="仿宋_GB2312" w:eastAsia="仿宋_GB2312" w:hAnsi="仿宋_GB2312" w:cs="仿宋_GB2312"/>
          <w:b/>
          <w:bCs/>
          <w:sz w:val="28"/>
          <w:szCs w:val="28"/>
        </w:rPr>
      </w:pPr>
      <w:bookmarkStart w:id="22" w:name="_Toc256000017"/>
      <w:r>
        <w:rPr>
          <w:rFonts w:ascii="仿宋_GB2312" w:eastAsia="仿宋_GB2312" w:hAnsi="仿宋_GB2312" w:cs="仿宋_GB2312"/>
          <w:i w:val="0"/>
          <w:iCs w:val="0"/>
        </w:rPr>
        <w:t>2.2技术部分投标/响应内容</w:t>
      </w:r>
      <w:bookmarkEnd w:id="22"/>
    </w:p>
    <w:p>
      <w:pPr>
        <w:pStyle w:val="Heading30"/>
        <w:keepNext w:val="0"/>
        <w:spacing w:before="0" w:after="0" w:line="360" w:lineRule="auto"/>
        <w:rPr>
          <w:rFonts w:ascii="仿宋_GB2312" w:eastAsia="仿宋_GB2312" w:hAnsi="仿宋_GB2312" w:cs="仿宋_GB2312"/>
          <w:b/>
          <w:bCs/>
          <w:sz w:val="28"/>
          <w:szCs w:val="28"/>
        </w:rPr>
      </w:pPr>
      <w:bookmarkStart w:id="23" w:name="_Toc256000018"/>
      <w:r>
        <w:rPr>
          <w:rFonts w:ascii="仿宋_GB2312" w:eastAsia="仿宋_GB2312" w:hAnsi="仿宋_GB2312" w:cs="仿宋_GB2312"/>
          <w:sz w:val="28"/>
          <w:szCs w:val="28"/>
        </w:rPr>
        <w:t>2.2.1技术投标/响应总要求</w:t>
      </w:r>
      <w:bookmarkEnd w:id="23"/>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（1）需提供法人或者其他组织的营业执照等证明文件（复印件）。</w:t>
      </w:r>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（2）需提供2024年度经会计师事务所审计的财务报告，包括资产负债表、利润表(损益表、收益表)、现金流量表。</w:t>
      </w:r>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（3）需提供近6个月内已缴存的至少两个月的纳税证明或完税证明的相关材料，如依法免税或不需要纳税的，则应提供相应文件证明（复印件）。</w:t>
      </w:r>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（4）需提供近6个月内已缴存的至少两个月的社会保障资金缴存单据或社保机构开具的社会保险参保缴费情况证明的相关材料，如依法不需要缴纳社会保障资金的，则应提供相应文件证明（复印件）。</w:t>
      </w:r>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（5）</w:t>
      </w:r>
      <w:r>
        <w:rPr>
          <w:rFonts w:ascii="仿宋_GB2312" w:eastAsia="仿宋_GB2312" w:hAnsi="仿宋_GB2312" w:cs="仿宋_GB2312"/>
          <w:spacing w:val="-12"/>
          <w:sz w:val="32"/>
          <w:szCs w:val="32"/>
        </w:rPr>
        <w:t>企业信用良好。三年内未被列入严重违法失信行为记录名单。</w:t>
      </w:r>
    </w:p>
    <w:p>
      <w:pPr>
        <w:pStyle w:val="MsoNormal"/>
        <w:spacing w:before="0" w:after="0" w:line="360" w:lineRule="auto"/>
        <w:ind w:left="0" w:right="0" w:firstLine="640"/>
        <w:rPr>
          <w:rFonts w:ascii="Calibri" w:eastAsia="Calibri" w:hAnsi="Calibri" w:cs="Calibri"/>
          <w:sz w:val="32"/>
          <w:szCs w:val="32"/>
        </w:rPr>
      </w:pPr>
      <w:r>
        <w:rPr>
          <w:rFonts w:ascii="仿宋_GB2312" w:eastAsia="仿宋_GB2312" w:hAnsi="仿宋_GB2312" w:cs="仿宋_GB2312"/>
          <w:sz w:val="32"/>
          <w:szCs w:val="32"/>
        </w:rPr>
        <w:t>（6）符合政府采购法第二十二条规定。</w:t>
      </w:r>
    </w:p>
    <w:p>
      <w:pPr>
        <w:pStyle w:val="Heading30"/>
        <w:keepNext w:val="0"/>
        <w:spacing w:before="0" w:after="0" w:line="360" w:lineRule="auto"/>
        <w:rPr>
          <w:rFonts w:ascii="仿宋_GB2312" w:eastAsia="仿宋_GB2312" w:hAnsi="仿宋_GB2312" w:cs="仿宋_GB2312"/>
          <w:b/>
          <w:bCs/>
          <w:sz w:val="28"/>
          <w:szCs w:val="28"/>
        </w:rPr>
      </w:pPr>
      <w:bookmarkStart w:id="24" w:name="_Toc256000019"/>
      <w:r>
        <w:rPr>
          <w:rFonts w:ascii="仿宋_GB2312" w:eastAsia="仿宋_GB2312" w:hAnsi="仿宋_GB2312" w:cs="仿宋_GB2312"/>
          <w:sz w:val="28"/>
          <w:szCs w:val="28"/>
        </w:rPr>
        <w:t>2.2.2投标/响应方案要求</w:t>
      </w:r>
      <w:bookmarkEnd w:id="2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32"/>
          <w:szCs w:val="32"/>
        </w:rPr>
        <w:t>投标人根据项目特点和采购需求，制定和提供完整、详细、可操作性强的管理实施方案、应急处置方案</w:t>
      </w:r>
      <w:r>
        <w:rPr>
          <w:rFonts w:ascii="仿宋_GB2312" w:eastAsia="仿宋_GB2312" w:hAnsi="仿宋_GB2312" w:cs="仿宋_GB2312"/>
          <w:sz w:val="32"/>
          <w:szCs w:val="32"/>
        </w:rPr>
        <w:t>、保密方案、验收方案、售后服务方案。</w:t>
      </w:r>
    </w:p>
    <w:p>
      <w:pPr>
        <w:pStyle w:val="Heading10"/>
        <w:keepNext w:val="0"/>
        <w:spacing w:before="0" w:after="0" w:line="360" w:lineRule="auto"/>
        <w:jc w:val="center"/>
        <w:rPr>
          <w:rFonts w:ascii="仿宋_GB2312" w:eastAsia="仿宋_GB2312" w:hAnsi="仿宋_GB2312" w:cs="仿宋_GB2312"/>
          <w:b/>
          <w:bCs/>
          <w:sz w:val="32"/>
          <w:szCs w:val="32"/>
        </w:rPr>
      </w:pPr>
      <w:bookmarkStart w:id="25" w:name="_Toc256000020"/>
      <w:r>
        <w:rPr>
          <w:rFonts w:ascii="仿宋_GB2312" w:eastAsia="仿宋_GB2312" w:hAnsi="仿宋_GB2312" w:cs="仿宋_GB2312"/>
          <w:kern w:val="36"/>
        </w:rPr>
        <w:t>3项目需求</w:t>
      </w:r>
      <w:bookmarkEnd w:id="25"/>
    </w:p>
    <w:p>
      <w:pPr>
        <w:pStyle w:val="Heading20"/>
        <w:keepNext w:val="0"/>
        <w:spacing w:before="0" w:after="0" w:line="360" w:lineRule="auto"/>
        <w:rPr>
          <w:rFonts w:ascii="仿宋_GB2312" w:eastAsia="仿宋_GB2312" w:hAnsi="仿宋_GB2312" w:cs="仿宋_GB2312"/>
          <w:b/>
          <w:bCs/>
          <w:sz w:val="28"/>
          <w:szCs w:val="28"/>
        </w:rPr>
      </w:pPr>
      <w:bookmarkStart w:id="26" w:name="_Toc256000021"/>
      <w:r>
        <w:rPr>
          <w:rFonts w:ascii="仿宋_GB2312" w:eastAsia="仿宋_GB2312" w:hAnsi="仿宋_GB2312" w:cs="仿宋_GB2312"/>
          <w:i w:val="0"/>
          <w:iCs w:val="0"/>
        </w:rPr>
        <w:t>3.1总体要求</w:t>
      </w:r>
      <w:bookmarkEnd w:id="26"/>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服务器6台、万兆交换机4台。</w:t>
      </w:r>
    </w:p>
    <w:p>
      <w:pPr>
        <w:pStyle w:val="Heading20"/>
        <w:keepNext w:val="0"/>
        <w:spacing w:before="0" w:after="0" w:line="360" w:lineRule="auto"/>
        <w:rPr>
          <w:rFonts w:ascii="仿宋_GB2312" w:eastAsia="仿宋_GB2312" w:hAnsi="仿宋_GB2312" w:cs="仿宋_GB2312"/>
          <w:b/>
          <w:bCs/>
          <w:sz w:val="28"/>
          <w:szCs w:val="28"/>
        </w:rPr>
      </w:pPr>
      <w:bookmarkStart w:id="27" w:name="_Toc256000022"/>
      <w:r>
        <w:rPr>
          <w:rFonts w:ascii="仿宋_GB2312" w:eastAsia="仿宋_GB2312" w:hAnsi="仿宋_GB2312" w:cs="仿宋_GB2312"/>
          <w:i w:val="0"/>
          <w:iCs w:val="0"/>
        </w:rPr>
        <w:t>3.2服务内容和要求</w:t>
      </w:r>
      <w:bookmarkEnd w:id="2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8" w:name="_Toc256000023"/>
      <w:r>
        <w:rPr>
          <w:rFonts w:ascii="仿宋_GB2312" w:eastAsia="仿宋_GB2312" w:hAnsi="仿宋_GB2312" w:cs="仿宋_GB2312"/>
          <w:sz w:val="28"/>
          <w:szCs w:val="28"/>
        </w:rPr>
        <w:t>3.2.1技术和服务客观指标</w:t>
      </w:r>
      <w:bookmarkEnd w:id="28"/>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3.2.1.1服务器</w:t>
      </w:r>
    </w:p>
    <w:tbl>
      <w:tblPr>
        <w:tblStyle w:val="TableNormal"/>
        <w:tblW w:w="5000" w:type="pct"/>
        <w:tblInd w:w="30" w:type="dxa"/>
        <w:tblCellMar>
          <w:top w:w="15" w:type="dxa"/>
          <w:left w:w="15" w:type="dxa"/>
          <w:bottom w:w="15" w:type="dxa"/>
          <w:right w:w="15" w:type="dxa"/>
        </w:tblCellMar>
      </w:tblPr>
      <w:tblGrid>
        <w:gridCol w:w="904"/>
        <w:gridCol w:w="1811"/>
        <w:gridCol w:w="1811"/>
        <w:gridCol w:w="1829"/>
        <w:gridCol w:w="1811"/>
        <w:gridCol w:w="90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产品规格-CPU规格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CPU信息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处理器≥16 核,主频 ≥2.5GHz,单CPU末级缓存容量≥32MB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主板支持的CPU和内存情况</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C86-3G架构，2颗CPU颗处理器，可扩展≥16个内存插槽；内存容量≥256GB DDR4，单根内存容量≥32G。</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主板内存槽数量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可扩展插槽数量应不少于4个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主板存储接口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 SATA等存储接口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PCIe 插槽接口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 PCIe3.0 或以上的高速串行计算机扩展总线标准，PCIe 的接口速率与位宽需保证向下兼容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主板PCIe 插槽数量及规格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服务器 PCIe 插槽或接口应不少于5个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特殊孔位及接口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a)服务器机箱内主板支持安装多功能导入装 置板卡，机箱内需预留多功能导入 装置板卡安装位置，容量不小于</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55mm×45mm×15mm（长×宽×高， 单位毫米）；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b)服务器主板预留满足 USB2.0 或 USB3.0 数 据传输规范的接口，工作电压 5V， 采用 USB2.0 时，最大过电流应不小 于 0.5A，采用 USB3.0 时，最大过电 流应不小于 1A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板载网络接口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支持板载网络接口应不少于 1 个 1GE 网口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产品规格-主板规格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主板OCP插槽数量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支持OCP2.0 及以上插槽的数量不少 于 1 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产品规格-内存规格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内存数量≥8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产品规格-内存规格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内存规格≥DDR4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产品规格-内存规格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内存通道</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支持多个内存接口通道，每个通道可支持 1DPC 或 2DPC，当支持 2DPC 时，印制电路板上应具备插槽的序号标识，具体通道数应在随机文件中明确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供应商给出服务器支持硬磁盘和固态盘类型及规格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硬磁盘实配容量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硬盘总体裸容量不小于32TB，单盘可用容量不少于600GB；</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固态盘SSD单盘可用容量不小于480GB，总体容量不小于3.84TB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a)若配备硬磁盘，应提供SATA 3.0 及以上接口；</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b)若配备固态盘，应提供SATA等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机械硬盘数量≥4块；</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固态盘SSD盘数量≥2块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硬盘插槽数量及规格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硬盘尺寸3.5 英寸硬磁盘；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服务器可支持的硬盘数量应不少于 4 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产品规格-存储规格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硬盘其他参数要求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a)机械硬盘准备时间应不大于30s； 侧面固定螺丝孔数量可为 4 孔或 6 孔；工作状态环境温度应满足 5℃</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55℃ , 其它参数应符合 GB/T 12628 的相关规定；</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b)固态盘符合 SJ/T 11654 相关规定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产品规格-RAID卡规格（若支持RAID卡）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RAID卡支持的SATA接口数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产品规格-SAS直通卡规格（若支持SAS直通卡）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SAS 直通 卡 SAS 接 口数量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产品规格-HBA卡规格(若支持HBA通卡)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HBA卡端口数量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产品规格-网络规格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网口速率和数量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配备网口数量不少于4个，网口速率1GE；</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配置网口数量不少于10个，网口速率10GE</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产品规格-网络规格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存储型服务器网口速率和数量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存储型服务器 1GE 网口数量不少于 2 个，10GE 以上网口数量不少于 2 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产品规格-网络规格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独立网卡网口数量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不配备独立网卡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产品规格-网络规格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独立网卡接口类型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不配备独立网卡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产品规格-网络规格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板载网卡接口类型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支持RJ45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产品规格-外部接口规格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显示接口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显示接口类型支持 VGA等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产品规格-外部接口规格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USB 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配备不少于4个USB接口，接口满足2.0及以上</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产品规格-外部接口规格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特殊接口及孔位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前面板预留 1 个专用USB 母座接口孔位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产品规格-外部接口规格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串口数量不少于 1 个，并可实现 GB/T 6107 或 GB/T 26803.2 的相关 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服务器主机前面板可根据用户 实际使用需求预留 1 个专用 USB 母 座接口孔位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产品规格-电源规格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电源冗余模式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整机电源模块按 1+1 冗余配置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产品规格-电源规格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电源模块数量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≥2个冗余电源模块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产品规格-电源规格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提供≥550w电源模块，满足处理器满载时的需求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产品规格-电源规格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电源指示灯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配备电源指示灯，指示待机、工作 异常等状态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外观和结构</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a)服务器的零部件应紧固无松动，可插拔部件应可靠连接，开关、按钮和其它控制部件应灵活可靠，布局应方便使用；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产品表面不应有明显的凹痕、划伤、裂缝、变形和污染等。表面涂层均匀，不应起泡、龟裂、脱落和磨损，金属零部件无锈蚀及其它机械损伤；</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产品表面说明功能的文字、符号和标志应清晰、端正且牢固；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应在服务器的显著位置提供运行状态的指示功能，并在随机文件中明确具体含义；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e) 机架、机箱的尺寸应符合通用机柜的安装要求，插入总线插座的电路板接口外形尺寸应符合有关总线标准的规定，将机箱固定在机柜上，机箱底面最大下垂变形不得干涉相邻机体；</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f) 2U机架式服务器;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g) 服务器尺寸具体要求在随机文件中明确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尺寸（高×宽×深）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２Ｕ机架式服务器，配置原厂导轨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服务器导轨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供应商给出导轨尺寸、安装方式等信息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CPU个数与机柜高度单位(U)比</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供应商给出CPU 个数与机柜高度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环境适应性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气候环境适应性应符合GB/T 9813.3 的有关规定，工作温度 10～35℃，贮存运输温度-40～55℃；工作相对湿度 35％～80％，贮存运输相对湿度 20％～93％（40℃）；大气压86～106kPa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特殊机型环境适应性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边缘应用服务器，工作环境温度宜 为 0～45℃ , 短期工作可承受环境温 度宜为-5～55℃ , 液冷服务器贮存 运输温度宜为-30～55℃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机械环境适应性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机械环境适应性应符合GB/T 9813.3 的有关规定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产品规格-整机规格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噪声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符合GB/T 9813.3 的有关规定，在产品说明中给出具体测试值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产品规格-AI计算单元规格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AI计算单元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不配备AI结算单元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产品规格-AI计算单元规格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一键式迁移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不配备AI结算单元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产品规格-机柜规格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机柜尺寸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２Ｕ机架式服务器，配置原厂导轨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产品规格-机柜规格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机柜管理板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不配备机柜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产品规格-机柜规格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机柜电源规格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不配备机柜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功能要求-主板功能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主板外部接口种类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支持USB、显示、管理等接口，如：VGA、USB3.0接口、BMC 管理端口等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功能要求-主板功能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主板防烧板设计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支持主板防烧板设计，保证电源故 障后不扩散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功能要求-主板功能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扩展功能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实现至少一种扩展功能，如存储功 能卡、显示功能卡、运算加速功能 卡及网络功能卡等扩展功能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功能要求-网络功能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支持网络连接、网络访问、数据交换和网络管控功能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功能要求-CPU功能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计算处理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支持通用计算及虚拟化功能。处理器需集成整型计算单元、浮点计算单元、内存控制器、I/O 模块等，处理器与存储部件、网络部件、I/O 部件等组成计算系统，提供数据处理、网络接入等计算相关功能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功能要求-CPU功能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密码算法实现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 芯片应符合GM/T 0008 的相关规定，或芯片密码模块应符合GB/T 37092 或 GM/T 0028 的相关规定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功能要求-存储功能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内存校验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支持内存校验或内存增强型纠错功能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功能要求-存储功能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SATA SSD NAND 健康状态上报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支持关键外部存储器（硬磁盘、SSD 等）的健康状态上报并进行故障诊 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功能要求-存储功能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SATA SSD单die故障隔离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支持SSD关键外部存储器中单存储 晶元故障隔离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功能要求-RAID卡功能（若支持RAID卡）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RAID卡RAID级别支持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 模式支持 RAID 0/1/10/5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功能要求-RAID卡功能（若支持RAID卡）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RAID卡BBU单元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功能要求-光驱功能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光驱类型 （是否支持RW，以及光盘类型CD/DVD）</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不配备光驱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功能要求-光驱功能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电源热插拔</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整机电源模块应具备热插拔功能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功能要求-光驱功能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电源过流保护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支持过流及短路保护的功能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功能要求-整机功能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散热方式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支持风冷或液冷等散热方式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功能要求-整机功能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支持关键部件冗余（包括电源、 风扇等）；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支持熔断保护与恢复功能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功能要求-管理系统功能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BMC 固件基础功能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 支持DHCP 设置网络功能；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 支持静态IP 设置网络功能；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 支持设备日志记录，包括但不限于登录日志、操作日志和报警日志等功能；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 支持日志信息导出和记录删除功能；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 支持通过管理接口向外输出准确的报警信息功能；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6) 设备的BMC管理软件应能够按报警的严重程度进行区分；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7) 支持IPMI2.0、SNMP或Redfish等接口功能；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8) 支持键盘、鼠标和视频的重定向、文本控制台的重定向、远程虚拟媒体、高可靠的硬件监控和管理功能；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9) 支持基于网络开启、关闭和重启设备的功能，并查询当前设备开机运行状态；</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10) 支持故障提示功能，并可通过接口读取服务器故障信息；</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11) 支持基于网络的固件更新功能，包括BMC 和BIOS 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12) 支持基于网络安装操作系统的功能，并可通过网络控制台访问设备；</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13) 支持通过本地的硬盘或光驱等存储设备，基于网络完成设备的操作系统安装功能；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14) 支持通过浏览器打开管理界面并登录功能；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15) 支持设置口令策略功能；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16) 支持访问权限设置功能，并通过日志记录访问事件；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17) 支持对出厂默认的用户名及口令进行安全保护功能，并提供默认口令修改提示；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18) 支持读取设备主板的工作环境温度功能；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19) 支持读取服务器CPU等核心器件的温度功能；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20) 支持通过外部管理工具进行BMC参数设置的功能，并可基于网络通过外部管理工具对BMC 进行管理；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21)应支持固件版本查询、固件升级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22) 支持基于网络实现开关机和复位控制的功能；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23) BMC 启动时间应不超过180s，实现功能包括网络、IPMI、散热、传感器服务可用；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24) 支持BMC 固件设置的恢复出厂功能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功能要求-管理系统功能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BMC固件增强功能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无需求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功能要求-管理系统功能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BIOS 固件基础功能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支持查看固件版本、内存信息、主板信息、处理器信息和系统时间信息功能；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支持上电初始化界面显示 CPU 信息、内存信息、固件版本和部分快捷键信息功能；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支持设置界面中英文显示切换功能；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支持查看 PCIe 设备信息，SATA设备信息功能；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e） 支持操作系统安装和引导功能，应并向操作系统提供计算机主板信息和服务接口；</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f） 支持设置启动顺序，并按照设置的启动顺序启动功能；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g） 支持安全启动功能；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h） 支持设置口令、修改口令、验证口令功能；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i） 支持板载显示控制或独立显卡的显示控制功能；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j） 支持 RAID 识别和启动功能；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k）支持串口重定向功能；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l） 支持固件更新功能；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m） 支持 BIOS 固件设置的恢复出厂功能；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n）支持网络引导启用和关闭功能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功能要求-管理系统功能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远程控制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支持远程关机和重新启动功能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功能要求-操作系统及驱动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操作系统及驱动的升级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支持通过网络、闪存盘对操作系统、驱动进行升级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功能要求-操作系统及驱动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操作系统及驱动的备份还原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支持操作系统备份及还原功能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功能要求-操作系统及驱动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操作系统功能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支持访问控制、安全审计、网络接入鉴别等功能；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操作系统其他功能应满足操作系统政府采购需求标准中加*的指标要求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功能要求-中文信息处理功能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中文信息处理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符合GB 18030 的有关规定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功能要求-机柜功能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机柜管理功能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机柜管理系统包括服务器节点 BMC 管理系统、机柜管理系统或交换节 点管理系统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功能要求-机柜功能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机柜通信方式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功能要求-机柜功能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供应能力证明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提供供应链稳定承诺书，确保产品的部件在产品服务周期内稳定供货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安全要求-关键部件安全要求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关键部件安全要求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CPU符合安全可靠测评要求（通过政府有关部门指定的中国信息安全测评中心和国家保密科技测评中心网站查看安全可靠测评结果）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故障检测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支持故障检测功能，可以检测到具体的FRU（内存、硬盘等）的故障并发出告警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内存故障智能预测和自愈修复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支持内存故障智能预测和自愈修复，提前自动硬隔离，避免内存故 障引起的非预期宕机以及内存寿命 的降低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硬盘故障智能预测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支持硬盘故障智能预测，基于故障 模型预测出硬盘的故障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PCIe 链路 故障智能 诊断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 PCIe 链路故障智能诊断，判断 出现故障的PCIe 链路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内存故障隔离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支持内存故障隔离，在内存产生 CE 故障时，内存地址被隔离成功，服务器正常运行，业务系统不中断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内存、PCIe 卡的故障 精准告警 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支持内存、PCIe 卡的故障精准告警 功能，触发告警并明确指示具体的 故障位置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异常下电 关键数据 保护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支持异常下电关键数据保护，支持 数据备份恢复机制，防止系统异常 掉电导致的数据文件丢失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BMC/BIOS 固件双镜 像保护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 BMC/BIOS 固件双镜像保护，运 行异常时自动切换到备份镜像运行，提升系统稳定性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 核重启隔离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 CPU 核发生不可纠正故障后，重启后由BIOS 隔离该故障核，OS 不可见，防止 OS 再次使用导致系统 异常，核 0 除外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内存地址隔离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在硬件支持的情况下，支持故障内存地址重启后隔离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内存存储阵列替换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在硬件支持的情况下，支持故障内 存存储阵列替换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安全要求-固件安全要求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安全启动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支持执行环境要求在整个系统启动 的过程中，系统应提供一个机制来 保护平台的完整性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syslog 双向鉴别</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支持系统日志双向鉴别，对服务器 根证书和客户端根证书进行鉴别</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弱口令字典检查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支持弱口令字典检查功能，出现在弱口令字典中的字符串不能被设置为用户口令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白名单访问控制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支持基于时间、IP 或  MAC 白名单访问控制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双因素鉴别</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支持使用客户端证书和证书密码的 双因素鉴别方式登录管理系统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二次鉴别</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支持二次鉴别功能。对于用户配置、权限配置、公钥导入等重要的管理操作，已登录用户应通过二次鉴别后，才能执行操作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匿名化用户告警接收邮箱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支持带外管理系统中的用户告警接 收邮箱进行匿名化处理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密码证书安全加密存储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支持对带外管理系统中的用户口令和证书等敏感信息进行加密存储， 禁止使用私有的和业界已知不安全的密码算法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安全要求-系统安全要求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敏感信息安全加密传输</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支持使用安全的传输加密协议（如SSH 或 HTTPS等）传输用户的敏感信息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安全要求-信息安全要求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研发过程安全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承诺已建立从需求、设计、开发、测试、维护端到端的开发流程管理机制，输出和保存开发流程中每个阶段的产品需求清单、设计文档、开发文档、测试记录等材料，保证各个流程可追溯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安全要求-信息安全要求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漏洞管理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供应商承诺，生产商已建立漏洞全量视图，保证产品版本涉及到的所有漏洞(如驱动程序、BMC 软件等) 都可以查看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安全要求-信息安全要求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网络关键设备服务器要求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作为网络关键设备的服务器应符合 GB 40050 的相关规定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安全要求-信息安全要求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增强要求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 嵌入物理可信根，实现设备的信 任链构建；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支持可信平台控制模块(TPCM)；</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支持在固件系统（BMC、BIOS）</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启动前实现对固件度量的功能，支 持物理可信根对 BMC 固件或BIOS 固 件进行完整性检测、更新和恢复；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支持对 CPU、网络控制器等关键 处理器进行身份识别与度量的功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e) 支持基于处理器或可信计算模 块度量的功能；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f) 所采用的可信密码模块接口应 符合 GM/T 0012 的相关规定；</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g) 可信安全管理模块、处理器等硬 件载体应通过国家相关部门的认证 和许可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安全要求-物理安全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物理安全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安全要求应符合GB 4943.1 的规定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安全要求-限用物质的限量要求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限用物质的限量要求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限用物质的限量应符合GB/T 26572 的要求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性能要求-CPU性能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CPU主频</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CPU主频≥2.5GHz</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性能要求-CPU性能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单CPU 核数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单CPU 核数≥16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性能要求-CPU性能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单CPU 末级缓存容量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单CPU 末级缓存容量≥32MB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性能要求-内存性能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单内存模块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单内存模块容量≥32GB，总内存≥256GB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性能要求-内存性能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内存速率≥3200MT/s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性能要求-存储性能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硬盘转速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安装的硬磁盘转速不小于7200rpm</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性能要求-RAID卡性能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RAID卡缓存容量大小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若配备 RAID 卡且 RAID 卡有缓存容 量，容量不少于 1GB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性能要求-FC HBA卡性能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FC HBA卡速率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若配备 FC HBA 卡，单端口最大的连 接速率不少于8Gb/s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性能要求-网络性能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独立网卡速率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≥10GE</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性能要求-网络性能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板载网卡速率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≥1GE</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性能要求-电源能耗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电源能耗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 GB/T 9813.3 的有关规定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适配 3 种及以上厂商的内存产品， 且均不低于产品支持的内存规格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固态存储兼容性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适配 3 种及以上厂商的固态存储产品，且均不低于产品支持的固态存储设备规格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FC HBA 卡兼容性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FC HBA 应适配两种或以上厂商产品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 卡兼容性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RAID 卡应适配两种或以上厂商产品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网卡兼容性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适配2种或以上网卡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性能要求-部件兼容性要求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功能卡兼容性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适配网络功能卡、存储功能卡及图形显示功能卡等符合PCIe的功能卡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兼容要求-外设兼容性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外设兼容性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兼容多种主流生产商的外部设备，包括显示器、键盘、鼠标、闪存盘、移动硬盘、USB光驱及KVM等，要求使用不同厂商的外部设备时，系统均能正常识别和安装驱动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兼容要求-软件兼容性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数据库兼容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 3 个及以上厂商的数据库产品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兼容要求-软件兼容性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中间件兼容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 3 个及以上厂商的中间件产品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兼容要求-软件兼容性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平台软件兼容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 3 个及以上厂商的大数据平台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兼容要求-软件兼容性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虚拟化软件兼容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兼容 2 款及以上虚拟化软件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可靠性要求-存储可靠性要求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SATA SSD可靠性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SSD 的 m1 值（MTBF 的不可接受值） 不低于 200000h</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可靠性要求-整机可靠性要求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整机可靠性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m1值（MTBF 的不可接受值）不得低于 30000h</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可靠性要求-整机可靠性要求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风扇可靠性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风扇寿命应不低于 40000h</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可靠性要求-整机可靠性要求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部件可靠性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支持硬盘、电源、风扇热插拔(内置风扇除外)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包装及运输要求-包装及运输要求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标志、包装、运输和贮存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符合GB/T 9813.3 和商品包装政府采购需求标准的相关规定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服务要求-服务响应</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服务响应</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a)提供电话、电子邮件、远程连接等多种形式服务；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b)提供同城 4h、异地 12h 技术响应服务，2个工作日解决问题，对于未能解决的问题和故障应提供可行的升级方案，并提供周转设备；</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c)建立全国技术服务体系和服务 团体，符合专业服务体系标准要求，提供原厂中文服务；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d)服务周期内提供产品的维修、换件和升级服务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服务要求-培训服务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培训服务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提供培训材料、产品手册、培训视频等培训相关内容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服务要求-服务周期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服务周期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a）产品整机服务周期3年（含换件和维修）；</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b）设备停产后继续提供质量保障服务（含备品备件），服务终止时间与最后一批设备交付时间间隔不低于 6 年；</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产品停止服务时间应提前 1 年告知客户；</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产品发布日期需在随机文件中明确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提供设置服务器硬件、辅助操作系统安装等功能的辅助工具和管理软件，且随附软件应具有合法授权或版权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辅助工具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支持如下功能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 本地的数据备份和还原功能；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网络的数据备份和还原功能；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服务器操作系统的自动安装功 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服务器所配硬件需要的驱动程 序和系统补丁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驱动安装升级指引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提供出厂安装的配件所需的驱动程序，形式包括但不限于驱动光盘、驱动下载链接等。其他配件应提供指引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随机附开盖工具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随服务器打包提供开机箱工具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代码迁移工具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"供应商提供从其他 CPU 架构到当前 服务器 CPU 架构的软件迁移工具产 品，支持软件包迁移评估，对满足 产品重构要求的软件包，能重构为 当前服务器 CPU 架构的软件包。提 供源码迁移功能，检查分析</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C/C++/Fortran/Go/解释型语言/汇 编等源码文件，基于产品功能给出 迁移指导"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性能分析工具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供应商提供支持当前服务器 CPU 架 构的性能分析工具产品，支持系统 性能分析、Java 性能分析和系统诊 断，可分析系统或应用在 CPU、内存、 IO、网络等方面的性能，并给出优 化建议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跨架构平台应用兼容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跨 CPU 架构平台应用兼容工具，可 兼容一种或者一种以上不同架构平 台的应用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服务要求-服务工具要求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管理软件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具备资源管理、系统管理、性能监控、健康监控、基于网络控制、报警设置功能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服务要求-增值服务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厂家升级产品软件与扩容服务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提供原厂产品升级和扩容能力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服务要求-增值服务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服务保障升级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供应商有偿提供远程技术支持、软 件授权服务、备件更换服务、现场 支承服务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服务要求-增值服务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提供上门服务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提供上门服务的能力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服务要求-增值服务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业务场景性能优化服务及整体架构升级服务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供应商提供针对特定业务场景性能 优化服务及整体架构升级服务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供保服务-供应链质量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抗干扰性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当产品部件出现供应风险时，应通知并提供风险应对方案确保产品的服务保障，必要时应停止受影响产品的销售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供保服务-供应链质量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供应能力证明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提供供应链稳定承诺书，确保产品的部件在产品服务周期内稳定供货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3.2.1.2交换机</w:t>
      </w:r>
    </w:p>
    <w:tbl>
      <w:tblPr>
        <w:tblStyle w:val="TableNormal"/>
        <w:tblW w:w="5000" w:type="pct"/>
        <w:tblInd w:w="30" w:type="dxa"/>
        <w:tblCellMar>
          <w:top w:w="15" w:type="dxa"/>
          <w:left w:w="15" w:type="dxa"/>
          <w:bottom w:w="15" w:type="dxa"/>
          <w:right w:w="15" w:type="dxa"/>
        </w:tblCellMar>
      </w:tblPr>
      <w:tblGrid>
        <w:gridCol w:w="904"/>
        <w:gridCol w:w="1811"/>
        <w:gridCol w:w="1811"/>
        <w:gridCol w:w="1829"/>
        <w:gridCol w:w="1811"/>
        <w:gridCol w:w="90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交换机-交换容量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交换容量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交换容量≥4.8Tbps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交换机-转发性能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转发性能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转发性能≥2000Mpps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交换机-CPU要求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CPU 通过中国信息安全测评中心的安全可靠测评</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交换机-性能规格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性能规格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整机最大路由地址表≥768K，整机最大ARP地址表≥94K，整机最大MAC地址表≥704K；</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交换机-缓存要求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缓存要求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支持全端口线速，整机缓存最大36MB</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交换机-硬件配置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硬件配置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实配10G光口端口数量≥48个（含24个原厂10G多模模块），实配40G/100G光接口≥8个（含4个原厂40G多模模块），含双模块化电源，双模块化风扇；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交换机-风扇模块数量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风扇模块数量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风扇模块数量≥5 </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交换机-VLAN</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VLAN</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支持基于端口、基于协议、基于MAC的VLAN；支持QinQ；支持DLDP；支持动态MAC、静态MAC和黑洞MAC表项；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交换机-IP路由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IP路由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支持RIP、OSPF、ISIS、BGP等IPv4动态路由协议，支持RIPng、OSPFv3、ISISv6、BGP4+等IPv6动态路由协议，支持IPv6 ND、支持路径MTU发现，支持GRE隧道；</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交换机-10MPLS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MPLS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支持MPLS VPN；</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交换机-11QoS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QoS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支持SP, WRR,WFQ, SP+WRR, SP+WFQ调度方式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可靠性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支持BFD功能，支持STP/RSTP/MSTP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交换机-跨设备链路聚合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跨设备链路聚合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支持跨设备链路聚合技术，将控制平面与数据层面解耦，各节点设备可独立升级，保障用户业务零中断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交换机-VXLAN</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VXLAN</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支持二层、三层Vxlan网关和BGP EVPN特性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交换机-功耗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功耗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满负荷时整机最大功耗≤210W</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交换机-NQAI</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NQAI</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支持INQA流量监控技术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交换机-INT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INT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支持INT技术</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交换机-Telemetry Stream</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Telemetry Stream</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支持Telemetry Stream功能，全硬件级1：1采样实时分析、监控、上送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交换机-端口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端口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支持基于端口、流量N:M复制，M或N≥48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交换机-可视化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可视化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支持可视化功能，通过ERSPAN和GRPC等协议，可以把交换机的实时资源信息、RDMA统计信息、RDMA告警信息上送到运维平台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交换机-无损特性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无损特性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支持PFC、ECN、DCBX等数据中心无丢包特性，满足低延时和无丢包需求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交换机-sFlow功能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sFlow功能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支持sFlow功能，可以对报文进行精细化统计，支持SPAN/RSPAN/ERSPAN镜像和多个镜像观察端口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交换机-GRE隧道剥离封装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GRE隧道剥离封装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支持GRE隧道剥离封装，支持同源同宿，支持报文截断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交换机-源端口标识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源端口标识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支持源端口标识,支持增加时间戳及以太网头，识别指定报文，修改mac地址或IP地址后复制转发</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交换机-微分段</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微分段</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支持微分段，精细化微分段安全隔离（IPv4 和 IPv6）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交换机-维保服务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维保服务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需要提供原厂三年维保服务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29" w:name="_Toc256000024"/>
      <w:r>
        <w:rPr>
          <w:rFonts w:ascii="仿宋_GB2312" w:eastAsia="仿宋_GB2312" w:hAnsi="仿宋_GB2312" w:cs="仿宋_GB2312"/>
          <w:sz w:val="28"/>
          <w:szCs w:val="28"/>
        </w:rPr>
        <w:t>3.2.2技术和服务其他要求</w:t>
      </w:r>
      <w:bookmarkEnd w:id="29"/>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为及时解决可能出现的故障，中标供应商需要为国家税务总局吉林省税务局提供质保期内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售后及质量保障服务要求：自验收通过之日起3年。</w:t>
      </w:r>
    </w:p>
    <w:p>
      <w:pPr>
        <w:pStyle w:val="Heading10"/>
        <w:keepNext w:val="0"/>
        <w:spacing w:before="0" w:after="0" w:line="360" w:lineRule="auto"/>
        <w:jc w:val="center"/>
        <w:rPr>
          <w:rFonts w:ascii="仿宋_GB2312" w:eastAsia="仿宋_GB2312" w:hAnsi="仿宋_GB2312" w:cs="仿宋_GB2312"/>
          <w:b/>
          <w:bCs/>
          <w:sz w:val="32"/>
          <w:szCs w:val="32"/>
        </w:rPr>
      </w:pPr>
      <w:bookmarkStart w:id="30" w:name="_Toc256000025"/>
      <w:r>
        <w:rPr>
          <w:rFonts w:ascii="仿宋_GB2312" w:eastAsia="仿宋_GB2312" w:hAnsi="仿宋_GB2312" w:cs="仿宋_GB2312"/>
          <w:kern w:val="36"/>
        </w:rPr>
        <w:t>4人员要求</w:t>
      </w:r>
      <w:bookmarkEnd w:id="30"/>
    </w:p>
    <w:p>
      <w:pPr>
        <w:pStyle w:val="Heading20"/>
        <w:keepNext w:val="0"/>
        <w:spacing w:before="0" w:after="0" w:line="360" w:lineRule="auto"/>
        <w:rPr>
          <w:rFonts w:ascii="仿宋_GB2312" w:eastAsia="仿宋_GB2312" w:hAnsi="仿宋_GB2312" w:cs="仿宋_GB2312"/>
          <w:b/>
          <w:bCs/>
          <w:sz w:val="28"/>
          <w:szCs w:val="28"/>
        </w:rPr>
      </w:pPr>
      <w:bookmarkStart w:id="31" w:name="_Toc256000026"/>
      <w:r>
        <w:rPr>
          <w:rFonts w:ascii="仿宋_GB2312" w:eastAsia="仿宋_GB2312" w:hAnsi="仿宋_GB2312" w:cs="仿宋_GB2312"/>
          <w:i w:val="0"/>
          <w:iCs w:val="0"/>
        </w:rPr>
        <w:t>4.1总体要求</w:t>
      </w:r>
      <w:bookmarkEnd w:id="31"/>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及时解决可能出现的故障，中标供应商需要为国家税务总局吉林省税务局提供质保期内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p>
    <w:p>
      <w:pPr>
        <w:pStyle w:val="Heading20"/>
        <w:keepNext w:val="0"/>
        <w:spacing w:before="0" w:after="0" w:line="360" w:lineRule="auto"/>
        <w:rPr>
          <w:rFonts w:ascii="仿宋_GB2312" w:eastAsia="仿宋_GB2312" w:hAnsi="仿宋_GB2312" w:cs="仿宋_GB2312"/>
          <w:b/>
          <w:bCs/>
          <w:sz w:val="28"/>
          <w:szCs w:val="28"/>
        </w:rPr>
      </w:pPr>
      <w:bookmarkStart w:id="32" w:name="_Toc256000027"/>
      <w:r>
        <w:rPr>
          <w:rFonts w:ascii="仿宋_GB2312" w:eastAsia="仿宋_GB2312" w:hAnsi="仿宋_GB2312" w:cs="仿宋_GB2312"/>
          <w:i w:val="0"/>
          <w:iCs w:val="0"/>
        </w:rPr>
        <w:t>4.2管理团队</w:t>
      </w:r>
      <w:bookmarkEnd w:id="32"/>
    </w:p>
    <w:p>
      <w:pPr>
        <w:pStyle w:val="Heading30"/>
        <w:keepNext w:val="0"/>
        <w:spacing w:before="0" w:after="0" w:line="360" w:lineRule="auto"/>
        <w:rPr>
          <w:rFonts w:ascii="仿宋_GB2312" w:eastAsia="仿宋_GB2312" w:hAnsi="仿宋_GB2312" w:cs="仿宋_GB2312"/>
          <w:b/>
          <w:bCs/>
          <w:sz w:val="28"/>
          <w:szCs w:val="28"/>
        </w:rPr>
      </w:pPr>
      <w:bookmarkStart w:id="33" w:name="_Toc256000028"/>
      <w:r>
        <w:rPr>
          <w:rFonts w:ascii="仿宋_GB2312" w:eastAsia="仿宋_GB2312" w:hAnsi="仿宋_GB2312" w:cs="仿宋_GB2312"/>
          <w:sz w:val="28"/>
          <w:szCs w:val="28"/>
        </w:rPr>
        <w:t>4.2.1项目总监</w:t>
      </w:r>
      <w:bookmarkEnd w:id="33"/>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1名项目总监，负责项目总体计划与实施，保障项目顺利开展。</w:t>
      </w:r>
    </w:p>
    <w:p>
      <w:pPr>
        <w:pStyle w:val="Heading30"/>
        <w:keepNext w:val="0"/>
        <w:spacing w:before="0" w:after="0" w:line="360" w:lineRule="auto"/>
        <w:rPr>
          <w:rFonts w:ascii="仿宋_GB2312" w:eastAsia="仿宋_GB2312" w:hAnsi="仿宋_GB2312" w:cs="仿宋_GB2312"/>
          <w:b/>
          <w:bCs/>
          <w:sz w:val="28"/>
          <w:szCs w:val="28"/>
        </w:rPr>
      </w:pPr>
      <w:bookmarkStart w:id="34" w:name="_Toc256000029"/>
      <w:r>
        <w:rPr>
          <w:rFonts w:ascii="仿宋_GB2312" w:eastAsia="仿宋_GB2312" w:hAnsi="仿宋_GB2312" w:cs="仿宋_GB2312"/>
          <w:sz w:val="28"/>
          <w:szCs w:val="28"/>
        </w:rPr>
        <w:t>4.2.2项目经理</w:t>
      </w:r>
      <w:bookmarkEnd w:id="34"/>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sz w:val="28"/>
          <w:szCs w:val="28"/>
        </w:rPr>
        <w:t>1名项目经理，具体负责项目的实施。</w:t>
      </w:r>
    </w:p>
    <w:p>
      <w:pPr>
        <w:pStyle w:val="Heading20"/>
        <w:keepNext w:val="0"/>
        <w:spacing w:before="0" w:after="0" w:line="360" w:lineRule="auto"/>
        <w:rPr>
          <w:rFonts w:ascii="仿宋_GB2312" w:eastAsia="仿宋_GB2312" w:hAnsi="仿宋_GB2312" w:cs="仿宋_GB2312"/>
          <w:b/>
          <w:bCs/>
          <w:sz w:val="28"/>
          <w:szCs w:val="28"/>
        </w:rPr>
      </w:pPr>
      <w:bookmarkStart w:id="35" w:name="_Toc256000030"/>
      <w:r>
        <w:rPr>
          <w:rFonts w:ascii="仿宋_GB2312" w:eastAsia="仿宋_GB2312" w:hAnsi="仿宋_GB2312" w:cs="仿宋_GB2312"/>
          <w:i w:val="0"/>
          <w:iCs w:val="0"/>
        </w:rPr>
        <w:t>4.3技术团队</w:t>
      </w:r>
      <w:bookmarkEnd w:id="35"/>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能够完成设备验收、技术参数配置、调整测试等工作</w:t>
      </w:r>
      <w:r>
        <w:rPr>
          <w:rFonts w:ascii="Times New Roman" w:eastAsia="Times New Roman" w:hAnsi="Times New Roman" w:cs="Times New Roman"/>
          <w:sz w:val="28"/>
          <w:szCs w:val="28"/>
        </w:rPr>
        <w:t>。</w:t>
      </w:r>
    </w:p>
    <w:p>
      <w:pPr>
        <w:pStyle w:val="Heading20"/>
        <w:keepNext w:val="0"/>
        <w:spacing w:before="0" w:after="0" w:line="360" w:lineRule="auto"/>
        <w:rPr>
          <w:rFonts w:ascii="仿宋_GB2312" w:eastAsia="仿宋_GB2312" w:hAnsi="仿宋_GB2312" w:cs="仿宋_GB2312"/>
          <w:b/>
          <w:bCs/>
          <w:sz w:val="28"/>
          <w:szCs w:val="28"/>
        </w:rPr>
      </w:pPr>
      <w:bookmarkStart w:id="36" w:name="_Toc256000031"/>
      <w:r>
        <w:rPr>
          <w:rFonts w:ascii="仿宋_GB2312" w:eastAsia="仿宋_GB2312" w:hAnsi="仿宋_GB2312" w:cs="仿宋_GB2312"/>
          <w:i w:val="0"/>
          <w:iCs w:val="0"/>
        </w:rPr>
        <w:t>4.4优选资质/优选指标</w:t>
      </w:r>
      <w:bookmarkEnd w:id="36"/>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2"/>
      <w:r>
        <w:rPr>
          <w:rFonts w:ascii="仿宋_GB2312" w:eastAsia="仿宋_GB2312" w:hAnsi="仿宋_GB2312" w:cs="仿宋_GB2312"/>
          <w:kern w:val="36"/>
        </w:rPr>
        <w:t>5管理实施要求</w:t>
      </w:r>
      <w:bookmarkEnd w:id="37"/>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针对其提供的税务双向平台服务器进行税务双向交换平台业务系统部署、安装与调试。并于硬件抵达安装现场后的15天内完成税务双向交换平台业务系统部署上</w:t>
      </w:r>
      <w:r>
        <w:rPr>
          <w:rFonts w:ascii="FangSong_GB2312" w:eastAsia="FangSong_GB2312" w:hAnsi="FangSong_GB2312" w:cs="FangSong_GB2312"/>
          <w:sz w:val="32"/>
          <w:szCs w:val="32"/>
        </w:rPr>
        <w:t>线。</w:t>
      </w:r>
    </w:p>
    <w:p>
      <w:pPr>
        <w:pStyle w:val="MsoNormal"/>
        <w:spacing w:before="0" w:after="0" w:line="360" w:lineRule="auto"/>
        <w:ind w:left="0" w:right="0" w:firstLine="640"/>
        <w:jc w:val="both"/>
        <w:rPr>
          <w:rFonts w:ascii="Calibri" w:eastAsia="Calibri" w:hAnsi="Calibri" w:cs="Calibri"/>
          <w:sz w:val="32"/>
          <w:szCs w:val="32"/>
        </w:rPr>
      </w:pPr>
      <w:r>
        <w:rPr>
          <w:rFonts w:ascii="FangSong_GB2312" w:eastAsia="FangSong_GB2312" w:hAnsi="FangSong_GB2312" w:cs="FangSong_GB2312"/>
          <w:sz w:val="32"/>
          <w:szCs w:val="32"/>
        </w:rPr>
        <w:t>中标供应商要根据我局情况,提供完整管理实施方案、应急处置方案</w:t>
      </w:r>
      <w:r>
        <w:rPr>
          <w:rFonts w:ascii="仿宋_GB2312" w:eastAsia="仿宋_GB2312" w:hAnsi="仿宋_GB2312" w:cs="仿宋_GB2312"/>
          <w:sz w:val="32"/>
          <w:szCs w:val="32"/>
        </w:rPr>
        <w:t>、保密方案、验收方案、售后服务方案。</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按照合同提供产品和服务，承担与我局现有设备和系统的衔接责任，承诺与本项目相关单位（在用设备和系统集成商、运维商等）进行积极配合，完成软硬件安装、调试、测试工作，完成与我局现有信息化资源的适配及融合。</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在实施过程中要求由专业的系统集成人员进行安装、检测和故障排除。中标供应商必须服从采购人的统一协调，在实施方案设计、设备供货、技术支持、运行维护等方面相互配合。投标人应充分理解本项目的意义和重要性，在投标时应提交本项目的项目管理方案和集成方案，保障本项目在相关设备到货到能顺利实施。</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    投标人应根据项目制定合理的产品培训，提交本项目的培训方案，以满足对采购设备和软件的使用和日常维护需求。</w:t>
      </w:r>
    </w:p>
    <w:p>
      <w:pPr>
        <w:pStyle w:val="Heading10"/>
        <w:keepNext w:val="0"/>
        <w:spacing w:before="0" w:after="0" w:line="360" w:lineRule="auto"/>
        <w:jc w:val="center"/>
        <w:rPr>
          <w:rFonts w:ascii="仿宋_GB2312" w:eastAsia="仿宋_GB2312" w:hAnsi="仿宋_GB2312" w:cs="仿宋_GB2312"/>
          <w:b/>
          <w:bCs/>
          <w:sz w:val="32"/>
          <w:szCs w:val="32"/>
        </w:rPr>
      </w:pPr>
      <w:bookmarkStart w:id="38" w:name="_Toc256000033"/>
      <w:r>
        <w:rPr>
          <w:rFonts w:ascii="仿宋_GB2312" w:eastAsia="仿宋_GB2312" w:hAnsi="仿宋_GB2312" w:cs="仿宋_GB2312"/>
          <w:kern w:val="36"/>
        </w:rPr>
        <w:t>6保密要求</w:t>
      </w:r>
      <w:bookmarkEnd w:id="38"/>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投标人对项目实施过程中所获得数据及文档等保密信息，承担以下保密义务：</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（1）投标人应对在合同签订或履行过程中所接触的对方信息，包括但不限于知识产权、技术资料、技术诀窍、内部管理及其他相关信息，负有保密义务，防止不承担同等保密义务的任何第三者知悉及使用。</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2）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应以审慎态度避免泄露、公开或传播用户方的信息;</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未经用户方书面许可，不得对有关信息进行修改、补充、复制;</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未经用户方书面许可，不得将信息以任何方式(如 E-mail)携带出项目服务场所;</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未经用户方书面许可，不得将信息透露给任何其他人;</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用户方以书面形式提出的其他保密措施。</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（3）保密期限不受合同有效期的限制，在合同有效期结束后，信息接受方仍应承担保密义务，直至该等信息成为公开信息。</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（4）投标人应按要求与委托方签署保密协议，服务人员签订保密承诺书及网络安全承诺书。</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（5）投标人如出现泄密行为，泄密方应承担相关的法律责任并承担由此给采购方造成的经济损失。</w:t>
      </w:r>
    </w:p>
    <w:p>
      <w:pPr>
        <w:pStyle w:val="Heading10"/>
        <w:keepNext w:val="0"/>
        <w:spacing w:before="0" w:after="0" w:line="360" w:lineRule="auto"/>
        <w:jc w:val="center"/>
        <w:rPr>
          <w:rFonts w:ascii="仿宋_GB2312" w:eastAsia="仿宋_GB2312" w:hAnsi="仿宋_GB2312" w:cs="仿宋_GB2312"/>
          <w:b/>
          <w:bCs/>
          <w:sz w:val="32"/>
          <w:szCs w:val="32"/>
        </w:rPr>
      </w:pPr>
      <w:bookmarkStart w:id="39" w:name="_Toc256000034"/>
      <w:r>
        <w:rPr>
          <w:rFonts w:ascii="仿宋_GB2312" w:eastAsia="仿宋_GB2312" w:hAnsi="仿宋_GB2312" w:cs="仿宋_GB2312"/>
          <w:kern w:val="36"/>
        </w:rPr>
        <w:t>7知识转移要求</w:t>
      </w:r>
      <w:bookmarkEnd w:id="39"/>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投标人需保证在本项目中所有预装和为本项目安装的软件为在中国境内具有合法版权或使用权的正版软件且无质量瑕疵。</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投标人需保证所提供的服务不侵犯第三方的知识产权（专利权、商标权、版权等），因侵害第三方知识产权而产生的法律责任，全部由投标人承担。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40" w:name="_Toc256000035"/>
      <w:r>
        <w:rPr>
          <w:rFonts w:ascii="仿宋_GB2312" w:eastAsia="仿宋_GB2312" w:hAnsi="仿宋_GB2312" w:cs="仿宋_GB2312"/>
          <w:kern w:val="36"/>
        </w:rPr>
        <w:t>8风险管控要求</w:t>
      </w:r>
      <w:bookmarkEnd w:id="40"/>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32"/>
          <w:szCs w:val="32"/>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41" w:name="_Toc256000036"/>
      <w:r>
        <w:rPr>
          <w:rFonts w:ascii="仿宋_GB2312" w:eastAsia="仿宋_GB2312" w:hAnsi="仿宋_GB2312" w:cs="仿宋_GB2312"/>
          <w:kern w:val="36"/>
        </w:rPr>
        <w:t>9履约验收要求</w:t>
      </w:r>
      <w:bookmarkEnd w:id="41"/>
    </w:p>
    <w:p>
      <w:pPr>
        <w:pStyle w:val="Heading20"/>
        <w:keepNext w:val="0"/>
        <w:spacing w:before="0" w:after="0" w:line="360" w:lineRule="auto"/>
        <w:rPr>
          <w:rFonts w:ascii="仿宋_GB2312" w:eastAsia="仿宋_GB2312" w:hAnsi="仿宋_GB2312" w:cs="仿宋_GB2312"/>
          <w:b/>
          <w:bCs/>
          <w:sz w:val="28"/>
          <w:szCs w:val="28"/>
        </w:rPr>
      </w:pPr>
      <w:bookmarkStart w:id="42" w:name="_Toc256000037"/>
      <w:r>
        <w:rPr>
          <w:rFonts w:ascii="仿宋_GB2312" w:eastAsia="仿宋_GB2312" w:hAnsi="仿宋_GB2312" w:cs="仿宋_GB2312"/>
          <w:i w:val="0"/>
          <w:iCs w:val="0"/>
        </w:rPr>
        <w:t>9.1总体要求</w:t>
      </w:r>
      <w:bookmarkEnd w:id="42"/>
    </w:p>
    <w:tbl>
      <w:tblPr>
        <w:tblStyle w:val="TableNormal"/>
        <w:tblW w:w="5000" w:type="pct"/>
        <w:tblInd w:w="30" w:type="dxa"/>
        <w:tblCellMar>
          <w:top w:w="15" w:type="dxa"/>
          <w:left w:w="15" w:type="dxa"/>
          <w:bottom w:w="15" w:type="dxa"/>
          <w:right w:w="15" w:type="dxa"/>
        </w:tblCellMar>
      </w:tblPr>
      <w:tblGrid>
        <w:gridCol w:w="4535"/>
        <w:gridCol w:w="453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根据合同内容对本次所采购的硬件设备的型号、规格、数量核对与验收并出具文档。</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货物经验收合格后，完成设备调试、部署上线，所有设备稳定运行后完成验收。</w:t>
            </w:r>
          </w:p>
        </w:tc>
      </w:tr>
    </w:tbl>
    <w:p>
      <w:pPr>
        <w:pStyle w:val="Heading20"/>
        <w:keepNext w:val="0"/>
        <w:spacing w:before="0" w:after="0" w:line="360" w:lineRule="auto"/>
        <w:rPr>
          <w:rFonts w:ascii="仿宋_GB2312" w:eastAsia="仿宋_GB2312" w:hAnsi="仿宋_GB2312" w:cs="仿宋_GB2312"/>
          <w:b/>
          <w:bCs/>
          <w:sz w:val="28"/>
          <w:szCs w:val="28"/>
        </w:rPr>
      </w:pPr>
      <w:bookmarkStart w:id="43" w:name="_Toc256000038"/>
      <w:r>
        <w:rPr>
          <w:rFonts w:ascii="仿宋_GB2312" w:eastAsia="仿宋_GB2312" w:hAnsi="仿宋_GB2312" w:cs="仿宋_GB2312"/>
          <w:i w:val="0"/>
          <w:iCs w:val="0"/>
        </w:rPr>
        <w:t>9.2具体要求</w:t>
      </w:r>
      <w:bookmarkEnd w:id="43"/>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1）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（2）中标供应商应在项目验收、测试时提供相关测试环境及必要的设备和工具，使用各类支撑工具应保证采购人在测试过程合法免费使用，中标供应商承担由于知识产权等纠纷导致的所有责任。</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（3）中标供应商提供的各类文档应内容完整、描述清晰、版本最新，各类方案要求实现目标明确、工作措施得力、可操作性强、具有前瞻性。产出物应提供电子和纸质两种介质，保持版本一致。</w:t>
      </w:r>
    </w:p>
    <w:p>
      <w:pPr>
        <w:pStyle w:val="MsoNormal"/>
        <w:spacing w:before="0" w:after="0" w:line="360" w:lineRule="auto"/>
        <w:ind w:left="0" w:right="0"/>
        <w:jc w:val="both"/>
        <w:rPr>
          <w:rFonts w:ascii="Calibri" w:eastAsia="Calibri" w:hAnsi="Calibri" w:cs="Calibri"/>
          <w:sz w:val="32"/>
          <w:szCs w:val="32"/>
        </w:rPr>
      </w:pPr>
      <w:r>
        <w:rPr>
          <w:rFonts w:ascii="仿宋_GB2312" w:eastAsia="仿宋_GB2312" w:hAnsi="仿宋_GB2312" w:cs="仿宋_GB2312"/>
          <w:sz w:val="28"/>
          <w:szCs w:val="28"/>
        </w:rPr>
        <w:t>    （4）对验收中发现的问题，中标供应商应提出有效解决办法和措施，经采购人确认后实施。</w:t>
      </w:r>
    </w:p>
    <w:p>
      <w:pPr>
        <w:pStyle w:val="Heading10"/>
        <w:keepNext w:val="0"/>
        <w:spacing w:before="0" w:after="0" w:line="360" w:lineRule="auto"/>
        <w:jc w:val="center"/>
        <w:rPr>
          <w:rFonts w:ascii="仿宋_GB2312" w:eastAsia="仿宋_GB2312" w:hAnsi="仿宋_GB2312" w:cs="仿宋_GB2312"/>
          <w:b/>
          <w:bCs/>
          <w:sz w:val="32"/>
          <w:szCs w:val="32"/>
        </w:rPr>
      </w:pPr>
      <w:bookmarkStart w:id="44" w:name="_Toc256000039"/>
      <w:r>
        <w:rPr>
          <w:rFonts w:ascii="仿宋_GB2312" w:eastAsia="仿宋_GB2312" w:hAnsi="仿宋_GB2312" w:cs="仿宋_GB2312"/>
          <w:kern w:val="36"/>
        </w:rPr>
        <w:t>10其他要求</w:t>
      </w:r>
      <w:bookmarkEnd w:id="44"/>
    </w:p>
    <w:p>
      <w:pPr>
        <w:pStyle w:val="Heading20"/>
        <w:keepNext w:val="0"/>
        <w:spacing w:before="0" w:after="0" w:line="360" w:lineRule="auto"/>
        <w:rPr>
          <w:rFonts w:ascii="仿宋_GB2312" w:eastAsia="仿宋_GB2312" w:hAnsi="仿宋_GB2312" w:cs="仿宋_GB2312"/>
          <w:b/>
          <w:bCs/>
          <w:sz w:val="28"/>
          <w:szCs w:val="28"/>
        </w:rPr>
      </w:pPr>
      <w:bookmarkStart w:id="45" w:name="_Toc256000040"/>
      <w:r>
        <w:rPr>
          <w:rFonts w:ascii="仿宋_GB2312" w:eastAsia="仿宋_GB2312" w:hAnsi="仿宋_GB2312" w:cs="仿宋_GB2312"/>
          <w:i w:val="0"/>
          <w:iCs w:val="0"/>
        </w:rPr>
        <w:t>10.1必备要求</w:t>
      </w:r>
      <w:bookmarkEnd w:id="45"/>
    </w:p>
    <w:p>
      <w:pPr>
        <w:pStyle w:val="Heading30"/>
        <w:keepNext w:val="0"/>
        <w:spacing w:before="0" w:after="0" w:line="360" w:lineRule="auto"/>
        <w:rPr>
          <w:rFonts w:ascii="仿宋_GB2312" w:eastAsia="仿宋_GB2312" w:hAnsi="仿宋_GB2312" w:cs="仿宋_GB2312"/>
          <w:b/>
          <w:bCs/>
          <w:sz w:val="28"/>
          <w:szCs w:val="28"/>
        </w:rPr>
      </w:pPr>
      <w:bookmarkStart w:id="46" w:name="_Toc256000041"/>
      <w:r>
        <w:rPr>
          <w:rFonts w:ascii="仿宋_GB2312" w:eastAsia="仿宋_GB2312" w:hAnsi="仿宋_GB2312" w:cs="仿宋_GB2312"/>
          <w:sz w:val="28"/>
          <w:szCs w:val="28"/>
        </w:rPr>
        <w:t>10.1.1★税收信息化项目开发和应用管理工作要求</w:t>
      </w:r>
      <w:bookmarkEnd w:id="4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国家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等措施；对于存在影响恶劣的严重违法失信行为的，由采购人按规定推送财政部纳入政府采购严重违法失信行为记录名单。</w:t>
      </w:r>
    </w:p>
    <w:p>
      <w:pPr>
        <w:pStyle w:val="MsoNormal"/>
        <w:spacing w:before="0" w:after="0" w:line="360" w:lineRule="auto"/>
        <w:ind w:left="0" w:right="0" w:firstLine="480"/>
        <w:textAlignment w:val="baseline"/>
        <w:rPr>
          <w:sz w:val="32"/>
          <w:szCs w:val="32"/>
        </w:rPr>
      </w:pPr>
      <w:r>
        <w:rPr>
          <w:rFonts w:ascii="FangSong_GB2312" w:eastAsia="FangSong_GB2312" w:hAnsi="FangSong_GB2312" w:cs="FangSong_GB2312"/>
          <w:sz w:val="28"/>
          <w:szCs w:val="28"/>
        </w:rPr>
        <w:t>中标人</w:t>
      </w:r>
      <w:r>
        <w:rPr>
          <w:rFonts w:ascii="FangSong_GB2312" w:eastAsia="FangSong_GB2312" w:hAnsi="FangSong_GB2312" w:cs="FangSong_GB2312"/>
          <w:spacing w:val="0"/>
          <w:sz w:val="28"/>
          <w:szCs w:val="28"/>
        </w:rPr>
        <w:t>在参与</w:t>
      </w:r>
      <w:r>
        <w:rPr>
          <w:rFonts w:ascii="FangSong_GB2312" w:eastAsia="FangSong_GB2312" w:hAnsi="FangSong_GB2312" w:cs="FangSong_GB2312"/>
          <w:sz w:val="28"/>
          <w:szCs w:val="28"/>
        </w:rPr>
        <w:t>税务部门信息化项目工作过程中，需严格遵守法律法规、规范履行合同</w:t>
      </w:r>
      <w:r>
        <w:rPr>
          <w:rFonts w:ascii="FangSong_GB2312" w:eastAsia="FangSong_GB2312" w:hAnsi="FangSong_GB2312" w:cs="FangSong_GB2312"/>
          <w:spacing w:val="0"/>
          <w:sz w:val="28"/>
          <w:szCs w:val="28"/>
        </w:rPr>
        <w:t>，积极协助税务部门开</w:t>
      </w:r>
      <w:r>
        <w:rPr>
          <w:rFonts w:ascii="FangSong_GB2312" w:eastAsia="FangSong_GB2312" w:hAnsi="FangSong_GB2312" w:cs="FangSong_GB2312"/>
          <w:sz w:val="28"/>
          <w:szCs w:val="28"/>
        </w:rPr>
        <w:t>展廉政风险防控工作。请严格遵守并落实如下要求：</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一、积极发挥廉政风险防控正向作用。中标人有义务配合税务部门在信息化项目工作中加强廉政风险防控，执行有关措施。</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三、杜绝违纪违法行为。中标人及相关项目人员必须严格遵守党纪国法，坚守职业道德，杜绝任何形式的利益输送、权力寻租等违纪违法行为，对甲方工作人员不得实施以下行为：</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（一）以各种形式和名义提供礼品、礼金、电子红包、支付凭证、商业预付卡、名贵特产、有价证券、股权、其他金融产品等财物。</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（二）以各种形式和名义提供宴请、旅游、健身、娱乐、私人会所等活动安排；代付加班餐费、打车费等。</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（三）以讲课费、咨询费等名义，提供或变相提供报酬。</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（四）借款、借房、借车，报销应由个人负担的费用。</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（五）以无偿、象征性地收取费用等方式提供家政、司机等服务劳务。</w:t>
      </w:r>
    </w:p>
    <w:p>
      <w:pPr>
        <w:pStyle w:val="MsoNormal"/>
        <w:spacing w:before="0" w:after="0" w:line="360" w:lineRule="auto"/>
        <w:ind w:left="0" w:right="0" w:firstLine="640"/>
        <w:textAlignment w:val="baseline"/>
        <w:rPr>
          <w:sz w:val="32"/>
          <w:szCs w:val="32"/>
        </w:rPr>
      </w:pPr>
      <w:r>
        <w:rPr>
          <w:rFonts w:ascii="FangSong_GB2312" w:eastAsia="FangSong_GB2312" w:hAnsi="FangSong_GB2312" w:cs="FangSong_GB2312"/>
          <w:sz w:val="28"/>
          <w:szCs w:val="28"/>
        </w:rPr>
        <w:t>（六）其他通过任何形式行贿或输送利益的行为。</w:t>
      </w:r>
    </w:p>
    <w:p>
      <w:pPr>
        <w:pStyle w:val="MsoNormal"/>
        <w:spacing w:before="0" w:after="0" w:line="360" w:lineRule="auto"/>
        <w:ind w:left="0" w:right="0" w:firstLine="640"/>
        <w:jc w:val="both"/>
        <w:textAlignment w:val="baseline"/>
        <w:rPr>
          <w:sz w:val="32"/>
          <w:szCs w:val="32"/>
        </w:rPr>
      </w:pPr>
      <w:r>
        <w:rPr>
          <w:rFonts w:ascii="FangSong_GB2312" w:eastAsia="FangSong_GB2312" w:hAnsi="FangSong_GB2312" w:cs="FangSong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MsoNormal"/>
        <w:spacing w:before="0" w:after="0" w:line="360" w:lineRule="auto"/>
        <w:ind w:left="0" w:right="0" w:firstLine="640"/>
        <w:jc w:val="both"/>
        <w:textAlignment w:val="baseline"/>
        <w:rPr>
          <w:sz w:val="32"/>
          <w:szCs w:val="32"/>
        </w:rPr>
      </w:pPr>
      <w:r>
        <w:rPr>
          <w:rFonts w:ascii="FangSong_GB2312" w:eastAsia="FangSong_GB2312" w:hAnsi="FangSong_GB2312" w:cs="FangSong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MsoNormal"/>
        <w:spacing w:before="0" w:after="0" w:line="360" w:lineRule="auto"/>
        <w:ind w:left="0" w:right="0"/>
        <w:jc w:val="both"/>
        <w:textAlignment w:val="baseline"/>
        <w:rPr>
          <w:sz w:val="32"/>
          <w:szCs w:val="32"/>
        </w:rPr>
      </w:pPr>
      <w:r>
        <w:rPr>
          <w:rFonts w:ascii="FangSong_GB2312" w:eastAsia="FangSong_GB2312" w:hAnsi="FangSong_GB2312" w:cs="FangSong_GB2312"/>
          <w:sz w:val="28"/>
          <w:szCs w:val="28"/>
        </w:rPr>
        <w:t>    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MsoNormal"/>
        <w:spacing w:before="0" w:after="0" w:line="360" w:lineRule="auto"/>
        <w:ind w:left="0" w:right="0" w:firstLine="1620"/>
        <w:jc w:val="center"/>
        <w:textAlignment w:val="baseline"/>
        <w:rPr>
          <w:sz w:val="32"/>
          <w:szCs w:val="32"/>
        </w:rPr>
      </w:pPr>
      <w:r>
        <w:rPr>
          <w:rFonts w:ascii="方正小标宋简体" w:eastAsia="方正小标宋简体" w:hAnsi="方正小标宋简体" w:cs="方正小标宋简体"/>
          <w:sz w:val="36"/>
          <w:szCs w:val="36"/>
        </w:rPr>
        <w:t>税务信息化服务商廉洁承诺书</w:t>
      </w:r>
    </w:p>
    <w:p>
      <w:pPr>
        <w:pStyle w:val="MsoNormal"/>
        <w:spacing w:before="0" w:after="0" w:line="360" w:lineRule="auto"/>
        <w:ind w:left="0" w:right="0" w:firstLine="640"/>
        <w:jc w:val="both"/>
        <w:textAlignment w:val="baseline"/>
        <w:rPr>
          <w:sz w:val="32"/>
          <w:szCs w:val="32"/>
        </w:rPr>
      </w:pPr>
      <w:r>
        <w:rPr>
          <w:rFonts w:ascii="仿宋_GB2312" w:eastAsia="仿宋_GB2312" w:hAnsi="仿宋_GB2312" w:cs="仿宋_GB2312"/>
          <w:sz w:val="32"/>
          <w:szCs w:val="32"/>
        </w:rPr>
        <w:t> 为深入贯彻落实党中央关于全面从严治党的决策部署，进一步加强税务信息化项目合作中的廉政建设，防范廉政风险发生，确保项目公开、公平、公正推进，我司郑重承诺如下：</w:t>
      </w:r>
    </w:p>
    <w:p>
      <w:pPr>
        <w:pStyle w:val="MsoNormal"/>
        <w:spacing w:before="0" w:after="0" w:line="360" w:lineRule="auto"/>
        <w:ind w:left="0" w:right="0" w:firstLine="640"/>
        <w:jc w:val="both"/>
        <w:textAlignment w:val="baseline"/>
        <w:rPr>
          <w:sz w:val="32"/>
          <w:szCs w:val="32"/>
        </w:rPr>
      </w:pPr>
      <w:r>
        <w:rPr>
          <w:rFonts w:ascii="黑体" w:eastAsia="黑体" w:hAnsi="黑体" w:cs="黑体"/>
          <w:sz w:val="32"/>
          <w:szCs w:val="32"/>
        </w:rPr>
        <w:t>一、合法合规经营。</w:t>
      </w:r>
      <w:r>
        <w:rPr>
          <w:rFonts w:ascii="仿宋_GB2312" w:eastAsia="仿宋_GB2312" w:hAnsi="仿宋_GB2312" w:cs="仿宋_GB2312"/>
          <w:sz w:val="32"/>
          <w:szCs w:val="32"/>
        </w:rPr>
        <w:t>严格遵守国家法律法规及税务部门的相关规定，坚持廉洁从业、诚信经营的原则。在合作过程中不以任何形式进行利益输送，维护良好的政商关系。</w:t>
      </w:r>
    </w:p>
    <w:p>
      <w:pPr>
        <w:pStyle w:val="MsoNormal"/>
        <w:spacing w:before="0" w:after="0" w:line="360" w:lineRule="auto"/>
        <w:ind w:left="0" w:right="0" w:firstLine="640"/>
        <w:textAlignment w:val="baseline"/>
        <w:rPr>
          <w:sz w:val="32"/>
          <w:szCs w:val="32"/>
        </w:rPr>
      </w:pPr>
      <w:r>
        <w:rPr>
          <w:rFonts w:ascii="黑体" w:eastAsia="黑体" w:hAnsi="黑体" w:cs="黑体"/>
          <w:sz w:val="32"/>
          <w:szCs w:val="32"/>
        </w:rPr>
        <w:t>二、杜绝商业贿赂。</w:t>
      </w:r>
      <w:r>
        <w:rPr>
          <w:rFonts w:ascii="仿宋_GB2312" w:eastAsia="仿宋_GB2312" w:hAnsi="仿宋_GB2312" w:cs="仿宋_GB2312"/>
          <w:sz w:val="32"/>
          <w:szCs w:val="32"/>
        </w:rPr>
        <w:t>加强内部管理，我司及我司员工均不对甲方工作人员实施以下行为：</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（一）以各种形式和名义提供礼品、礼金、电子红包、支付凭证、商业预付卡、名贵特产、有价证券、股权、其他金融产品等财物。</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（二）以各种形式和名义提供宴请、旅游、健身、娱乐、私人会所等活动安排；代付加班餐费、打车费等。</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（三）以讲课费、咨询费等名义，提供或变相提供报酬。</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（四）借款、借房、借车，报销应由个人负担的费用。</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（五）以无偿、象征性地收取费用等方式提供家政、司机等服务劳务。</w:t>
      </w:r>
    </w:p>
    <w:p>
      <w:pPr>
        <w:pStyle w:val="MsoNormal"/>
        <w:spacing w:before="0" w:after="0" w:line="360" w:lineRule="auto"/>
        <w:ind w:left="0" w:right="0" w:firstLine="640"/>
        <w:textAlignment w:val="baseline"/>
        <w:rPr>
          <w:sz w:val="32"/>
          <w:szCs w:val="32"/>
        </w:rPr>
      </w:pPr>
      <w:r>
        <w:rPr>
          <w:rFonts w:ascii="仿宋_GB2312" w:eastAsia="仿宋_GB2312" w:hAnsi="仿宋_GB2312" w:cs="仿宋_GB2312"/>
          <w:sz w:val="32"/>
          <w:szCs w:val="32"/>
        </w:rPr>
        <w:t>（六）其他通过任何形式行贿或输送利益的行为。</w:t>
      </w:r>
    </w:p>
    <w:p>
      <w:pPr>
        <w:pStyle w:val="MsoNormal"/>
        <w:spacing w:before="0" w:after="0" w:line="360" w:lineRule="auto"/>
        <w:ind w:left="0" w:right="0" w:firstLine="640"/>
        <w:jc w:val="both"/>
        <w:textAlignment w:val="baseline"/>
        <w:rPr>
          <w:sz w:val="32"/>
          <w:szCs w:val="32"/>
        </w:rPr>
      </w:pPr>
      <w:r>
        <w:rPr>
          <w:rFonts w:ascii="黑体" w:eastAsia="黑体" w:hAnsi="黑体" w:cs="黑体"/>
          <w:sz w:val="32"/>
          <w:szCs w:val="32"/>
        </w:rPr>
        <w:t>三、规范经营活动。</w:t>
      </w:r>
      <w:r>
        <w:rPr>
          <w:rFonts w:ascii="仿宋_GB2312" w:eastAsia="仿宋_GB2312" w:hAnsi="仿宋_GB2312" w:cs="仿宋_GB2312"/>
          <w:sz w:val="32"/>
          <w:szCs w:val="32"/>
        </w:rPr>
        <w:t>严格按照合同约定履行义务，保证项目质量，按时完成建设任务；在合作过程中不以任何借口拖延工期、虚报成本或谋取私利。</w:t>
      </w:r>
    </w:p>
    <w:p>
      <w:pPr>
        <w:pStyle w:val="MsoNormal"/>
        <w:spacing w:before="0" w:after="0" w:line="360" w:lineRule="auto"/>
        <w:ind w:left="0" w:right="0" w:firstLine="640"/>
        <w:jc w:val="both"/>
        <w:textAlignment w:val="baseline"/>
        <w:rPr>
          <w:sz w:val="32"/>
          <w:szCs w:val="32"/>
        </w:rPr>
      </w:pPr>
      <w:r>
        <w:rPr>
          <w:rFonts w:ascii="黑体" w:eastAsia="黑体" w:hAnsi="黑体" w:cs="黑体"/>
          <w:sz w:val="32"/>
          <w:szCs w:val="32"/>
        </w:rPr>
        <w:t>四、公开透明合作。</w:t>
      </w:r>
      <w:r>
        <w:rPr>
          <w:rFonts w:ascii="仿宋_GB2312" w:eastAsia="仿宋_GB2312" w:hAnsi="仿宋_GB2312" w:cs="仿宋_GB2312"/>
          <w:sz w:val="32"/>
          <w:szCs w:val="32"/>
        </w:rPr>
        <w:t>我司承诺在项目实施过程中保持公开透明，主动接受税务部门及纪检监察机构的全程监督，并积极配合任何有关廉洁从业的调查工作。</w:t>
      </w:r>
    </w:p>
    <w:p>
      <w:pPr>
        <w:pStyle w:val="MsoNormal"/>
        <w:spacing w:before="0" w:after="0" w:line="360" w:lineRule="auto"/>
        <w:ind w:left="0" w:right="0" w:firstLine="640"/>
        <w:jc w:val="both"/>
        <w:textAlignment w:val="baseline"/>
        <w:rPr>
          <w:sz w:val="32"/>
          <w:szCs w:val="32"/>
        </w:rPr>
      </w:pPr>
      <w:r>
        <w:rPr>
          <w:rFonts w:ascii="黑体" w:eastAsia="黑体" w:hAnsi="黑体" w:cs="黑体"/>
          <w:sz w:val="32"/>
          <w:szCs w:val="32"/>
        </w:rPr>
        <w:t>五、严格内部管理。</w:t>
      </w:r>
      <w:r>
        <w:rPr>
          <w:rFonts w:ascii="仿宋_GB2312" w:eastAsia="仿宋_GB2312" w:hAnsi="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MsoNormal"/>
        <w:spacing w:before="0" w:after="0" w:line="360" w:lineRule="auto"/>
        <w:ind w:left="0" w:right="0" w:firstLine="640"/>
        <w:jc w:val="both"/>
        <w:textAlignment w:val="baseline"/>
        <w:rPr>
          <w:sz w:val="32"/>
          <w:szCs w:val="32"/>
        </w:rPr>
      </w:pPr>
      <w:r>
        <w:rPr>
          <w:rFonts w:ascii="黑体" w:eastAsia="黑体" w:hAnsi="黑体" w:cs="黑体"/>
          <w:sz w:val="32"/>
          <w:szCs w:val="32"/>
        </w:rPr>
        <w:t>六、积极参与监督。</w:t>
      </w:r>
      <w:r>
        <w:rPr>
          <w:rFonts w:ascii="仿宋_GB2312" w:eastAsia="仿宋_GB2312" w:hAnsi="仿宋_GB2312" w:cs="仿宋_GB2312"/>
          <w:sz w:val="32"/>
          <w:szCs w:val="32"/>
        </w:rPr>
        <w:t>在税务信息化项目实施过程中，如发现任何违纪违法行为，将如实反馈问题和意见。</w:t>
      </w:r>
    </w:p>
    <w:p>
      <w:pPr>
        <w:pStyle w:val="MsoNormal"/>
        <w:spacing w:before="0" w:after="0" w:line="360" w:lineRule="auto"/>
        <w:ind w:left="0" w:right="0" w:firstLine="640"/>
        <w:jc w:val="both"/>
        <w:textAlignment w:val="baseline"/>
        <w:rPr>
          <w:sz w:val="32"/>
          <w:szCs w:val="32"/>
        </w:rPr>
      </w:pPr>
      <w:r>
        <w:rPr>
          <w:rFonts w:ascii="仿宋_GB2312" w:eastAsia="仿宋_GB2312" w:hAnsi="仿宋_GB2312" w:cs="仿宋_GB2312"/>
          <w:sz w:val="32"/>
          <w:szCs w:val="32"/>
        </w:rPr>
        <w:t>    </w:t>
      </w:r>
    </w:p>
    <w:p>
      <w:pPr>
        <w:pStyle w:val="MsoNormal"/>
        <w:spacing w:before="0" w:after="0" w:line="360" w:lineRule="auto"/>
        <w:ind w:left="0" w:right="0" w:firstLine="640"/>
        <w:jc w:val="both"/>
        <w:textAlignment w:val="baseline"/>
        <w:rPr>
          <w:sz w:val="32"/>
          <w:szCs w:val="32"/>
        </w:rPr>
      </w:pPr>
      <w:r>
        <w:rPr>
          <w:rFonts w:ascii="仿宋_GB2312" w:eastAsia="仿宋_GB2312" w:hAnsi="仿宋_GB2312" w:cs="仿宋_GB2312"/>
          <w:sz w:val="32"/>
          <w:szCs w:val="32"/>
        </w:rPr>
        <w:t>承诺单位（盖章）：_________________________</w:t>
      </w:r>
    </w:p>
    <w:p>
      <w:pPr>
        <w:pStyle w:val="MsoNormal"/>
        <w:spacing w:before="0" w:after="0" w:line="360" w:lineRule="auto"/>
        <w:ind w:left="0" w:right="0" w:firstLine="640"/>
        <w:jc w:val="both"/>
        <w:textAlignment w:val="baseline"/>
        <w:rPr>
          <w:sz w:val="32"/>
          <w:szCs w:val="32"/>
        </w:rPr>
      </w:pPr>
      <w:r>
        <w:rPr>
          <w:rFonts w:ascii="仿宋_GB2312" w:eastAsia="仿宋_GB2312" w:hAnsi="仿宋_GB2312" w:cs="仿宋_GB2312"/>
          <w:sz w:val="32"/>
          <w:szCs w:val="32"/>
        </w:rPr>
        <w:t>法定代表人或授权代表签字：________________</w:t>
      </w:r>
    </w:p>
    <w:p>
      <w:pPr>
        <w:pStyle w:val="MsoNormal"/>
        <w:spacing w:before="0" w:after="0" w:line="360" w:lineRule="auto"/>
        <w:ind w:left="0" w:right="0" w:firstLine="640"/>
        <w:jc w:val="both"/>
        <w:textAlignment w:val="baseline"/>
        <w:rPr>
          <w:sz w:val="32"/>
          <w:szCs w:val="32"/>
        </w:rPr>
      </w:pPr>
      <w:r>
        <w:rPr>
          <w:rFonts w:ascii="仿宋_GB2312" w:eastAsia="仿宋_GB2312" w:hAnsi="仿宋_GB2312" w:cs="仿宋_GB2312"/>
          <w:sz w:val="32"/>
          <w:szCs w:val="32"/>
        </w:rPr>
        <w:t>日期：XX年XX月XX日</w:t>
      </w:r>
    </w:p>
    <w:p>
      <w:pPr>
        <w:pStyle w:val="MsoNormal"/>
        <w:spacing w:before="0" w:after="0" w:line="360" w:lineRule="auto"/>
        <w:ind w:left="0" w:right="0" w:firstLine="0"/>
        <w:jc w:val="both"/>
        <w:textAlignment w:val="baseline"/>
        <w:rPr>
          <w:sz w:val="32"/>
          <w:szCs w:val="32"/>
        </w:rPr>
      </w:pPr>
    </w:p>
    <w:p>
      <w:pPr>
        <w:pStyle w:val="MsoNormal"/>
        <w:spacing w:before="0" w:after="0" w:line="360" w:lineRule="auto"/>
        <w:ind w:left="0" w:right="0"/>
        <w:jc w:val="both"/>
        <w:textAlignment w:val="baseline"/>
        <w:rPr>
          <w:sz w:val="32"/>
          <w:szCs w:val="32"/>
        </w:rPr>
      </w:pPr>
      <w:r>
        <w:rPr>
          <w:rFonts w:ascii="仿宋_GB2312" w:eastAsia="仿宋_GB2312" w:hAnsi="仿宋_GB2312" w:cs="仿宋_GB2312"/>
          <w:sz w:val="21"/>
          <w:szCs w:val="21"/>
        </w:rPr>
        <w:t>备注：本承诺书一式两份，一份由承诺单位留存，另一份交税务部门备案。</w:t>
      </w:r>
    </w:p>
    <w:p>
      <w:pPr>
        <w:pStyle w:val="Normal0"/>
        <w:spacing w:before="0" w:after="0" w:line="360" w:lineRule="auto"/>
        <w:jc w:val="both"/>
        <w:rPr>
          <w:rFonts w:ascii="Times New Roman" w:eastAsia="Times New Roman" w:hAnsi="Times New Roman" w:cs="Times New Roman"/>
        </w:rPr>
      </w:pPr>
      <w:r>
        <w:rPr>
          <w:rFonts w:ascii="仿宋_GB2312" w:eastAsia="仿宋_GB2312" w:hAnsi="仿宋_GB2312" w:cs="仿宋_GB2312"/>
          <w:sz w:val="32"/>
          <w:szCs w:val="32"/>
        </w:rPr>
        <w:t>项目终验前提交《税务信息化项目服务商廉政反馈书》</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MsoNormal"/>
        <w:spacing w:before="0" w:after="0" w:line="360" w:lineRule="auto"/>
        <w:ind w:left="0" w:right="0" w:firstLine="712"/>
        <w:jc w:val="center"/>
        <w:textAlignment w:val="baseline"/>
        <w:rPr>
          <w:rFonts w:ascii="方正小标宋简体" w:eastAsia="方正小标宋简体" w:hAnsi="方正小标宋简体" w:cs="方正小标宋简体"/>
          <w:sz w:val="36"/>
          <w:szCs w:val="36"/>
        </w:rPr>
      </w:pPr>
    </w:p>
    <w:p>
      <w:pPr>
        <w:pStyle w:val="MsoNormal"/>
        <w:spacing w:before="0" w:after="0" w:line="360" w:lineRule="auto"/>
        <w:ind w:left="0" w:right="0" w:firstLine="712"/>
        <w:jc w:val="center"/>
        <w:textAlignment w:val="baseline"/>
        <w:rPr>
          <w:rFonts w:ascii="方正小标宋简体" w:eastAsia="方正小标宋简体" w:hAnsi="方正小标宋简体" w:cs="方正小标宋简体"/>
          <w:sz w:val="36"/>
          <w:szCs w:val="36"/>
        </w:rPr>
      </w:pPr>
    </w:p>
    <w:p>
      <w:pPr>
        <w:pStyle w:val="MsoNormal"/>
        <w:spacing w:before="0" w:after="0" w:line="360" w:lineRule="auto"/>
        <w:ind w:left="0" w:right="0" w:firstLine="712"/>
        <w:jc w:val="center"/>
        <w:textAlignment w:val="baseline"/>
        <w:rPr>
          <w:rFonts w:ascii="方正小标宋简体" w:eastAsia="方正小标宋简体" w:hAnsi="方正小标宋简体" w:cs="方正小标宋简体"/>
          <w:sz w:val="36"/>
          <w:szCs w:val="36"/>
        </w:rPr>
      </w:pPr>
    </w:p>
    <w:p>
      <w:pPr>
        <w:pStyle w:val="MsoNormal"/>
        <w:spacing w:before="0" w:after="0" w:line="360" w:lineRule="auto"/>
        <w:ind w:left="0" w:right="0" w:firstLine="712"/>
        <w:jc w:val="center"/>
        <w:textAlignment w:val="baseline"/>
        <w:rPr>
          <w:sz w:val="32"/>
          <w:szCs w:val="32"/>
        </w:rPr>
      </w:pPr>
      <w:r>
        <w:rPr>
          <w:rFonts w:ascii="方正小标宋简体" w:eastAsia="方正小标宋简体" w:hAnsi="方正小标宋简体" w:cs="方正小标宋简体"/>
          <w:sz w:val="36"/>
          <w:szCs w:val="36"/>
        </w:rPr>
        <w:t>税务信息化廉政情况反馈书</w:t>
      </w:r>
    </w:p>
    <w:tbl>
      <w:tblPr>
        <w:tblStyle w:val="MsoNormalTable"/>
        <w:tblW w:w="9370" w:type="dxa"/>
        <w:tblCellSpacing w:w="0" w:type="dxa"/>
        <w:tblInd w:w="221" w:type="dxa"/>
        <w:tblCellMar>
          <w:top w:w="15" w:type="dxa"/>
          <w:left w:w="15" w:type="dxa"/>
          <w:bottom w:w="15" w:type="dxa"/>
          <w:right w:w="15" w:type="dxa"/>
        </w:tblCellMar>
      </w:tblPr>
      <w:tblGrid>
        <w:gridCol w:w="2361"/>
        <w:gridCol w:w="7009"/>
      </w:tblGrid>
      <w:tr>
        <w:tblPrEx>
          <w:tblW w:w="9370" w:type="dxa"/>
          <w:tblCellSpacing w:w="0" w:type="dxa"/>
          <w:tblInd w:w="221" w:type="dxa"/>
          <w:tblCellMar>
            <w:top w:w="15" w:type="dxa"/>
            <w:left w:w="15" w:type="dxa"/>
            <w:bottom w:w="15" w:type="dxa"/>
            <w:right w:w="15" w:type="dxa"/>
          </w:tblCellMar>
        </w:tblPrEx>
        <w:trPr>
          <w:trHeight w:val="840"/>
          <w:tblCellSpacing w:w="0" w:type="dxa"/>
        </w:trPr>
        <w:tc>
          <w:tcPr>
            <w:tcW w:w="9626" w:type="dxa"/>
            <w:gridSpan w:val="2"/>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firstLine="632"/>
              <w:jc w:val="center"/>
              <w:textAlignment w:val="center"/>
              <w:rPr>
                <w:b w:val="0"/>
                <w:bCs w:val="0"/>
                <w:i w:val="0"/>
                <w:iCs w:val="0"/>
                <w:smallCaps w:val="0"/>
                <w:color w:val="000000"/>
                <w:sz w:val="32"/>
                <w:szCs w:val="32"/>
              </w:rPr>
            </w:pPr>
            <w:r>
              <w:rPr>
                <w:rFonts w:ascii="黑体" w:eastAsia="黑体" w:hAnsi="黑体" w:cs="黑体"/>
                <w:b w:val="0"/>
                <w:bCs w:val="0"/>
                <w:i w:val="0"/>
                <w:iCs w:val="0"/>
                <w:smallCaps w:val="0"/>
                <w:color w:val="000000"/>
                <w:sz w:val="32"/>
                <w:szCs w:val="32"/>
              </w:rPr>
              <w:t>项目基本情况</w:t>
            </w:r>
          </w:p>
        </w:tc>
      </w:tr>
      <w:tr>
        <w:tblPrEx>
          <w:tblW w:w="9370" w:type="dxa"/>
          <w:tblCellSpacing w:w="0" w:type="dxa"/>
          <w:tblInd w:w="221" w:type="dxa"/>
          <w:tblCellMar>
            <w:top w:w="15" w:type="dxa"/>
            <w:left w:w="15" w:type="dxa"/>
            <w:bottom w:w="15" w:type="dxa"/>
            <w:right w:w="15" w:type="dxa"/>
          </w:tblCellMar>
        </w:tblPrEx>
        <w:trPr>
          <w:trHeight w:val="285"/>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333333"/>
              </w:rPr>
              <w:t>项目名称（编号）</w:t>
            </w:r>
          </w:p>
        </w:tc>
        <w:tc>
          <w:tcPr>
            <w:tcW w:w="743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333333"/>
              </w:rPr>
              <w:t>XXX税务信息化项目  项目编号</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服务商名称</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XXX公司</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联系人及电话</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rFonts w:eastAsia="仿宋_GB2312" w:hint="eastAsia"/>
                <w:b w:val="0"/>
                <w:bCs w:val="0"/>
                <w:i w:val="0"/>
                <w:iCs w:val="0"/>
                <w:smallCaps w:val="0"/>
                <w:color w:val="000000"/>
                <w:sz w:val="32"/>
                <w:szCs w:val="32"/>
                <w:lang w:val="en-US" w:eastAsia="zh-CN"/>
              </w:rPr>
            </w:pPr>
            <w:r>
              <w:rPr>
                <w:rFonts w:ascii="仿宋_GB2312" w:eastAsia="仿宋_GB2312" w:hAnsi="仿宋_GB2312" w:cs="仿宋_GB2312"/>
                <w:b w:val="0"/>
                <w:bCs w:val="0"/>
                <w:i w:val="0"/>
                <w:iCs w:val="0"/>
                <w:smallCaps w:val="0"/>
                <w:color w:val="000000"/>
              </w:rPr>
              <w:t>联系人：  职务：   电话：</w:t>
            </w:r>
            <w:r>
              <w:rPr>
                <w:rFonts w:ascii="仿宋_GB2312" w:eastAsia="仿宋_GB2312" w:hAnsi="仿宋_GB2312" w:cs="仿宋_GB2312" w:hint="eastAsia"/>
                <w:b w:val="0"/>
                <w:bCs w:val="0"/>
                <w:i w:val="0"/>
                <w:iCs w:val="0"/>
                <w:smallCaps w:val="0"/>
                <w:color w:val="000000"/>
                <w:lang w:val="en-US" w:eastAsia="zh-CN"/>
              </w:rPr>
              <w:t xml:space="preserve"> </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项目情况概述</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baseline"/>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 </w:t>
            </w:r>
          </w:p>
        </w:tc>
      </w:tr>
      <w:tr>
        <w:tblPrEx>
          <w:tblW w:w="9370" w:type="dxa"/>
          <w:tblCellSpacing w:w="0" w:type="dxa"/>
          <w:tblInd w:w="221" w:type="dxa"/>
          <w:tblCellMar>
            <w:top w:w="15" w:type="dxa"/>
            <w:left w:w="15" w:type="dxa"/>
            <w:bottom w:w="15" w:type="dxa"/>
            <w:right w:w="15" w:type="dxa"/>
          </w:tblCellMar>
        </w:tblPrEx>
        <w:trPr>
          <w:trHeight w:val="700"/>
          <w:tblCellSpacing w:w="0" w:type="dxa"/>
        </w:trPr>
        <w:tc>
          <w:tcPr>
            <w:gridSpan w:val="2"/>
            <w:tcBorders>
              <w:left w:val="single" w:sz="8" w:space="0" w:color="000000"/>
              <w:bottom w:val="single" w:sz="8" w:space="0" w:color="000000"/>
              <w:right w:val="single" w:sz="8" w:space="0" w:color="000000"/>
            </w:tcBorders>
            <w:noWrap/>
            <w:tcMar>
              <w:top w:w="0" w:type="dxa"/>
              <w:left w:w="118" w:type="dxa"/>
              <w:bottom w:w="0" w:type="dxa"/>
              <w:right w:w="118" w:type="dxa"/>
            </w:tcMar>
            <w:vAlign w:val="center"/>
          </w:tcPr>
          <w:p>
            <w:pPr>
              <w:pStyle w:val="MsoNormal"/>
              <w:spacing w:before="0" w:after="0" w:line="580" w:lineRule="atLeast"/>
              <w:ind w:left="0" w:right="0" w:firstLine="632"/>
              <w:jc w:val="center"/>
              <w:textAlignment w:val="center"/>
              <w:rPr>
                <w:b w:val="0"/>
                <w:bCs w:val="0"/>
                <w:i w:val="0"/>
                <w:iCs w:val="0"/>
                <w:smallCaps w:val="0"/>
                <w:color w:val="000000"/>
                <w:sz w:val="32"/>
                <w:szCs w:val="32"/>
              </w:rPr>
            </w:pPr>
            <w:r>
              <w:rPr>
                <w:rFonts w:ascii="黑体" w:eastAsia="黑体" w:hAnsi="黑体" w:cs="黑体"/>
                <w:b w:val="0"/>
                <w:bCs w:val="0"/>
                <w:i w:val="0"/>
                <w:iCs w:val="0"/>
                <w:smallCaps w:val="0"/>
                <w:color w:val="000000"/>
                <w:sz w:val="32"/>
                <w:szCs w:val="32"/>
              </w:rPr>
              <w:t>廉洁承诺履行情况</w:t>
            </w:r>
          </w:p>
        </w:tc>
      </w:tr>
      <w:tr>
        <w:tblPrEx>
          <w:tblW w:w="9370" w:type="dxa"/>
          <w:tblCellSpacing w:w="0" w:type="dxa"/>
          <w:tblInd w:w="221" w:type="dxa"/>
          <w:tblCellMar>
            <w:top w:w="15" w:type="dxa"/>
            <w:left w:w="15" w:type="dxa"/>
            <w:bottom w:w="15" w:type="dxa"/>
            <w:right w:w="15" w:type="dxa"/>
          </w:tblCellMar>
        </w:tblPrEx>
        <w:trPr>
          <w:trHeight w:val="285"/>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333333"/>
              </w:rPr>
              <w:t>反馈项</w:t>
            </w:r>
          </w:p>
        </w:tc>
        <w:tc>
          <w:tcPr>
            <w:tcW w:w="743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333333"/>
              </w:rPr>
              <w:t>反馈内容</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杜绝商业贿赂</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向税务工作人员及其家属赠送礼品、礼金或提供任何形式的宴请、娱乐活动情况。</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规范经营活动</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按照合同要求，按时完成各阶段任务，确保项目质量和进度情况。</w:t>
            </w:r>
          </w:p>
        </w:tc>
      </w:tr>
      <w:tr>
        <w:tblPrEx>
          <w:tblW w:w="9370" w:type="dxa"/>
          <w:tblCellSpacing w:w="0" w:type="dxa"/>
          <w:tblInd w:w="221" w:type="dxa"/>
          <w:tblCellMar>
            <w:top w:w="15" w:type="dxa"/>
            <w:left w:w="15" w:type="dxa"/>
            <w:bottom w:w="15" w:type="dxa"/>
            <w:right w:w="15" w:type="dxa"/>
          </w:tblCellMar>
        </w:tblPrEx>
        <w:trPr>
          <w:trHeight w:val="570"/>
          <w:tblCellSpacing w:w="0" w:type="dxa"/>
        </w:trPr>
        <w:tc>
          <w:tcPr>
            <w:tcW w:w="241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公开透明合作</w:t>
            </w:r>
          </w:p>
        </w:tc>
        <w:tc>
          <w:tcPr>
            <w:tcW w:w="743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在项目实施过程中保持信息公开透明，主动接受相关部门的监督和检查情况。</w:t>
            </w:r>
          </w:p>
        </w:tc>
      </w:tr>
      <w:tr>
        <w:tblPrEx>
          <w:tblW w:w="9370" w:type="dxa"/>
          <w:tblCellSpacing w:w="0" w:type="dxa"/>
          <w:tblInd w:w="221" w:type="dxa"/>
          <w:tblCellMar>
            <w:top w:w="15" w:type="dxa"/>
            <w:left w:w="15" w:type="dxa"/>
            <w:bottom w:w="15" w:type="dxa"/>
            <w:right w:w="15" w:type="dxa"/>
          </w:tblCellMar>
        </w:tblPrEx>
        <w:trPr>
          <w:trHeight w:val="405"/>
          <w:tblCellSpacing w:w="0" w:type="dxa"/>
        </w:trPr>
        <w:tc>
          <w:tcPr>
            <w:gridSpan w:val="2"/>
            <w:tcBorders>
              <w:left w:val="single" w:sz="8" w:space="0" w:color="000000"/>
              <w:bottom w:val="single" w:sz="8" w:space="0" w:color="000000"/>
              <w:right w:val="single" w:sz="8" w:space="0" w:color="000000"/>
            </w:tcBorders>
            <w:noWrap/>
            <w:tcMar>
              <w:top w:w="0" w:type="dxa"/>
              <w:left w:w="118" w:type="dxa"/>
              <w:bottom w:w="0" w:type="dxa"/>
              <w:right w:w="118" w:type="dxa"/>
            </w:tcMar>
            <w:vAlign w:val="center"/>
          </w:tcPr>
          <w:p>
            <w:pPr>
              <w:pStyle w:val="MsoNormal"/>
              <w:spacing w:before="0" w:after="0" w:line="580" w:lineRule="atLeast"/>
              <w:ind w:left="0" w:right="0" w:firstLine="632"/>
              <w:jc w:val="center"/>
              <w:textAlignment w:val="center"/>
              <w:rPr>
                <w:b w:val="0"/>
                <w:bCs w:val="0"/>
                <w:i w:val="0"/>
                <w:iCs w:val="0"/>
                <w:smallCaps w:val="0"/>
                <w:color w:val="000000"/>
                <w:sz w:val="32"/>
                <w:szCs w:val="32"/>
              </w:rPr>
            </w:pPr>
            <w:r>
              <w:rPr>
                <w:rFonts w:ascii="黑体" w:eastAsia="黑体" w:hAnsi="黑体" w:cs="黑体"/>
                <w:b w:val="0"/>
                <w:bCs w:val="0"/>
                <w:i w:val="0"/>
                <w:iCs w:val="0"/>
                <w:smallCaps w:val="0"/>
                <w:color w:val="000000"/>
                <w:sz w:val="32"/>
                <w:szCs w:val="32"/>
              </w:rPr>
              <w:t>税务人员履职期间廉政情况</w:t>
            </w:r>
          </w:p>
        </w:tc>
      </w:tr>
      <w:tr>
        <w:tblPrEx>
          <w:tblW w:w="9370" w:type="dxa"/>
          <w:tblCellSpacing w:w="0" w:type="dxa"/>
          <w:tblInd w:w="221" w:type="dxa"/>
          <w:tblCellMar>
            <w:top w:w="15" w:type="dxa"/>
            <w:left w:w="15" w:type="dxa"/>
            <w:bottom w:w="15" w:type="dxa"/>
            <w:right w:w="15" w:type="dxa"/>
          </w:tblCellMar>
        </w:tblPrEx>
        <w:trPr>
          <w:trHeight w:val="505"/>
          <w:tblCellSpacing w:w="0" w:type="dxa"/>
        </w:trPr>
        <w:tc>
          <w:tcPr>
            <w:tcW w:w="2417" w:type="dxa"/>
            <w:vMerge w:val="restart"/>
            <w:tcBorders>
              <w:left w:val="single" w:sz="8" w:space="0" w:color="000000"/>
              <w:bottom w:val="nil"/>
              <w:right w:val="single" w:sz="8" w:space="0" w:color="000000"/>
            </w:tcBorders>
            <w:noWrap w:val="0"/>
            <w:tcMar>
              <w:top w:w="0" w:type="dxa"/>
              <w:left w:w="118" w:type="dxa"/>
              <w:bottom w:w="0" w:type="dxa"/>
              <w:right w:w="118" w:type="dxa"/>
            </w:tcMar>
            <w:vAlign w:val="center"/>
          </w:tcPr>
          <w:p>
            <w:pPr>
              <w:pStyle w:val="MsoNormal"/>
              <w:spacing w:before="0" w:after="0" w:line="580" w:lineRule="atLeast"/>
              <w:ind w:left="0" w:right="0"/>
              <w:jc w:val="both"/>
              <w:textAlignment w:val="center"/>
              <w:rPr>
                <w:b w:val="0"/>
                <w:bCs w:val="0"/>
                <w:i w:val="0"/>
                <w:iCs w:val="0"/>
                <w:smallCaps w:val="0"/>
                <w:color w:val="000000"/>
                <w:sz w:val="32"/>
                <w:szCs w:val="32"/>
              </w:rPr>
            </w:pPr>
            <w:r>
              <w:rPr>
                <w:rFonts w:ascii="仿宋_GB2312" w:eastAsia="仿宋_GB2312" w:hAnsi="仿宋_GB2312" w:cs="仿宋_GB2312"/>
                <w:b/>
                <w:bCs/>
                <w:i w:val="0"/>
                <w:iCs w:val="0"/>
                <w:smallCaps w:val="0"/>
                <w:color w:val="000000"/>
              </w:rPr>
              <w:t>税务人员履职过程存在违纪违规行为</w:t>
            </w:r>
          </w:p>
        </w:tc>
        <w:tc>
          <w:tcPr>
            <w:tcW w:w="743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333333"/>
              </w:rPr>
              <w:t>否</w:t>
            </w:r>
          </w:p>
        </w:tc>
      </w:tr>
      <w:tr>
        <w:tblPrEx>
          <w:tblW w:w="9370" w:type="dxa"/>
          <w:tblCellSpacing w:w="0" w:type="dxa"/>
          <w:tblInd w:w="221" w:type="dxa"/>
          <w:tblCellMar>
            <w:top w:w="15" w:type="dxa"/>
            <w:left w:w="15" w:type="dxa"/>
            <w:bottom w:w="15" w:type="dxa"/>
            <w:right w:w="15" w:type="dxa"/>
          </w:tblCellMar>
        </w:tblPrEx>
        <w:trPr>
          <w:trHeight w:val="285"/>
          <w:tblCellSpacing w:w="0" w:type="dxa"/>
        </w:trPr>
        <w:tc>
          <w:tcPr>
            <w:vMerge/>
            <w:tcBorders>
              <w:left w:val="single" w:sz="8" w:space="0" w:color="000000"/>
              <w:right w:val="single" w:sz="8" w:space="0" w:color="000000"/>
            </w:tcBorders>
            <w:vAlign w:val="center"/>
          </w:tcPr>
          <w:p>
            <w:pPr>
              <w:pStyle w:val="Normal0"/>
              <w:rPr>
                <w:rFonts w:ascii="仿宋_GB2312" w:eastAsia="仿宋_GB2312" w:hAnsi="仿宋_GB2312" w:cs="仿宋_GB2312"/>
                <w:b w:val="0"/>
                <w:bCs w:val="0"/>
                <w:i w:val="0"/>
                <w:iCs w:val="0"/>
                <w:smallCaps w:val="0"/>
                <w:color w:val="333333"/>
              </w:rPr>
            </w:pPr>
          </w:p>
        </w:tc>
        <w:tc>
          <w:tcPr>
            <w:tcW w:w="7435" w:type="dxa"/>
            <w:vMerge w:val="restart"/>
            <w:tcBorders>
              <w:bottom w:val="nil"/>
              <w:right w:val="single" w:sz="8" w:space="0" w:color="000000"/>
            </w:tcBorders>
            <w:noWrap w:val="0"/>
            <w:tcMar>
              <w:top w:w="0" w:type="dxa"/>
              <w:left w:w="108" w:type="dxa"/>
              <w:bottom w:w="0" w:type="dxa"/>
              <w:right w:w="118" w:type="dxa"/>
            </w:tcMar>
            <w:vAlign w:val="center"/>
          </w:tcPr>
          <w:p>
            <w:pPr>
              <w:pStyle w:val="MsoNormal"/>
              <w:spacing w:before="0" w:after="0" w:line="580" w:lineRule="atLeast"/>
              <w:ind w:left="0" w:right="0" w:firstLine="472"/>
              <w:jc w:val="center"/>
              <w:textAlignment w:val="center"/>
              <w:rPr>
                <w:b w:val="0"/>
                <w:bCs w:val="0"/>
                <w:i w:val="0"/>
                <w:iCs w:val="0"/>
                <w:smallCaps w:val="0"/>
                <w:color w:val="000000"/>
                <w:sz w:val="32"/>
                <w:szCs w:val="32"/>
              </w:rPr>
            </w:pPr>
            <w:r>
              <w:rPr>
                <w:rFonts w:ascii="仿宋_GB2312" w:eastAsia="仿宋_GB2312" w:hAnsi="仿宋_GB2312" w:cs="仿宋_GB2312"/>
                <w:b w:val="0"/>
                <w:bCs w:val="0"/>
                <w:i w:val="0"/>
                <w:iCs w:val="0"/>
                <w:smallCaps w:val="0"/>
                <w:color w:val="000000"/>
              </w:rPr>
              <w:t>是（说明具体情况）</w:t>
            </w:r>
          </w:p>
        </w:tc>
      </w:tr>
      <w:tr>
        <w:tblPrEx>
          <w:tblW w:w="9370" w:type="dxa"/>
          <w:tblCellSpacing w:w="0" w:type="dxa"/>
          <w:tblInd w:w="221" w:type="dxa"/>
          <w:tblCellMar>
            <w:top w:w="15" w:type="dxa"/>
            <w:left w:w="15" w:type="dxa"/>
            <w:bottom w:w="15" w:type="dxa"/>
            <w:right w:w="15" w:type="dxa"/>
          </w:tblCellMar>
        </w:tblPrEx>
        <w:trPr>
          <w:trHeight w:val="537"/>
          <w:tblCellSpacing w:w="0" w:type="dxa"/>
        </w:trPr>
        <w:tc>
          <w:tcPr>
            <w:vMerge/>
            <w:tcBorders>
              <w:left w:val="single" w:sz="8" w:space="0" w:color="000000"/>
              <w:bottom w:val="single" w:sz="8" w:space="0" w:color="000000"/>
              <w:right w:val="single" w:sz="8" w:space="0" w:color="000000"/>
            </w:tcBorders>
            <w:vAlign w:val="center"/>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tcPr>
          <w:p>
            <w:pPr>
              <w:pStyle w:val="Normal0"/>
              <w:rPr>
                <w:rFonts w:ascii="仿宋_GB2312" w:eastAsia="仿宋_GB2312" w:hAnsi="仿宋_GB2312" w:cs="仿宋_GB2312"/>
                <w:b w:val="0"/>
                <w:bCs w:val="0"/>
                <w:i w:val="0"/>
                <w:iCs w:val="0"/>
                <w:smallCaps w:val="0"/>
                <w:color w:val="000000"/>
              </w:rPr>
            </w:pPr>
          </w:p>
        </w:tc>
      </w:tr>
    </w:tbl>
    <w:p>
      <w:pPr>
        <w:pStyle w:val="MsoNormal"/>
        <w:spacing w:before="0" w:after="0" w:line="360" w:lineRule="auto"/>
        <w:ind w:left="0" w:right="0"/>
        <w:jc w:val="both"/>
        <w:textAlignment w:val="baseline"/>
        <w:rPr>
          <w:sz w:val="32"/>
          <w:szCs w:val="32"/>
        </w:rPr>
      </w:pPr>
      <w:r>
        <w:rPr>
          <w:rStyle w:val="150"/>
          <w:rFonts w:ascii="仿宋_GB2312" w:eastAsia="仿宋_GB2312" w:hAnsi="仿宋_GB2312" w:cs="仿宋_GB2312"/>
          <w:spacing w:val="0"/>
          <w:sz w:val="32"/>
          <w:szCs w:val="32"/>
          <w:shd w:val="clear" w:color="auto" w:fill="FFFFFF"/>
        </w:rPr>
        <w:t>提交单位（盖章）：XXX公司</w:t>
      </w:r>
      <w:r>
        <w:rPr>
          <w:rStyle w:val="150"/>
          <w:rFonts w:ascii="仿宋_GB2312" w:eastAsia="仿宋_GB2312" w:hAnsi="仿宋_GB2312" w:cs="仿宋_GB2312"/>
          <w:spacing w:val="0"/>
          <w:sz w:val="32"/>
          <w:szCs w:val="32"/>
          <w:shd w:val="clear" w:color="auto" w:fill="FFFFFF"/>
        </w:rPr>
        <w:br/>
      </w:r>
      <w:r>
        <w:rPr>
          <w:rStyle w:val="150"/>
          <w:rFonts w:ascii="仿宋_GB2312" w:eastAsia="仿宋_GB2312" w:hAnsi="仿宋_GB2312" w:cs="仿宋_GB2312"/>
          <w:spacing w:val="0"/>
          <w:sz w:val="32"/>
          <w:szCs w:val="32"/>
          <w:shd w:val="clear" w:color="auto" w:fill="FFFFFF"/>
        </w:rPr>
        <w:t>法定代表人或授权代表签字：_________________________</w:t>
      </w:r>
      <w:r>
        <w:rPr>
          <w:rStyle w:val="150"/>
          <w:rFonts w:ascii="仿宋_GB2312" w:eastAsia="仿宋_GB2312" w:hAnsi="仿宋_GB2312" w:cs="仿宋_GB2312"/>
          <w:spacing w:val="0"/>
          <w:sz w:val="32"/>
          <w:szCs w:val="32"/>
          <w:shd w:val="clear" w:color="auto" w:fill="FFFFFF"/>
        </w:rPr>
        <w:br/>
      </w:r>
      <w:r>
        <w:rPr>
          <w:rStyle w:val="150"/>
          <w:rFonts w:ascii="仿宋_GB2312" w:eastAsia="仿宋_GB2312" w:hAnsi="仿宋_GB2312" w:cs="仿宋_GB2312"/>
          <w:spacing w:val="0"/>
          <w:sz w:val="32"/>
          <w:szCs w:val="32"/>
          <w:shd w:val="clear" w:color="auto" w:fill="FFFFFF"/>
        </w:rPr>
        <w:t>日期：XX年XX月XX日</w:t>
      </w:r>
    </w:p>
    <w:p>
      <w:pPr>
        <w:pStyle w:val="Heading30"/>
        <w:keepNext w:val="0"/>
        <w:spacing w:before="0" w:after="0" w:line="360" w:lineRule="auto"/>
        <w:rPr>
          <w:rFonts w:ascii="仿宋_GB2312" w:eastAsia="仿宋_GB2312" w:hAnsi="仿宋_GB2312" w:cs="仿宋_GB2312"/>
          <w:sz w:val="28"/>
          <w:szCs w:val="28"/>
        </w:rPr>
      </w:pPr>
      <w:bookmarkStart w:id="47" w:name="_Toc256000042"/>
    </w:p>
    <w:p>
      <w:pPr>
        <w:pStyle w:val="Heading30"/>
        <w:keepNext w:val="0"/>
        <w:spacing w:before="0" w:after="0" w:line="360" w:lineRule="auto"/>
        <w:rPr>
          <w:rFonts w:ascii="仿宋_GB2312" w:eastAsia="仿宋_GB2312" w:hAnsi="仿宋_GB2312" w:cs="仿宋_GB2312"/>
          <w:sz w:val="28"/>
          <w:szCs w:val="28"/>
        </w:rPr>
      </w:pPr>
    </w:p>
    <w:p>
      <w:pPr>
        <w:pStyle w:val="Heading30"/>
        <w:keepNext w:val="0"/>
        <w:spacing w:before="0" w:after="0" w:line="360" w:lineRule="auto"/>
        <w:rPr>
          <w:rFonts w:ascii="仿宋_GB2312" w:eastAsia="仿宋_GB2312" w:hAnsi="仿宋_GB2312" w:cs="仿宋_GB2312"/>
          <w:sz w:val="28"/>
          <w:szCs w:val="28"/>
        </w:rPr>
      </w:pPr>
    </w:p>
    <w:p>
      <w:pPr>
        <w:pStyle w:val="Heading3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sz w:val="28"/>
          <w:szCs w:val="28"/>
        </w:rPr>
        <w:t>10.1.2★供应链安全管理要求</w:t>
      </w:r>
      <w:bookmarkEnd w:id="4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税务系统信息化服务商失信行为记录名单制度（试行）》（税总办征科发〔2022〕1号）要求，组织对供应商进行失信行为认定，并采取相应的处置措施。</w:t>
      </w:r>
    </w:p>
    <w:p>
      <w:pPr>
        <w:pStyle w:val="Heading30"/>
        <w:keepNext w:val="0"/>
        <w:spacing w:before="0" w:after="0" w:line="360" w:lineRule="auto"/>
        <w:rPr>
          <w:rFonts w:ascii="仿宋_GB2312" w:eastAsia="仿宋_GB2312" w:hAnsi="仿宋_GB2312" w:cs="仿宋_GB2312"/>
          <w:b/>
          <w:bCs/>
          <w:sz w:val="28"/>
          <w:szCs w:val="28"/>
        </w:rPr>
      </w:pPr>
      <w:bookmarkStart w:id="48" w:name="_Toc256000043"/>
      <w:r>
        <w:rPr>
          <w:rFonts w:ascii="仿宋_GB2312" w:eastAsia="仿宋_GB2312" w:hAnsi="仿宋_GB2312" w:cs="仿宋_GB2312"/>
          <w:sz w:val="28"/>
          <w:szCs w:val="28"/>
        </w:rPr>
        <w:t>10.1.3★信息化服务运维人员要求</w:t>
      </w:r>
      <w:bookmarkEnd w:id="4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Heading30"/>
        <w:keepNext w:val="0"/>
        <w:spacing w:before="0" w:after="0" w:line="360" w:lineRule="auto"/>
        <w:rPr>
          <w:rFonts w:ascii="仿宋_GB2312" w:eastAsia="仿宋_GB2312" w:hAnsi="仿宋_GB2312" w:cs="仿宋_GB2312"/>
          <w:b/>
          <w:bCs/>
          <w:sz w:val="28"/>
          <w:szCs w:val="28"/>
        </w:rPr>
      </w:pPr>
      <w:bookmarkStart w:id="49" w:name="_Toc256000044"/>
      <w:r>
        <w:rPr>
          <w:rFonts w:ascii="仿宋_GB2312" w:eastAsia="仿宋_GB2312" w:hAnsi="仿宋_GB2312" w:cs="仿宋_GB2312"/>
          <w:sz w:val="28"/>
          <w:szCs w:val="28"/>
        </w:rPr>
        <w:t>10.1.4其他</w:t>
      </w:r>
      <w:bookmarkEnd w:id="4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50" w:name="_Toc256000045"/>
      <w:r>
        <w:rPr>
          <w:rFonts w:ascii="仿宋_GB2312" w:eastAsia="仿宋_GB2312" w:hAnsi="仿宋_GB2312" w:cs="仿宋_GB2312"/>
          <w:i w:val="0"/>
          <w:iCs w:val="0"/>
        </w:rPr>
        <w:t>10.2知识产权要求</w:t>
      </w:r>
      <w:bookmarkEnd w:id="50"/>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投标人需保证在本项目中所有预装和为本项目安装的软件为在中国境内具有合法版权或使用权的正版软件且无质量瑕疵。</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32"/>
          <w:szCs w:val="32"/>
        </w:rPr>
        <w:t>投标人需保证所提供的服务不侵犯第三方的知识产权（专利权、商标权、版权等），因侵害第三方知识产权而产生的法律责任，全部由投标人承担。</w:t>
      </w:r>
    </w:p>
    <w:p>
      <w:pPr>
        <w:pStyle w:val="Heading20"/>
        <w:keepNext w:val="0"/>
        <w:spacing w:before="0" w:after="0" w:line="360" w:lineRule="auto"/>
        <w:rPr>
          <w:rFonts w:ascii="仿宋_GB2312" w:eastAsia="仿宋_GB2312" w:hAnsi="仿宋_GB2312" w:cs="仿宋_GB2312"/>
          <w:b/>
          <w:bCs/>
          <w:sz w:val="28"/>
          <w:szCs w:val="28"/>
        </w:rPr>
      </w:pPr>
      <w:bookmarkStart w:id="51" w:name="_Toc256000046"/>
      <w:r>
        <w:rPr>
          <w:rFonts w:ascii="仿宋_GB2312" w:eastAsia="仿宋_GB2312" w:hAnsi="仿宋_GB2312" w:cs="仿宋_GB2312"/>
          <w:i w:val="0"/>
          <w:iCs w:val="0"/>
        </w:rPr>
        <w:t>10.3付款安排建议</w:t>
      </w:r>
      <w:bookmarkEnd w:id="51"/>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项目经验收合格30个工作日内由中标供应商出具等额发票后，支付合同款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52" w:name="_Toc256000047"/>
      <w:r>
        <w:rPr>
          <w:rFonts w:ascii="仿宋_GB2312" w:eastAsia="仿宋_GB2312" w:hAnsi="仿宋_GB2312" w:cs="仿宋_GB2312"/>
          <w:i w:val="0"/>
          <w:iCs w:val="0"/>
        </w:rPr>
        <w:t>10.4其它</w:t>
      </w:r>
      <w:bookmarkEnd w:id="52"/>
    </w:p>
    <w:p>
      <w:pPr>
        <w:pStyle w:val="Heading40"/>
        <w:keepNext w:val="0"/>
        <w:spacing w:before="0" w:after="0" w:line="360" w:lineRule="auto"/>
        <w:rPr>
          <w:rFonts w:ascii="仿宋_GB2312" w:eastAsia="仿宋_GB2312" w:hAnsi="仿宋_GB2312" w:cs="仿宋_GB2312" w:hint="eastAsia"/>
          <w:lang w:eastAsia="zh-CN"/>
        </w:rPr>
      </w:pPr>
      <w:r>
        <w:rPr>
          <w:rFonts w:ascii="仿宋_GB2312" w:eastAsia="仿宋_GB2312" w:hAnsi="仿宋_GB2312" w:cs="仿宋_GB2312" w:hint="eastAsia"/>
          <w:lang w:eastAsia="zh-CN"/>
        </w:rPr>
        <w:t>无</w:t>
      </w:r>
    </w:p>
    <w:p>
      <w:pPr>
        <w:pStyle w:val="Heading40"/>
        <w:keepNext w:val="0"/>
        <w:spacing w:before="0" w:after="0" w:line="360" w:lineRule="auto"/>
        <w:rPr>
          <w:rFonts w:ascii="仿宋_GB2312" w:eastAsia="仿宋_GB2312" w:hAnsi="仿宋_GB2312" w:cs="仿宋_GB2312"/>
        </w:rPr>
      </w:pPr>
    </w:p>
    <w:p>
      <w:pPr>
        <w:pStyle w:val="Heading40"/>
        <w:keepNext w:val="0"/>
        <w:spacing w:before="0" w:after="0" w:line="360" w:lineRule="auto"/>
        <w:rPr>
          <w:rFonts w:ascii="仿宋_GB2312" w:eastAsia="仿宋_GB2312" w:hAnsi="仿宋_GB2312" w:cs="仿宋_GB2312"/>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p>
    <w:p>
      <w:pPr>
        <w:pStyle w:val="Heading40"/>
        <w:keepNext w:val="0"/>
        <w:spacing w:before="0" w:after="0" w:line="360" w:lineRule="auto"/>
        <w:jc w:val="center"/>
        <w:rPr>
          <w:rFonts w:ascii="仿宋_GB2312" w:eastAsia="仿宋_GB2312" w:hAnsi="仿宋_GB2312" w:cs="仿宋_GB2312" w:hint="eastAsia"/>
          <w:lang w:eastAsia="zh-CN"/>
        </w:rPr>
      </w:pPr>
      <w:r>
        <w:rPr>
          <w:rFonts w:ascii="仿宋_GB2312" w:eastAsia="仿宋_GB2312" w:hAnsi="仿宋_GB2312" w:cs="仿宋_GB2312" w:hint="eastAsia"/>
          <w:lang w:eastAsia="zh-CN"/>
        </w:rPr>
        <w:t>双向安全交换系统扩容项目</w:t>
      </w:r>
    </w:p>
    <w:p>
      <w:pPr>
        <w:pStyle w:val="Heading40"/>
        <w:keepNext w:val="0"/>
        <w:spacing w:before="0" w:after="0" w:line="360" w:lineRule="auto"/>
        <w:jc w:val="center"/>
        <w:rPr>
          <w:rFonts w:ascii="仿宋_GB2312" w:eastAsia="仿宋_GB2312" w:hAnsi="仿宋_GB2312" w:cs="仿宋_GB2312" w:hint="eastAsia"/>
        </w:rPr>
      </w:pPr>
      <w:r>
        <w:rPr>
          <w:rFonts w:ascii="仿宋_GB2312" w:eastAsia="仿宋_GB2312" w:hAnsi="仿宋_GB2312" w:cs="仿宋_GB2312" w:hint="eastAsia"/>
        </w:rPr>
        <w:t>“满足指标要求情况”内容</w:t>
      </w:r>
      <w:r>
        <w:rPr>
          <w:rFonts w:ascii="仿宋_GB2312" w:eastAsia="仿宋_GB2312" w:hAnsi="仿宋_GB2312" w:cs="仿宋_GB2312"/>
        </w:rPr>
        <w:t>（概括版）</w:t>
      </w:r>
    </w:p>
    <w:p>
      <w:pPr>
        <w:pStyle w:val="Heading40"/>
        <w:keepNext w:val="0"/>
        <w:spacing w:before="0" w:after="0" w:line="360" w:lineRule="auto"/>
        <w:rPr>
          <w:rFonts w:ascii="仿宋_GB2312" w:eastAsia="仿宋_GB2312" w:hAnsi="仿宋_GB2312" w:cs="仿宋_GB2312"/>
        </w:rPr>
      </w:pPr>
    </w:p>
    <w:p>
      <w:pPr>
        <w:pStyle w:val="Heading40"/>
        <w:keepNext w:val="0"/>
        <w:spacing w:before="0" w:after="0" w:line="360" w:lineRule="auto"/>
        <w:rPr>
          <w:b/>
          <w:bCs/>
          <w:sz w:val="28"/>
          <w:szCs w:val="28"/>
        </w:rPr>
      </w:pPr>
      <w:r>
        <w:rPr>
          <w:rFonts w:ascii="仿宋_GB2312" w:eastAsia="仿宋_GB2312" w:hAnsi="仿宋_GB2312" w:cs="仿宋_GB2312"/>
        </w:rPr>
        <w:t>服务器</w:t>
      </w:r>
    </w:p>
    <w:tbl>
      <w:tblPr>
        <w:tblStyle w:val="16"/>
        <w:tblW w:w="9230" w:type="dxa"/>
        <w:tblCellSpacing w:w="0" w:type="dxa"/>
        <w:tblInd w:w="266" w:type="dxa"/>
        <w:tblCellMar>
          <w:top w:w="15" w:type="dxa"/>
          <w:left w:w="15" w:type="dxa"/>
          <w:bottom w:w="15" w:type="dxa"/>
          <w:right w:w="15" w:type="dxa"/>
        </w:tblCellMar>
      </w:tblPr>
      <w:tblGrid>
        <w:gridCol w:w="776"/>
        <w:gridCol w:w="1791"/>
        <w:gridCol w:w="1807"/>
        <w:gridCol w:w="2240"/>
        <w:gridCol w:w="899"/>
        <w:gridCol w:w="1717"/>
      </w:tblGrid>
      <w:tr>
        <w:tblPrEx>
          <w:tblW w:w="9230" w:type="dxa"/>
          <w:tblCellSpacing w:w="0" w:type="dxa"/>
          <w:tblInd w:w="266" w:type="dxa"/>
          <w:tblCellMar>
            <w:top w:w="15" w:type="dxa"/>
            <w:left w:w="15" w:type="dxa"/>
            <w:bottom w:w="15" w:type="dxa"/>
            <w:right w:w="15" w:type="dxa"/>
          </w:tblCellMar>
        </w:tblPrEx>
        <w:trPr>
          <w:trHeight w:val="656"/>
          <w:tblCellSpacing w:w="0" w:type="dxa"/>
        </w:trPr>
        <w:tc>
          <w:tcPr>
            <w:tcW w:w="804" w:type="dxa"/>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874"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1891"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2311"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938"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1808"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是否需要证明材料</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产品规格-CPU规格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CPU信息</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处理器≥16 核,主频 ≥2.5GHz,单CPU末级缓存容量≥32MB</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产品规格-主板规格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主板支持的CPU和内存情况</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C86-3G架构，2颗CPU颗处理器，可扩展≥16个内存插槽；内存容量≥256GB DDR4，单根内存容量≥32G。</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产品规格-主板规格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主板内存槽数量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可扩展插槽数量应不少于4个</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产品规格-主板规格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主板存储接口</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 SATA等存储接口</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8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产品规格-主板规格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PCIe 插槽接口</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 PCIe3.0 或以上的高速串行计算机扩展总线标准，PCIe 的接口速率与位宽需保证向下兼容</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产品规格-主板规格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主板PCIe 插槽数量及规格</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高度大于 44.45mm 双路或以上服务器 PCIe 插槽或接口应不少于5个</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产品规格-内存规格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内存数量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内存数量≥8</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产品规格-内存规格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内存规格</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内存规格≥DDR4</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9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产品规格-内存规格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内存通道</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支持多个内存接口通道，每个通道可支持 1DPC 或 2DPC，当支持 2DPC 时，印制电路板上应具备插槽的序号标识，具体通道数应在随机文件中明确</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25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产品规格-存储规格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硬磁盘实配容量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硬盘总体裸容量不小于32TB，单盘可用容量不少于600GB；</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固态盘SSD单盘可用容量不小于480GB，总体容量不小于3.84TB</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产品规格-存储规格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硬盘数量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机械硬盘数量≥4块；</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固态盘SSD盘数量≥2块</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32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产品规格-存储规格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硬盘插槽数量及规格</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 硬盘尺寸3.5 英寸硬磁盘；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机箱高度为 88.9mm 的服务器可支持的硬盘数量应不少于 8 块，机箱高度为 44.45mm 的服务器可支持的硬盘数量应不少于 4 块"</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产品规格-网络规格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网口速率和数量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配备网口数量不少于4个，网口速率1GE；</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配置网口数量不少于10个，网口速率10GE</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产品规格-外部接口规格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显示接口</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显示接口类型支持 VGA等</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产品规格-外部接口规格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USB 接口</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配备不少于4个USB接口，接口满足2.0及以上</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产品规格-电源规格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电源模块数量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≥2个冗余电源模块</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产品规格-电源规格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电源功率</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提供≥550w电源模块，满足处理器满载时的需求</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3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产品规格-整机规格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外观和结构</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a)服务器的零部件应紧固无松动，可插拔部件应可靠连接，开关、按钮和其它控制部件应灵活可靠，布局应方便使用；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产品表面不应有明显的凹痕、划伤、裂缝、变形和污染等。表面涂层均匀，不应起泡、龟裂、脱落和磨损，金属零部件无锈蚀及其它机械损伤；</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产品表面说明功能的文字、符号和标志应清晰、端正且牢固；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应在服务器的显著位置提供运行状态的指示功能，并在随机文件中明确具体含义；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e) 机架、机箱的尺寸应符合通用机柜的安装要求，插入总线插座的电路板接口外形尺寸应符合有关总线标准的规定，将机箱固定在机柜上，机箱底面最大下垂变形不得干涉相邻机体；</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f) 2U机架式服务器;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g) 服务器尺寸具体要求在随机文件中明确</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产品规格-整机规格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尺寸（高×宽×深）</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２Ｕ机架式服务器，配置原厂导轨</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6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产品规格-整机规格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环境适应性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气候环境适应性应符合GB/T 9813.3 的有关规定，工作温度 10～35℃，贮存运输温度-40～55℃；工作相对湿度 35％～80％，贮存运输相对湿度 20％～93％（40℃）；大气压86～106kPa</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产品规格-整机规格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机械环境适应性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机械环境适应性应符合GB/T 9813.3 的有关规定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产品规格-整机规格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噪声</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符合GB/T 9813.3 的有关规定，在产品说明中给出具体测试值</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产品规格-机柜规格</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机柜尺寸</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２Ｕ机架式服务器，配置原厂导轨</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功能要求-主板功能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主板外部接口种类</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支持USB、显示、管理等接口，如：VGA、USB3.0接口、BMC 管理端口等</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功能要求-网络功能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网络功能</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支持网络连接、网络访问、数据交换和网络管控功能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6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功能要求-CPU功能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计算处理</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支持通用计算及虚拟化功能。处理器需集成整型计算单元、浮点计算单元、内存控制器、I/O 模块等，处理器与存储部件、网络部件、I/O 部件等组成计算系统，提供数据处理、网络接入等计算相关功能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功能要求-CPU功能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密码算法实现</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 芯片应符合GM/T 0008 的相关规定，或芯片密码模块应符合GB/T 37092 或 GM/T 0028 的相关规定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功能要求-光驱功能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电源热插拔</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整机电源模块应具备热插拔功能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功能要求-光驱功能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电源过流保护</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支持过流及短路保护的功能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功能要求-整机功能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散热方式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支持风冷或液冷等散热方式</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96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功能要求-管理系统功能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BMC 固件基础功能</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 支持DHCP 设置网络功能；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 支持静态IP 设置网络功能；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 支持设备日志记录，包括但不限于登录日志、操作日志和报警日志等功能；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 支持日志信息导出和记录删除功能；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 支持通过管理接口向外输出准确的报警信息功能；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6) 设备的BMC管理软件应能够按报警的严重程度进行区分；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7) 支持IPMI2.0、SNMP或Redfish等接口功能；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8) 支持键盘、鼠标和视频的重定向、文本控制台的重定向、远程虚拟媒体、高可靠的硬件监控和管理功能；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9) 支持基于网络开启、关闭和重启设备的功能，并查询当前设备开机运行状态；</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10) 支持故障提示功能，并可通过接口读取服务器故障信息；</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11) 支持基于网络的固件更新功能，包括BMC 和BIOS 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12) 支持基于网络安装操作系统的功能，并可通过网络控制台访问设备；</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13) 支持通过本地的硬盘或光驱等存储设备，基于网络完成设备的操作系统安装功能；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14) 支持通过浏览器打开管理界面并登录功能；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15) 支持设置口令策略功能；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16) 支持访问权限设置功能，并通过日志记录访问事件；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17) 支持对出厂默认的用户名及口令进行安全保护功能，并提供默认口令修改提示；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18) 支持读取设备主板的工作环境温度功能；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19) 支持读取服务器CPU等核心器件的温度功能；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20) 支持通过外部管理工具进行BMC参数设置的功能，并可基于网络通过外部管理工具对BMC 进行管理；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21)应支持固件版本查询、固件升级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22) 支持基于网络实现开关机和复位控制的功能；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23) BMC 启动时间应不超过180s，实现功能包括网络、IPMI、散热、传感器服务可用；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24) 支持BMC 固件设置的恢复出厂功能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50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功能要求-管理系统功能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BIOS 固件基础功能</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 支持查看固件版本、内存信息、主板信息、处理器信息和系统时间信息功能；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支持上电初始化界面显示 CPU 信息、内存信息、固件版本和部分快捷键信息功能；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支持设置界面中英文显示切换功能；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支持查看 PCIe 设备信息，SATA设备信息功能；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e） 支持操作系统安装和引导功能，应并向操作系统提供计算机主板信息和服务接口；</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f） 支持设置启动顺序，并按照设置的启动顺序启动功能；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g） 支持安全启动功能；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h） 支持设置口令、修改口令、验证口令功能；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i） 支持板载显示控制或独立显卡的显示控制功能；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j） 支持 RAID 识别和启动功能；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k）支持串口重定向功能；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l） 支持固件更新功能；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m） 支持 BIOS 固件设置的恢复出厂功能；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n）支持网络引导启用和关闭功能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功能要求-管理系统功能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远程控制</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支持远程关机和重新启动功能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功能要求-操作系统及驱动</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操作系统及驱动的升级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支持通过网络、闪存盘对操作系统、驱动进行升级</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5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功能要求-操作系统及驱动</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操作系统功能</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 支持访问控制、安全审计、网络接入鉴别等功能；</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 操作系统其他功能应满足操作系统政府采购需求标准中加*的指标要求</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功能要求-中文信息处理功能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中文信息处理</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符合GB 18030 的有关规定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5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安全要求-关键部件安全要求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关键部件安全要求</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CPU符合安全可靠测评要求（通过政府有关部门指定的中国信息安全测评中心和国家保密科技测评中心网站查看安全可靠测评结果）</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230" w:type="dxa"/>
          <w:tblCellSpacing w:w="0" w:type="dxa"/>
          <w:tblInd w:w="266" w:type="dxa"/>
          <w:tblCellMar>
            <w:top w:w="15" w:type="dxa"/>
            <w:left w:w="15" w:type="dxa"/>
            <w:bottom w:w="15" w:type="dxa"/>
            <w:right w:w="15" w:type="dxa"/>
          </w:tblCellMar>
        </w:tblPrEx>
        <w:trPr>
          <w:trHeight w:val="18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安全要求-固件安全要求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故障检测</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支持故障检测功能，可以检测到具体的FRU（内存、硬盘等）的故障并发出告警</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安全要求-系统安全要求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弱口令字典检查</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支持弱口令字典检查功能，出现在弱口令字典中的字符串不能被设置为用户口令</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安全要求-系统安全要求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白名单访问控制</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支持基于时间、IP 或  MAC 白名单访问控制</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安全要求-系统安全要求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二次鉴别</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支持二次鉴别功能。对于用户配置、权限配置、公钥导入等重要的管理操作，已登录用户应通过二次鉴别后，才能执行操作</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安全要求-系统安全要求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密码证书安全加密存储</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支持对带外管理系统中的用户口令和证书等敏感信息进行加密存储， 禁止使用私有的和业界已知不安全的密码算法</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安全要求-系统安全要求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敏感信息安全加密传输</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支持使用安全的传输加密协议（如SSH 或 HTTPS等）传输用户的敏感信息</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6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安全要求-信息安全要求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研发过程安全</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承诺已建立从需求、设计、开发、测试、维护端到端的开发流程管理机制，输出和保存开发流程中每个阶段的产品需求清单、设计文档、开发文档、测试记录等材料，保证各个流程可追溯</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安全要求-物理安全</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物理安全</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安全要求应符合GB 4943.1 的规定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安全要求-限用物质的限量要求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限用物质的限量要求</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限用物质的限量应符合GB/T 26572 的要求</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性能要求-CPU性能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CPU主频</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CPU主频≥2.5GHz</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性能要求-CPU性能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单CPU 核数</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单CPU 核数≥16</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性能要求-CPU性能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单CPU 末级缓存容量</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单CPU 末级缓存容量≥32MB</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性能要求-内存性能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单内存模块</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单内存模块容量≥32GB，总内存≥256GB</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性能要求-内存性能</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内存速率</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内存速率≥3200MT/s</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性能要求-电源能耗</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电源能耗</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 GB/T 9813.3 的有关规定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性能要求-部件兼容性要求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内存兼容性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适配 3 种及以上厂商的内存产品， 且均不低于产品支持的内存规格</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性能要求-部件兼容性要求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固态存储兼容性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适配 3 种及以上厂商的固态存储产品，且均不低于产品支持的固态存储设备规格</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性能要求-部件兼容性要求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网卡兼容性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适配2种或以上网卡</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性能要求-部件兼容性要求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功能卡兼容性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适配网络功能卡、存储功能卡及图形显示功能卡等符合PCIe的功能卡</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9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兼容要求-外设兼容性</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外设兼容性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兼容多种主流生产商的外部设备，包括显示器、键盘、鼠标、闪存盘、移动硬盘、USB光驱及KVM等，要求使用不同厂商的外部设备时，系统均能正常识别和安装驱动</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兼容要求-软件兼容性</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数据库兼容</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 3 个及以上厂商的数据库产品</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兼容要求-软件兼容性</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中间件兼容</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 3 个及以上厂商的中间件产品</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兼容要求-软件兼容性</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平台软件兼容</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兼容 3 个及以上厂商的大数据平台</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可靠性要求-整机可靠性要求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整机可靠性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m1值（MTBF 的不可接受值）不得低于 30000h</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可靠性要求-整机可靠性要求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风扇可靠性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风扇寿命应不低于 40000h</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可靠性要求-整机可靠性要求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部件可靠性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支持硬盘、电源、风扇热插拔(内置风扇除外)</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包装及运输要求-包装及运输要求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标志、包装、运输和贮存</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符合GB/T 9813.3 和商品包装政府采购需求标准的相关规定</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65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65</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服务要求-服务响应</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服务响应</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a)提供电话、电子邮件、远程连接等多种形式服务；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b)提供同城 4h、异地 12h 技术响应服务，2个工作日解决问题，对于未能解决的问题和故障应提供可行的升级方案，并提供周转设备；</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c)建立全国技术服务体系和服务 团体，符合专业服务体系标准要求，提供原厂中文服务；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d)服务周期内提供产品的维修、换件和升级服务</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10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66</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服务要求-培训服务</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培训服务</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提供培训材料、产品手册、培训视频等培训相关内容</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51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67</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服务要求-服务周期</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服务周期</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a）产品整机服务周期3年（含换件和维修）；</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b）设备停产后继续提供质量保障服务（含备品备件），服务终止时间与最后一批设备交付时间间隔不低于 6 年；</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c) 产品停止服务时间应提前 1 年告知客户；</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d) 产品发布日期需在随机文件中明确</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提供白皮书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68</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服务要求-服务工具要求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工具要求</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提供设置服务器硬件、辅助操作系统安装等功能的辅助工具和管理软件，且随附软件应具有合法授权或版权</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69</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服务要求-服务工具要求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驱动安装升级指引</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提供出厂安装的配件所需的驱动程序，形式包括但不限于驱动光盘、驱动下载链接等。其他配件应提供指引</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70</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服务要求-服务工具要求</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管理软件</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具备资源管理、系统管理、性能监控、健康监控、基于网络控制、报警设置功能</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723"/>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71</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服务要求-增值服务</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厂家升级产品软件与扩容服务</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提供原厂产品升级和扩容能力</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230" w:type="dxa"/>
          <w:tblCellSpacing w:w="0" w:type="dxa"/>
          <w:tblInd w:w="266" w:type="dxa"/>
          <w:tblCellMar>
            <w:top w:w="15" w:type="dxa"/>
            <w:left w:w="15" w:type="dxa"/>
            <w:bottom w:w="15" w:type="dxa"/>
            <w:right w:w="15" w:type="dxa"/>
          </w:tblCellMar>
        </w:tblPrEx>
        <w:trPr>
          <w:trHeight w:val="3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72</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服务要求-增值服务</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提供上门服务</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提供上门服务的能力</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230" w:type="dxa"/>
          <w:tblCellSpacing w:w="0" w:type="dxa"/>
          <w:tblInd w:w="266" w:type="dxa"/>
          <w:tblCellMar>
            <w:top w:w="15" w:type="dxa"/>
            <w:left w:w="15" w:type="dxa"/>
            <w:bottom w:w="15" w:type="dxa"/>
            <w:right w:w="15" w:type="dxa"/>
          </w:tblCellMar>
        </w:tblPrEx>
        <w:trPr>
          <w:trHeight w:val="2190"/>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73</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供保服务-供应链质量</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抗干扰性</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当产品部件出现供应风险时，应通知并提供风险应对方案确保产品的服务保障，必要时应停止受影响产品的销售</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9230" w:type="dxa"/>
          <w:tblCellSpacing w:w="0" w:type="dxa"/>
          <w:tblInd w:w="266" w:type="dxa"/>
          <w:tblCellMar>
            <w:top w:w="15" w:type="dxa"/>
            <w:left w:w="15" w:type="dxa"/>
            <w:bottom w:w="15" w:type="dxa"/>
            <w:right w:w="15" w:type="dxa"/>
          </w:tblCellMar>
        </w:tblPrEx>
        <w:trPr>
          <w:trHeight w:val="1456"/>
          <w:tblCellSpacing w:w="0" w:type="dxa"/>
        </w:trPr>
        <w:tc>
          <w:tcPr>
            <w:tcW w:w="80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74</w:t>
            </w:r>
          </w:p>
        </w:tc>
        <w:tc>
          <w:tcPr>
            <w:tcW w:w="187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供保服务-供应链质量</w:t>
            </w:r>
          </w:p>
        </w:tc>
        <w:tc>
          <w:tcPr>
            <w:tcW w:w="189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供应能力证明</w:t>
            </w:r>
          </w:p>
        </w:tc>
        <w:tc>
          <w:tcPr>
            <w:tcW w:w="231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提供供应链稳定承诺书，确保产品的部件在产品服务周期内稳定供货</w:t>
            </w:r>
          </w:p>
        </w:tc>
        <w:tc>
          <w:tcPr>
            <w:tcW w:w="93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80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bl>
    <w:p>
      <w:pPr>
        <w:pStyle w:val="Heading40"/>
        <w:keepNext w:val="0"/>
        <w:spacing w:before="0" w:after="0" w:line="360" w:lineRule="auto"/>
        <w:rPr>
          <w:b/>
          <w:bCs/>
          <w:sz w:val="28"/>
          <w:szCs w:val="28"/>
        </w:rPr>
      </w:pPr>
      <w:r>
        <w:rPr>
          <w:rFonts w:ascii="仿宋_GB2312" w:eastAsia="仿宋_GB2312" w:hAnsi="仿宋_GB2312" w:cs="仿宋_GB2312"/>
        </w:rPr>
        <w:t> </w:t>
      </w:r>
    </w:p>
    <w:p>
      <w:pPr>
        <w:pStyle w:val="Heading40"/>
        <w:keepNext w:val="0"/>
        <w:spacing w:before="0" w:after="0" w:line="360" w:lineRule="auto"/>
        <w:rPr>
          <w:b/>
          <w:bCs/>
          <w:sz w:val="28"/>
          <w:szCs w:val="28"/>
        </w:rPr>
      </w:pPr>
      <w:r>
        <w:rPr>
          <w:rFonts w:ascii="仿宋_GB2312" w:eastAsia="仿宋_GB2312" w:hAnsi="仿宋_GB2312" w:cs="仿宋_GB2312"/>
        </w:rPr>
        <w:t>交换机</w:t>
      </w:r>
    </w:p>
    <w:tbl>
      <w:tblPr>
        <w:tblStyle w:val="16"/>
        <w:tblW w:w="9395" w:type="dxa"/>
        <w:tblCellSpacing w:w="0" w:type="dxa"/>
        <w:tblInd w:w="266" w:type="dxa"/>
        <w:tblCellMar>
          <w:top w:w="15" w:type="dxa"/>
          <w:left w:w="15" w:type="dxa"/>
          <w:bottom w:w="15" w:type="dxa"/>
          <w:right w:w="15" w:type="dxa"/>
        </w:tblCellMar>
      </w:tblPr>
      <w:tblGrid>
        <w:gridCol w:w="811"/>
        <w:gridCol w:w="1859"/>
        <w:gridCol w:w="1866"/>
        <w:gridCol w:w="2345"/>
        <w:gridCol w:w="876"/>
        <w:gridCol w:w="1638"/>
      </w:tblGrid>
      <w:tr>
        <w:tblPrEx>
          <w:tblW w:w="9395" w:type="dxa"/>
          <w:tblCellSpacing w:w="0" w:type="dxa"/>
          <w:tblInd w:w="266" w:type="dxa"/>
          <w:tblCellMar>
            <w:top w:w="15" w:type="dxa"/>
            <w:left w:w="15" w:type="dxa"/>
            <w:bottom w:w="15" w:type="dxa"/>
            <w:right w:w="15" w:type="dxa"/>
          </w:tblCellMar>
        </w:tblPrEx>
        <w:trPr>
          <w:trHeight w:val="506"/>
          <w:tblCellSpacing w:w="0" w:type="dxa"/>
        </w:trPr>
        <w:tc>
          <w:tcPr>
            <w:tcW w:w="854" w:type="dxa"/>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924"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1941"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2388"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928"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1758" w:type="dxa"/>
            <w:tcBorders>
              <w:top w:val="single" w:sz="8" w:space="0" w:color="000000"/>
              <w:bottom w:val="single" w:sz="8" w:space="0" w:color="000000"/>
              <w:right w:val="single" w:sz="8" w:space="0" w:color="000000"/>
            </w:tcBorders>
            <w:shd w:val="clear" w:color="auto" w:fill="D3D3D3"/>
            <w:noWrap w:val="0"/>
            <w:tcMar>
              <w:top w:w="42" w:type="dxa"/>
              <w:left w:w="2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是否需要证明材料</w:t>
            </w:r>
          </w:p>
        </w:tc>
      </w:tr>
      <w:tr>
        <w:tblPrEx>
          <w:tblW w:w="9395" w:type="dxa"/>
          <w:tblCellSpacing w:w="0" w:type="dxa"/>
          <w:tblInd w:w="266" w:type="dxa"/>
          <w:tblCellMar>
            <w:top w:w="15" w:type="dxa"/>
            <w:left w:w="15" w:type="dxa"/>
            <w:bottom w:w="15" w:type="dxa"/>
            <w:right w:w="15" w:type="dxa"/>
          </w:tblCellMar>
        </w:tblPrEx>
        <w:trPr>
          <w:trHeight w:val="3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交换机-交换容量</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交换容量</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交换容量≥4.8Tbps</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3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交换机-转发性能</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转发性能</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转发性能≥2000Mpps</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090"/>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交换机-CPU要求</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CPU要求</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CPU 通过中国信息安全测评中心的安全可靠测评</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95" w:type="dxa"/>
          <w:tblCellSpacing w:w="0" w:type="dxa"/>
          <w:tblInd w:w="266" w:type="dxa"/>
          <w:tblCellMar>
            <w:top w:w="15" w:type="dxa"/>
            <w:left w:w="15" w:type="dxa"/>
            <w:bottom w:w="15" w:type="dxa"/>
            <w:right w:w="15" w:type="dxa"/>
          </w:tblCellMar>
        </w:tblPrEx>
        <w:trPr>
          <w:trHeight w:val="14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交换机-性能规格</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性能规格</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整机最大路由地址表≥768K，整机最大ARP地址表≥94K，整机最大MAC地址表≥704K；</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交换机-缓存要求</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缓存要求</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支持全端口线速，整机缓存最大36MB</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29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交换机-硬件配置</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硬件配置</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实配10G光口端口数量≥48个（含24个原厂10G多模模块），实配40G/100G光接口≥8个（含4个原厂40G多模模块），含双模块化电源，双模块化风扇；</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交换机-风扇模块数量</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风扇模块数量</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风扇模块数量≥5</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8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交换机-跨设备链路聚合</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跨设备链路聚合</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支持跨设备链路聚合技术，将控制平面与数据层面解耦，各节点设备可独立升级，保障用户业务零中断</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交换机-功耗</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功耗</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满负荷时整机最大功耗≤210W</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交换机-NQAI</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NQAI</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支持INQA流量监控技术</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3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交换机-INT</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INT</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支持INT技术</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4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交换机-Telemetry Stream</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Telemetry Stream</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支持Telemetry Stream功能，全硬件级1：1采样实时分析、监控、上送</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交换机-端口</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端口</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支持基于端口、流量N:M复制，M或N≥48</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2190"/>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交换机-可视化</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可视化</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支持可视化功能，通过ERSPAN和GRPC等协议，可以把交换机的实时资源信息、RDMA统计信息、RDMA告警信息上送到运维平台</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456"/>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交换机-无损特性</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无损特性</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支持PFC、ECN、DCBX等数据中心无丢包特性，满足低延时和无丢包需求</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2190"/>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交换机-sFlow功能</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sFlow功能</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支持sFlow功能，可以对报文进行精细化统计，支持SPAN/RSPAN/ERSPAN镜像和多个镜像观察端口</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090"/>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交换机-GRE隧道剥离封装</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GRE隧道剥离封装</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支持GRE隧道剥离封装，支持同源同宿，支持报文截断</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8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交换机-源端口标识</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源端口标识</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支持源端口标识,支持增加时间戳及以太网头，识别指定报文，修改mac地址或IP地址后复制转发</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1090"/>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交换机-微分段</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微分段</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支持微分段，精细化微分段安全隔离（IPv4 和 IPv6）</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提供官网截图</w:t>
            </w:r>
          </w:p>
        </w:tc>
      </w:tr>
      <w:tr>
        <w:tblPrEx>
          <w:tblW w:w="9395" w:type="dxa"/>
          <w:tblCellSpacing w:w="0" w:type="dxa"/>
          <w:tblInd w:w="266" w:type="dxa"/>
          <w:tblCellMar>
            <w:top w:w="15" w:type="dxa"/>
            <w:left w:w="15" w:type="dxa"/>
            <w:bottom w:w="15" w:type="dxa"/>
            <w:right w:w="15" w:type="dxa"/>
          </w:tblCellMar>
        </w:tblPrEx>
        <w:trPr>
          <w:trHeight w:val="723"/>
          <w:tblCellSpacing w:w="0" w:type="dxa"/>
        </w:trPr>
        <w:tc>
          <w:tcPr>
            <w:tcW w:w="854" w:type="dxa"/>
            <w:tcBorders>
              <w:left w:val="single" w:sz="8" w:space="0" w:color="000000"/>
              <w:bottom w:val="single" w:sz="8" w:space="0" w:color="000000"/>
              <w:right w:val="single" w:sz="8" w:space="0" w:color="000000"/>
            </w:tcBorders>
            <w:noWrap w:val="0"/>
            <w:tcMar>
              <w:top w:w="22" w:type="dxa"/>
              <w:left w:w="42" w:type="dxa"/>
              <w:bottom w:w="42" w:type="dxa"/>
              <w:right w:w="42" w:type="dxa"/>
            </w:tcMar>
            <w:vAlign w:val="center"/>
          </w:tcPr>
          <w:p>
            <w:pPr>
              <w:pStyle w:val="15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tcW w:w="1924"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交换机-维保服务</w:t>
            </w:r>
          </w:p>
        </w:tc>
        <w:tc>
          <w:tcPr>
            <w:tcW w:w="1941"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维保服务</w:t>
            </w:r>
          </w:p>
        </w:tc>
        <w:tc>
          <w:tcPr>
            <w:tcW w:w="238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需要提供原厂三年维保服务</w:t>
            </w:r>
          </w:p>
        </w:tc>
        <w:tc>
          <w:tcPr>
            <w:tcW w:w="92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758" w:type="dxa"/>
            <w:tcBorders>
              <w:bottom w:val="single" w:sz="8" w:space="0" w:color="000000"/>
              <w:right w:val="single" w:sz="8" w:space="0" w:color="000000"/>
            </w:tcBorders>
            <w:noWrap w:val="0"/>
            <w:tcMar>
              <w:top w:w="22" w:type="dxa"/>
              <w:left w:w="22" w:type="dxa"/>
              <w:bottom w:w="42" w:type="dxa"/>
              <w:right w:w="42" w:type="dxa"/>
            </w:tcMar>
            <w:vAlign w:val="center"/>
          </w:tcPr>
          <w:p>
            <w:pPr>
              <w:pStyle w:val="15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提供承诺书</w:t>
            </w:r>
          </w:p>
        </w:tc>
      </w:tr>
    </w:tbl>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 </w:t>
      </w:r>
    </w:p>
    <w:p>
      <w:pPr>
        <w:pStyle w:val="MsoNormal"/>
        <w:spacing w:before="0" w:after="0" w:line="360" w:lineRule="auto"/>
        <w:ind w:left="0" w:right="0" w:firstLine="561"/>
      </w:pPr>
      <w:r>
        <w:rPr>
          <w:rFonts w:ascii="仿宋_GB2312" w:eastAsia="仿宋_GB2312" w:hAnsi="仿宋_GB2312" w:cs="仿宋_GB2312"/>
          <w:sz w:val="28"/>
          <w:szCs w:val="28"/>
        </w:rPr>
        <w:t> </w:t>
      </w:r>
    </w:p>
    <w:p>
      <w:pPr>
        <w:pStyle w:val="Normal0"/>
        <w:spacing w:before="0" w:after="0" w:line="360" w:lineRule="auto"/>
        <w:jc w:val="left"/>
      </w:pPr>
    </w:p>
    <w:sectPr>
      <w:footerReference w:type="default" r:id="rId5"/>
      <w:pgSz w:w="11906" w:h="16838"/>
      <w:pgMar w:top="1440" w:right="1440" w:bottom="1440" w:left="1440" w:header="708" w:footer="708" w:gutter="0"/>
      <w:cols w:num="1" w:space="708"/>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DejaVu Sans"/>
    <w:panose1 w:val="02020603050405020304"/>
    <w:charset w:val="CC"/>
    <w:family w:val="roman"/>
    <w:pitch w:val="default"/>
    <w:sig w:usb0="00000000" w:usb1="00000000" w:usb2="00000009"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3" w:usb1="288F0000" w:usb2="00000006" w:usb3="00000000" w:csb0="00040001" w:csb1="00000000"/>
  </w:font>
  <w:font w:name="SimHei">
    <w:panose1 w:val="02010609060101010101"/>
    <w:charset w:val="86"/>
    <w:family w:val="modern"/>
    <w:pitch w:val="default"/>
    <w:sig w:usb0="800002BF" w:usb1="38CF7CFA" w:usb2="00000016" w:usb3="00000000" w:csb0="00040001" w:csb1="00000000"/>
  </w:font>
  <w:font w:name="Verdana">
    <w:altName w:val="DejaVu Sans"/>
    <w:panose1 w:val="020B0604030504040204"/>
    <w:charset w:val="00"/>
    <w:family w:val="swiss"/>
    <w:pitch w:val="default"/>
    <w:sig w:usb0="00000000" w:usb1="00000000" w:usb2="00000010" w:usb3="00000000" w:csb0="0000019F" w:csb1="00000000"/>
  </w:font>
  <w:font w:name="Cambria">
    <w:altName w:val="Noto Sans Syriac Eastern"/>
    <w:panose1 w:val="02040503050406030204"/>
    <w:charset w:val="00"/>
    <w:family w:val="roman"/>
    <w:pitch w:val="default"/>
    <w:sig w:usb0="00000000" w:usb1="00000000" w:usb2="00000000" w:usb3="00000000" w:csb0="0000019F" w:csb1="00000000"/>
  </w:font>
  <w:font w:name="Microsoft YaHei">
    <w:panose1 w:val="020B0503020204020204"/>
    <w:charset w:val="86"/>
    <w:family w:val="swiss"/>
    <w:pitch w:val="default"/>
    <w:sig w:usb0="80000287" w:usb1="2A0F3C52" w:usb2="00000016" w:usb3="00000000" w:csb0="0004001F" w:csb1="00000000"/>
  </w:font>
  <w:font w:name="FangSong_GB2312">
    <w:panose1 w:val="02010609030101010101"/>
    <w:charset w:val="86"/>
    <w:family w:val="auto"/>
    <w:pitch w:val="default"/>
    <w:sig w:usb0="00000001" w:usb1="080E0000" w:usb2="00000000" w:usb3="00000000" w:csb0="00040000"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altName w:val="DejaVu Sans"/>
    <w:panose1 w:val="020F0302020204030204"/>
    <w:charset w:val="00"/>
    <w:family w:val="swiss"/>
    <w:pitch w:val="default"/>
    <w:sig w:usb0="00000000" w:usb1="00000000" w:usb2="00000009" w:usb3="00000000" w:csb0="000001FF"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Noto Sans Syriac Eastern">
    <w:panose1 w:val="02040503050306020203"/>
    <w:charset w:val="86"/>
    <w:family w:val="auto"/>
    <w:pitch w:val="default"/>
    <w:sig w:usb0="00000000" w:usb1="00000000" w:usb2="00000080" w:usb3="00000000" w:csb0="203E0161" w:csb1="D7FF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35</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DBEEC251"/>
    <w:multiLevelType w:val="singleLevel"/>
    <w:tmpl w:val="DBEEC251"/>
    <w:lvl w:ilvl="0">
      <w:start w:val="1"/>
      <w:numFmt w:val="decimal"/>
      <w:pStyle w:val="ListNumber5"/>
      <w:lvlText w:val="%1."/>
      <w:lvlJc w:val="left"/>
      <w:pPr>
        <w:tabs>
          <w:tab w:val="left" w:pos="2040"/>
        </w:tabs>
        <w:ind w:left="2040" w:hanging="360"/>
      </w:pPr>
    </w:lvl>
  </w:abstractNum>
  <w:abstractNum w:abstractNumId="1">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2">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4"/>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3"/>
  <w:revisionView w:comments="1" w:formatting="1" w:inkAnnotations="1" w:insDel="1" w:markup="0"/>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D733F7"/>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3640"/>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772ED2"/>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EFF1349"/>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qFormat="1"/>
    <w:lsdException w:name="Title" w:semiHidden="0" w:uiPriority="0" w:unhideWhenUsed="0" w:qFormat="1"/>
    <w:lsdException w:name="Closing" w:semiHidden="0" w:uiPriority="0" w:unhideWhenUsed="0"/>
    <w:lsdException w:name="Signature" w:semiHidden="0" w:uiPriority="0" w:unhideWhenUsed="0"/>
    <w:lsdException w:name="Default Paragraph Font" w:uiPriority="1"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qFormat="1"/>
    <w:lsdException w:name="annotation subject" w:semiHidden="0" w:uiPriority="0" w:unhideWhenUsed="0"/>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semiHidden="0" w:uiPriority="0" w:unhideWhenUsed="0" w:qFormat="1"/>
    <w:lsdException w:name="Table Grid" w:semiHidden="0" w:uiPriority="0" w:unhideWhenUsed="0"/>
    <w:lsdException w:name="Table Theme"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Footer"/>
    <w:qFormat/>
    <w:pPr>
      <w:widowControl w:val="0"/>
      <w:spacing w:after="160" w:line="259" w:lineRule="auto"/>
      <w:jc w:val="both"/>
    </w:pPr>
    <w:rPr>
      <w:rFonts w:ascii="Times New Roman" w:eastAsia="SimSun" w:hAnsi="Times New Roman" w:cs="Times New Roman"/>
      <w:kern w:val="2"/>
      <w:sz w:val="21"/>
      <w:szCs w:val="24"/>
      <w:lang w:val="en-US" w:eastAsia="zh-CN" w:bidi="ar-SA"/>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qFormat/>
  </w:style>
  <w:style w:type="table" w:default="1" w:styleId="TableNormal">
    <w:name w:val="Normal Table"/>
    <w:uiPriority w:val="99"/>
    <w:semiHidden/>
    <w:unhideWhenUsed/>
    <w:qFormat/>
    <w:tblPr>
      <w:tblCellMar>
        <w:top w:w="0" w:type="dxa"/>
        <w:left w:w="108" w:type="dxa"/>
        <w:bottom w:w="0" w:type="dxa"/>
        <w:right w:w="108" w:type="dxa"/>
      </w:tblCellMar>
    </w:tblPr>
  </w:style>
  <w:style w:type="paragraph" w:styleId="Footer">
    <w:name w:val="footer"/>
    <w:basedOn w:val="Normal"/>
    <w:next w:val="PlainText"/>
    <w:link w:val="FooterChar"/>
    <w:qFormat/>
    <w:pPr>
      <w:tabs>
        <w:tab w:val="center" w:pos="4140"/>
        <w:tab w:val="right" w:pos="8300"/>
      </w:tabs>
      <w:snapToGrid w:val="0"/>
      <w:spacing w:after="0"/>
      <w:jc w:val="left"/>
    </w:pPr>
    <w:rPr>
      <w:kern w:val="0"/>
      <w:sz w:val="18"/>
    </w:rPr>
  </w:style>
  <w:style w:type="paragraph" w:styleId="PlainText">
    <w:name w:val="Plain Text"/>
    <w:basedOn w:val="Normal"/>
    <w:next w:val="ListNumber5"/>
    <w:link w:val="PlainTextChar"/>
    <w:qFormat/>
    <w:pPr>
      <w:spacing w:after="0"/>
    </w:pPr>
    <w:rPr>
      <w:rFonts w:ascii="SimSun" w:hAnsi="Courier New"/>
      <w:kern w:val="0"/>
      <w:sz w:val="20"/>
      <w:szCs w:val="21"/>
    </w:rPr>
  </w:style>
  <w:style w:type="paragraph" w:styleId="ListNumber5">
    <w:name w:val="List Number 5"/>
    <w:basedOn w:val="Normal"/>
    <w:qFormat/>
    <w:pPr>
      <w:numPr>
        <w:ilvl w:val="0"/>
        <w:numId w:val="2"/>
      </w:numPr>
    </w:pPr>
  </w:style>
  <w:style w:type="paragraph" w:styleId="ListNumber2">
    <w:name w:val="List Number 2"/>
    <w:basedOn w:val="Normal"/>
    <w:qFormat/>
    <w:pPr>
      <w:numPr>
        <w:ilvl w:val="0"/>
        <w:numId w:val="3"/>
      </w:numPr>
    </w:pPr>
  </w:style>
  <w:style w:type="paragraph" w:styleId="DocumentMap">
    <w:name w:val="Document Map"/>
    <w:basedOn w:val="Normal"/>
    <w:link w:val="DocumentMapChar"/>
    <w:qFormat/>
    <w:pPr>
      <w:shd w:val="clear" w:color="auto" w:fill="000080"/>
    </w:pPr>
    <w:rPr>
      <w:kern w:val="0"/>
      <w:sz w:val="20"/>
      <w:shd w:val="clear" w:color="auto" w:fill="000080"/>
    </w:rPr>
  </w:style>
  <w:style w:type="paragraph" w:styleId="CommentText">
    <w:name w:val="annotation text"/>
    <w:basedOn w:val="Normal"/>
    <w:qFormat/>
    <w:pPr>
      <w:jc w:val="left"/>
    </w:p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
    <w:name w:val="Body Text"/>
    <w:basedOn w:val="Normal"/>
    <w:link w:val="BodyTextChar"/>
    <w:qFormat/>
    <w:pPr>
      <w:spacing w:after="120"/>
    </w:pPr>
  </w:style>
  <w:style w:type="paragraph" w:styleId="BodyTextIndent">
    <w:name w:val="Body Text Indent"/>
    <w:basedOn w:val="Normal"/>
    <w:link w:val="BodyTextIndentChar"/>
    <w:qFormat/>
    <w:pPr>
      <w:ind w:firstLine="360"/>
    </w:pPr>
    <w:rPr>
      <w:kern w:val="0"/>
      <w:sz w:val="20"/>
      <w:szCs w:val="20"/>
    </w:rPr>
  </w:style>
  <w:style w:type="paragraph" w:styleId="TOC3">
    <w:name w:val="toc 3"/>
    <w:basedOn w:val="Normal"/>
    <w:next w:val="Normal0"/>
    <w:qFormat/>
    <w:pPr>
      <w:widowControl/>
      <w:spacing w:after="0" w:line="240" w:lineRule="auto"/>
      <w:ind w:left="480"/>
      <w:jc w:val="left"/>
    </w:pPr>
    <w:rPr>
      <w:rFonts w:eastAsia="Times New Roman"/>
      <w:kern w:val="0"/>
      <w:sz w:val="24"/>
      <w:lang w:eastAsia="en-US"/>
    </w:rPr>
  </w:style>
  <w:style w:type="paragraph" w:customStyle="1" w:styleId="Normal0">
    <w:name w:val="Normal_0"/>
    <w:qFormat/>
    <w:pPr>
      <w:spacing w:after="160" w:line="259" w:lineRule="auto"/>
    </w:pPr>
    <w:rPr>
      <w:rFonts w:ascii="Times New Roman" w:eastAsia="Times New Roman" w:hAnsi="Times New Roman" w:cs="Times New Roman"/>
      <w:sz w:val="24"/>
      <w:szCs w:val="24"/>
      <w:lang w:val="en-US" w:eastAsia="en-US" w:bidi="ar-SA"/>
    </w:rPr>
  </w:style>
  <w:style w:type="paragraph" w:styleId="Date">
    <w:name w:val="Date"/>
    <w:basedOn w:val="Normal"/>
    <w:next w:val="Normal"/>
    <w:link w:val="DateChar"/>
    <w:qFormat/>
    <w:pPr>
      <w:ind w:left="100" w:leftChars="2500"/>
    </w:pPr>
    <w:rPr>
      <w:kern w:val="0"/>
      <w:sz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alloonText">
    <w:name w:val="Balloon Text"/>
    <w:basedOn w:val="Normal"/>
    <w:link w:val="BalloonTextChar"/>
    <w:qFormat/>
    <w:rPr>
      <w:kern w:val="0"/>
      <w:sz w:val="18"/>
      <w:szCs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paragraph" w:styleId="TOC1">
    <w:name w:val="toc 1"/>
    <w:basedOn w:val="Normal"/>
    <w:next w:val="Normal"/>
    <w:qFormat/>
    <w:pPr>
      <w:spacing w:before="120" w:after="120"/>
      <w:jc w:val="left"/>
    </w:pPr>
    <w:rPr>
      <w:b/>
      <w:bCs/>
      <w:caps/>
      <w:sz w:val="20"/>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TOC2">
    <w:name w:val="toc 2"/>
    <w:basedOn w:val="Normal"/>
    <w:next w:val="Normal0"/>
    <w:qFormat/>
    <w:pPr>
      <w:widowControl/>
      <w:spacing w:after="0" w:line="240" w:lineRule="auto"/>
      <w:ind w:left="240"/>
      <w:jc w:val="left"/>
    </w:pPr>
    <w:rPr>
      <w:rFonts w:eastAsia="Times New Roman"/>
      <w:kern w:val="0"/>
      <w:sz w:val="24"/>
      <w:lang w:eastAsia="en-US"/>
    </w:rPr>
  </w:style>
  <w:style w:type="paragraph" w:styleId="BodyText2">
    <w:name w:val="Body Text 2"/>
    <w:basedOn w:val="Normal"/>
    <w:link w:val="BodyText2Char"/>
    <w:qFormat/>
    <w:rPr>
      <w:rFonts w:ascii="FangSong_GB2312" w:eastAsia="FangSong_GB2312"/>
      <w:kern w:val="0"/>
      <w:sz w:val="28"/>
      <w:szCs w:val="20"/>
    </w:rPr>
  </w:style>
  <w:style w:type="paragraph" w:styleId="NormalWeb">
    <w:name w:val="Normal (Web)"/>
    <w:basedOn w:val="Normal"/>
    <w:qFormat/>
    <w:pPr>
      <w:spacing w:before="100" w:beforeAutospacing="1" w:after="100" w:afterAutospacing="1"/>
      <w:jc w:val="left"/>
    </w:pPr>
    <w:rPr>
      <w:kern w:val="0"/>
      <w:sz w:val="24"/>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BodyTextFirstIndent">
    <w:name w:val="Body Text First Indent"/>
    <w:basedOn w:val="BodyText"/>
    <w:link w:val="BodyTextFirstIndentChar"/>
    <w:qFormat/>
    <w:pPr>
      <w:ind w:firstLine="420" w:firstLineChars="100"/>
    </w:pPr>
    <w:rPr>
      <w:kern w:val="0"/>
      <w:sz w:val="20"/>
    </w:rPr>
  </w:style>
  <w:style w:type="character" w:styleId="Strong">
    <w:name w:val="Strong"/>
    <w:qFormat/>
    <w:rPr>
      <w:rFonts w:ascii="Times New Roman" w:eastAsia="SimSun" w:hAnsi="Times New Roman" w:cs="Times New Roman"/>
      <w:b/>
    </w:rPr>
  </w:style>
  <w:style w:type="character" w:styleId="PageNumber">
    <w:name w:val="page number"/>
    <w:qFormat/>
    <w:rPr>
      <w:rFonts w:ascii="Times New Roman" w:eastAsia="SimSun" w:hAnsi="Times New Roman" w:cs="Times New Roman"/>
    </w:rPr>
  </w:style>
  <w:style w:type="character" w:styleId="FollowedHyperlink">
    <w:name w:val="FollowedHyperlink"/>
    <w:qFormat/>
    <w:rPr>
      <w:rFonts w:ascii="Microsoft YaHei" w:eastAsia="Microsoft YaHei" w:hAnsi="Microsoft YaHei" w:cs="Microsoft YaHei" w:hint="eastAsia"/>
      <w:color w:val="02396F"/>
      <w:u w:val="single"/>
    </w:rPr>
  </w:style>
  <w:style w:type="character" w:styleId="Hyperlink">
    <w:name w:val="Hyperlink"/>
    <w:qFormat/>
    <w:rPr>
      <w:rFonts w:ascii="Times New Roman" w:eastAsia="SimSun" w:hAnsi="Times New Roman" w:cs="Times New Roman"/>
      <w:color w:val="0000FF"/>
      <w:u w:val="single"/>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ilvl w:val="0"/>
        <w:numId w:val="4"/>
      </w:numPr>
      <w:tabs>
        <w:tab w:val="left" w:pos="0"/>
      </w:tabs>
      <w:snapToGrid w:val="0"/>
      <w:spacing w:after="160" w:line="240" w:lineRule="atLeast"/>
      <w:ind w:left="0" w:firstLine="0"/>
    </w:pPr>
    <w:rPr>
      <w:rFonts w:ascii="SimSun" w:eastAsia="Times New Roman" w:hAnsi="SimSun" w:cs="Times New Roman"/>
      <w:bCs/>
      <w:color w:val="000000"/>
      <w:sz w:val="24"/>
      <w:szCs w:val="32"/>
      <w:lang w:val="en-US" w:eastAsia="zh-CN" w:bidi="ar-SA"/>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eastAsia="SimSun" w:hAnsi="Arial" w:cs="SimHei"/>
      <w:sz w:val="21"/>
      <w:szCs w:val="21"/>
      <w:lang w:val="en-US" w:eastAsia="zh-CN" w:bidi="ar-SA"/>
    </w:rPr>
  </w:style>
  <w:style w:type="paragraph" w:customStyle="1" w:styleId="5">
    <w:name w:val="标题 5（有编号）（绿盟科技）"/>
    <w:basedOn w:val="Normal"/>
    <w:next w:val="a1"/>
    <w:qFormat/>
    <w:pPr>
      <w:keepNext/>
      <w:keepLines/>
      <w:numPr>
        <w:ilvl w:val="4"/>
        <w:numId w:val="5"/>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ilvl w:val="0"/>
        <w:numId w:val="6"/>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rFonts w:ascii="Times New Roman" w:eastAsia="SimSun" w:hAnsi="Times New Roman" w:cs="Times New Roman"/>
      <w:lang w:val="en-US" w:eastAsia="zh-CN" w:bidi="ar-SA"/>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character" w:customStyle="1" w:styleId="Hyperlink0">
    <w:name w:val="Hyperlink_0"/>
    <w:basedOn w:val="DefaultParagraphFont"/>
    <w:qFormat/>
    <w:rPr>
      <w:color w:val="0000FF"/>
      <w:u w:val="single"/>
    </w:rPr>
  </w:style>
  <w:style w:type="paragraph" w:customStyle="1" w:styleId="TOC10">
    <w:name w:val="TOC 1_0"/>
    <w:basedOn w:val="Normal"/>
    <w:next w:val="Normal0"/>
    <w:qFormat/>
    <w:pPr>
      <w:widowControl/>
      <w:spacing w:after="0" w:line="240" w:lineRule="auto"/>
      <w:jc w:val="left"/>
    </w:pPr>
    <w:rPr>
      <w:rFonts w:eastAsia="Times New Roman"/>
      <w:kern w:val="0"/>
      <w:sz w:val="24"/>
      <w:lang w:eastAsia="en-US"/>
    </w:rPr>
  </w:style>
  <w:style w:type="paragraph" w:customStyle="1" w:styleId="Heading10">
    <w:name w:val="Heading 1_0"/>
    <w:basedOn w:val="Normal"/>
    <w:next w:val="Normal0"/>
    <w:qFormat/>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qFormat/>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pPr>
      <w:keepNext/>
      <w:widowControl/>
      <w:spacing w:before="240" w:after="60" w:line="240" w:lineRule="auto"/>
      <w:jc w:val="left"/>
      <w:outlineLvl w:val="3"/>
    </w:pPr>
    <w:rPr>
      <w:rFonts w:eastAsia="Times New Roman"/>
      <w:b/>
      <w:bCs/>
      <w:kern w:val="0"/>
      <w:sz w:val="28"/>
      <w:szCs w:val="28"/>
      <w:lang w:eastAsia="en-US"/>
    </w:rPr>
  </w:style>
  <w:style w:type="table" w:customStyle="1" w:styleId="MsoNormalTable">
    <w:name w:val="MsoNormalTable"/>
    <w:basedOn w:val="TableNormal"/>
    <w:qFormat/>
    <w:rPr>
      <w:rFonts w:eastAsia="Times New Roman"/>
      <w:lang w:val="en-US" w:eastAsia="en-US"/>
    </w:rPr>
    <w:tblPr/>
  </w:style>
  <w:style w:type="character" w:customStyle="1" w:styleId="150">
    <w:name w:val="15_0"/>
    <w:basedOn w:val="DefaultParagraphFont"/>
    <w:qFormat/>
  </w:style>
  <w:style w:type="paragraph" w:customStyle="1" w:styleId="15Paragraph">
    <w:name w:val="15 Paragraph"/>
    <w:basedOn w:val="Normal"/>
    <w:qFormat/>
    <w:pPr>
      <w:widowControl/>
      <w:spacing w:after="0" w:line="240" w:lineRule="auto"/>
      <w:jc w:val="left"/>
    </w:pPr>
    <w:rPr>
      <w:rFonts w:eastAsia="Times New Roman"/>
      <w:kern w:val="0"/>
      <w:sz w:val="24"/>
      <w:lang w:eastAsia="en-US"/>
    </w:rPr>
  </w:style>
  <w:style w:type="table" w:customStyle="1" w:styleId="16">
    <w:name w:val="16"/>
    <w:basedOn w:val="TableNormal"/>
    <w:qFormat/>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user</cp:lastModifiedBy>
  <cp:revision>2</cp:revision>
  <cp:lastPrinted>2023-10-02T11:04:00Z</cp:lastPrinted>
  <dcterms:created xsi:type="dcterms:W3CDTF">2020-05-10T07:26:00Z</dcterms:created>
  <dcterms:modified xsi:type="dcterms:W3CDTF">2025-05-16T08:56:34Z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2052-11.8.2.10183</vt:lpwstr>
  </property>
</Properties>
</file>