
<file path=[Content_Types].xml><?xml version="1.0" encoding="utf-8"?>
<Types xmlns="http://schemas.openxmlformats.org/package/2006/content-types">
  <Default Extension="rels" ContentType="application/vnd.openxmlformats-package.relationships+xml"/>
  <Default Extension="xml" ContentType="application/xml"/>
  <Override PartName="/customXml/item1.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Java 21.6.0 -->
  <w:body>
    <w:p w14:paraId="00F17C8A">
      <w:pPr>
        <w:topLinePunct/>
        <w:autoSpaceDE w:val="0"/>
        <w:autoSpaceDN w:val="0"/>
        <w:jc w:val="center"/>
        <w:rPr>
          <w:rFonts w:ascii="黑体" w:eastAsia="黑体"/>
          <w:b/>
          <w:color w:val="auto"/>
          <w:sz w:val="52"/>
          <w:highlight w:val="none"/>
        </w:rPr>
      </w:pPr>
    </w:p>
    <w:p w14:paraId="2A5BDF97">
      <w:pPr>
        <w:topLinePunct/>
        <w:autoSpaceDE w:val="0"/>
        <w:autoSpaceDN w:val="0"/>
        <w:jc w:val="center"/>
        <w:rPr>
          <w:rFonts w:hAnsi="宋体"/>
          <w:b/>
          <w:color w:val="auto"/>
          <w:sz w:val="96"/>
          <w:szCs w:val="96"/>
          <w:highlight w:val="none"/>
        </w:rPr>
      </w:pPr>
      <w:r>
        <w:rPr>
          <w:rFonts w:hAnsi="宋体" w:hint="eastAsia"/>
          <w:b/>
          <w:color w:val="auto"/>
          <w:sz w:val="96"/>
          <w:szCs w:val="96"/>
          <w:highlight w:val="none"/>
        </w:rPr>
        <w:t>招 标 文 件</w:t>
      </w:r>
    </w:p>
    <w:p w14:paraId="192B28C2">
      <w:pPr>
        <w:topLinePunct/>
        <w:autoSpaceDE w:val="0"/>
        <w:autoSpaceDN w:val="0"/>
        <w:spacing w:line="60" w:lineRule="exact"/>
        <w:jc w:val="center"/>
        <w:rPr>
          <w:rFonts w:hAnsi="宋体"/>
          <w:color w:val="auto"/>
          <w:sz w:val="96"/>
          <w:szCs w:val="96"/>
          <w:highlight w:val="none"/>
        </w:rPr>
      </w:pPr>
    </w:p>
    <w:p w14:paraId="0DD5E4FB">
      <w:pPr>
        <w:topLinePunct/>
        <w:autoSpaceDE w:val="0"/>
        <w:autoSpaceDN w:val="0"/>
        <w:snapToGrid w:val="0"/>
        <w:jc w:val="center"/>
        <w:rPr>
          <w:rFonts w:ascii="宋体" w:hAnsi="宋体"/>
          <w:color w:val="auto"/>
          <w:sz w:val="96"/>
          <w:szCs w:val="96"/>
          <w:highlight w:val="none"/>
        </w:rPr>
      </w:pPr>
      <w:r>
        <w:rPr>
          <w:rFonts w:hAnsi="宋体" w:hint="eastAsia"/>
          <w:b/>
          <w:color w:val="auto"/>
          <w:sz w:val="56"/>
          <w:szCs w:val="56"/>
          <w:highlight w:val="none"/>
        </w:rPr>
        <w:t>（商务部分）</w:t>
      </w:r>
    </w:p>
    <w:p w14:paraId="135EF7D6">
      <w:pPr>
        <w:topLinePunct/>
        <w:autoSpaceDE w:val="0"/>
        <w:autoSpaceDN w:val="0"/>
        <w:snapToGrid w:val="0"/>
        <w:rPr>
          <w:rFonts w:ascii="宋体" w:hAnsi="宋体"/>
          <w:color w:val="auto"/>
          <w:sz w:val="96"/>
          <w:szCs w:val="96"/>
          <w:highlight w:val="none"/>
        </w:rPr>
      </w:pPr>
    </w:p>
    <w:p w14:paraId="40258D87">
      <w:pPr>
        <w:topLinePunct/>
        <w:autoSpaceDE w:val="0"/>
        <w:autoSpaceDN w:val="0"/>
        <w:snapToGrid w:val="0"/>
        <w:spacing w:line="360" w:lineRule="auto"/>
        <w:ind w:firstLine="280" w:firstLineChars="100"/>
        <w:rPr>
          <w:rFonts w:ascii="宋体" w:hint="eastAsia"/>
          <w:b/>
          <w:bCs/>
          <w:color w:val="auto"/>
          <w:sz w:val="28"/>
          <w:szCs w:val="28"/>
          <w:highlight w:val="none"/>
          <w14:shadow w14:blurRad="50800" w14:dist="38100" w14:dir="2700000" w14:sx="100000" w14:sy="100000" w14:kx="0" w14:ky="0" w14:algn="tl">
            <w14:srgbClr w14:val="000000">
              <w14:alpha w14:val="60000"/>
            </w14:srgbClr>
          </w14:shadow>
        </w:rPr>
      </w:pPr>
      <w:r>
        <w:rPr>
          <w:rFonts w:ascii="宋体" w:hint="eastAsia"/>
          <w:b/>
          <w:bCs/>
          <w:color w:val="auto"/>
          <w:sz w:val="28"/>
          <w:szCs w:val="28"/>
          <w:highlight w:val="none"/>
          <w14:shadow w14:blurRad="50800" w14:dist="38100" w14:dir="2700000" w14:sx="100000" w14:sy="100000" w14:kx="0" w14:ky="0" w14:algn="tl">
            <w14:srgbClr w14:val="000000">
              <w14:alpha w14:val="60000"/>
            </w14:srgbClr>
          </w14:shadow>
        </w:rPr>
        <w:t>项目名称：</w:t>
      </w:r>
      <w:bookmarkStart w:id="0" w:name="招标文件_项目名称_fa_planName"/>
      <w:r>
        <w:rPr>
          <w:rFonts w:ascii="宋体" w:hint="eastAsia"/>
          <w:b/>
          <w:bCs/>
          <w:color w:val="auto"/>
          <w:sz w:val="28"/>
          <w:szCs w:val="28"/>
          <w:highlight w:val="none"/>
          <w14:shadow w14:blurRad="50800" w14:dist="38100" w14:dir="2700000" w14:sx="100000" w14:sy="100000" w14:kx="0" w14:ky="0" w14:algn="tl">
            <w14:srgbClr w14:val="000000">
              <w14:alpha w14:val="60000"/>
            </w14:srgbClr>
          </w14:shadow>
        </w:rPr>
        <w:t>国家税务总局吉林市税务局2026年物业管理服务项目</w:t>
      </w:r>
      <w:bookmarkEnd w:id="0"/>
    </w:p>
    <w:p w14:paraId="40AAD881">
      <w:pPr>
        <w:topLinePunct/>
        <w:autoSpaceDE w:val="0"/>
        <w:autoSpaceDN w:val="0"/>
        <w:snapToGrid w:val="0"/>
        <w:spacing w:line="360" w:lineRule="auto"/>
        <w:ind w:firstLine="280" w:firstLineChars="100"/>
        <w:rPr>
          <w:rFonts w:ascii="宋体" w:eastAsia="宋体" w:hAnsi="宋体" w:cs="宋体" w:hint="eastAsia"/>
          <w:b/>
          <w:bCs/>
          <w:sz w:val="28"/>
          <w:szCs w:val="36"/>
        </w:rPr>
      </w:pPr>
      <w:r>
        <w:rPr>
          <w:rFonts w:ascii="宋体" w:hint="eastAsia"/>
          <w:b/>
          <w:bCs/>
          <w:color w:val="auto"/>
          <w:sz w:val="28"/>
          <w:szCs w:val="28"/>
          <w:highlight w:val="none"/>
          <w14:shadow w14:blurRad="50800" w14:dist="38100" w14:dir="2700000" w14:sx="100000" w14:sy="100000" w14:kx="0" w14:ky="0" w14:algn="tl">
            <w14:srgbClr w14:val="000000">
              <w14:alpha w14:val="60000"/>
            </w14:srgbClr>
          </w14:shadow>
        </w:rPr>
        <w:t>项目编号：</w:t>
      </w:r>
      <w:bookmarkStart w:id="1" w:name="招标文件_项目编号_fa_planNo"/>
      <w:r>
        <w:rPr>
          <w:rFonts w:ascii="宋体" w:eastAsia="宋体" w:hAnsi="宋体" w:cs="宋体" w:hint="eastAsia"/>
          <w:b/>
          <w:bCs/>
          <w:sz w:val="28"/>
          <w:szCs w:val="36"/>
        </w:rPr>
        <w:t>JL2025-ZXGK-C0123-B02</w:t>
      </w:r>
      <w:bookmarkEnd w:id="1"/>
    </w:p>
    <w:p w14:paraId="7EA91CFF">
      <w:pPr>
        <w:topLinePunct/>
        <w:autoSpaceDE w:val="0"/>
        <w:autoSpaceDN w:val="0"/>
        <w:snapToGrid w:val="0"/>
        <w:spacing w:line="360" w:lineRule="auto"/>
        <w:rPr>
          <w:rFonts w:ascii="宋体"/>
          <w:b/>
          <w:bCs/>
          <w:color w:val="auto"/>
          <w:sz w:val="28"/>
          <w:szCs w:val="28"/>
          <w:highlight w:val="none"/>
          <w14:shadow w14:blurRad="50800" w14:dist="38100" w14:dir="2700000" w14:sx="100000" w14:sy="100000" w14:kx="0" w14:ky="0" w14:algn="tl">
            <w14:srgbClr w14:val="000000">
              <w14:alpha w14:val="60000"/>
            </w14:srgbClr>
          </w14:shadow>
        </w:rPr>
      </w:pPr>
    </w:p>
    <w:p w14:paraId="58449437">
      <w:pPr>
        <w:topLinePunct/>
        <w:autoSpaceDE w:val="0"/>
        <w:autoSpaceDN w:val="0"/>
        <w:spacing w:line="460" w:lineRule="exact"/>
        <w:rPr>
          <w:rFonts w:ascii="黑体" w:eastAsia="黑体"/>
          <w:b/>
          <w:color w:val="auto"/>
          <w:sz w:val="52"/>
          <w:highlight w:val="none"/>
        </w:rPr>
      </w:pPr>
      <w:bookmarkStart w:id="2" w:name="_GoBack"/>
      <w:bookmarkEnd w:id="2"/>
    </w:p>
    <w:p w14:paraId="227B211A">
      <w:pPr>
        <w:topLinePunct/>
        <w:autoSpaceDE w:val="0"/>
        <w:autoSpaceDN w:val="0"/>
        <w:spacing w:line="460" w:lineRule="exact"/>
        <w:rPr>
          <w:rFonts w:ascii="黑体" w:eastAsia="黑体"/>
          <w:b/>
          <w:color w:val="auto"/>
          <w:sz w:val="36"/>
          <w:szCs w:val="36"/>
          <w:highlight w:val="none"/>
        </w:rPr>
      </w:pPr>
    </w:p>
    <w:p w14:paraId="2F8A8B16">
      <w:pPr>
        <w:topLinePunct/>
        <w:autoSpaceDE w:val="0"/>
        <w:autoSpaceDN w:val="0"/>
        <w:spacing w:line="460" w:lineRule="exact"/>
        <w:rPr>
          <w:rFonts w:ascii="黑体" w:eastAsia="黑体"/>
          <w:b/>
          <w:color w:val="auto"/>
          <w:sz w:val="36"/>
          <w:szCs w:val="36"/>
          <w:highlight w:val="none"/>
        </w:rPr>
      </w:pPr>
    </w:p>
    <w:p w14:paraId="5EEB3AAC">
      <w:pPr>
        <w:topLinePunct/>
        <w:autoSpaceDE w:val="0"/>
        <w:autoSpaceDN w:val="0"/>
        <w:spacing w:line="460" w:lineRule="exact"/>
        <w:jc w:val="center"/>
        <w:rPr>
          <w:rFonts w:ascii="黑体" w:eastAsia="黑体" w:hint="eastAsia"/>
          <w:color w:val="auto"/>
          <w:sz w:val="36"/>
          <w:szCs w:val="36"/>
          <w:highlight w:val="none"/>
        </w:rPr>
      </w:pPr>
    </w:p>
    <w:p w14:paraId="3E2C7A54">
      <w:pPr>
        <w:topLinePunct/>
        <w:autoSpaceDE w:val="0"/>
        <w:autoSpaceDN w:val="0"/>
        <w:spacing w:line="460" w:lineRule="exact"/>
        <w:jc w:val="center"/>
        <w:rPr>
          <w:rFonts w:ascii="黑体" w:eastAsia="黑体" w:hint="eastAsia"/>
          <w:color w:val="auto"/>
          <w:sz w:val="36"/>
          <w:szCs w:val="36"/>
          <w:highlight w:val="none"/>
        </w:rPr>
      </w:pPr>
    </w:p>
    <w:p w14:paraId="5B855C97">
      <w:pPr>
        <w:topLinePunct/>
        <w:autoSpaceDE w:val="0"/>
        <w:autoSpaceDN w:val="0"/>
        <w:spacing w:line="460" w:lineRule="exact"/>
        <w:jc w:val="center"/>
        <w:rPr>
          <w:rFonts w:ascii="黑体" w:eastAsia="黑体"/>
          <w:color w:val="auto"/>
          <w:sz w:val="36"/>
          <w:szCs w:val="36"/>
          <w:highlight w:val="none"/>
        </w:rPr>
      </w:pPr>
      <w:bookmarkStart w:id="3" w:name="采购人名称_cgrmc"/>
      <w:r>
        <w:rPr>
          <w:rFonts w:ascii="黑体" w:eastAsia="黑体" w:hint="eastAsia"/>
          <w:color w:val="auto"/>
          <w:sz w:val="36"/>
          <w:szCs w:val="36"/>
          <w:highlight w:val="none"/>
        </w:rPr>
        <w:t>国家税务总局吉林市税务局</w:t>
      </w:r>
      <w:bookmarkEnd w:id="3"/>
    </w:p>
    <w:p w14:paraId="50DB2D5F">
      <w:pPr>
        <w:topLinePunct/>
        <w:autoSpaceDE w:val="0"/>
        <w:autoSpaceDN w:val="0"/>
        <w:spacing w:line="160" w:lineRule="exact"/>
        <w:jc w:val="center"/>
        <w:rPr>
          <w:rFonts w:ascii="黑体" w:eastAsia="黑体"/>
          <w:color w:val="auto"/>
          <w:sz w:val="36"/>
          <w:szCs w:val="36"/>
          <w:highlight w:val="none"/>
        </w:rPr>
      </w:pPr>
    </w:p>
    <w:p w14:paraId="41AFABFF">
      <w:pPr>
        <w:widowControl/>
        <w:topLinePunct/>
        <w:autoSpaceDE w:val="0"/>
        <w:autoSpaceDN w:val="0"/>
        <w:jc w:val="center"/>
        <w:rPr>
          <w:rFonts w:ascii="黑体" w:eastAsia="黑体" w:hAnsi="Courier New" w:cs="Courier New"/>
          <w:color w:val="auto"/>
          <w:sz w:val="36"/>
          <w:szCs w:val="36"/>
          <w:highlight w:val="none"/>
        </w:rPr>
      </w:pPr>
      <w:r>
        <w:rPr>
          <w:rFonts w:ascii="黑体" w:eastAsia="黑体" w:hAnsi="Courier New" w:cs="Courier New" w:hint="eastAsia"/>
          <w:color w:val="auto"/>
          <w:sz w:val="36"/>
          <w:szCs w:val="36"/>
          <w:highlight w:val="none"/>
          <w:lang w:val="en-US" w:eastAsia="zh-CN"/>
        </w:rPr>
        <w:t xml:space="preserve"> </w:t>
      </w:r>
      <w:bookmarkStart w:id="4" w:name="生成日期_currentDateTime_ymd"/>
      <w:r>
        <w:rPr>
          <w:rFonts w:ascii="黑体" w:eastAsia="黑体" w:hAnsi="Courier New" w:cs="Courier New" w:hint="eastAsia"/>
          <w:color w:val="auto"/>
          <w:sz w:val="36"/>
          <w:szCs w:val="36"/>
          <w:highlight w:val="none"/>
        </w:rPr>
        <w:t>2025年12月</w:t>
      </w:r>
      <w:bookmarkEnd w:id="4"/>
    </w:p>
    <w:p w14:paraId="0E33BFD2">
      <w:pPr>
        <w:jc w:val="center"/>
        <w:rPr>
          <w:b/>
          <w:color w:val="auto"/>
          <w:sz w:val="44"/>
          <w:szCs w:val="44"/>
          <w:highlight w:val="none"/>
        </w:rPr>
        <w:sectPr>
          <w:footerReference w:type="default" r:id="rId5"/>
          <w:pgSz w:w="11906" w:h="16838"/>
          <w:pgMar w:top="1440" w:right="1800" w:bottom="1440" w:left="1800" w:header="227" w:footer="283" w:gutter="0"/>
          <w:pgNumType w:fmt="decimal" w:start="1"/>
          <w:cols w:num="1" w:space="708"/>
          <w:docGrid w:type="lines" w:linePitch="312" w:charSpace="0"/>
        </w:sectPr>
      </w:pPr>
    </w:p>
    <w:p w14:paraId="69126AFB">
      <w:pPr>
        <w:jc w:val="center"/>
        <w:rPr>
          <w:b/>
          <w:color w:val="auto"/>
          <w:sz w:val="44"/>
          <w:szCs w:val="44"/>
          <w:highlight w:val="none"/>
        </w:rPr>
      </w:pPr>
      <w:r>
        <w:rPr>
          <w:rFonts w:hint="eastAsia"/>
          <w:b/>
          <w:color w:val="auto"/>
          <w:sz w:val="44"/>
          <w:szCs w:val="44"/>
          <w:highlight w:val="none"/>
        </w:rPr>
        <w:t>目　　录</w:t>
      </w:r>
    </w:p>
    <w:p w14:paraId="383828E1">
      <w:pPr>
        <w:rPr>
          <w:color w:val="auto"/>
          <w:highlight w:val="none"/>
        </w:rPr>
      </w:pPr>
    </w:p>
    <w:p w14:paraId="77286CE9">
      <w:pPr>
        <w:rPr>
          <w:b/>
          <w:color w:val="auto"/>
          <w:highlight w:val="none"/>
        </w:rPr>
      </w:pPr>
    </w:p>
    <w:p>
      <w:pPr>
        <w:pStyle w:val="TOC1"/>
        <w:tabs>
          <w:tab w:val="right" w:leader="dot" w:pos="8800"/>
        </w:tabs>
        <w:rPr>
          <w:rFonts w:asciiTheme="minorHAnsi" w:hAnsiTheme="minorHAnsi"/>
          <w:noProof/>
          <w:sz w:val="22"/>
        </w:rPr>
      </w:pPr>
      <w:r>
        <w:rPr>
          <w:b/>
          <w:color w:val="auto"/>
          <w:sz w:val="30"/>
          <w:szCs w:val="30"/>
          <w:highlight w:val="none"/>
        </w:rPr>
        <w:fldChar w:fldCharType="begin"/>
      </w:r>
      <w:r>
        <w:rPr>
          <w:rFonts w:hint="eastAsia"/>
          <w:b/>
          <w:color w:val="auto"/>
          <w:sz w:val="30"/>
          <w:szCs w:val="30"/>
          <w:highlight w:val="none"/>
        </w:rPr>
        <w:instrText>TOC \o "1-1" \h \z \u</w:instrText>
      </w:r>
      <w:r>
        <w:rPr>
          <w:b/>
          <w:color w:val="auto"/>
          <w:sz w:val="30"/>
          <w:szCs w:val="30"/>
          <w:highlight w:val="none"/>
        </w:rPr>
        <w:fldChar w:fldCharType="separate"/>
      </w:r>
      <w:hyperlink w:anchor="_Toc256000000" w:history="1">
        <w:r>
          <w:rPr>
            <w:rStyle w:val="Hyperlink"/>
            <w:rFonts w:hint="eastAsia"/>
          </w:rPr>
          <w:t xml:space="preserve">第一章  </w:t>
        </w:r>
        <w:r>
          <w:rPr>
            <w:rStyle w:val="Hyperlink"/>
            <w:rFonts w:hint="eastAsia"/>
          </w:rPr>
          <w:t>招标公告</w:t>
        </w:r>
        <w:r>
          <w:tab/>
        </w:r>
        <w:r>
          <w:fldChar w:fldCharType="begin"/>
        </w:r>
        <w:r>
          <w:instrText xml:space="preserve"> PAGEREF _Toc256000000 \h </w:instrText>
        </w:r>
        <w:r>
          <w:fldChar w:fldCharType="separate"/>
        </w:r>
        <w:r>
          <w:t>3</w:t>
        </w:r>
        <w:r>
          <w:fldChar w:fldCharType="end"/>
        </w:r>
      </w:hyperlink>
    </w:p>
    <w:p>
      <w:pPr>
        <w:pStyle w:val="TOC1"/>
        <w:tabs>
          <w:tab w:val="right" w:leader="dot" w:pos="8800"/>
        </w:tabs>
        <w:rPr>
          <w:rFonts w:asciiTheme="minorHAnsi" w:hAnsiTheme="minorHAnsi"/>
          <w:noProof/>
          <w:sz w:val="22"/>
        </w:rPr>
      </w:pPr>
      <w:hyperlink w:anchor="_Toc256000001" w:history="1">
        <w:r>
          <w:rPr>
            <w:rStyle w:val="Hyperlink"/>
            <w:rFonts w:hint="eastAsia"/>
          </w:rPr>
          <w:t>第二章　投标人须知</w:t>
        </w:r>
        <w:r>
          <w:tab/>
        </w:r>
        <w:r>
          <w:fldChar w:fldCharType="begin"/>
        </w:r>
        <w:r>
          <w:instrText xml:space="preserve"> PAGEREF _Toc256000001 \h </w:instrText>
        </w:r>
        <w:r>
          <w:fldChar w:fldCharType="separate"/>
        </w:r>
        <w:r>
          <w:t>6</w:t>
        </w:r>
        <w:r>
          <w:fldChar w:fldCharType="end"/>
        </w:r>
      </w:hyperlink>
    </w:p>
    <w:p>
      <w:pPr>
        <w:pStyle w:val="TOC1"/>
        <w:tabs>
          <w:tab w:val="right" w:leader="dot" w:pos="8800"/>
        </w:tabs>
        <w:rPr>
          <w:rFonts w:asciiTheme="minorHAnsi" w:hAnsiTheme="minorHAnsi"/>
          <w:noProof/>
          <w:sz w:val="22"/>
        </w:rPr>
      </w:pPr>
      <w:hyperlink w:anchor="_Toc256000002" w:history="1">
        <w:r>
          <w:rPr>
            <w:rStyle w:val="Hyperlink"/>
            <w:rFonts w:hint="eastAsia"/>
          </w:rPr>
          <w:t>第三章　评标方法及标准</w:t>
        </w:r>
        <w:r>
          <w:tab/>
        </w:r>
        <w:r>
          <w:fldChar w:fldCharType="begin"/>
        </w:r>
        <w:r>
          <w:instrText xml:space="preserve"> PAGEREF _Toc256000002 \h </w:instrText>
        </w:r>
        <w:r>
          <w:fldChar w:fldCharType="separate"/>
        </w:r>
        <w:r>
          <w:t>19</w:t>
        </w:r>
        <w:r>
          <w:fldChar w:fldCharType="end"/>
        </w:r>
      </w:hyperlink>
    </w:p>
    <w:p>
      <w:pPr>
        <w:pStyle w:val="TOC1"/>
        <w:tabs>
          <w:tab w:val="right" w:leader="dot" w:pos="8800"/>
        </w:tabs>
        <w:rPr>
          <w:rFonts w:asciiTheme="minorHAnsi" w:hAnsiTheme="minorHAnsi"/>
          <w:noProof/>
          <w:sz w:val="22"/>
        </w:rPr>
      </w:pPr>
      <w:hyperlink w:anchor="_Toc256000003" w:history="1">
        <w:r>
          <w:rPr>
            <w:rStyle w:val="Hyperlink"/>
            <w:rFonts w:hint="eastAsia"/>
          </w:rPr>
          <w:t>第四章  政府采购合同文本</w:t>
        </w:r>
        <w:r>
          <w:tab/>
        </w:r>
        <w:r>
          <w:fldChar w:fldCharType="begin"/>
        </w:r>
        <w:r>
          <w:instrText xml:space="preserve"> PAGEREF _Toc256000003 \h </w:instrText>
        </w:r>
        <w:r>
          <w:fldChar w:fldCharType="separate"/>
        </w:r>
        <w:r>
          <w:t>24</w:t>
        </w:r>
        <w:r>
          <w:fldChar w:fldCharType="end"/>
        </w:r>
      </w:hyperlink>
    </w:p>
    <w:p>
      <w:pPr>
        <w:pStyle w:val="TOC1"/>
        <w:tabs>
          <w:tab w:val="right" w:leader="dot" w:pos="8800"/>
        </w:tabs>
        <w:rPr>
          <w:rFonts w:asciiTheme="minorHAnsi" w:hAnsiTheme="minorHAnsi"/>
          <w:noProof/>
          <w:sz w:val="22"/>
        </w:rPr>
      </w:pPr>
      <w:hyperlink w:anchor="_Toc256000004" w:history="1">
        <w:r>
          <w:rPr>
            <w:rStyle w:val="Hyperlink"/>
            <w:rFonts w:hint="eastAsia"/>
          </w:rPr>
          <w:t>第五章　投标文件格式</w:t>
        </w:r>
        <w:r>
          <w:tab/>
        </w:r>
        <w:r>
          <w:fldChar w:fldCharType="begin"/>
        </w:r>
        <w:r>
          <w:instrText xml:space="preserve"> PAGEREF _Toc256000004 \h </w:instrText>
        </w:r>
        <w:r>
          <w:fldChar w:fldCharType="separate"/>
        </w:r>
        <w:r>
          <w:t>37</w:t>
        </w:r>
        <w:r>
          <w:fldChar w:fldCharType="end"/>
        </w:r>
      </w:hyperlink>
    </w:p>
    <w:p>
      <w:pPr>
        <w:jc w:val="center"/>
        <w:rPr>
          <w:rFonts w:hAnsi="宋体"/>
          <w:b/>
          <w:color w:val="auto"/>
          <w:sz w:val="32"/>
          <w:szCs w:val="32"/>
          <w:highlight w:val="none"/>
        </w:rPr>
      </w:pPr>
      <w:r>
        <w:rPr>
          <w:rFonts w:hAnsi="宋体"/>
          <w:color w:val="auto"/>
          <w:sz w:val="30"/>
          <w:szCs w:val="30"/>
          <w:highlight w:val="none"/>
        </w:rPr>
        <w:fldChar w:fldCharType="end"/>
      </w:r>
    </w:p>
    <w:p w14:paraId="55A8974A">
      <w:pPr>
        <w:ind w:firstLine="640" w:firstLineChars="200"/>
        <w:jc w:val="center"/>
        <w:rPr>
          <w:rFonts w:hAnsi="宋体"/>
          <w:b/>
          <w:color w:val="auto"/>
          <w:sz w:val="32"/>
          <w:szCs w:val="32"/>
          <w:highlight w:val="none"/>
        </w:rPr>
      </w:pPr>
    </w:p>
    <w:p w14:paraId="1B6D091F">
      <w:pPr>
        <w:ind w:firstLine="640" w:firstLineChars="200"/>
        <w:jc w:val="center"/>
        <w:rPr>
          <w:rFonts w:hAnsi="宋体"/>
          <w:b/>
          <w:color w:val="auto"/>
          <w:sz w:val="32"/>
          <w:szCs w:val="32"/>
          <w:highlight w:val="none"/>
        </w:rPr>
      </w:pPr>
    </w:p>
    <w:p w14:paraId="42FB017C">
      <w:pPr>
        <w:jc w:val="center"/>
        <w:rPr>
          <w:color w:val="auto"/>
          <w:highlight w:val="none"/>
        </w:rPr>
      </w:pPr>
    </w:p>
    <w:p w14:paraId="50143204">
      <w:pPr>
        <w:topLinePunct/>
        <w:autoSpaceDE w:val="0"/>
        <w:autoSpaceDN w:val="0"/>
        <w:rPr>
          <w:rFonts w:ascii="仿宋_GB2312" w:eastAsia="仿宋_GB2312"/>
          <w:b/>
          <w:color w:val="auto"/>
          <w:sz w:val="96"/>
          <w:szCs w:val="96"/>
          <w:highlight w:val="none"/>
        </w:rPr>
      </w:pPr>
    </w:p>
    <w:p w14:paraId="738D1A9C">
      <w:pPr>
        <w:pStyle w:val="Heading1"/>
        <w:jc w:val="center"/>
        <w:rPr>
          <w:rFonts w:hint="eastAsia"/>
          <w:color w:val="auto"/>
          <w:sz w:val="36"/>
          <w:szCs w:val="36"/>
          <w:highlight w:val="none"/>
        </w:rPr>
        <w:sectPr>
          <w:footerReference w:type="default" r:id="rId6"/>
          <w:pgSz w:w="11906" w:h="16838"/>
          <w:pgMar w:top="1440" w:right="1508" w:bottom="1440" w:left="1588" w:header="851" w:footer="851" w:gutter="0"/>
          <w:pgBorders>
            <w:top w:val="none" w:sz="0" w:space="0" w:color="auto"/>
            <w:left w:val="none" w:sz="0" w:space="0" w:color="auto"/>
            <w:bottom w:val="none" w:sz="0" w:space="0" w:color="auto"/>
            <w:right w:val="none" w:sz="0" w:space="0" w:color="auto"/>
          </w:pgBorders>
          <w:pgNumType w:fmt="decimal"/>
          <w:cols w:num="1" w:space="708"/>
          <w:titlePg/>
          <w:docGrid w:type="lines" w:linePitch="312" w:charSpace="0"/>
        </w:sectPr>
      </w:pPr>
      <w:bookmarkStart w:id="5" w:name="_Toc1314141995"/>
      <w:bookmarkStart w:id="6" w:name="_Toc1669619672"/>
      <w:bookmarkStart w:id="7" w:name="_Toc525052844"/>
      <w:bookmarkStart w:id="8" w:name="_Toc2069573289"/>
      <w:bookmarkStart w:id="9" w:name="_Toc550008647"/>
      <w:bookmarkStart w:id="10" w:name="_Toc38030147"/>
      <w:bookmarkStart w:id="11" w:name="_Toc1507395400"/>
    </w:p>
    <w:p w14:paraId="0387E55F">
      <w:pPr>
        <w:pStyle w:val="Heading1"/>
        <w:jc w:val="center"/>
        <w:rPr>
          <w:color w:val="auto"/>
          <w:sz w:val="36"/>
          <w:szCs w:val="36"/>
          <w:highlight w:val="none"/>
        </w:rPr>
      </w:pPr>
      <w:bookmarkStart w:id="12" w:name="_Toc256000000"/>
      <w:r>
        <w:rPr>
          <w:rFonts w:hint="eastAsia"/>
          <w:color w:val="auto"/>
          <w:sz w:val="36"/>
          <w:szCs w:val="36"/>
          <w:highlight w:val="none"/>
        </w:rPr>
        <w:t xml:space="preserve">第一章  </w:t>
      </w:r>
      <w:bookmarkEnd w:id="5"/>
      <w:bookmarkEnd w:id="6"/>
      <w:bookmarkEnd w:id="7"/>
      <w:bookmarkEnd w:id="8"/>
      <w:bookmarkEnd w:id="9"/>
      <w:bookmarkEnd w:id="10"/>
      <w:bookmarkEnd w:id="11"/>
      <w:r>
        <w:rPr>
          <w:rFonts w:hint="eastAsia"/>
          <w:color w:val="auto"/>
          <w:sz w:val="36"/>
          <w:szCs w:val="36"/>
          <w:highlight w:val="none"/>
        </w:rPr>
        <w:t>招标公告</w:t>
      </w:r>
      <w:bookmarkEnd w:id="12"/>
    </w:p>
    <w:p w14:paraId="7AFF1FC8">
      <w:pPr>
        <w:rPr>
          <w:sz w:val="24"/>
        </w:rPr>
      </w:pPr>
      <w:bookmarkStart w:id="13" w:name="_Toc974999554"/>
      <w:bookmarkStart w:id="14" w:name="_Toc1977141569"/>
      <w:bookmarkStart w:id="15" w:name="_Toc525052845"/>
      <w:bookmarkStart w:id="16" w:name="_Toc302424507"/>
      <w:bookmarkStart w:id="17" w:name="_Toc38030148"/>
      <w:bookmarkStart w:id="18" w:name="_Toc1504408516"/>
      <w:bookmarkStart w:id="19" w:name="招标公告_zxzbsw_ZBGG"/>
    </w:p>
    <w:p w14:paraId="28732382">
      <w:pPr>
        <w:pBdr>
          <w:top w:val="single" w:sz="4" w:space="1" w:color="auto"/>
          <w:left w:val="single" w:sz="4" w:space="4" w:color="auto"/>
          <w:bottom w:val="single" w:sz="4" w:space="1" w:color="auto"/>
          <w:right w:val="single" w:sz="4" w:space="4" w:color="auto"/>
        </w:pBdr>
        <w:adjustRightInd w:val="0"/>
        <w:snapToGrid w:val="0"/>
        <w:spacing w:after="0" w:line="360" w:lineRule="auto"/>
        <w:rPr>
          <w:rFonts w:ascii="宋体" w:hAnsi="宋体" w:cs="宋体" w:hint="eastAsia"/>
          <w:sz w:val="24"/>
        </w:rPr>
      </w:pPr>
      <w:r>
        <w:rPr>
          <w:rFonts w:ascii="宋体" w:hAnsi="宋体" w:cs="宋体" w:hint="eastAsia"/>
          <w:sz w:val="24"/>
        </w:rPr>
        <w:t>项目概况</w:t>
      </w:r>
    </w:p>
    <w:p w14:paraId="642602C6">
      <w:pPr>
        <w:pBdr>
          <w:top w:val="single" w:sz="4" w:space="1" w:color="auto"/>
          <w:left w:val="single" w:sz="4" w:space="4" w:color="auto"/>
          <w:bottom w:val="single" w:sz="4" w:space="1" w:color="auto"/>
          <w:right w:val="single" w:sz="4" w:space="4" w:color="auto"/>
        </w:pBdr>
        <w:spacing w:line="360" w:lineRule="auto"/>
        <w:ind w:firstLine="480" w:firstLineChars="200"/>
        <w:rPr>
          <w:sz w:val="24"/>
        </w:rPr>
      </w:pPr>
      <w:bookmarkStart w:id="20" w:name="项目名称_fa_planName_1"/>
      <w:r>
        <w:rPr>
          <w:rFonts w:ascii="宋体" w:hAnsi="宋体" w:cs="宋体" w:hint="eastAsia"/>
          <w:sz w:val="24"/>
        </w:rPr>
        <w:t>国家税务总局吉林市税务局2026年物业管理服务项目</w:t>
      </w:r>
      <w:bookmarkEnd w:id="20"/>
      <w:r>
        <w:rPr>
          <w:rFonts w:ascii="宋体" w:hAnsi="宋体" w:cs="宋体" w:hint="eastAsia"/>
          <w:sz w:val="24"/>
        </w:rPr>
        <w:t>的潜在投标人应通过</w:t>
      </w:r>
      <w:r>
        <w:rPr>
          <w:rFonts w:ascii="宋体" w:hAnsi="宋体" w:cs="宋体" w:hint="eastAsia"/>
          <w:sz w:val="24"/>
          <w:u w:val="single"/>
        </w:rPr>
        <w:t>在线下载方式</w:t>
      </w:r>
      <w:r>
        <w:rPr>
          <w:rFonts w:ascii="宋体" w:hAnsi="宋体" w:cs="宋体" w:hint="eastAsia"/>
          <w:sz w:val="24"/>
        </w:rPr>
        <w:t>获取招标文件，并于</w:t>
      </w:r>
      <w:bookmarkStart w:id="21" w:name="投标时间_zxzbgg_bidLastTime"/>
      <w:r>
        <w:rPr>
          <w:rFonts w:ascii="宋体" w:hAnsi="宋体" w:cs="宋体" w:hint="eastAsia"/>
          <w:sz w:val="24"/>
          <w:u w:val="single"/>
        </w:rPr>
        <w:t>2025年12月26日9点15分</w:t>
      </w:r>
      <w:bookmarkEnd w:id="21"/>
      <w:r>
        <w:rPr>
          <w:rFonts w:ascii="宋体" w:hAnsi="宋体" w:cs="宋体" w:hint="eastAsia"/>
          <w:sz w:val="24"/>
        </w:rPr>
        <w:t>（</w:t>
      </w:r>
      <w:r>
        <w:rPr>
          <w:rFonts w:ascii="宋体" w:hAnsi="宋体" w:cs="宋体" w:hint="eastAsia"/>
          <w:bCs/>
          <w:sz w:val="24"/>
        </w:rPr>
        <w:t>北京时间）前递交投标文件</w:t>
      </w:r>
      <w:r>
        <w:rPr>
          <w:rFonts w:ascii="宋体" w:hAnsi="宋体" w:cs="宋体" w:hint="eastAsia"/>
          <w:sz w:val="24"/>
        </w:rPr>
        <w:t>。</w:t>
      </w:r>
    </w:p>
    <w:p w14:paraId="214549E3">
      <w:pPr>
        <w:widowControl/>
        <w:shd w:val="clear" w:color="auto" w:fill="FFFFFF"/>
        <w:adjustRightInd w:val="0"/>
        <w:snapToGrid w:val="0"/>
        <w:spacing w:before="62" w:beforeLines="20" w:after="62" w:afterLines="20" w:line="360" w:lineRule="auto"/>
        <w:ind w:firstLine="480" w:firstLineChars="200"/>
        <w:jc w:val="left"/>
        <w:rPr>
          <w:rFonts w:ascii="黑体" w:eastAsia="黑体" w:hAnsi="黑体" w:cs="黑体" w:hint="eastAsia"/>
          <w:sz w:val="24"/>
        </w:rPr>
      </w:pPr>
    </w:p>
    <w:p w14:paraId="7A3048C7">
      <w:pPr>
        <w:widowControl/>
        <w:shd w:val="clear" w:color="auto" w:fill="FFFFFF"/>
        <w:adjustRightInd w:val="0"/>
        <w:snapToGrid w:val="0"/>
        <w:spacing w:before="62" w:beforeLines="20" w:after="62" w:afterLines="20" w:line="360" w:lineRule="auto"/>
        <w:ind w:firstLine="480" w:firstLineChars="200"/>
        <w:jc w:val="left"/>
        <w:rPr>
          <w:rFonts w:ascii="黑体" w:eastAsia="黑体" w:hAnsi="黑体" w:cs="黑体" w:hint="eastAsia"/>
          <w:sz w:val="24"/>
        </w:rPr>
      </w:pPr>
      <w:r>
        <w:rPr>
          <w:rFonts w:ascii="黑体" w:eastAsia="黑体" w:hAnsi="黑体" w:cs="黑体" w:hint="eastAsia"/>
          <w:sz w:val="24"/>
        </w:rPr>
        <w:t>一、项目基本情况</w:t>
      </w:r>
    </w:p>
    <w:p w14:paraId="2964E6CA">
      <w:pPr>
        <w:widowControl/>
        <w:shd w:val="clear" w:color="auto" w:fill="FFFFFF"/>
        <w:adjustRightInd w:val="0"/>
        <w:snapToGrid w:val="0"/>
        <w:spacing w:before="62" w:beforeLines="20" w:after="62" w:afterLines="20" w:line="360" w:lineRule="auto"/>
        <w:ind w:firstLine="480" w:firstLineChars="200"/>
        <w:jc w:val="left"/>
        <w:rPr>
          <w:rFonts w:ascii="宋体" w:hAnsi="宋体" w:cs="宋体" w:hint="eastAsia"/>
          <w:sz w:val="24"/>
        </w:rPr>
      </w:pPr>
      <w:r>
        <w:rPr>
          <w:rFonts w:ascii="宋体" w:hAnsi="宋体" w:cs="宋体" w:hint="eastAsia"/>
          <w:b/>
          <w:bCs/>
          <w:sz w:val="24"/>
        </w:rPr>
        <w:t>项目编号：</w:t>
      </w:r>
      <w:bookmarkStart w:id="22" w:name="项目编号_fa_planNo_2"/>
      <w:r>
        <w:rPr>
          <w:rFonts w:ascii="宋体" w:hAnsi="宋体" w:cs="宋体" w:hint="eastAsia"/>
          <w:sz w:val="24"/>
        </w:rPr>
        <w:t>JL2025-ZXGK-C0123-B02</w:t>
      </w:r>
      <w:bookmarkEnd w:id="22"/>
    </w:p>
    <w:p w14:paraId="1EF6ADD3">
      <w:pPr>
        <w:widowControl/>
        <w:shd w:val="clear" w:color="auto" w:fill="FFFFFF"/>
        <w:adjustRightInd w:val="0"/>
        <w:snapToGrid w:val="0"/>
        <w:spacing w:before="62" w:beforeLines="20" w:after="62" w:afterLines="20" w:line="360" w:lineRule="auto"/>
        <w:ind w:firstLine="480" w:firstLineChars="200"/>
        <w:jc w:val="left"/>
        <w:rPr>
          <w:rFonts w:ascii="宋体" w:hAnsi="宋体" w:cs="宋体" w:hint="eastAsia"/>
          <w:sz w:val="24"/>
        </w:rPr>
      </w:pPr>
      <w:r>
        <w:rPr>
          <w:rFonts w:ascii="宋体" w:hAnsi="宋体" w:cs="宋体" w:hint="eastAsia"/>
          <w:b/>
          <w:bCs/>
          <w:sz w:val="24"/>
        </w:rPr>
        <w:t>项目名称：</w:t>
      </w:r>
      <w:bookmarkStart w:id="23" w:name="项目名称_fa_planName_2"/>
      <w:r>
        <w:rPr>
          <w:rFonts w:ascii="宋体" w:hAnsi="宋体" w:cs="宋体" w:hint="eastAsia"/>
          <w:sz w:val="24"/>
        </w:rPr>
        <w:t>国家税务总局吉林市税务局2026年物业管理服务项目</w:t>
      </w:r>
      <w:bookmarkEnd w:id="23"/>
    </w:p>
    <w:p w14:paraId="78773457">
      <w:pPr>
        <w:widowControl/>
        <w:shd w:val="clear" w:color="auto" w:fill="FFFFFF"/>
        <w:adjustRightInd w:val="0"/>
        <w:snapToGrid w:val="0"/>
        <w:spacing w:before="62" w:beforeLines="20" w:after="62" w:afterLines="20" w:line="360" w:lineRule="auto"/>
        <w:ind w:firstLine="480" w:firstLineChars="200"/>
        <w:jc w:val="left"/>
        <w:rPr>
          <w:rFonts w:ascii="宋体" w:hAnsi="宋体" w:cs="宋体" w:hint="eastAsia"/>
          <w:sz w:val="24"/>
        </w:rPr>
      </w:pPr>
      <w:r>
        <w:rPr>
          <w:rFonts w:ascii="宋体" w:hAnsi="宋体" w:cs="宋体" w:hint="eastAsia"/>
          <w:b/>
          <w:bCs/>
          <w:sz w:val="24"/>
        </w:rPr>
        <w:t>预算金额：</w:t>
      </w:r>
      <w:bookmarkStart w:id="24" w:name="预算金额_fa_planAmount"/>
      <w:r>
        <w:rPr>
          <w:rFonts w:ascii="宋体" w:hAnsi="宋体" w:cs="宋体" w:hint="eastAsia"/>
          <w:sz w:val="24"/>
        </w:rPr>
        <w:t>464.30万元</w:t>
      </w:r>
      <w:bookmarkEnd w:id="24"/>
    </w:p>
    <w:p w14:paraId="101FF2C2">
      <w:pPr>
        <w:widowControl/>
        <w:shd w:val="clear" w:color="auto" w:fill="FFFFFF"/>
        <w:adjustRightInd w:val="0"/>
        <w:snapToGrid w:val="0"/>
        <w:spacing w:before="62" w:beforeLines="20" w:after="62" w:afterLines="20" w:line="360" w:lineRule="auto"/>
        <w:ind w:firstLine="480" w:firstLineChars="200"/>
        <w:jc w:val="left"/>
        <w:rPr>
          <w:rFonts w:ascii="宋体" w:hAnsi="宋体" w:cs="宋体" w:hint="eastAsia"/>
          <w:sz w:val="24"/>
        </w:rPr>
      </w:pPr>
      <w:r>
        <w:rPr>
          <w:rFonts w:ascii="宋体" w:hAnsi="宋体" w:cs="宋体" w:hint="eastAsia"/>
          <w:b/>
          <w:bCs/>
          <w:sz w:val="24"/>
        </w:rPr>
        <w:t>最高限价</w:t>
      </w:r>
      <w:r>
        <w:rPr>
          <w:rFonts w:ascii="宋体" w:hAnsi="宋体" w:cs="宋体" w:hint="eastAsia"/>
          <w:sz w:val="24"/>
        </w:rPr>
        <w:t>：</w:t>
      </w:r>
      <w:bookmarkStart w:id="25" w:name="最高限价_zxzbgg_maxPrice"/>
      <w:r>
        <w:rPr>
          <w:rFonts w:ascii="宋体" w:hAnsi="宋体" w:cs="宋体" w:hint="eastAsia"/>
          <w:sz w:val="24"/>
        </w:rPr>
        <w:t>464.30万元</w:t>
      </w:r>
      <w:bookmarkEnd w:id="25"/>
    </w:p>
    <w:p w14:paraId="34B0A769">
      <w:pPr>
        <w:widowControl/>
        <w:shd w:val="clear" w:color="auto" w:fill="FFFFFF"/>
        <w:adjustRightInd w:val="0"/>
        <w:snapToGrid w:val="0"/>
        <w:spacing w:before="62" w:beforeLines="20" w:after="62" w:afterLines="20" w:line="360" w:lineRule="auto"/>
        <w:ind w:firstLine="480" w:firstLineChars="200"/>
        <w:jc w:val="left"/>
        <w:rPr>
          <w:rFonts w:ascii="宋体" w:hAnsi="宋体" w:cs="宋体" w:hint="eastAsia"/>
          <w:sz w:val="24"/>
        </w:rPr>
      </w:pPr>
      <w:r>
        <w:rPr>
          <w:rFonts w:ascii="宋体" w:hAnsi="宋体" w:cs="宋体" w:hint="eastAsia"/>
          <w:b/>
          <w:bCs/>
          <w:sz w:val="24"/>
        </w:rPr>
        <w:t>采购需求：</w:t>
      </w:r>
      <w:bookmarkStart w:id="26" w:name="采购需求_zxzbgg_requireRemark"/>
      <w:r>
        <w:rPr>
          <w:rFonts w:ascii="宋体" w:hAnsi="宋体" w:cs="宋体" w:hint="eastAsia"/>
          <w:sz w:val="24"/>
        </w:rPr>
        <w:t>国家税务总局吉林市税务局2026年物业管理服务项目预算总额为464.3万元/年。本项目分为2个包采购，其中，第一包预算金额为262万元，提供国家税务总局吉林市税务局办公楼（三亚路33号）、员工食堂（三亚路33号）、老干部活动中心（丰满区江南街道72号）、江湾馨城办公区（昌邑区江湾路56号）的综合服务、共用设施设备管理、公共秩序维护、环境保洁、会议服务、特约服务（餐饮服务、清雪服务、地毯清洗等）、突发事件应急管理、绿色物业以及标准化建设等工作。第二包预算金额为202.3万元，提供国家税务总局吉林市税务局第一稽查局办公楼（吉林大街73号）、国家税务总局吉林市税务局第二稽查局办公楼（吉林大街73号）、国家税务总局吉林市税务局第三稽查局办公楼（徐州路9号）的综合服务、共用设施设备管理、公共秩序维护、环境保洁、会议服务、特约服务（餐饮服务、清雪服务、地毯清洗等）、突发事件应急管理、绿色物业以及标准化建设等工作。</w:t>
      </w:r>
    </w:p>
    <w:p>
      <w:pPr>
        <w:widowControl/>
        <w:shd w:val="clear" w:color="auto" w:fill="FFFFFF"/>
        <w:adjustRightInd w:val="0"/>
        <w:snapToGrid w:val="0"/>
        <w:spacing w:before="62" w:beforeLines="20" w:after="62" w:afterLines="20" w:line="360" w:lineRule="auto"/>
        <w:ind w:firstLine="480" w:firstLineChars="200"/>
        <w:jc w:val="left"/>
        <w:rPr>
          <w:rFonts w:ascii="宋体" w:hAnsi="宋体" w:cs="宋体" w:hint="eastAsia"/>
          <w:sz w:val="24"/>
        </w:rPr>
      </w:pPr>
      <w:r>
        <w:rPr>
          <w:rFonts w:ascii="宋体" w:hAnsi="宋体" w:cs="宋体" w:hint="eastAsia"/>
          <w:sz w:val="24"/>
        </w:rPr>
        <w:t>服务期为自项目实施之日起两年，合同一年一签，第二年合同金额以第二年预算批复为准。</w:t>
      </w:r>
    </w:p>
    <w:p>
      <w:pPr>
        <w:widowControl/>
        <w:shd w:val="clear" w:color="auto" w:fill="FFFFFF"/>
        <w:adjustRightInd w:val="0"/>
        <w:snapToGrid w:val="0"/>
        <w:spacing w:before="62" w:beforeLines="20" w:after="62" w:afterLines="20" w:line="360" w:lineRule="auto"/>
        <w:ind w:firstLine="480" w:firstLineChars="200"/>
        <w:jc w:val="left"/>
        <w:rPr>
          <w:rFonts w:ascii="宋体" w:hAnsi="宋体" w:cs="宋体" w:hint="eastAsia"/>
          <w:sz w:val="24"/>
        </w:rPr>
      </w:pPr>
      <w:r>
        <w:rPr>
          <w:rFonts w:ascii="宋体" w:hAnsi="宋体" w:cs="宋体" w:hint="eastAsia"/>
          <w:sz w:val="24"/>
        </w:rPr>
        <w:t>需求部门确认，本项目需求内容不包含已有合同内容；需求内容与项目立项、预算评审（如有）内容一致。</w:t>
      </w:r>
      <w:bookmarkEnd w:id="26"/>
    </w:p>
    <w:p w14:paraId="7813440D">
      <w:pPr>
        <w:widowControl/>
        <w:shd w:val="clear" w:color="auto" w:fill="FFFFFF"/>
        <w:adjustRightInd w:val="0"/>
        <w:snapToGrid w:val="0"/>
        <w:spacing w:before="62" w:beforeLines="20" w:after="62" w:afterLines="20" w:line="360" w:lineRule="auto"/>
        <w:ind w:firstLine="480" w:firstLineChars="200"/>
        <w:jc w:val="left"/>
        <w:rPr>
          <w:rFonts w:ascii="宋体" w:hAnsi="宋体" w:cs="宋体" w:hint="eastAsia"/>
          <w:b/>
          <w:bCs/>
          <w:sz w:val="24"/>
        </w:rPr>
      </w:pPr>
      <w:r>
        <w:rPr>
          <w:rFonts w:ascii="宋体" w:hAnsi="宋体" w:cs="宋体" w:hint="eastAsia"/>
          <w:b/>
          <w:bCs/>
          <w:sz w:val="24"/>
        </w:rPr>
        <w:t>合同履行期限：</w:t>
      </w:r>
      <w:r>
        <w:rPr>
          <w:rFonts w:ascii="宋体" w:hAnsi="宋体" w:cs="宋体" w:hint="eastAsia"/>
          <w:sz w:val="24"/>
        </w:rPr>
        <w:t>自合同签订之日起至合同全部权利义务履行完毕之日止。</w:t>
      </w:r>
    </w:p>
    <w:p w14:paraId="1626AFEB">
      <w:pPr>
        <w:widowControl/>
        <w:shd w:val="clear" w:color="auto" w:fill="FFFFFF"/>
        <w:adjustRightInd w:val="0"/>
        <w:snapToGrid w:val="0"/>
        <w:spacing w:before="62" w:beforeLines="20" w:after="62" w:afterLines="20" w:line="360" w:lineRule="auto"/>
        <w:ind w:firstLine="480" w:firstLineChars="200"/>
        <w:jc w:val="left"/>
        <w:rPr>
          <w:rFonts w:ascii="宋体" w:hAnsi="宋体" w:cs="宋体" w:hint="eastAsia"/>
          <w:sz w:val="24"/>
        </w:rPr>
      </w:pPr>
      <w:r>
        <w:rPr>
          <w:rFonts w:ascii="宋体" w:hAnsi="宋体" w:cs="宋体" w:hint="eastAsia"/>
          <w:b/>
          <w:bCs/>
          <w:sz w:val="24"/>
        </w:rPr>
        <w:t>本项目（是/否）接受联合体投标：</w:t>
      </w:r>
      <w:bookmarkStart w:id="27" w:name="联合体投标_zxzbgg_canUnion"/>
      <w:r>
        <w:rPr>
          <w:rFonts w:ascii="宋体" w:hAnsi="宋体" w:cs="宋体" w:hint="eastAsia"/>
          <w:sz w:val="24"/>
        </w:rPr>
        <w:t>否</w:t>
      </w:r>
      <w:bookmarkEnd w:id="27"/>
    </w:p>
    <w:p w14:paraId="65379453">
      <w:pPr>
        <w:widowControl/>
        <w:shd w:val="clear" w:color="auto" w:fill="FFFFFF"/>
        <w:adjustRightInd w:val="0"/>
        <w:snapToGrid w:val="0"/>
        <w:spacing w:before="62" w:beforeLines="20" w:after="62" w:afterLines="20" w:line="360" w:lineRule="auto"/>
        <w:ind w:firstLine="480" w:firstLineChars="200"/>
        <w:jc w:val="left"/>
        <w:rPr>
          <w:rFonts w:ascii="黑体" w:eastAsia="黑体" w:hAnsi="黑体" w:cs="黑体" w:hint="eastAsia"/>
          <w:sz w:val="24"/>
        </w:rPr>
      </w:pPr>
      <w:r>
        <w:rPr>
          <w:rFonts w:ascii="黑体" w:eastAsia="黑体" w:hAnsi="黑体" w:cs="黑体" w:hint="eastAsia"/>
          <w:sz w:val="24"/>
        </w:rPr>
        <w:t>二、申请人的资格要求</w:t>
      </w:r>
    </w:p>
    <w:p w14:paraId="204218B5">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sz w:val="24"/>
        </w:rPr>
      </w:pPr>
      <w:bookmarkStart w:id="28" w:name="资格要求_zxzbgg_qualityRequire"/>
      <w:r>
        <w:rPr>
          <w:rFonts w:ascii="宋体" w:hAnsi="宋体" w:hint="eastAsia"/>
          <w:sz w:val="24"/>
        </w:rPr>
        <w:t>1.符合国家有关法律规定，在中国境内（指关境内）注册，满足《中华人民共和国政府采购法》第二十二条规定。</w:t>
      </w:r>
    </w:p>
    <w:p>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sz w:val="24"/>
        </w:rPr>
      </w:pPr>
      <w:r>
        <w:rPr>
          <w:rFonts w:ascii="宋体" w:hAnsi="宋体" w:hint="eastAsia"/>
          <w:sz w:val="24"/>
        </w:rPr>
        <w:t>2.落实政府采购政策需满足的资格要求：根据《政府采购促进中小企业发展管理办法》（财库[2020]46号印发）有关规定，本项目专门面向中小企业采购。</w:t>
      </w:r>
    </w:p>
    <w:p>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sz w:val="24"/>
        </w:rPr>
      </w:pPr>
      <w:r>
        <w:rPr>
          <w:rFonts w:ascii="宋体" w:hAnsi="宋体" w:hint="eastAsia"/>
          <w:sz w:val="24"/>
        </w:rPr>
        <w:t>3.本项目的特定资格要求：本项目专门面向中小企业采购</w:t>
      </w:r>
      <w:bookmarkEnd w:id="28"/>
    </w:p>
    <w:p w14:paraId="5A60BE8E">
      <w:pPr>
        <w:widowControl/>
        <w:shd w:val="clear" w:color="auto" w:fill="FFFFFF"/>
        <w:adjustRightInd w:val="0"/>
        <w:snapToGrid w:val="0"/>
        <w:spacing w:before="62" w:beforeLines="20" w:after="62" w:afterLines="20" w:line="360" w:lineRule="auto"/>
        <w:ind w:firstLine="480" w:firstLineChars="200"/>
        <w:jc w:val="left"/>
        <w:rPr>
          <w:rFonts w:ascii="黑体" w:eastAsia="黑体" w:hAnsi="黑体" w:cs="黑体" w:hint="eastAsia"/>
          <w:sz w:val="24"/>
        </w:rPr>
      </w:pPr>
      <w:r>
        <w:rPr>
          <w:rFonts w:ascii="黑体" w:eastAsia="黑体" w:hAnsi="黑体" w:cs="黑体" w:hint="eastAsia"/>
          <w:sz w:val="24"/>
        </w:rPr>
        <w:t>三、获取招标文件</w:t>
      </w:r>
    </w:p>
    <w:p w14:paraId="4C7B3AE8">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sz w:val="24"/>
        </w:rPr>
      </w:pPr>
      <w:r>
        <w:rPr>
          <w:rFonts w:ascii="宋体" w:hAnsi="宋体" w:hint="eastAsia"/>
          <w:b/>
          <w:bCs/>
          <w:sz w:val="24"/>
        </w:rPr>
        <w:t>时间：</w:t>
      </w:r>
      <w:bookmarkStart w:id="29" w:name="报名时间_zxzbgg_registrationTime"/>
      <w:r>
        <w:rPr>
          <w:rFonts w:ascii="宋体" w:hAnsi="宋体" w:hint="eastAsia"/>
          <w:sz w:val="24"/>
        </w:rPr>
        <w:t>2025年12月6日至2025年12月12日每天8:00至20:00</w:t>
      </w:r>
      <w:bookmarkEnd w:id="29"/>
      <w:r>
        <w:rPr>
          <w:rFonts w:ascii="宋体" w:hAnsi="宋体" w:hint="eastAsia"/>
          <w:sz w:val="24"/>
        </w:rPr>
        <w:t>（北京时间，法定节假日除外）。</w:t>
      </w:r>
    </w:p>
    <w:p w14:paraId="2E8FB0A5">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sz w:val="24"/>
        </w:rPr>
      </w:pPr>
      <w:r>
        <w:rPr>
          <w:rFonts w:ascii="宋体" w:hAnsi="宋体" w:hint="eastAsia"/>
          <w:b/>
          <w:bCs/>
          <w:sz w:val="24"/>
        </w:rPr>
        <w:t>地点：</w:t>
      </w:r>
      <w:bookmarkStart w:id="30" w:name="获取地点_zxzbgg_getBidFileAddress_2"/>
      <w:r>
        <w:rPr>
          <w:rFonts w:ascii="宋体" w:hAnsi="宋体" w:cs="宋体" w:hint="eastAsia"/>
          <w:sz w:val="24"/>
        </w:rPr>
        <w:t>国家税务总局集中采购中心网站（https://swcg.chinatax.gov.cn）</w:t>
      </w:r>
      <w:bookmarkEnd w:id="30"/>
    </w:p>
    <w:p w14:paraId="59788607">
      <w:pPr>
        <w:adjustRightInd w:val="0"/>
        <w:snapToGrid w:val="0"/>
        <w:spacing w:before="62" w:beforeLines="20" w:after="62" w:afterLines="20" w:line="360" w:lineRule="auto"/>
        <w:ind w:firstLine="480" w:firstLineChars="200"/>
        <w:rPr>
          <w:rFonts w:ascii="宋体" w:hAnsi="宋体" w:hint="eastAsia"/>
          <w:bCs/>
          <w:sz w:val="24"/>
        </w:rPr>
      </w:pPr>
      <w:r>
        <w:rPr>
          <w:rFonts w:ascii="宋体" w:hAnsi="宋体" w:hint="eastAsia"/>
          <w:b/>
          <w:bCs/>
          <w:sz w:val="24"/>
        </w:rPr>
        <w:t>方式：</w:t>
      </w:r>
      <w:bookmarkStart w:id="31" w:name="获取方式_zxzbgg_getBidFileWay"/>
      <w:r>
        <w:rPr>
          <w:rFonts w:ascii="宋体" w:hAnsi="宋体" w:hint="eastAsia"/>
          <w:bCs/>
          <w:sz w:val="24"/>
        </w:rPr>
        <w:t>在线下载</w:t>
      </w:r>
      <w:bookmarkEnd w:id="31"/>
    </w:p>
    <w:p w14:paraId="7FBA9D72">
      <w:pPr>
        <w:adjustRightInd w:val="0"/>
        <w:snapToGrid w:val="0"/>
        <w:spacing w:before="62" w:beforeLines="20" w:after="62" w:afterLines="20" w:line="360" w:lineRule="auto"/>
        <w:ind w:firstLine="480" w:firstLineChars="200"/>
        <w:rPr>
          <w:rFonts w:ascii="宋体" w:eastAsia="Times New Roman" w:hAnsi="宋体"/>
          <w:sz w:val="24"/>
        </w:rPr>
      </w:pPr>
      <w:r>
        <w:rPr>
          <w:rFonts w:ascii="宋体" w:hAnsi="宋体" w:hint="eastAsia"/>
          <w:b/>
          <w:bCs/>
          <w:sz w:val="24"/>
        </w:rPr>
        <w:t>售价：</w:t>
      </w:r>
      <w:bookmarkStart w:id="32" w:name="标书售价_zxzbgg_bidFilePrice"/>
      <w:r>
        <w:rPr>
          <w:rFonts w:ascii="宋体" w:hAnsi="宋体" w:hint="eastAsia"/>
          <w:sz w:val="24"/>
        </w:rPr>
        <w:t>0.00</w:t>
      </w:r>
      <w:bookmarkEnd w:id="32"/>
    </w:p>
    <w:p w14:paraId="353715A0">
      <w:pPr>
        <w:widowControl/>
        <w:shd w:val="clear" w:color="auto" w:fill="FFFFFF"/>
        <w:adjustRightInd w:val="0"/>
        <w:snapToGrid w:val="0"/>
        <w:spacing w:before="62" w:beforeLines="20" w:after="62" w:afterLines="20" w:line="360" w:lineRule="auto"/>
        <w:ind w:firstLine="480" w:firstLineChars="200"/>
        <w:jc w:val="left"/>
        <w:rPr>
          <w:rFonts w:ascii="黑体" w:eastAsia="黑体" w:hAnsi="黑体" w:cs="黑体" w:hint="eastAsia"/>
          <w:sz w:val="24"/>
        </w:rPr>
      </w:pPr>
      <w:r>
        <w:rPr>
          <w:rFonts w:ascii="黑体" w:eastAsia="黑体" w:hAnsi="黑体" w:cs="黑体" w:hint="eastAsia"/>
          <w:sz w:val="24"/>
        </w:rPr>
        <w:t>四、提交投标文件截止时间、开标时间和地点</w:t>
      </w:r>
    </w:p>
    <w:p w14:paraId="1D4574AB">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sz w:val="24"/>
        </w:rPr>
      </w:pPr>
      <w:r>
        <w:rPr>
          <w:rFonts w:ascii="宋体" w:hAnsi="宋体" w:hint="eastAsia"/>
          <w:b/>
          <w:bCs/>
          <w:sz w:val="24"/>
        </w:rPr>
        <w:t>时间：</w:t>
      </w:r>
      <w:r>
        <w:rPr>
          <w:rFonts w:ascii="宋体" w:hAnsi="宋体" w:cs="宋体" w:hint="eastAsia"/>
          <w:sz w:val="24"/>
        </w:rPr>
        <w:t xml:space="preserve"> </w:t>
      </w:r>
      <w:bookmarkStart w:id="33" w:name="开标时间_zxzbgg_openBidTime"/>
      <w:r>
        <w:rPr>
          <w:rFonts w:ascii="宋体" w:hAnsi="宋体" w:cs="宋体" w:hint="eastAsia"/>
          <w:sz w:val="24"/>
        </w:rPr>
        <w:t>2025年12月26日9点15分</w:t>
      </w:r>
      <w:bookmarkEnd w:id="33"/>
      <w:r>
        <w:rPr>
          <w:rFonts w:ascii="宋体" w:hAnsi="宋体" w:hint="eastAsia"/>
          <w:sz w:val="24"/>
        </w:rPr>
        <w:t>（北京时间）</w:t>
      </w:r>
    </w:p>
    <w:p w14:paraId="0C9979EC">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bCs/>
          <w:sz w:val="24"/>
        </w:rPr>
      </w:pPr>
      <w:r>
        <w:rPr>
          <w:rFonts w:ascii="宋体" w:hAnsi="宋体" w:hint="eastAsia"/>
          <w:b/>
          <w:bCs/>
          <w:sz w:val="24"/>
        </w:rPr>
        <w:t>地点：</w:t>
      </w:r>
      <w:bookmarkStart w:id="34" w:name="开标地点_zxzbgg_bidAddress"/>
      <w:r>
        <w:rPr>
          <w:rFonts w:ascii="宋体" w:hAnsi="宋体"/>
          <w:bCs/>
          <w:sz w:val="24"/>
        </w:rPr>
        <w:t>供应商在国家税务总局集中采购中心网站 “下载中心”下载并安装“供应商投标工具”，使用投标工具编制投标文件，并在提交投标文件截止时间前加密上传。除上述方式之外，不接受以纸质文件以及其他任何方式提交的投标文件。</w:t>
      </w:r>
      <w:bookmarkEnd w:id="34"/>
    </w:p>
    <w:p w14:paraId="76E7163E">
      <w:pPr>
        <w:widowControl/>
        <w:shd w:val="clear" w:color="auto" w:fill="FFFFFF"/>
        <w:adjustRightInd w:val="0"/>
        <w:snapToGrid w:val="0"/>
        <w:spacing w:before="62" w:beforeLines="20" w:after="62" w:afterLines="20" w:line="360" w:lineRule="auto"/>
        <w:ind w:firstLine="480" w:firstLineChars="200"/>
        <w:jc w:val="left"/>
        <w:rPr>
          <w:rFonts w:ascii="黑体" w:eastAsia="黑体" w:hAnsi="黑体" w:cs="黑体" w:hint="eastAsia"/>
          <w:sz w:val="24"/>
        </w:rPr>
      </w:pPr>
      <w:r>
        <w:rPr>
          <w:rFonts w:ascii="黑体" w:eastAsia="黑体" w:hAnsi="黑体" w:cs="黑体" w:hint="eastAsia"/>
          <w:sz w:val="24"/>
        </w:rPr>
        <w:t>五、公告期限</w:t>
      </w:r>
    </w:p>
    <w:p w14:paraId="1A4D3B9E">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sz w:val="24"/>
        </w:rPr>
      </w:pPr>
      <w:r>
        <w:rPr>
          <w:rFonts w:ascii="宋体" w:hAnsi="宋体" w:hint="eastAsia"/>
          <w:sz w:val="24"/>
        </w:rPr>
        <w:t>自本公告发布之日起5个工作日</w:t>
      </w:r>
    </w:p>
    <w:p w14:paraId="1FF4CFE0">
      <w:pPr>
        <w:widowControl/>
        <w:shd w:val="clear" w:color="auto" w:fill="FFFFFF"/>
        <w:adjustRightInd w:val="0"/>
        <w:snapToGrid w:val="0"/>
        <w:spacing w:before="62" w:beforeLines="20" w:after="62" w:afterLines="20" w:line="360" w:lineRule="auto"/>
        <w:ind w:firstLine="480" w:firstLineChars="200"/>
        <w:jc w:val="left"/>
        <w:rPr>
          <w:rFonts w:ascii="黑体" w:eastAsia="黑体" w:hAnsi="黑体" w:cs="黑体" w:hint="eastAsia"/>
          <w:sz w:val="24"/>
        </w:rPr>
      </w:pPr>
      <w:r>
        <w:rPr>
          <w:rFonts w:ascii="黑体" w:eastAsia="黑体" w:hAnsi="黑体" w:cs="黑体" w:hint="eastAsia"/>
          <w:sz w:val="24"/>
        </w:rPr>
        <w:t>六、其他补充事宜</w:t>
      </w:r>
    </w:p>
    <w:p w:rsidR="00A77B3E">
      <w:pPr>
        <w:widowControl/>
        <w:spacing w:before="48" w:after="48" w:line="360" w:lineRule="auto"/>
        <w:ind w:firstLine="480"/>
        <w:jc w:val="left"/>
        <w:rPr>
          <w:rFonts w:ascii="宋体" w:hAnsi="宋体" w:cs="宋体"/>
          <w:kern w:val="0"/>
          <w:sz w:val="24"/>
          <w:lang w:eastAsia="en-US"/>
        </w:rPr>
      </w:pPr>
      <w:bookmarkStart w:id="35" w:name="其他补充_zxzbgg_remarks"/>
      <w:r>
        <w:rPr>
          <w:rFonts w:ascii="宋体" w:hAnsi="宋体" w:cs="宋体"/>
          <w:kern w:val="0"/>
          <w:sz w:val="24"/>
          <w:lang w:eastAsia="en-US"/>
        </w:rPr>
        <w:t>1.本项目采用国家税务总局政府采购评审管理系统进行招投标，请在投标前详细阅读国家税务总局集中采购中心网站（https://swcg.chinatax.gov.cn）《供应商操作手册》。</w:t>
      </w:r>
    </w:p>
    <w:p w:rsidR="00A77B3E">
      <w:pPr>
        <w:widowControl/>
        <w:spacing w:before="48" w:after="48" w:line="360" w:lineRule="auto"/>
        <w:ind w:firstLine="480"/>
        <w:jc w:val="left"/>
        <w:rPr>
          <w:rFonts w:ascii="宋体" w:hAnsi="宋体" w:cs="宋体"/>
          <w:kern w:val="0"/>
          <w:sz w:val="24"/>
          <w:lang w:eastAsia="en-US"/>
        </w:rPr>
      </w:pPr>
      <w:r>
        <w:rPr>
          <w:rFonts w:ascii="宋体" w:hAnsi="宋体" w:cs="宋体"/>
          <w:kern w:val="0"/>
          <w:sz w:val="24"/>
          <w:lang w:eastAsia="en-US"/>
        </w:rPr>
        <w:t>2.供应商在国家税务总局集中采购中心网站，点击“供应商登录”，完成注册，登录国家税务总局政府采购评审管理系统，报名并免费下载采购文件电子版。没有报名的供应商，不能参加本项目采购活动。</w:t>
      </w:r>
    </w:p>
    <w:p w:rsidR="00A77B3E">
      <w:pPr>
        <w:widowControl/>
        <w:spacing w:before="48" w:after="48" w:line="360" w:lineRule="auto"/>
        <w:ind w:firstLine="480"/>
        <w:jc w:val="left"/>
        <w:rPr>
          <w:rFonts w:ascii="宋体" w:hAnsi="宋体" w:cs="宋体"/>
          <w:kern w:val="0"/>
          <w:sz w:val="24"/>
          <w:lang w:eastAsia="en-US"/>
        </w:rPr>
      </w:pPr>
      <w:r>
        <w:rPr>
          <w:rFonts w:ascii="宋体" w:hAnsi="宋体" w:cs="宋体"/>
          <w:kern w:val="0"/>
          <w:sz w:val="24"/>
          <w:lang w:eastAsia="en-US"/>
        </w:rPr>
        <w:t>3.供应商制作投标文件前须提前办理数字证书和电子签章，办理方式和注意事项详见网站《供应商操作手册》。</w:t>
      </w:r>
    </w:p>
    <w:p w:rsidR="00A77B3E">
      <w:pPr>
        <w:widowControl/>
        <w:spacing w:before="48" w:after="48" w:line="360" w:lineRule="auto"/>
        <w:ind w:firstLine="480"/>
        <w:jc w:val="left"/>
        <w:rPr>
          <w:rFonts w:ascii="宋体" w:hAnsi="宋体" w:cs="宋体"/>
          <w:kern w:val="0"/>
          <w:sz w:val="24"/>
          <w:lang w:eastAsia="en-US"/>
        </w:rPr>
      </w:pPr>
      <w:r>
        <w:rPr>
          <w:rFonts w:ascii="宋体" w:hAnsi="宋体" w:cs="宋体"/>
          <w:kern w:val="0"/>
          <w:sz w:val="24"/>
          <w:lang w:eastAsia="en-US"/>
        </w:rPr>
        <w:t>4.供应商在国家税务总局集中采购中心网站 “下载中心”下载并安装“供应商投标工具”，使用投标工具编制投标文件，并在提交投标文件截止时间前加密上传。除上述方式之外，不接受以纸质文件以及其他任何方式提交的投标文件。</w:t>
      </w:r>
    </w:p>
    <w:p w:rsidR="00A77B3E">
      <w:pPr>
        <w:widowControl/>
        <w:spacing w:before="48" w:after="48" w:line="360" w:lineRule="auto"/>
        <w:ind w:firstLine="480"/>
        <w:jc w:val="left"/>
        <w:rPr>
          <w:rFonts w:ascii="宋体" w:hAnsi="宋体" w:cs="宋体"/>
          <w:kern w:val="0"/>
          <w:sz w:val="24"/>
          <w:lang w:eastAsia="en-US"/>
        </w:rPr>
      </w:pPr>
      <w:r>
        <w:rPr>
          <w:rFonts w:ascii="宋体" w:hAnsi="宋体" w:cs="宋体"/>
          <w:kern w:val="0"/>
          <w:sz w:val="24"/>
          <w:lang w:eastAsia="en-US"/>
        </w:rPr>
        <w:t>5.本项目通过国家税务总局政府采购评审管理系统进行开标，投标人应在开标前登录系统点击“开标大厅”，参加开标过程并确认开标结果，投标人未参加开标的视同认同开标结果。</w:t>
      </w:r>
    </w:p>
    <w:p w:rsidR="00A77B3E">
      <w:pPr>
        <w:widowControl/>
        <w:spacing w:before="48" w:after="48" w:line="360" w:lineRule="auto"/>
        <w:ind w:firstLine="480"/>
        <w:jc w:val="left"/>
        <w:rPr>
          <w:rFonts w:ascii="宋体" w:hAnsi="宋体" w:cs="宋体"/>
          <w:kern w:val="0"/>
          <w:sz w:val="24"/>
          <w:lang w:eastAsia="en-US"/>
        </w:rPr>
      </w:pPr>
      <w:r>
        <w:rPr>
          <w:rFonts w:ascii="宋体" w:hAnsi="宋体" w:cs="宋体"/>
          <w:kern w:val="0"/>
          <w:sz w:val="24"/>
          <w:lang w:eastAsia="en-US"/>
        </w:rPr>
        <w:t>6.供应商在投标过程中涉及系统操作的技术问题，可致电系统服务热线：400-6168-636转1。</w:t>
      </w:r>
    </w:p>
    <w:p w:rsidR="00A77B3E">
      <w:pPr>
        <w:widowControl/>
        <w:spacing w:before="48" w:after="48" w:line="360" w:lineRule="auto"/>
        <w:ind w:firstLine="480"/>
        <w:jc w:val="left"/>
        <w:rPr>
          <w:rFonts w:ascii="宋体" w:hAnsi="宋体" w:cs="宋体"/>
          <w:kern w:val="0"/>
          <w:sz w:val="24"/>
          <w:lang w:eastAsia="en-US"/>
        </w:rPr>
      </w:pPr>
      <w:bookmarkEnd w:id="35"/>
    </w:p>
    <w:p w14:paraId="552B5AC8">
      <w:pPr>
        <w:pStyle w:val="a2"/>
        <w:adjustRightInd w:val="0"/>
        <w:snapToGrid w:val="0"/>
        <w:spacing w:before="62" w:beforeLines="20" w:after="62" w:afterLines="20" w:line="360" w:lineRule="auto"/>
        <w:ind w:firstLine="480" w:firstLineChars="200"/>
        <w:rPr>
          <w:rFonts w:ascii="黑体" w:eastAsia="黑体" w:hAnsi="黑体" w:cs="黑体" w:hint="eastAsia"/>
          <w:szCs w:val="24"/>
        </w:rPr>
      </w:pPr>
      <w:r>
        <w:rPr>
          <w:rFonts w:ascii="黑体" w:eastAsia="黑体" w:hAnsi="黑体" w:cs="黑体" w:hint="eastAsia"/>
          <w:szCs w:val="24"/>
        </w:rPr>
        <w:t>七、对本次招标提出询问，请按以下方式联系</w:t>
      </w:r>
    </w:p>
    <w:p w14:paraId="7B46804C">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sz w:val="24"/>
        </w:rPr>
      </w:pPr>
      <w:r>
        <w:rPr>
          <w:rFonts w:ascii="宋体" w:hAnsi="宋体" w:hint="eastAsia"/>
          <w:sz w:val="24"/>
        </w:rPr>
        <w:t>1.采购人信息</w:t>
      </w:r>
    </w:p>
    <w:p w14:paraId="5AB4D50D">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sz w:val="24"/>
        </w:rPr>
      </w:pPr>
      <w:r>
        <w:rPr>
          <w:rFonts w:ascii="宋体" w:hAnsi="宋体" w:hint="eastAsia"/>
          <w:sz w:val="24"/>
        </w:rPr>
        <w:t>名称：</w:t>
      </w:r>
      <w:bookmarkStart w:id="36" w:name="采购人名称_zxzbgg_purchaseUserName"/>
      <w:r>
        <w:rPr>
          <w:rFonts w:ascii="宋体" w:hAnsi="宋体" w:hint="eastAsia"/>
          <w:sz w:val="24"/>
        </w:rPr>
        <w:t>国家税务总局吉林市税务局</w:t>
      </w:r>
      <w:bookmarkEnd w:id="36"/>
    </w:p>
    <w:p w14:paraId="665E2DDC">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sz w:val="24"/>
        </w:rPr>
      </w:pPr>
      <w:r>
        <w:rPr>
          <w:rFonts w:ascii="宋体" w:hAnsi="宋体" w:hint="eastAsia"/>
          <w:sz w:val="24"/>
        </w:rPr>
        <w:t>地址：</w:t>
      </w:r>
      <w:bookmarkStart w:id="37" w:name="采购人地址_zxzbgg_purchaseUserAddress"/>
      <w:r>
        <w:rPr>
          <w:rFonts w:ascii="宋体" w:hAnsi="宋体" w:hint="eastAsia"/>
          <w:sz w:val="24"/>
        </w:rPr>
        <w:t>吉林市丰满区三亚路33号</w:t>
      </w:r>
      <w:bookmarkEnd w:id="37"/>
    </w:p>
    <w:p w14:paraId="46123E78">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sz w:val="24"/>
        </w:rPr>
      </w:pPr>
      <w:r>
        <w:rPr>
          <w:rFonts w:ascii="宋体" w:hAnsi="宋体" w:hint="eastAsia"/>
          <w:sz w:val="24"/>
        </w:rPr>
        <w:t>联系方式：</w:t>
      </w:r>
      <w:bookmarkStart w:id="38" w:name="采购人电话_zxzbgg_purchaseUserPhone"/>
      <w:r>
        <w:rPr>
          <w:rFonts w:ascii="宋体" w:hAnsi="宋体" w:hint="eastAsia"/>
          <w:sz w:val="24"/>
        </w:rPr>
        <w:t>0432--65136099、65136098</w:t>
      </w:r>
      <w:bookmarkEnd w:id="38"/>
    </w:p>
    <w:p w14:paraId="44F34A80">
      <w:pPr>
        <w:widowControl/>
        <w:shd w:val="clear" w:color="auto" w:fill="FFFFFF"/>
        <w:adjustRightInd w:val="0"/>
        <w:snapToGrid w:val="0"/>
        <w:spacing w:before="62" w:beforeLines="20" w:after="62" w:afterLines="20" w:line="360" w:lineRule="auto"/>
        <w:ind w:firstLine="480" w:firstLineChars="200"/>
        <w:jc w:val="left"/>
        <w:rPr>
          <w:rFonts w:ascii="宋体" w:hAnsi="宋体" w:hint="eastAsia"/>
          <w:sz w:val="24"/>
        </w:rPr>
      </w:pPr>
      <w:r>
        <w:rPr>
          <w:rFonts w:ascii="宋体" w:hAnsi="宋体" w:hint="eastAsia"/>
          <w:sz w:val="24"/>
        </w:rPr>
        <w:t>2.项目联系方式</w:t>
      </w:r>
    </w:p>
    <w:p w14:paraId="447DE039">
      <w:pPr>
        <w:widowControl/>
        <w:shd w:val="clear" w:color="auto" w:fill="FFFFFF"/>
        <w:adjustRightInd w:val="0"/>
        <w:snapToGrid w:val="0"/>
        <w:spacing w:before="62" w:beforeLines="20" w:after="62" w:afterLines="20" w:line="360" w:lineRule="auto"/>
        <w:ind w:firstLine="480" w:firstLineChars="200"/>
        <w:jc w:val="left"/>
        <w:rPr>
          <w:rFonts w:ascii="宋体" w:hAnsi="宋体" w:cs="宋体" w:hint="eastAsia"/>
          <w:sz w:val="24"/>
        </w:rPr>
      </w:pPr>
      <w:r>
        <w:rPr>
          <w:rFonts w:ascii="宋体" w:hAnsi="宋体" w:hint="eastAsia"/>
          <w:sz w:val="24"/>
        </w:rPr>
        <w:t>项目联系人：</w:t>
      </w:r>
      <w:bookmarkStart w:id="39" w:name="项目联系人_zxzbgg_contactName"/>
      <w:r>
        <w:rPr>
          <w:rFonts w:ascii="宋体" w:eastAsia="宋体" w:hAnsi="宋体" w:cs="宋体" w:hint="eastAsia"/>
          <w:sz w:val="24"/>
          <w:szCs w:val="24"/>
        </w:rPr>
        <w:t>周胜林、陈世应</w:t>
      </w:r>
      <w:bookmarkEnd w:id="39"/>
    </w:p>
    <w:p w:rsidR="00A77B3E">
      <w:pPr>
        <w:spacing w:before="48" w:after="48" w:line="360" w:lineRule="auto"/>
        <w:ind w:firstLine="480"/>
        <w:rPr>
          <w:rFonts w:ascii="宋体" w:hAnsi="宋体" w:cs="宋体"/>
        </w:rPr>
      </w:pPr>
      <w:r>
        <w:rPr>
          <w:rFonts w:ascii="宋体" w:hAnsi="宋体" w:hint="eastAsia"/>
          <w:sz w:val="24"/>
        </w:rPr>
        <w:t>电话：</w:t>
      </w:r>
      <w:bookmarkStart w:id="40" w:name="项目联系人电话_zxzbgg_contactPhone"/>
      <w:r>
        <w:rPr>
          <w:rFonts w:ascii="宋体" w:eastAsia="宋体" w:hAnsi="宋体" w:cs="宋体"/>
          <w:sz w:val="24"/>
        </w:rPr>
        <w:t>0432--65136099、65136098</w:t>
      </w:r>
    </w:p>
    <w:p w:rsidR="00A77B3E">
      <w:pPr>
        <w:spacing w:before="48" w:after="48" w:line="360" w:lineRule="auto"/>
        <w:ind w:firstLine="480"/>
        <w:rPr>
          <w:rFonts w:ascii="宋体" w:hAnsi="宋体" w:cs="宋体"/>
        </w:rPr>
      </w:pPr>
      <w:bookmarkEnd w:id="40"/>
    </w:p>
    <w:p>
      <w:pPr>
        <w:rPr>
          <w:sz w:val="24"/>
        </w:rPr>
      </w:pPr>
      <w:bookmarkEnd w:id="19"/>
      <w:bookmarkStart w:id="41" w:name="_Toc1485034239"/>
    </w:p>
    <w:p w14:paraId="3314635B">
      <w:pPr>
        <w:keepNext w:val="0"/>
        <w:keepLines w:val="0"/>
        <w:pageBreakBefore w:val="0"/>
        <w:widowControl w:val="0"/>
        <w:kinsoku/>
        <w:wordWrap/>
        <w:overflowPunct/>
        <w:topLinePunct w:val="0"/>
        <w:autoSpaceDE/>
        <w:autoSpaceDN/>
        <w:bidi w:val="0"/>
        <w:adjustRightInd/>
        <w:snapToGrid/>
        <w:spacing w:line="260" w:lineRule="auto"/>
        <w:jc w:val="center"/>
        <w:textAlignment w:val="auto"/>
        <w:outlineLvl w:val="0"/>
        <w:rPr>
          <w:rFonts w:ascii="Times New Roman" w:eastAsia="宋体" w:hAnsi="Times New Roman" w:cs="Times New Roman" w:hint="eastAsia"/>
          <w:b/>
          <w:bCs/>
          <w:kern w:val="44"/>
          <w:sz w:val="36"/>
          <w:szCs w:val="36"/>
          <w:highlight w:val="none"/>
          <w:lang w:val="en-US" w:eastAsia="zh-CN" w:bidi="ar-SA"/>
        </w:rPr>
      </w:pPr>
      <w:r>
        <w:rPr>
          <w:b/>
          <w:bCs/>
          <w:color w:val="auto"/>
          <w:kern w:val="44"/>
          <w:sz w:val="36"/>
          <w:szCs w:val="36"/>
          <w:highlight w:val="none"/>
        </w:rPr>
        <w:br w:type="page"/>
      </w:r>
      <w:bookmarkEnd w:id="13"/>
      <w:bookmarkEnd w:id="14"/>
      <w:bookmarkEnd w:id="15"/>
      <w:bookmarkEnd w:id="16"/>
      <w:bookmarkEnd w:id="17"/>
      <w:bookmarkEnd w:id="18"/>
      <w:bookmarkEnd w:id="41"/>
      <w:bookmarkStart w:id="42" w:name="_Toc30140"/>
      <w:bookmarkStart w:id="43" w:name="_Toc256000001"/>
      <w:r>
        <w:rPr>
          <w:rStyle w:val="1Char"/>
          <w:rFonts w:hint="eastAsia"/>
          <w:highlight w:val="none"/>
          <w:lang w:val="en-US" w:eastAsia="zh-CN"/>
        </w:rPr>
        <w:t>第二章　投标人须知</w:t>
      </w:r>
      <w:bookmarkEnd w:id="43"/>
      <w:bookmarkEnd w:id="42"/>
    </w:p>
    <w:p w:rsidR="00A77B3E">
      <w:pPr>
        <w:spacing w:after="160" w:line="520" w:lineRule="exact"/>
        <w:jc w:val="center"/>
        <w:rPr>
          <w:rFonts w:ascii="SimHei" w:eastAsia="SimHei" w:hAnsi="SimHei" w:cs="SimHei"/>
          <w:sz w:val="28"/>
        </w:rPr>
      </w:pPr>
      <w:bookmarkStart w:id="44" w:name="磋商须知_zxzbsw_TBXZ"/>
      <w:r>
        <w:rPr>
          <w:rFonts w:ascii="SimHei" w:eastAsia="SimHei" w:hAnsi="SimHei" w:cs="SimHei"/>
          <w:sz w:val="28"/>
        </w:rPr>
        <w:t>投标人须知前附表</w:t>
      </w:r>
    </w:p>
    <w:tbl>
      <w:tblPr>
        <w:tblStyle w:val="TableNorm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8" w:type="dxa"/>
          <w:right w:w="108" w:type="dxa"/>
        </w:tblCellMar>
      </w:tblPr>
      <w:tblGrid>
        <w:gridCol w:w="777"/>
        <w:gridCol w:w="1763"/>
        <w:gridCol w:w="612"/>
        <w:gridCol w:w="6183"/>
      </w:tblGrid>
      <w:tr>
        <w:tblPrEx>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sz w:val="21"/>
              </w:rPr>
            </w:pPr>
            <w:r>
              <w:rPr>
                <w:rFonts w:ascii="SimSun" w:eastAsia="SimSun" w:hAnsi="SimSun" w:cs="SimSun"/>
                <w:b/>
                <w:sz w:val="21"/>
              </w:rPr>
              <w:t>序 号</w:t>
            </w:r>
          </w:p>
        </w:tc>
        <w:tc>
          <w:tcPr>
            <w:tcW w:w="1763" w:type="dxa"/>
            <w:vAlign w:val="center"/>
          </w:tcPr>
          <w:p>
            <w:pPr>
              <w:spacing w:before="48" w:after="48" w:line="240" w:lineRule="auto"/>
              <w:jc w:val="center"/>
              <w:rPr>
                <w:rFonts w:ascii="SimSun" w:eastAsia="SimSun" w:hAnsi="SimSun" w:cs="SimSun"/>
                <w:b/>
                <w:sz w:val="21"/>
              </w:rPr>
            </w:pPr>
            <w:r>
              <w:rPr>
                <w:rFonts w:ascii="SimSun" w:eastAsia="SimSun" w:hAnsi="SimSun" w:cs="SimSun"/>
                <w:b/>
                <w:sz w:val="21"/>
              </w:rPr>
              <w:t>类  别</w:t>
            </w:r>
          </w:p>
        </w:tc>
        <w:tc>
          <w:tcPr>
            <w:tcW w:w="6795" w:type="dxa"/>
            <w:gridSpan w:val="2"/>
            <w:vAlign w:val="center"/>
          </w:tcPr>
          <w:p>
            <w:pPr>
              <w:spacing w:before="48" w:after="48" w:line="240" w:lineRule="auto"/>
              <w:jc w:val="center"/>
              <w:rPr>
                <w:rFonts w:ascii="SimSun" w:eastAsia="SimSun" w:hAnsi="SimSun" w:cs="SimSun"/>
                <w:b/>
                <w:sz w:val="21"/>
              </w:rPr>
            </w:pPr>
            <w:r>
              <w:rPr>
                <w:rFonts w:ascii="SimSun" w:eastAsia="SimSun" w:hAnsi="SimSun" w:cs="SimSun"/>
                <w:b/>
                <w:sz w:val="21"/>
              </w:rPr>
              <w:t>内     容</w:t>
            </w:r>
          </w:p>
        </w:tc>
      </w:tr>
      <w:tr>
        <w:tblPrEx>
          <w:tblW w:w="5000" w:type="pct"/>
          <w:tblLayout w:type="fixed"/>
          <w:tblCellMar>
            <w:left w:w="108" w:type="dxa"/>
            <w:right w:w="108" w:type="dxa"/>
          </w:tblCellMar>
        </w:tblPrEx>
        <w:trPr>
          <w:trHeight w:val="476"/>
        </w:trPr>
        <w:tc>
          <w:tcPr>
            <w:tcW w:w="777" w:type="dxa"/>
            <w:vMerge w:val="restart"/>
            <w:vAlign w:val="center"/>
          </w:tcPr>
          <w:p>
            <w:pPr>
              <w:spacing w:before="48" w:after="48" w:line="240" w:lineRule="auto"/>
              <w:jc w:val="center"/>
              <w:rPr>
                <w:rFonts w:ascii="SimSun" w:eastAsia="SimSun" w:hAnsi="SimSun" w:cs="SimSun"/>
                <w:b w:val="0"/>
                <w:sz w:val="21"/>
              </w:rPr>
            </w:pPr>
            <w:r>
              <w:rPr>
                <w:rFonts w:ascii="SimSun" w:eastAsia="SimSun" w:hAnsi="SimSun" w:cs="SimSun"/>
                <w:b w:val="0"/>
                <w:sz w:val="21"/>
              </w:rPr>
              <w:t>1</w:t>
            </w:r>
          </w:p>
        </w:tc>
        <w:tc>
          <w:tcPr>
            <w:tcW w:w="1763" w:type="dxa"/>
            <w:vMerge w:val="restart"/>
            <w:vAlign w:val="center"/>
          </w:tcPr>
          <w:p>
            <w:pPr>
              <w:spacing w:before="48" w:after="48" w:line="240" w:lineRule="auto"/>
              <w:jc w:val="center"/>
              <w:rPr>
                <w:rFonts w:ascii="SimSun" w:eastAsia="SimSun" w:hAnsi="SimSun" w:cs="SimSun"/>
                <w:b w:val="0"/>
                <w:sz w:val="21"/>
              </w:rPr>
            </w:pPr>
            <w:r>
              <w:rPr>
                <w:rFonts w:ascii="SimSun" w:eastAsia="SimSun" w:hAnsi="SimSun" w:cs="SimSun"/>
                <w:b w:val="0"/>
                <w:sz w:val="21"/>
              </w:rPr>
              <w:t>项目名称、编号及预算</w:t>
            </w:r>
          </w:p>
        </w:tc>
        <w:tc>
          <w:tcPr>
            <w:tcW w:w="6435" w:type="dxa"/>
            <w:gridSpan w:val="2"/>
            <w:vAlign w:val="center"/>
          </w:tcPr>
          <w:p>
            <w:pPr>
              <w:spacing w:before="48" w:after="48" w:line="240" w:lineRule="auto"/>
              <w:jc w:val="left"/>
              <w:rPr>
                <w:rFonts w:ascii="SimSun" w:eastAsia="SimSun" w:hAnsi="SimSun" w:cs="SimSun"/>
                <w:b w:val="0"/>
                <w:sz w:val="21"/>
              </w:rPr>
            </w:pPr>
            <w:r>
              <w:rPr>
                <w:rFonts w:ascii="SimSun" w:eastAsia="SimSun" w:hAnsi="SimSun" w:cs="SimSun"/>
                <w:b w:val="0"/>
                <w:sz w:val="21"/>
              </w:rPr>
              <w:t>项目名称：</w:t>
            </w:r>
            <w:r>
              <w:rPr>
                <w:rFonts w:ascii="SimSun" w:eastAsia="SimSun" w:hAnsi="SimSun" w:cs="SimSun"/>
                <w:b w:val="0"/>
                <w:sz w:val="21"/>
              </w:rPr>
              <w:t>国家税务总局吉林市税务局2026年物业管理服务项目</w:t>
            </w:r>
          </w:p>
        </w:tc>
      </w:tr>
      <w:tr>
        <w:tblPrEx>
          <w:tblW w:w="5000" w:type="pct"/>
          <w:tblLayout w:type="fixed"/>
          <w:tblCellMar>
            <w:left w:w="108" w:type="dxa"/>
            <w:right w:w="108" w:type="dxa"/>
          </w:tblCellMar>
        </w:tblPrEx>
        <w:trPr>
          <w:trHeight w:val="476"/>
        </w:trPr>
        <w:tc>
          <w:tcPr>
            <w:tcW w:w="777" w:type="dxa"/>
            <w:vMerge/>
            <w:vAlign w:val="center"/>
          </w:tcPr>
          <w:p>
            <w:pPr>
              <w:spacing w:before="48" w:after="48" w:line="240" w:lineRule="auto"/>
              <w:jc w:val="center"/>
              <w:rPr>
                <w:rFonts w:ascii="SimSun" w:eastAsia="SimSun" w:hAnsi="SimSun" w:cs="SimSun"/>
                <w:b w:val="0"/>
                <w:sz w:val="21"/>
              </w:rPr>
            </w:pPr>
          </w:p>
        </w:tc>
        <w:tc>
          <w:tcPr>
            <w:tcW w:w="1763" w:type="dxa"/>
            <w:vMerge/>
            <w:vAlign w:val="center"/>
          </w:tcPr>
          <w:p>
            <w:pPr>
              <w:spacing w:before="48" w:after="48" w:line="240" w:lineRule="auto"/>
              <w:jc w:val="center"/>
              <w:rPr>
                <w:rFonts w:ascii="SimSun" w:eastAsia="SimSun" w:hAnsi="SimSun" w:cs="SimSun"/>
                <w:b w:val="0"/>
                <w:sz w:val="21"/>
              </w:rPr>
            </w:pPr>
          </w:p>
        </w:tc>
        <w:tc>
          <w:tcPr>
            <w:tcW w:w="6435" w:type="dxa"/>
            <w:gridSpan w:val="2"/>
            <w:vAlign w:val="center"/>
          </w:tcPr>
          <w:p>
            <w:pPr>
              <w:spacing w:before="48" w:after="48" w:line="240" w:lineRule="auto"/>
              <w:jc w:val="left"/>
              <w:rPr>
                <w:rFonts w:ascii="SimSun" w:eastAsia="SimSun" w:hAnsi="SimSun" w:cs="SimSun"/>
                <w:b w:val="0"/>
                <w:sz w:val="21"/>
              </w:rPr>
            </w:pPr>
            <w:r>
              <w:rPr>
                <w:rFonts w:ascii="SimSun" w:eastAsia="SimSun" w:hAnsi="SimSun" w:cs="SimSun"/>
                <w:b w:val="0"/>
                <w:sz w:val="21"/>
              </w:rPr>
              <w:t>项目编号：</w:t>
            </w:r>
            <w:r>
              <w:rPr>
                <w:rFonts w:ascii="SimSun" w:eastAsia="SimSun" w:hAnsi="SimSun" w:cs="SimSun"/>
                <w:b w:val="0"/>
                <w:sz w:val="21"/>
              </w:rPr>
              <w:t>JL2025-ZXGK-C0123-B02</w:t>
            </w:r>
          </w:p>
        </w:tc>
      </w:tr>
      <w:tr>
        <w:tblPrEx>
          <w:tblW w:w="5000" w:type="pct"/>
          <w:tblLayout w:type="fixed"/>
          <w:tblCellMar>
            <w:left w:w="108" w:type="dxa"/>
            <w:right w:w="108" w:type="dxa"/>
          </w:tblCellMar>
        </w:tblPrEx>
        <w:trPr>
          <w:trHeight w:val="476"/>
        </w:trPr>
        <w:tc>
          <w:tcPr>
            <w:tcW w:w="777" w:type="dxa"/>
            <w:vMerge/>
            <w:vAlign w:val="center"/>
          </w:tcPr>
          <w:p>
            <w:pPr>
              <w:spacing w:before="48" w:after="48" w:line="240" w:lineRule="auto"/>
              <w:jc w:val="center"/>
              <w:rPr>
                <w:rFonts w:ascii="SimSun" w:eastAsia="SimSun" w:hAnsi="SimSun" w:cs="SimSun"/>
                <w:b w:val="0"/>
                <w:sz w:val="21"/>
              </w:rPr>
            </w:pPr>
          </w:p>
        </w:tc>
        <w:tc>
          <w:tcPr>
            <w:tcW w:w="1763" w:type="dxa"/>
            <w:vMerge/>
            <w:vAlign w:val="center"/>
          </w:tcPr>
          <w:p>
            <w:pPr>
              <w:spacing w:before="48" w:after="48" w:line="240" w:lineRule="auto"/>
              <w:jc w:val="center"/>
              <w:rPr>
                <w:rFonts w:ascii="SimSun" w:eastAsia="SimSun" w:hAnsi="SimSun" w:cs="SimSun"/>
                <w:b w:val="0"/>
                <w:sz w:val="21"/>
              </w:rPr>
            </w:pPr>
          </w:p>
        </w:tc>
        <w:tc>
          <w:tcPr>
            <w:tcW w:w="6435" w:type="dxa"/>
            <w:gridSpan w:val="2"/>
            <w:vAlign w:val="center"/>
          </w:tcPr>
          <w:p>
            <w:pPr>
              <w:spacing w:before="48" w:after="48" w:line="240" w:lineRule="auto"/>
              <w:jc w:val="left"/>
              <w:rPr>
                <w:rFonts w:ascii="SimSun" w:eastAsia="SimSun" w:hAnsi="SimSun" w:cs="SimSun"/>
                <w:b w:val="0"/>
                <w:sz w:val="21"/>
              </w:rPr>
            </w:pPr>
            <w:r>
              <w:rPr>
                <w:rFonts w:ascii="SimSun" w:eastAsia="SimSun" w:hAnsi="SimSun" w:cs="SimSun"/>
                <w:b w:val="0"/>
                <w:sz w:val="21"/>
              </w:rPr>
              <w:t>项目预算：</w:t>
            </w:r>
            <w:r>
              <w:rPr>
                <w:rFonts w:ascii="SimSun" w:eastAsia="SimSun" w:hAnsi="SimSun" w:cs="SimSun"/>
                <w:b w:val="0"/>
                <w:sz w:val="21"/>
              </w:rPr>
              <w:t>464.30万元</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rPr>
            </w:pPr>
            <w:r>
              <w:rPr>
                <w:rFonts w:ascii="SimSun" w:eastAsia="SimSun" w:hAnsi="SimSun" w:cs="SimSun"/>
                <w:b w:val="0"/>
                <w:color w:val="000000"/>
                <w:sz w:val="21"/>
              </w:rPr>
              <w:t>2</w:t>
            </w:r>
          </w:p>
        </w:tc>
        <w:tc>
          <w:tcPr>
            <w:tcW w:w="1763" w:type="dxa"/>
            <w:vAlign w:val="center"/>
          </w:tcPr>
          <w:p>
            <w:pPr>
              <w:spacing w:before="48" w:after="48" w:line="240" w:lineRule="auto"/>
              <w:jc w:val="center"/>
              <w:rPr>
                <w:rFonts w:ascii="SimSun" w:eastAsia="SimSun" w:hAnsi="SimSun" w:cs="SimSun"/>
                <w:b w:val="0"/>
                <w:color w:val="000000"/>
                <w:sz w:val="21"/>
              </w:rPr>
            </w:pPr>
            <w:r>
              <w:rPr>
                <w:rFonts w:ascii="SimSun" w:eastAsia="SimSun" w:hAnsi="SimSun" w:cs="SimSun"/>
                <w:b w:val="0"/>
                <w:color w:val="000000"/>
                <w:sz w:val="21"/>
              </w:rPr>
              <w:t>采购需求</w:t>
            </w:r>
          </w:p>
        </w:tc>
        <w:tc>
          <w:tcPr>
            <w:tcW w:w="6435" w:type="dxa"/>
            <w:gridSpan w:val="2"/>
            <w:vAlign w:val="center"/>
          </w:tcPr>
          <w:p>
            <w:pPr>
              <w:spacing w:before="48" w:after="48" w:line="240" w:lineRule="auto"/>
              <w:jc w:val="left"/>
              <w:rPr>
                <w:rFonts w:ascii="SimSun" w:eastAsia="SimSun" w:hAnsi="SimSun" w:cs="SimSun"/>
                <w:b w:val="0"/>
                <w:color w:val="000000"/>
                <w:sz w:val="21"/>
              </w:rPr>
            </w:pPr>
            <w:r>
              <w:rPr>
                <w:rFonts w:ascii="SimSun" w:eastAsia="SimSun" w:hAnsi="SimSun" w:cs="SimSun"/>
                <w:b w:val="0"/>
                <w:color w:val="000000"/>
                <w:sz w:val="21"/>
              </w:rPr>
              <w:t>国家税务总局吉林市税务局2026年物业管理服务项目预算总额为464.3万元/年。本项目分为2个包采购，其中，第一包预算金额为262万元，提供国家税务总局吉林市税务局办公楼（三亚路33号）、员工食堂（三亚路33号）、老干部活动中心（丰满区江南街道72号）、江湾馨城办公区（昌邑区江湾路56号）的综合服务、共用设施设备管理、公共秩序维护、环境保洁、会议服务、特约服务（餐饮服务、清雪服务、地毯清洗等）、突发事件应急管理、绿色物业以及标准化建设等工作。第二包预算金额为202.3万元，提供国家税务总局吉林市税务局第一稽查局办公楼（吉林大街73号）、国家税务总局吉林市税务局第二稽查局办公楼（吉林大街73号）、国家税务总局吉林市税务局第三稽查局办公楼（徐州路9号）的综合服务、共用设施设备管理、公共秩序维护、环境保洁、会议服务、特约服务（餐饮服务、清雪服务、地毯清洗等）、突发事件应急管理、绿色物业以及标准化建设等工作。</w:t>
            </w:r>
          </w:p>
          <w:p>
            <w:pPr>
              <w:spacing w:before="48" w:after="48" w:line="240" w:lineRule="auto"/>
              <w:jc w:val="left"/>
              <w:rPr>
                <w:rFonts w:ascii="SimSun" w:eastAsia="SimSun" w:hAnsi="SimSun" w:cs="SimSun"/>
                <w:b w:val="0"/>
                <w:color w:val="000000"/>
                <w:sz w:val="21"/>
              </w:rPr>
            </w:pPr>
            <w:r>
              <w:rPr>
                <w:rFonts w:ascii="SimSun" w:eastAsia="SimSun" w:hAnsi="SimSun" w:cs="SimSun"/>
                <w:b w:val="0"/>
                <w:color w:val="000000"/>
                <w:sz w:val="21"/>
              </w:rPr>
              <w:t>服务期为自项目实施之日起两年，合同一年一签，第二年合同金额以第二年预算批复为准。</w:t>
            </w:r>
          </w:p>
          <w:p>
            <w:pPr>
              <w:spacing w:before="48" w:after="48" w:line="240" w:lineRule="auto"/>
              <w:jc w:val="left"/>
              <w:rPr>
                <w:rFonts w:ascii="SimSun" w:eastAsia="SimSun" w:hAnsi="SimSun" w:cs="SimSun"/>
                <w:b w:val="0"/>
                <w:color w:val="000000"/>
                <w:sz w:val="21"/>
              </w:rPr>
            </w:pPr>
            <w:r>
              <w:rPr>
                <w:rFonts w:ascii="SimSun" w:eastAsia="SimSun" w:hAnsi="SimSun" w:cs="SimSun"/>
                <w:b w:val="0"/>
                <w:color w:val="000000"/>
                <w:sz w:val="21"/>
              </w:rPr>
              <w:t>需求部门确认，本项目需求内容不包含已有合同内容；需求内容与项目立项、预算评审（如有）内容一致。</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rPr>
            </w:pPr>
            <w:r>
              <w:rPr>
                <w:rFonts w:ascii="SimSun" w:eastAsia="SimSun" w:hAnsi="SimSun" w:cs="SimSun"/>
                <w:b w:val="0"/>
                <w:color w:val="000000"/>
                <w:sz w:val="21"/>
              </w:rPr>
              <w:t>3</w:t>
            </w:r>
          </w:p>
        </w:tc>
        <w:tc>
          <w:tcPr>
            <w:tcW w:w="1763" w:type="dxa"/>
            <w:vAlign w:val="center"/>
          </w:tcPr>
          <w:p>
            <w:pPr>
              <w:spacing w:before="48" w:after="48" w:line="240" w:lineRule="auto"/>
              <w:jc w:val="center"/>
              <w:rPr>
                <w:rFonts w:ascii="SimSun" w:eastAsia="SimSun" w:hAnsi="SimSun" w:cs="SimSun"/>
                <w:b w:val="0"/>
                <w:color w:val="000000"/>
                <w:sz w:val="21"/>
              </w:rPr>
            </w:pPr>
            <w:r>
              <w:rPr>
                <w:rFonts w:ascii="SimSun" w:eastAsia="SimSun" w:hAnsi="SimSun" w:cs="SimSun"/>
                <w:b w:val="0"/>
                <w:color w:val="000000"/>
                <w:sz w:val="21"/>
              </w:rPr>
              <w:t>项目属性和类别</w:t>
            </w:r>
          </w:p>
        </w:tc>
        <w:tc>
          <w:tcPr>
            <w:tcW w:w="6435" w:type="dxa"/>
            <w:gridSpan w:val="2"/>
            <w:vAlign w:val="center"/>
          </w:tcPr>
          <w:p>
            <w:pPr>
              <w:spacing w:before="48" w:after="48" w:line="240" w:lineRule="auto"/>
              <w:jc w:val="left"/>
              <w:rPr>
                <w:rFonts w:ascii="SimSun" w:eastAsia="SimSun" w:hAnsi="SimSun" w:cs="SimSun"/>
                <w:b w:val="0"/>
                <w:color w:val="000000"/>
                <w:sz w:val="21"/>
              </w:rPr>
            </w:pPr>
            <w:r>
              <w:rPr>
                <w:rFonts w:ascii="SimSun" w:eastAsia="SimSun" w:hAnsi="SimSun" w:cs="SimSun"/>
                <w:b/>
                <w:color w:val="000000"/>
                <w:sz w:val="21"/>
              </w:rPr>
              <w:t>项目属性：</w:t>
            </w:r>
            <w:r>
              <w:rPr>
                <w:rFonts w:ascii="Wingdings 2" w:eastAsia="Wingdings 2" w:hAnsi="Wingdings 2" w:cs="Wingdings 2"/>
                <w:b w:val="0"/>
                <w:color w:val="000000"/>
                <w:sz w:val="21"/>
              </w:rPr>
              <w:sym w:font="Wingdings 2" w:char="F0A3"/>
            </w:r>
            <w:r>
              <w:rPr>
                <w:rFonts w:ascii="SimSun" w:eastAsia="SimSun" w:hAnsi="SimSun" w:cs="SimSun"/>
                <w:b w:val="0"/>
                <w:color w:val="000000"/>
                <w:sz w:val="21"/>
              </w:rPr>
              <w:t xml:space="preserve"> 货物</w:t>
            </w:r>
            <w:r>
              <w:rPr>
                <w:rFonts w:ascii="Wingdings 2" w:eastAsia="Wingdings 2" w:hAnsi="Wingdings 2" w:cs="Wingdings 2"/>
                <w:b w:val="0"/>
                <w:color w:val="000000"/>
                <w:sz w:val="21"/>
              </w:rPr>
              <w:sym w:font="Wingdings 2" w:char="F052"/>
            </w:r>
            <w:r>
              <w:rPr>
                <w:rFonts w:ascii="SimSun" w:eastAsia="SimSun" w:hAnsi="SimSun" w:cs="SimSun"/>
                <w:b w:val="0"/>
                <w:color w:val="000000"/>
                <w:sz w:val="21"/>
              </w:rPr>
              <w:t xml:space="preserve"> 服务</w:t>
            </w:r>
          </w:p>
          <w:p>
            <w:pPr>
              <w:spacing w:before="48" w:after="48" w:line="240" w:lineRule="auto"/>
              <w:jc w:val="left"/>
              <w:rPr>
                <w:rFonts w:ascii="SimSun" w:eastAsia="SimSun" w:hAnsi="SimSun" w:cs="SimSun"/>
                <w:b w:val="0"/>
                <w:color w:val="000000"/>
                <w:sz w:val="21"/>
              </w:rPr>
            </w:pPr>
            <w:r>
              <w:rPr>
                <w:rFonts w:ascii="SimSun" w:eastAsia="SimSun" w:hAnsi="SimSun" w:cs="SimSun"/>
                <w:b/>
                <w:color w:val="000000"/>
                <w:sz w:val="21"/>
              </w:rPr>
              <w:t>项目类别：</w:t>
            </w:r>
            <w:r>
              <w:rPr>
                <w:rFonts w:ascii="Wingdings 2" w:eastAsia="Wingdings 2" w:hAnsi="Wingdings 2" w:cs="Wingdings 2"/>
                <w:b w:val="0"/>
                <w:color w:val="000000"/>
                <w:sz w:val="21"/>
              </w:rPr>
              <w:sym w:font="Wingdings 2" w:char="F0A3"/>
            </w:r>
            <w:r>
              <w:rPr>
                <w:rFonts w:ascii="SimSun" w:eastAsia="SimSun" w:hAnsi="SimSun" w:cs="SimSun"/>
                <w:b w:val="0"/>
                <w:color w:val="000000"/>
                <w:sz w:val="21"/>
              </w:rPr>
              <w:t xml:space="preserve"> 信息化项目</w:t>
            </w:r>
            <w:r>
              <w:rPr>
                <w:rFonts w:ascii="Wingdings 2" w:eastAsia="Wingdings 2" w:hAnsi="Wingdings 2" w:cs="Wingdings 2"/>
                <w:b w:val="0"/>
                <w:color w:val="000000"/>
                <w:sz w:val="21"/>
              </w:rPr>
              <w:sym w:font="Wingdings 2" w:char="F052"/>
            </w:r>
            <w:r>
              <w:rPr>
                <w:rFonts w:ascii="SimSun" w:eastAsia="SimSun" w:hAnsi="SimSun" w:cs="SimSun"/>
                <w:b w:val="0"/>
                <w:color w:val="000000"/>
                <w:sz w:val="21"/>
              </w:rPr>
              <w:t xml:space="preserve"> 非信息化项目</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rPr>
            </w:pPr>
            <w:r>
              <w:rPr>
                <w:rFonts w:ascii="SimSun" w:eastAsia="SimSun" w:hAnsi="SimSun" w:cs="SimSun"/>
                <w:b w:val="0"/>
                <w:color w:val="000000"/>
                <w:sz w:val="21"/>
              </w:rPr>
              <w:t>4</w:t>
            </w:r>
          </w:p>
        </w:tc>
        <w:tc>
          <w:tcPr>
            <w:tcW w:w="1763" w:type="dxa"/>
            <w:vAlign w:val="center"/>
          </w:tcPr>
          <w:p>
            <w:pPr>
              <w:spacing w:before="48" w:after="48" w:line="240" w:lineRule="auto"/>
              <w:jc w:val="center"/>
              <w:rPr>
                <w:rFonts w:ascii="SimSun" w:eastAsia="SimSun" w:hAnsi="SimSun" w:cs="SimSun"/>
                <w:b w:val="0"/>
                <w:color w:val="000000"/>
                <w:sz w:val="21"/>
              </w:rPr>
            </w:pPr>
            <w:r>
              <w:rPr>
                <w:rFonts w:ascii="SimSun" w:eastAsia="SimSun" w:hAnsi="SimSun" w:cs="SimSun"/>
                <w:b w:val="0"/>
                <w:color w:val="000000"/>
                <w:sz w:val="21"/>
              </w:rPr>
              <w:t>投标人资格要求</w:t>
            </w:r>
          </w:p>
        </w:tc>
        <w:tc>
          <w:tcPr>
            <w:tcW w:w="6435" w:type="dxa"/>
            <w:gridSpan w:val="2"/>
            <w:vAlign w:val="center"/>
          </w:tcPr>
          <w:p>
            <w:pPr>
              <w:spacing w:before="48" w:after="48" w:line="240" w:lineRule="auto"/>
              <w:jc w:val="left"/>
              <w:rPr>
                <w:rFonts w:ascii="SimSun" w:eastAsia="SimSun" w:hAnsi="SimSun" w:cs="SimSun"/>
                <w:b w:val="0"/>
                <w:color w:val="000000"/>
                <w:sz w:val="21"/>
              </w:rPr>
            </w:pPr>
            <w:r>
              <w:rPr>
                <w:rFonts w:ascii="SimSun" w:eastAsia="SimSun" w:hAnsi="SimSun" w:cs="SimSun"/>
                <w:b w:val="0"/>
                <w:color w:val="000000"/>
                <w:sz w:val="21"/>
              </w:rPr>
              <w:t>1.符合国家有关法律规定，在中国境内（指关境内）注册，满足《中华人民共和国政府采购法》第二十二条规定。</w:t>
            </w:r>
          </w:p>
          <w:p>
            <w:pPr>
              <w:spacing w:before="48" w:after="48" w:line="240" w:lineRule="auto"/>
              <w:jc w:val="left"/>
              <w:rPr>
                <w:rFonts w:ascii="SimSun" w:eastAsia="SimSun" w:hAnsi="SimSun" w:cs="SimSun"/>
                <w:b w:val="0"/>
                <w:color w:val="000000"/>
                <w:sz w:val="21"/>
              </w:rPr>
            </w:pPr>
            <w:r>
              <w:rPr>
                <w:rFonts w:ascii="SimSun" w:eastAsia="SimSun" w:hAnsi="SimSun" w:cs="SimSun"/>
                <w:b w:val="0"/>
                <w:color w:val="000000"/>
                <w:sz w:val="21"/>
              </w:rPr>
              <w:t>2.落实政府采购政策需满足的资格要求：根据《政府采购促进中小企业发展管理办法》（财库[2020]46号印发）有关规定，本项目专门面向中小企业采购。</w:t>
            </w:r>
          </w:p>
          <w:p>
            <w:pPr>
              <w:spacing w:before="48" w:after="48" w:line="240" w:lineRule="auto"/>
              <w:jc w:val="left"/>
              <w:rPr>
                <w:rFonts w:ascii="SimSun" w:eastAsia="SimSun" w:hAnsi="SimSun" w:cs="SimSun"/>
                <w:b w:val="0"/>
                <w:color w:val="000000"/>
                <w:sz w:val="21"/>
              </w:rPr>
            </w:pPr>
            <w:r>
              <w:rPr>
                <w:rFonts w:ascii="SimSun" w:eastAsia="SimSun" w:hAnsi="SimSun" w:cs="SimSun"/>
                <w:b w:val="0"/>
                <w:color w:val="000000"/>
                <w:sz w:val="21"/>
              </w:rPr>
              <w:t>3.本项目的特定资格要求：本项目专门面向中小企业采购</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rPr>
            </w:pPr>
            <w:r>
              <w:rPr>
                <w:rFonts w:ascii="SimSun" w:eastAsia="SimSun" w:hAnsi="SimSun" w:cs="SimSun"/>
                <w:b w:val="0"/>
                <w:color w:val="000000"/>
                <w:sz w:val="21"/>
              </w:rPr>
              <w:t>5</w:t>
            </w:r>
          </w:p>
        </w:tc>
        <w:tc>
          <w:tcPr>
            <w:tcW w:w="1763" w:type="dxa"/>
            <w:vAlign w:val="center"/>
          </w:tcPr>
          <w:p>
            <w:pPr>
              <w:spacing w:before="48" w:after="48" w:line="240" w:lineRule="auto"/>
              <w:jc w:val="center"/>
              <w:rPr>
                <w:rFonts w:ascii="SimSun" w:eastAsia="SimSun" w:hAnsi="SimSun" w:cs="SimSun"/>
                <w:b w:val="0"/>
                <w:color w:val="000000"/>
                <w:sz w:val="21"/>
              </w:rPr>
            </w:pPr>
            <w:r>
              <w:rPr>
                <w:rFonts w:ascii="SimSun" w:eastAsia="SimSun" w:hAnsi="SimSun" w:cs="SimSun"/>
                <w:b w:val="0"/>
                <w:color w:val="000000"/>
                <w:sz w:val="21"/>
              </w:rPr>
              <w:t>是否接受联合体投标</w:t>
            </w:r>
          </w:p>
        </w:tc>
        <w:tc>
          <w:tcPr>
            <w:tcW w:w="6435" w:type="dxa"/>
            <w:gridSpan w:val="2"/>
            <w:vAlign w:val="center"/>
          </w:tcPr>
          <w:p>
            <w:pPr>
              <w:spacing w:before="48" w:after="48" w:line="240" w:lineRule="auto"/>
              <w:jc w:val="left"/>
              <w:rPr>
                <w:rFonts w:ascii="SimSun" w:eastAsia="SimSun" w:hAnsi="SimSun" w:cs="SimSun"/>
                <w:b w:val="0"/>
                <w:color w:val="000000"/>
                <w:sz w:val="21"/>
              </w:rPr>
            </w:pPr>
            <w:r>
              <w:rPr>
                <w:rFonts w:ascii="Wingdings 2" w:eastAsia="Wingdings 2" w:hAnsi="Wingdings 2" w:cs="Wingdings 2"/>
                <w:b w:val="0"/>
                <w:color w:val="000000"/>
                <w:sz w:val="21"/>
              </w:rPr>
              <w:sym w:font="Wingdings 2" w:char="F052"/>
            </w:r>
            <w:r>
              <w:rPr>
                <w:rFonts w:ascii="SimSun" w:eastAsia="SimSun" w:hAnsi="SimSun" w:cs="SimSun"/>
                <w:b w:val="0"/>
                <w:color w:val="000000"/>
                <w:sz w:val="21"/>
              </w:rPr>
              <w:t xml:space="preserve"> 不接受</w:t>
            </w:r>
          </w:p>
          <w:p>
            <w:pPr>
              <w:spacing w:before="48" w:after="48" w:line="240" w:lineRule="auto"/>
              <w:jc w:val="left"/>
              <w:rPr>
                <w:rFonts w:ascii="SimSun" w:eastAsia="SimSun" w:hAnsi="SimSun" w:cs="SimSun"/>
                <w:b w:val="0"/>
                <w:color w:val="000000"/>
                <w:sz w:val="21"/>
              </w:rPr>
            </w:pPr>
            <w:r>
              <w:rPr>
                <w:rFonts w:ascii="Wingdings 2" w:eastAsia="Wingdings 2" w:hAnsi="Wingdings 2" w:cs="Wingdings 2"/>
                <w:b w:val="0"/>
                <w:color w:val="000000"/>
                <w:sz w:val="21"/>
              </w:rPr>
              <w:sym w:font="Wingdings 2" w:char="F0A3"/>
            </w:r>
            <w:r>
              <w:rPr>
                <w:rFonts w:ascii="SimSun" w:eastAsia="SimSun" w:hAnsi="SimSun" w:cs="SimSun"/>
                <w:b w:val="0"/>
                <w:color w:val="000000"/>
                <w:sz w:val="21"/>
              </w:rPr>
              <w:t xml:space="preserve"> 接受</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rPr>
            </w:pPr>
            <w:r>
              <w:rPr>
                <w:rFonts w:ascii="SimSun" w:eastAsia="SimSun" w:hAnsi="SimSun" w:cs="SimSun"/>
                <w:b w:val="0"/>
                <w:color w:val="000000"/>
                <w:sz w:val="21"/>
              </w:rPr>
              <w:t>6</w:t>
            </w:r>
          </w:p>
        </w:tc>
        <w:tc>
          <w:tcPr>
            <w:tcW w:w="1763" w:type="dxa"/>
            <w:vAlign w:val="center"/>
          </w:tcPr>
          <w:p>
            <w:pPr>
              <w:spacing w:before="48" w:after="48" w:line="240" w:lineRule="auto"/>
              <w:jc w:val="center"/>
              <w:rPr>
                <w:rFonts w:ascii="SimSun" w:eastAsia="SimSun" w:hAnsi="SimSun" w:cs="SimSun"/>
                <w:b w:val="0"/>
                <w:color w:val="000000"/>
                <w:sz w:val="21"/>
              </w:rPr>
            </w:pPr>
            <w:r>
              <w:rPr>
                <w:rFonts w:ascii="SimSun" w:eastAsia="SimSun" w:hAnsi="SimSun" w:cs="SimSun"/>
                <w:b w:val="0"/>
                <w:color w:val="000000"/>
                <w:sz w:val="21"/>
              </w:rPr>
              <w:t>采购标的对应的中小企业划分标准所属行业</w:t>
            </w:r>
          </w:p>
        </w:tc>
        <w:tc>
          <w:tcPr>
            <w:tcW w:w="6435" w:type="dxa"/>
            <w:gridSpan w:val="2"/>
            <w:vAlign w:val="center"/>
          </w:tcPr>
          <w:p>
            <w:pPr>
              <w:spacing w:before="48" w:after="48" w:line="240" w:lineRule="auto"/>
              <w:jc w:val="left"/>
              <w:rPr>
                <w:rFonts w:ascii="SimSun" w:eastAsia="SimSun" w:hAnsi="SimSun" w:cs="SimSun"/>
                <w:b w:val="0"/>
                <w:color w:val="000000"/>
                <w:sz w:val="21"/>
              </w:rPr>
            </w:pPr>
            <w:r>
              <w:rPr>
                <w:rFonts w:ascii="SimSun" w:eastAsia="SimSun" w:hAnsi="SimSun" w:cs="SimSun"/>
                <w:b w:val="0"/>
                <w:color w:val="000000"/>
                <w:sz w:val="21"/>
              </w:rPr>
              <w:t>物业管理</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rPr>
            </w:pPr>
            <w:r>
              <w:rPr>
                <w:rFonts w:ascii="SimSun" w:eastAsia="SimSun" w:hAnsi="SimSun" w:cs="SimSun"/>
                <w:b w:val="0"/>
                <w:color w:val="000000"/>
                <w:sz w:val="21"/>
              </w:rPr>
              <w:t>7</w:t>
            </w:r>
          </w:p>
        </w:tc>
        <w:tc>
          <w:tcPr>
            <w:tcW w:w="1763" w:type="dxa"/>
            <w:vAlign w:val="center"/>
          </w:tcPr>
          <w:p>
            <w:pPr>
              <w:spacing w:before="48" w:after="48" w:line="240" w:lineRule="auto"/>
              <w:jc w:val="center"/>
              <w:rPr>
                <w:rFonts w:ascii="SimSun" w:eastAsia="SimSun" w:hAnsi="SimSun" w:cs="SimSun"/>
                <w:b w:val="0"/>
                <w:color w:val="000000"/>
                <w:sz w:val="21"/>
              </w:rPr>
            </w:pPr>
            <w:r>
              <w:rPr>
                <w:rFonts w:ascii="SimSun" w:eastAsia="SimSun" w:hAnsi="SimSun" w:cs="SimSun"/>
                <w:b w:val="0"/>
                <w:color w:val="000000"/>
                <w:sz w:val="21"/>
              </w:rPr>
              <w:t>核心产品</w:t>
            </w:r>
          </w:p>
        </w:tc>
        <w:tc>
          <w:tcPr>
            <w:tcW w:w="6435" w:type="dxa"/>
            <w:gridSpan w:val="2"/>
            <w:vAlign w:val="center"/>
          </w:tcPr>
          <w:p>
            <w:pPr>
              <w:spacing w:before="48" w:after="48" w:line="240" w:lineRule="auto"/>
              <w:jc w:val="left"/>
              <w:rPr>
                <w:rFonts w:ascii="SimSun" w:eastAsia="SimSun" w:hAnsi="SimSun" w:cs="SimSun"/>
                <w:b w:val="0"/>
                <w:color w:val="000000"/>
                <w:sz w:val="21"/>
              </w:rPr>
            </w:pPr>
            <w:r>
              <w:rPr>
                <w:rFonts w:ascii="Wingdings 2" w:eastAsia="Wingdings 2" w:hAnsi="Wingdings 2" w:cs="Wingdings 2"/>
                <w:b w:val="0"/>
                <w:color w:val="000000"/>
                <w:sz w:val="21"/>
              </w:rPr>
              <w:sym w:font="Wingdings 2" w:char="F052"/>
            </w:r>
            <w:r>
              <w:rPr>
                <w:rFonts w:ascii="SimSun" w:eastAsia="SimSun" w:hAnsi="SimSun" w:cs="SimSun"/>
                <w:b w:val="0"/>
                <w:color w:val="000000"/>
                <w:sz w:val="21"/>
              </w:rPr>
              <w:t xml:space="preserve"> 无</w:t>
            </w:r>
          </w:p>
          <w:p>
            <w:pPr>
              <w:spacing w:before="48" w:after="48" w:line="240" w:lineRule="auto"/>
              <w:jc w:val="left"/>
              <w:rPr>
                <w:rFonts w:ascii="SimSun" w:eastAsia="SimSun" w:hAnsi="SimSun" w:cs="SimSun"/>
                <w:b w:val="0"/>
                <w:color w:val="000000"/>
                <w:sz w:val="21"/>
              </w:rPr>
            </w:pPr>
            <w:r>
              <w:rPr>
                <w:rFonts w:ascii="Wingdings 2" w:eastAsia="Wingdings 2" w:hAnsi="Wingdings 2" w:cs="Wingdings 2"/>
                <w:b w:val="0"/>
                <w:color w:val="000000"/>
                <w:sz w:val="21"/>
              </w:rPr>
              <w:sym w:font="Wingdings 2" w:char="F0A3"/>
            </w:r>
            <w:r>
              <w:rPr>
                <w:rFonts w:ascii="SimSun" w:eastAsia="SimSun" w:hAnsi="SimSun" w:cs="SimSun"/>
                <w:b w:val="0"/>
                <w:color w:val="000000"/>
                <w:sz w:val="21"/>
              </w:rPr>
              <w:t xml:space="preserve"> 有</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rPr>
              <w:t>产品名称：</w:t>
            </w:r>
          </w:p>
          <w:p>
            <w:pPr>
              <w:spacing w:before="48" w:after="48" w:line="240" w:lineRule="auto"/>
              <w:jc w:val="left"/>
              <w:rPr>
                <w:rFonts w:ascii="SimSun" w:eastAsia="SimSun" w:hAnsi="SimSun" w:cs="SimSun"/>
                <w:b w:val="0"/>
                <w:color w:val="000000"/>
                <w:sz w:val="21"/>
                <w:u w:val="none"/>
              </w:rPr>
            </w:pPr>
            <w:r>
              <w:rPr>
                <w:rFonts w:ascii="SimSun" w:eastAsia="SimSun" w:hAnsi="SimSun" w:cs="SimSun"/>
                <w:b/>
                <w:color w:val="000000"/>
                <w:sz w:val="21"/>
                <w:u w:val="none"/>
              </w:rPr>
              <w:t>多家投标人提供的核心产品品牌相同，且通过资格审查、符合性审查的，按一家投标人计算，评审后得分最高的同品牌投标人获得中标人推荐资格，其他同品牌投标人不作为中标候选人。</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8</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采购进口产品</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Wingdings 2" w:eastAsia="Wingdings 2" w:hAnsi="Wingdings 2" w:cs="Wingdings 2"/>
                <w:b w:val="0"/>
                <w:color w:val="000000"/>
                <w:sz w:val="21"/>
                <w:u w:val="none"/>
              </w:rPr>
              <w:sym w:font="Wingdings 2" w:char="F052"/>
            </w:r>
            <w:r>
              <w:rPr>
                <w:rFonts w:ascii="SimSun" w:eastAsia="SimSun" w:hAnsi="SimSun" w:cs="SimSun"/>
                <w:b w:val="0"/>
                <w:color w:val="000000"/>
                <w:sz w:val="21"/>
                <w:u w:val="none"/>
              </w:rPr>
              <w:t xml:space="preserve"> 本采购项目拒绝进口产品参加投标</w:t>
            </w:r>
          </w:p>
          <w:p>
            <w:pPr>
              <w:spacing w:before="48" w:after="48" w:line="240" w:lineRule="auto"/>
              <w:jc w:val="left"/>
              <w:rPr>
                <w:rFonts w:ascii="SimSun" w:eastAsia="SimSun" w:hAnsi="SimSun" w:cs="SimSun"/>
                <w:b w:val="0"/>
                <w:color w:val="000000"/>
                <w:sz w:val="21"/>
                <w:u w:val="none"/>
              </w:rPr>
            </w:pPr>
            <w:r>
              <w:rPr>
                <w:rFonts w:ascii="Wingdings 2" w:eastAsia="Wingdings 2" w:hAnsi="Wingdings 2" w:cs="Wingdings 2"/>
                <w:b w:val="0"/>
                <w:color w:val="000000"/>
                <w:sz w:val="21"/>
                <w:u w:val="none"/>
              </w:rPr>
              <w:sym w:font="Wingdings 2" w:char="F0A3"/>
            </w:r>
            <w:r>
              <w:rPr>
                <w:rFonts w:ascii="SimSun" w:eastAsia="SimSun" w:hAnsi="SimSun" w:cs="SimSun"/>
                <w:b w:val="0"/>
                <w:color w:val="000000"/>
                <w:sz w:val="21"/>
                <w:u w:val="none"/>
              </w:rPr>
              <w:t xml:space="preserve"> 本采购项目已经财政部审核同意购买进口产品</w:t>
            </w:r>
          </w:p>
          <w:p>
            <w:pPr>
              <w:spacing w:before="48" w:after="48" w:line="240" w:lineRule="auto"/>
              <w:jc w:val="left"/>
              <w:rPr>
                <w:rFonts w:ascii="SimSun" w:eastAsia="SimSun" w:hAnsi="SimSun" w:cs="SimSun"/>
                <w:b w:val="0"/>
                <w:color w:val="000000"/>
                <w:sz w:val="21"/>
                <w:u w:val="none"/>
              </w:rPr>
            </w:pPr>
            <w:r>
              <w:rPr>
                <w:rFonts w:ascii="Wingdings 2" w:eastAsia="Wingdings 2" w:hAnsi="Wingdings 2" w:cs="Wingdings 2"/>
                <w:b w:val="0"/>
                <w:color w:val="000000"/>
                <w:sz w:val="21"/>
                <w:u w:val="none"/>
              </w:rPr>
              <w:sym w:font="Wingdings 2" w:char="F0A3"/>
            </w:r>
            <w:r>
              <w:rPr>
                <w:rFonts w:ascii="SimSun" w:eastAsia="SimSun" w:hAnsi="SimSun" w:cs="SimSun"/>
                <w:b w:val="0"/>
                <w:color w:val="000000"/>
                <w:sz w:val="21"/>
                <w:u w:val="none"/>
              </w:rPr>
              <w:t xml:space="preserve"> 其他</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9</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信息发布媒体</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中国政府采购网（www.ccgp.gov.cn）</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国家税务总局集中采购中心网站（https://swcg.chinatax.gov.cn）</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国家税务总局吉林市税务局网站（http://jilin.chinatax.gov.cn/）</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10</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获取招标文件时间、地点和方式等</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color w:val="000000"/>
                <w:sz w:val="21"/>
                <w:u w:val="none"/>
              </w:rPr>
              <w:t>时间：</w:t>
            </w:r>
            <w:r>
              <w:rPr>
                <w:rFonts w:ascii="SimSun" w:eastAsia="SimSun" w:hAnsi="SimSun" w:cs="SimSun"/>
                <w:b w:val="0"/>
                <w:color w:val="000000"/>
                <w:sz w:val="21"/>
                <w:u w:val="none"/>
              </w:rPr>
              <w:t>2025年12月6日至2025年12月12日每天8:00至20:00（北京时间，法定节假日除外）</w:t>
            </w:r>
          </w:p>
          <w:p>
            <w:pPr>
              <w:spacing w:before="48" w:after="48" w:line="240" w:lineRule="auto"/>
              <w:jc w:val="left"/>
              <w:rPr>
                <w:rFonts w:ascii="SimSun" w:eastAsia="SimSun" w:hAnsi="SimSun" w:cs="SimSun"/>
                <w:b w:val="0"/>
                <w:color w:val="000000"/>
                <w:sz w:val="21"/>
                <w:u w:val="none"/>
              </w:rPr>
            </w:pPr>
            <w:r>
              <w:rPr>
                <w:rFonts w:ascii="SimSun" w:eastAsia="SimSun" w:hAnsi="SimSun" w:cs="SimSun"/>
                <w:b/>
                <w:color w:val="000000"/>
                <w:sz w:val="21"/>
                <w:u w:val="none"/>
              </w:rPr>
              <w:t>地点：</w:t>
            </w:r>
            <w:r>
              <w:rPr>
                <w:rFonts w:ascii="SimSun" w:eastAsia="SimSun" w:hAnsi="SimSun" w:cs="SimSun"/>
                <w:b w:val="0"/>
                <w:color w:val="000000"/>
                <w:sz w:val="21"/>
                <w:u w:val="none"/>
              </w:rPr>
              <w:t>国家税务总局集中采购中心网站（https://swcg.chinatax.gov.cn）</w:t>
            </w:r>
          </w:p>
          <w:p>
            <w:pPr>
              <w:spacing w:before="48" w:after="48" w:line="240" w:lineRule="auto"/>
              <w:jc w:val="left"/>
              <w:rPr>
                <w:rFonts w:ascii="SimSun" w:eastAsia="SimSun" w:hAnsi="SimSun" w:cs="SimSun"/>
                <w:b w:val="0"/>
                <w:color w:val="000000"/>
                <w:sz w:val="21"/>
                <w:u w:val="none"/>
              </w:rPr>
            </w:pPr>
            <w:r>
              <w:rPr>
                <w:rFonts w:ascii="SimSun" w:eastAsia="SimSun" w:hAnsi="SimSun" w:cs="SimSun"/>
                <w:b/>
                <w:color w:val="000000"/>
                <w:sz w:val="21"/>
                <w:u w:val="none"/>
              </w:rPr>
              <w:t>方式：</w:t>
            </w:r>
            <w:r>
              <w:rPr>
                <w:rFonts w:ascii="SimSun" w:eastAsia="SimSun" w:hAnsi="SimSun" w:cs="SimSun"/>
                <w:b w:val="0"/>
                <w:color w:val="000000"/>
                <w:sz w:val="21"/>
                <w:u w:val="none"/>
              </w:rPr>
              <w:t>供应商在国家税务总局集中采购中心网站，点击“供应商登录”，完成注册，登录国家税务总局政府采购评审管理系统，报名并免费下载采购文件电子版。没有报名的供应商，不能参加本项目采购活动。</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11</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现场考察</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Wingdings 2" w:eastAsia="Wingdings 2" w:hAnsi="Wingdings 2" w:cs="Wingdings 2"/>
                <w:b w:val="0"/>
                <w:color w:val="000000"/>
                <w:sz w:val="21"/>
                <w:u w:val="none"/>
              </w:rPr>
              <w:sym w:font="Wingdings 2" w:char="F052"/>
            </w:r>
            <w:r>
              <w:rPr>
                <w:rFonts w:ascii="SimSun" w:eastAsia="SimSun" w:hAnsi="SimSun" w:cs="SimSun"/>
                <w:b w:val="0"/>
                <w:color w:val="000000"/>
                <w:sz w:val="21"/>
                <w:u w:val="none"/>
              </w:rPr>
              <w:t xml:space="preserve"> 不组织现场考察</w:t>
            </w:r>
          </w:p>
          <w:p>
            <w:pPr>
              <w:spacing w:before="48" w:after="48" w:line="240" w:lineRule="auto"/>
              <w:jc w:val="left"/>
              <w:rPr>
                <w:rFonts w:ascii="SimSun" w:eastAsia="SimSun" w:hAnsi="SimSun" w:cs="SimSun"/>
                <w:b w:val="0"/>
                <w:color w:val="000000"/>
                <w:sz w:val="21"/>
                <w:u w:val="none"/>
              </w:rPr>
            </w:pPr>
            <w:r>
              <w:rPr>
                <w:rFonts w:ascii="Wingdings 2" w:eastAsia="Wingdings 2" w:hAnsi="Wingdings 2" w:cs="Wingdings 2"/>
                <w:b w:val="0"/>
                <w:color w:val="000000"/>
                <w:sz w:val="21"/>
                <w:u w:val="none"/>
              </w:rPr>
              <w:sym w:font="Wingdings 2" w:char="F0A3"/>
            </w:r>
            <w:r>
              <w:rPr>
                <w:rFonts w:ascii="SimSun" w:eastAsia="SimSun" w:hAnsi="SimSun" w:cs="SimSun"/>
                <w:b w:val="0"/>
                <w:color w:val="000000"/>
                <w:sz w:val="21"/>
                <w:u w:val="none"/>
              </w:rPr>
              <w:t xml:space="preserve"> 组织现场考察：</w:t>
            </w:r>
          </w:p>
          <w:p>
            <w:pPr>
              <w:spacing w:before="48" w:after="48" w:line="240" w:lineRule="auto"/>
              <w:jc w:val="left"/>
              <w:rPr>
                <w:rFonts w:ascii="SimSun" w:eastAsia="SimSun" w:hAnsi="SimSun" w:cs="SimSun"/>
                <w:b w:val="0"/>
                <w:color w:val="000000"/>
                <w:sz w:val="21"/>
                <w:u w:val="none"/>
              </w:rPr>
            </w:pPr>
            <w:r>
              <w:rPr>
                <w:rFonts w:ascii="SimSun" w:eastAsia="SimSun" w:hAnsi="SimSun" w:cs="SimSun"/>
                <w:b/>
                <w:color w:val="000000"/>
                <w:sz w:val="21"/>
                <w:u w:val="none"/>
              </w:rPr>
              <w:t>时间：</w:t>
            </w:r>
            <w:r>
              <w:rPr>
                <w:rFonts w:ascii="SimSun" w:eastAsia="SimSun" w:hAnsi="SimSun" w:cs="SimSun"/>
                <w:b w:val="0"/>
                <w:color w:val="000000"/>
                <w:sz w:val="21"/>
                <w:u w:val="single"/>
              </w:rPr>
              <w:t xml:space="preserve"> </w:t>
            </w:r>
            <w:r>
              <w:rPr>
                <w:rFonts w:ascii="SimSun" w:eastAsia="SimSun" w:hAnsi="SimSun" w:cs="SimSun"/>
                <w:b w:val="0"/>
                <w:color w:val="000000"/>
                <w:sz w:val="21"/>
                <w:u w:val="none"/>
              </w:rPr>
              <w:t>年</w:t>
            </w:r>
            <w:r>
              <w:rPr>
                <w:rFonts w:ascii="SimSun" w:eastAsia="SimSun" w:hAnsi="SimSun" w:cs="SimSun"/>
                <w:b w:val="0"/>
                <w:color w:val="000000"/>
                <w:sz w:val="21"/>
                <w:u w:val="single"/>
              </w:rPr>
              <w:t xml:space="preserve"> </w:t>
            </w:r>
            <w:r>
              <w:rPr>
                <w:rFonts w:ascii="SimSun" w:eastAsia="SimSun" w:hAnsi="SimSun" w:cs="SimSun"/>
                <w:b w:val="0"/>
                <w:color w:val="000000"/>
                <w:sz w:val="21"/>
                <w:u w:val="none"/>
              </w:rPr>
              <w:t>月</w:t>
            </w:r>
            <w:r>
              <w:rPr>
                <w:rFonts w:ascii="SimSun" w:eastAsia="SimSun" w:hAnsi="SimSun" w:cs="SimSun"/>
                <w:b w:val="0"/>
                <w:color w:val="000000"/>
                <w:sz w:val="21"/>
                <w:u w:val="single"/>
              </w:rPr>
              <w:t xml:space="preserve"> </w:t>
            </w:r>
            <w:r>
              <w:rPr>
                <w:rFonts w:ascii="SimSun" w:eastAsia="SimSun" w:hAnsi="SimSun" w:cs="SimSun"/>
                <w:b w:val="0"/>
                <w:color w:val="000000"/>
                <w:sz w:val="21"/>
                <w:u w:val="none"/>
              </w:rPr>
              <w:t>日（北京时间）</w:t>
            </w:r>
          </w:p>
          <w:p>
            <w:pPr>
              <w:spacing w:before="48" w:after="48" w:line="240" w:lineRule="auto"/>
              <w:jc w:val="left"/>
              <w:rPr>
                <w:rFonts w:ascii="SimSun" w:eastAsia="SimSun" w:hAnsi="SimSun" w:cs="SimSun"/>
                <w:b w:val="0"/>
                <w:color w:val="000000"/>
                <w:sz w:val="21"/>
                <w:u w:val="none"/>
              </w:rPr>
            </w:pPr>
            <w:r>
              <w:rPr>
                <w:rFonts w:ascii="SimSun" w:eastAsia="SimSun" w:hAnsi="SimSun" w:cs="SimSun"/>
                <w:b/>
                <w:color w:val="000000"/>
                <w:sz w:val="21"/>
                <w:u w:val="none"/>
              </w:rPr>
              <w:t>地点：</w:t>
            </w:r>
            <w:r>
              <w:rPr>
                <w:rFonts w:ascii="SimSun" w:eastAsia="SimSun" w:hAnsi="SimSun" w:cs="SimSun"/>
                <w:b w:val="0"/>
                <w:color w:val="000000"/>
                <w:sz w:val="21"/>
                <w:u w:val="single"/>
              </w:rPr>
              <w:t>__________</w:t>
            </w:r>
          </w:p>
          <w:p>
            <w:pPr>
              <w:spacing w:before="48" w:after="48" w:line="240" w:lineRule="auto"/>
              <w:jc w:val="left"/>
              <w:rPr>
                <w:rFonts w:ascii="SimSun" w:eastAsia="SimSun" w:hAnsi="SimSun" w:cs="SimSun"/>
                <w:b w:val="0"/>
                <w:color w:val="000000"/>
                <w:sz w:val="21"/>
                <w:u w:val="none"/>
              </w:rPr>
            </w:pPr>
            <w:r>
              <w:rPr>
                <w:rFonts w:ascii="SimSun" w:eastAsia="SimSun" w:hAnsi="SimSun" w:cs="SimSun"/>
                <w:b/>
                <w:color w:val="000000"/>
                <w:sz w:val="21"/>
                <w:u w:val="none"/>
              </w:rPr>
              <w:t>联系人：</w:t>
            </w:r>
            <w:r>
              <w:rPr>
                <w:rFonts w:ascii="SimSun" w:eastAsia="SimSun" w:hAnsi="SimSun" w:cs="SimSun"/>
                <w:b w:val="0"/>
                <w:color w:val="000000"/>
                <w:sz w:val="21"/>
                <w:u w:val="single"/>
              </w:rPr>
              <w:t>__________</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联系电话：</w:t>
            </w:r>
            <w:r>
              <w:rPr>
                <w:rFonts w:ascii="SimSun" w:eastAsia="SimSun" w:hAnsi="SimSun" w:cs="SimSun"/>
                <w:b w:val="0"/>
                <w:color w:val="000000"/>
                <w:sz w:val="21"/>
                <w:u w:val="single"/>
              </w:rPr>
              <w:t>__________</w:t>
            </w:r>
          </w:p>
          <w:p>
            <w:pPr>
              <w:spacing w:before="48" w:after="48" w:line="240" w:lineRule="auto"/>
              <w:jc w:val="left"/>
              <w:rPr>
                <w:rFonts w:ascii="SimSun" w:eastAsia="SimSun" w:hAnsi="SimSun" w:cs="SimSun"/>
                <w:b w:val="0"/>
                <w:color w:val="000000"/>
                <w:sz w:val="21"/>
                <w:u w:val="none"/>
              </w:rPr>
            </w:pPr>
            <w:r>
              <w:rPr>
                <w:rFonts w:ascii="SimSun" w:eastAsia="SimSun" w:hAnsi="SimSun" w:cs="SimSun"/>
                <w:b/>
                <w:color w:val="000000"/>
                <w:sz w:val="21"/>
                <w:u w:val="none"/>
              </w:rPr>
              <w:t>要求：</w:t>
            </w:r>
          </w:p>
        </w:tc>
      </w:tr>
      <w:tr>
        <w:tblPrEx>
          <w:tblW w:w="5000" w:type="pct"/>
          <w:tblLayout w:type="fixed"/>
          <w:tblCellMar>
            <w:left w:w="108" w:type="dxa"/>
            <w:right w:w="108" w:type="dxa"/>
          </w:tblCellMar>
        </w:tblPrEx>
        <w:trPr>
          <w:trHeight w:val="476"/>
        </w:trPr>
        <w:tc>
          <w:tcPr>
            <w:tcW w:w="777" w:type="dxa"/>
            <w:vMerge w:val="restart"/>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12</w:t>
            </w:r>
          </w:p>
        </w:tc>
        <w:tc>
          <w:tcPr>
            <w:tcW w:w="1763" w:type="dxa"/>
            <w:vMerge w:val="restart"/>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投标文件组成</w:t>
            </w:r>
          </w:p>
        </w:tc>
        <w:tc>
          <w:tcPr>
            <w:tcW w:w="612" w:type="dxa"/>
            <w:vMerge w:val="restart"/>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商务部分</w:t>
            </w:r>
          </w:p>
        </w:tc>
        <w:tc>
          <w:tcPr>
            <w:tcW w:w="5822" w:type="dxa"/>
            <w:vAlign w:val="center"/>
          </w:tcPr>
          <w:p>
            <w:pPr>
              <w:spacing w:before="48" w:after="48" w:line="240" w:lineRule="auto"/>
              <w:jc w:val="left"/>
              <w:rPr>
                <w:rFonts w:ascii="SimSun" w:eastAsia="SimSun" w:hAnsi="SimSun" w:cs="SimSun"/>
                <w:b/>
                <w:color w:val="000000"/>
                <w:sz w:val="21"/>
                <w:u w:val="none"/>
              </w:rPr>
            </w:pPr>
            <w:r>
              <w:rPr>
                <w:rFonts w:ascii="SimSun" w:eastAsia="SimSun" w:hAnsi="SimSun" w:cs="SimSun"/>
                <w:b/>
                <w:color w:val="000000"/>
                <w:sz w:val="21"/>
                <w:u w:val="none"/>
              </w:rPr>
              <w:t>一、资格证明文件：</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1.★法人或者其他组织的营业执照等证明文件（上传扫描件）；</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2.★2024年度经会计师事务所审计的财务报告（须上传加盖会计师事务所公章及注册会计师签章的扫描件）；没有经审计的财务报告的，可以提供基本开户银行出具的资信证明（上传扫描件）；</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3.★近6个月以来不少于2个月依法缴纳税收（不包括个人所得税）的相关材料，如依法免税或不需要纳税的，则应提供相应证明材料（上传扫描件）；</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4.★近6个月以来不少于2个月的依法缴纳社会保障资金的相关材料，如依法不需要缴纳社会保障资金的，则应提供相应证明材料（上传扫描件）；</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5.★参加本项目投标前三年内，在经营活动中没有重大违法记录（指供应商因违法经营受到刑事处罚或者责令停产停业、吊销许可证或者执照、较大数额罚款等行政处罚）的书面声明；</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6.★具备履行合同所必须的设备和专业技术能力的证明材料。</w:t>
            </w:r>
          </w:p>
        </w:tc>
      </w:tr>
      <w:tr>
        <w:tblPrEx>
          <w:tblW w:w="5000" w:type="pct"/>
          <w:tblLayout w:type="fixed"/>
          <w:tblCellMar>
            <w:left w:w="108" w:type="dxa"/>
            <w:right w:w="108" w:type="dxa"/>
          </w:tblCellMar>
        </w:tblPrEx>
        <w:trPr>
          <w:trHeight w:val="476"/>
        </w:trPr>
        <w:tc>
          <w:tcPr>
            <w:tcW w:w="777" w:type="dxa"/>
            <w:vMerge/>
            <w:vAlign w:val="center"/>
          </w:tcPr>
          <w:p>
            <w:pPr>
              <w:spacing w:before="48" w:after="48" w:line="240" w:lineRule="auto"/>
              <w:jc w:val="center"/>
              <w:rPr>
                <w:rFonts w:ascii="SimSun" w:eastAsia="SimSun" w:hAnsi="SimSun" w:cs="SimSun"/>
                <w:b w:val="0"/>
                <w:color w:val="000000"/>
                <w:sz w:val="21"/>
                <w:u w:val="none"/>
              </w:rPr>
            </w:pPr>
          </w:p>
        </w:tc>
        <w:tc>
          <w:tcPr>
            <w:tcW w:w="1763" w:type="dxa"/>
            <w:vMerge/>
            <w:vAlign w:val="center"/>
          </w:tcPr>
          <w:p>
            <w:pPr>
              <w:spacing w:before="48" w:after="48" w:line="240" w:lineRule="auto"/>
              <w:jc w:val="center"/>
              <w:rPr>
                <w:rFonts w:ascii="SimSun" w:eastAsia="SimSun" w:hAnsi="SimSun" w:cs="SimSun"/>
                <w:b w:val="0"/>
                <w:color w:val="000000"/>
                <w:sz w:val="21"/>
                <w:u w:val="none"/>
              </w:rPr>
            </w:pPr>
          </w:p>
        </w:tc>
        <w:tc>
          <w:tcPr>
            <w:tcW w:w="612" w:type="dxa"/>
            <w:vMerge/>
            <w:vAlign w:val="center"/>
          </w:tcPr>
          <w:p>
            <w:pPr>
              <w:spacing w:before="48" w:after="48" w:line="240" w:lineRule="auto"/>
              <w:jc w:val="center"/>
              <w:rPr>
                <w:rFonts w:ascii="SimSun" w:eastAsia="SimSun" w:hAnsi="SimSun" w:cs="SimSun"/>
                <w:b w:val="0"/>
                <w:color w:val="000000"/>
                <w:sz w:val="21"/>
                <w:u w:val="none"/>
              </w:rPr>
            </w:pPr>
          </w:p>
        </w:tc>
        <w:tc>
          <w:tcPr>
            <w:tcW w:w="5822" w:type="dxa"/>
            <w:vAlign w:val="center"/>
          </w:tcPr>
          <w:p>
            <w:pPr>
              <w:spacing w:before="48" w:after="48" w:line="240" w:lineRule="auto"/>
              <w:jc w:val="left"/>
              <w:rPr>
                <w:rFonts w:ascii="SimSun" w:eastAsia="SimSun" w:hAnsi="SimSun" w:cs="SimSun"/>
                <w:b/>
                <w:color w:val="000000"/>
                <w:sz w:val="21"/>
                <w:u w:val="none"/>
              </w:rPr>
            </w:pPr>
            <w:r>
              <w:rPr>
                <w:rFonts w:ascii="SimSun" w:eastAsia="SimSun" w:hAnsi="SimSun" w:cs="SimSun"/>
                <w:b/>
                <w:color w:val="000000"/>
                <w:sz w:val="21"/>
                <w:u w:val="none"/>
              </w:rPr>
              <w:t>二、报价一览表：</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1.★投标报价表（开标一览表）。</w:t>
            </w:r>
          </w:p>
        </w:tc>
      </w:tr>
      <w:tr>
        <w:tblPrEx>
          <w:tblW w:w="5000" w:type="pct"/>
          <w:tblLayout w:type="fixed"/>
          <w:tblCellMar>
            <w:left w:w="108" w:type="dxa"/>
            <w:right w:w="108" w:type="dxa"/>
          </w:tblCellMar>
        </w:tblPrEx>
        <w:trPr>
          <w:trHeight w:val="476"/>
        </w:trPr>
        <w:tc>
          <w:tcPr>
            <w:tcW w:w="777" w:type="dxa"/>
            <w:vMerge/>
            <w:vAlign w:val="center"/>
          </w:tcPr>
          <w:p>
            <w:pPr>
              <w:spacing w:before="48" w:after="48" w:line="240" w:lineRule="auto"/>
              <w:jc w:val="center"/>
              <w:rPr>
                <w:rFonts w:ascii="SimSun" w:eastAsia="SimSun" w:hAnsi="SimSun" w:cs="SimSun"/>
                <w:b w:val="0"/>
                <w:color w:val="000000"/>
                <w:sz w:val="21"/>
                <w:u w:val="none"/>
              </w:rPr>
            </w:pPr>
          </w:p>
        </w:tc>
        <w:tc>
          <w:tcPr>
            <w:tcW w:w="1763" w:type="dxa"/>
            <w:vMerge/>
            <w:vAlign w:val="center"/>
          </w:tcPr>
          <w:p>
            <w:pPr>
              <w:spacing w:before="48" w:after="48" w:line="240" w:lineRule="auto"/>
              <w:jc w:val="center"/>
              <w:rPr>
                <w:rFonts w:ascii="SimSun" w:eastAsia="SimSun" w:hAnsi="SimSun" w:cs="SimSun"/>
                <w:b w:val="0"/>
                <w:color w:val="000000"/>
                <w:sz w:val="21"/>
                <w:u w:val="none"/>
              </w:rPr>
            </w:pPr>
          </w:p>
        </w:tc>
        <w:tc>
          <w:tcPr>
            <w:tcW w:w="612" w:type="dxa"/>
            <w:vMerge/>
            <w:vAlign w:val="center"/>
          </w:tcPr>
          <w:p>
            <w:pPr>
              <w:spacing w:before="48" w:after="48" w:line="240" w:lineRule="auto"/>
              <w:jc w:val="center"/>
              <w:rPr>
                <w:rFonts w:ascii="SimSun" w:eastAsia="SimSun" w:hAnsi="SimSun" w:cs="SimSun"/>
                <w:b w:val="0"/>
                <w:color w:val="000000"/>
                <w:sz w:val="21"/>
                <w:u w:val="none"/>
              </w:rPr>
            </w:pPr>
          </w:p>
        </w:tc>
        <w:tc>
          <w:tcPr>
            <w:tcW w:w="5822" w:type="dxa"/>
            <w:vAlign w:val="center"/>
          </w:tcPr>
          <w:p>
            <w:pPr>
              <w:spacing w:before="48" w:after="48" w:line="240" w:lineRule="auto"/>
              <w:jc w:val="left"/>
              <w:rPr>
                <w:rFonts w:ascii="SimSun" w:eastAsia="SimSun" w:hAnsi="SimSun" w:cs="SimSun"/>
                <w:b/>
                <w:color w:val="000000"/>
                <w:sz w:val="21"/>
                <w:u w:val="none"/>
              </w:rPr>
            </w:pPr>
            <w:r>
              <w:rPr>
                <w:rFonts w:ascii="SimSun" w:eastAsia="SimSun" w:hAnsi="SimSun" w:cs="SimSun"/>
                <w:b/>
                <w:color w:val="000000"/>
                <w:sz w:val="21"/>
                <w:u w:val="none"/>
              </w:rPr>
              <w:t>三、其他文件及资料：</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1.★法定代表人授权委托书(适用于被授权投标代表参与投标活动的，上传加盖公章的扫描件)或法定代表人身份证明 (适用于法定代表人参加投标活动的，上传加盖公章的扫描件)；</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2.★投标函（上传加盖公章的扫描件）；</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3.★商务条款偏离表；</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4.★中小企业声明函（中小企业投标的，应按照《政府采购促进中小企业发展管理办法》（财库﹝2020﹞46 号印发）《关于印发中小企业划型标准规定的通知》 （工信部联企业〔2011〕300号）如实填写并提交此函）；</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5.监狱企业证明文件[监狱企业投标的，应提交省级以上监狱管理局、戒毒管理局（含新疆生产建设兵团）出具的证明文件，格式自拟]；</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6.残疾人福利性单位声明函（残疾人福利性单位投标的，应提交此函）；</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7.相关资质证书（上传扫描件）；</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8.成功案例一览表：提供2023年1月1日以来（以合同签订日期为准），独立承担实施的相类似项目的成功案例，应上传合同扫描件。合同扫描件应能清晰体现合同甲乙双方、合同时间、合同金额、合同主要内容等，并提供对方联系人及联系方式，否则不能获得相应分值；</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9.投标人认为需要提供的其它说明和资料。</w:t>
            </w:r>
          </w:p>
        </w:tc>
      </w:tr>
      <w:tr>
        <w:tblPrEx>
          <w:tblW w:w="5000" w:type="pct"/>
          <w:tblLayout w:type="fixed"/>
          <w:tblCellMar>
            <w:left w:w="108" w:type="dxa"/>
            <w:right w:w="108" w:type="dxa"/>
          </w:tblCellMar>
        </w:tblPrEx>
        <w:trPr>
          <w:trHeight w:val="476"/>
        </w:trPr>
        <w:tc>
          <w:tcPr>
            <w:tcW w:w="777" w:type="dxa"/>
            <w:vMerge/>
            <w:vAlign w:val="center"/>
          </w:tcPr>
          <w:p>
            <w:pPr>
              <w:spacing w:before="48" w:after="48" w:line="240" w:lineRule="auto"/>
              <w:jc w:val="center"/>
              <w:rPr>
                <w:rFonts w:ascii="SimSun" w:eastAsia="SimSun" w:hAnsi="SimSun" w:cs="SimSun"/>
                <w:b w:val="0"/>
                <w:color w:val="000000"/>
                <w:sz w:val="21"/>
                <w:u w:val="none"/>
              </w:rPr>
            </w:pPr>
          </w:p>
        </w:tc>
        <w:tc>
          <w:tcPr>
            <w:tcW w:w="1763" w:type="dxa"/>
            <w:vMerge/>
            <w:vAlign w:val="center"/>
          </w:tcPr>
          <w:p>
            <w:pPr>
              <w:spacing w:before="48" w:after="48" w:line="240" w:lineRule="auto"/>
              <w:jc w:val="center"/>
              <w:rPr>
                <w:rFonts w:ascii="SimSun" w:eastAsia="SimSun" w:hAnsi="SimSun" w:cs="SimSun"/>
                <w:b w:val="0"/>
                <w:color w:val="000000"/>
                <w:sz w:val="21"/>
                <w:u w:val="none"/>
              </w:rPr>
            </w:pPr>
          </w:p>
        </w:tc>
        <w:tc>
          <w:tcPr>
            <w:tcW w:w="612"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技术部分</w:t>
            </w:r>
          </w:p>
        </w:tc>
        <w:tc>
          <w:tcPr>
            <w:tcW w:w="5822" w:type="dxa"/>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1.★技术条款偏离表；</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2.★技术力量一览表；</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3.技术人员简历表；</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4.满足指标要求情况（相关内容在《技术条款偏离表》中予以响应）；</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5.投标人认为需要提供的其它方案、说明和资料；</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6.风险管控方案；</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7.履约验收方案；</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8.应急处置方案；</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9.特约服务实施方案；</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10.投标人认为需要提供的其它方案、说明和资料。</w:t>
            </w:r>
          </w:p>
        </w:tc>
      </w:tr>
      <w:tr>
        <w:tblPrEx>
          <w:tblW w:w="5000" w:type="pct"/>
          <w:tblLayout w:type="fixed"/>
          <w:tblCellMar>
            <w:left w:w="108" w:type="dxa"/>
            <w:right w:w="108" w:type="dxa"/>
          </w:tblCellMar>
        </w:tblPrEx>
        <w:trPr>
          <w:trHeight w:val="476"/>
        </w:trPr>
        <w:tc>
          <w:tcPr>
            <w:tcW w:w="777" w:type="dxa"/>
            <w:vMerge/>
            <w:vAlign w:val="center"/>
          </w:tcPr>
          <w:p>
            <w:pPr>
              <w:spacing w:before="48" w:after="48" w:line="240" w:lineRule="auto"/>
              <w:jc w:val="center"/>
              <w:rPr>
                <w:rFonts w:ascii="SimSun" w:eastAsia="SimSun" w:hAnsi="SimSun" w:cs="SimSun"/>
                <w:b w:val="0"/>
                <w:color w:val="000000"/>
                <w:sz w:val="21"/>
                <w:u w:val="none"/>
              </w:rPr>
            </w:pPr>
          </w:p>
        </w:tc>
        <w:tc>
          <w:tcPr>
            <w:tcW w:w="1763" w:type="dxa"/>
            <w:vMerge/>
            <w:vAlign w:val="center"/>
          </w:tcPr>
          <w:p>
            <w:pPr>
              <w:spacing w:before="48" w:after="48" w:line="240" w:lineRule="auto"/>
              <w:jc w:val="center"/>
              <w:rPr>
                <w:rFonts w:ascii="SimSun" w:eastAsia="SimSun" w:hAnsi="SimSun" w:cs="SimSun"/>
                <w:b w:val="0"/>
                <w:color w:val="000000"/>
                <w:sz w:val="21"/>
                <w:u w:val="none"/>
              </w:rPr>
            </w:pP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1.以上带★的文件及资料未提供或提供的无效，则投标无效。</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2.要求提供扫描件的，照片、图片等电子文件与扫描件效力相等。</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13</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投标有效期</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120</w:t>
            </w:r>
            <w:r>
              <w:rPr>
                <w:rFonts w:ascii="SimSun" w:eastAsia="SimSun" w:hAnsi="SimSun" w:cs="SimSun"/>
                <w:b w:val="0"/>
                <w:color w:val="000000"/>
                <w:sz w:val="21"/>
                <w:u w:val="none"/>
              </w:rPr>
              <w:t>天（从提交投标文件的截止之日起计算）</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14</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提交投标文件方式、截止时间、开标时间</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color w:val="000000"/>
                <w:sz w:val="21"/>
                <w:u w:val="none"/>
              </w:rPr>
              <w:t>提交方式：</w:t>
            </w:r>
            <w:r>
              <w:rPr>
                <w:rFonts w:ascii="SimSun" w:eastAsia="SimSun" w:hAnsi="SimSun" w:cs="SimSun"/>
                <w:b w:val="0"/>
                <w:color w:val="000000"/>
                <w:sz w:val="21"/>
                <w:u w:val="none"/>
              </w:rPr>
              <w:t>供应商制作投标文件前须提前办理数字证书和电子签章，办理方式和注意事项详见国家税务总局集中采购中心网站《供应商操作手册》。供应商在国家税务总局集中采购中心网站 “下载中心”下载并安装“供应商投标工具”，使用投标工具编制投标文件，并在提交投标文件截止时间前加密上传。除上述方式之外，不接受以纸质文件以及其他任何方式提交的投标文件。</w:t>
            </w:r>
          </w:p>
          <w:p>
            <w:pPr>
              <w:spacing w:before="48" w:after="48" w:line="240" w:lineRule="auto"/>
              <w:jc w:val="left"/>
              <w:rPr>
                <w:rFonts w:ascii="SimSun" w:eastAsia="SimSun" w:hAnsi="SimSun" w:cs="SimSun"/>
                <w:b w:val="0"/>
                <w:color w:val="000000"/>
                <w:sz w:val="21"/>
                <w:u w:val="none"/>
              </w:rPr>
            </w:pPr>
            <w:r>
              <w:rPr>
                <w:rFonts w:ascii="SimSun" w:eastAsia="SimSun" w:hAnsi="SimSun" w:cs="SimSun"/>
                <w:b/>
                <w:color w:val="000000"/>
                <w:sz w:val="21"/>
                <w:u w:val="none"/>
              </w:rPr>
              <w:t>投标截止时间和开标时间：</w:t>
            </w:r>
            <w:r>
              <w:rPr>
                <w:rFonts w:ascii="SimSun" w:eastAsia="SimSun" w:hAnsi="SimSun" w:cs="SimSun"/>
                <w:b w:val="0"/>
                <w:color w:val="000000"/>
                <w:sz w:val="21"/>
                <w:u w:val="none"/>
              </w:rPr>
              <w:t>2025年12月26日9:15</w:t>
            </w:r>
            <w:r>
              <w:rPr>
                <w:rFonts w:ascii="SimSun" w:eastAsia="SimSun" w:hAnsi="SimSun" w:cs="SimSun"/>
                <w:b w:val="0"/>
                <w:color w:val="000000"/>
                <w:sz w:val="21"/>
                <w:u w:val="none"/>
              </w:rPr>
              <w:t>（北京时间）</w:t>
            </w:r>
          </w:p>
          <w:p>
            <w:pPr>
              <w:spacing w:before="48" w:after="48" w:line="240" w:lineRule="auto"/>
              <w:jc w:val="left"/>
              <w:rPr>
                <w:rFonts w:ascii="SimSun" w:eastAsia="SimSun" w:hAnsi="SimSun" w:cs="SimSun"/>
                <w:b w:val="0"/>
                <w:color w:val="000000"/>
                <w:sz w:val="21"/>
                <w:u w:val="none"/>
              </w:rPr>
            </w:pPr>
            <w:r>
              <w:rPr>
                <w:rFonts w:ascii="SimSun" w:eastAsia="SimSun" w:hAnsi="SimSun" w:cs="SimSun"/>
                <w:b/>
                <w:color w:val="000000"/>
                <w:sz w:val="21"/>
                <w:u w:val="none"/>
              </w:rPr>
              <w:t>开标方式：</w:t>
            </w:r>
            <w:r>
              <w:rPr>
                <w:rFonts w:ascii="SimSun" w:eastAsia="SimSun" w:hAnsi="SimSun" w:cs="SimSun"/>
                <w:b w:val="0"/>
                <w:color w:val="000000"/>
                <w:sz w:val="21"/>
                <w:u w:val="none"/>
              </w:rPr>
              <w:t>本项目通过国家税务总局政府采购评审管理系统进行开标，投标人应在开标前登录系统点击“开标大厅”，参加开标过程并确认开标结果，投标人未参加开标的视同认同开标结果。</w:t>
            </w:r>
          </w:p>
          <w:p>
            <w:pPr>
              <w:spacing w:before="48" w:after="48" w:line="240" w:lineRule="auto"/>
              <w:jc w:val="left"/>
              <w:rPr>
                <w:rFonts w:ascii="SimSun" w:eastAsia="SimSun" w:hAnsi="SimSun" w:cs="SimSun"/>
                <w:b w:val="0"/>
                <w:color w:val="000000"/>
                <w:sz w:val="21"/>
                <w:u w:val="none"/>
              </w:rPr>
            </w:pPr>
            <w:r>
              <w:rPr>
                <w:rFonts w:ascii="SimSun" w:eastAsia="SimSun" w:hAnsi="SimSun" w:cs="SimSun"/>
                <w:b/>
                <w:color w:val="000000"/>
                <w:sz w:val="21"/>
                <w:u w:val="none"/>
              </w:rPr>
              <w:t>联系电话：</w:t>
            </w:r>
            <w:r>
              <w:rPr>
                <w:rFonts w:ascii="SimSun" w:eastAsia="SimSun" w:hAnsi="SimSun" w:cs="SimSun"/>
                <w:b w:val="0"/>
                <w:color w:val="000000"/>
                <w:sz w:val="21"/>
                <w:u w:val="none"/>
              </w:rPr>
              <w:t>0432-65136099</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15</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投标保证金</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Wingdings 2" w:eastAsia="Wingdings 2" w:hAnsi="Wingdings 2" w:cs="Wingdings 2"/>
                <w:b w:val="0"/>
                <w:color w:val="000000"/>
                <w:sz w:val="21"/>
                <w:u w:val="none"/>
              </w:rPr>
              <w:sym w:font="Wingdings 2" w:char="F052"/>
            </w:r>
            <w:r>
              <w:rPr>
                <w:rFonts w:ascii="SimSun" w:eastAsia="SimSun" w:hAnsi="SimSun" w:cs="SimSun"/>
                <w:b w:val="0"/>
                <w:color w:val="000000"/>
                <w:sz w:val="21"/>
                <w:u w:val="none"/>
              </w:rPr>
              <w:t xml:space="preserve"> 不要求提供</w:t>
            </w:r>
          </w:p>
          <w:p>
            <w:pPr>
              <w:spacing w:before="48" w:after="48" w:line="240" w:lineRule="auto"/>
              <w:jc w:val="left"/>
              <w:rPr>
                <w:rFonts w:ascii="SimSun" w:eastAsia="SimSun" w:hAnsi="SimSun" w:cs="SimSun"/>
                <w:b w:val="0"/>
                <w:color w:val="000000"/>
                <w:sz w:val="21"/>
                <w:u w:val="none"/>
              </w:rPr>
            </w:pPr>
            <w:r>
              <w:rPr>
                <w:rFonts w:ascii="Wingdings 2" w:eastAsia="Wingdings 2" w:hAnsi="Wingdings 2" w:cs="Wingdings 2"/>
                <w:b w:val="0"/>
                <w:color w:val="000000"/>
                <w:sz w:val="21"/>
                <w:u w:val="none"/>
              </w:rPr>
              <w:sym w:font="Wingdings 2" w:char="F0A3"/>
            </w:r>
            <w:r>
              <w:rPr>
                <w:rFonts w:ascii="SimSun" w:eastAsia="SimSun" w:hAnsi="SimSun" w:cs="SimSun"/>
                <w:b w:val="0"/>
                <w:color w:val="000000"/>
                <w:sz w:val="21"/>
                <w:u w:val="none"/>
              </w:rPr>
              <w:t xml:space="preserve"> 要求提供，数额不得超过采购项目预算金额的</w:t>
            </w:r>
            <w:r>
              <w:rPr>
                <w:rFonts w:ascii="SimSun" w:eastAsia="SimSun" w:hAnsi="SimSun" w:cs="SimSun"/>
                <w:b w:val="0"/>
                <w:color w:val="000000"/>
                <w:sz w:val="21"/>
                <w:u w:val="single"/>
              </w:rPr>
              <w:t xml:space="preserve"> </w:t>
            </w:r>
            <w:r>
              <w:rPr>
                <w:rFonts w:ascii="SimSun" w:eastAsia="SimSun" w:hAnsi="SimSun" w:cs="SimSun"/>
                <w:b w:val="0"/>
                <w:color w:val="000000"/>
                <w:sz w:val="21"/>
                <w:u w:val="none"/>
              </w:rPr>
              <w:t>%，</w:t>
            </w:r>
            <w:r>
              <w:rPr>
                <w:rFonts w:ascii="SimSun" w:eastAsia="SimSun" w:hAnsi="SimSun" w:cs="SimSun"/>
                <w:b w:val="0"/>
                <w:color w:val="000000"/>
                <w:sz w:val="21"/>
                <w:u w:val="none"/>
              </w:rPr>
              <w:t xml:space="preserve"> 本项目的投标保证金为人民币</w:t>
            </w:r>
            <w:r>
              <w:rPr>
                <w:rFonts w:ascii="SimSun" w:eastAsia="SimSun" w:hAnsi="SimSun" w:cs="SimSun"/>
                <w:b w:val="0"/>
                <w:color w:val="000000"/>
                <w:sz w:val="21"/>
                <w:u w:val="single"/>
              </w:rPr>
              <w:t xml:space="preserve"> </w:t>
            </w:r>
            <w:r>
              <w:rPr>
                <w:rFonts w:ascii="SimSun" w:eastAsia="SimSun" w:hAnsi="SimSun" w:cs="SimSun"/>
                <w:b w:val="0"/>
                <w:color w:val="000000"/>
                <w:sz w:val="21"/>
                <w:u w:val="none"/>
              </w:rPr>
              <w:t>元，</w:t>
            </w:r>
            <w:r>
              <w:rPr>
                <w:rFonts w:ascii="SimSun" w:eastAsia="SimSun" w:hAnsi="SimSun" w:cs="SimSun"/>
                <w:b w:val="0"/>
                <w:color w:val="000000"/>
                <w:sz w:val="21"/>
                <w:u w:val="none"/>
              </w:rPr>
              <w:t xml:space="preserve"> 提交方式为银行电汇、金融机构或担保机构出具的保函。</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16</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信用记录审查</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根据《财政部关于在政府采购活动中查询及使用信用记录有关问题的通知》（财库〔2016〕125号）规定，开标结束后，采购人将通过“信用中国”网站（www.creditchina.gov.cn）、中国政府采购网（www.ccgp.gov.cn），对投标人截止到投标截止时间的信用记录进行审查，对列入失信被执行人、重大税收违法案件当事人名单、政府采购严重违法失信行为记录名单的投标人，其投标将被拒绝。</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本次查询的信用记录仅限于本项目使用，查询结果将留存在采购档案中。</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在上述指定网站不能查询信用信息的投标人，应提供相关证明材料（原件加盖公章）。</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17</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促进中小企业发展</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根据《政府采购促进中小企业发展管理办法》（财库〔2020〕46号），鼓励中小企业参加本项目采购活动。</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在货物采购项目中，满足所有标的均由中小企业制造，即所有标的均由中小企业生产且使用该中小企业商号或者注册商标的，可享受中小企业扶持政策。</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在服务采购项目中，满足服务由中小企业承接，即提供服务的人员为中小企业依照《中华人民共和国劳动合同法》订立劳动合同的从业人员的，可享受中小企业扶持政策。</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本项目:</w:t>
            </w:r>
          </w:p>
          <w:p>
            <w:pPr>
              <w:spacing w:before="48" w:after="48" w:line="240" w:lineRule="auto"/>
              <w:jc w:val="left"/>
              <w:rPr>
                <w:rFonts w:ascii="SimSun" w:eastAsia="SimSun" w:hAnsi="SimSun" w:cs="SimSun"/>
                <w:b w:val="0"/>
                <w:color w:val="000000"/>
                <w:sz w:val="21"/>
                <w:u w:val="none"/>
              </w:rPr>
            </w:pPr>
            <w:r>
              <w:rPr>
                <w:rFonts w:ascii="Wingdings 2" w:eastAsia="Wingdings 2" w:hAnsi="Wingdings 2" w:cs="Wingdings 2"/>
                <w:b w:val="0"/>
                <w:color w:val="000000"/>
                <w:sz w:val="21"/>
                <w:u w:val="none"/>
              </w:rPr>
              <w:sym w:font="Wingdings 2" w:char="F052"/>
            </w:r>
            <w:r>
              <w:rPr>
                <w:rFonts w:ascii="SimSun" w:eastAsia="SimSun" w:hAnsi="SimSun" w:cs="SimSun"/>
                <w:b w:val="0"/>
                <w:color w:val="000000"/>
                <w:sz w:val="21"/>
                <w:u w:val="none"/>
              </w:rPr>
              <w:t xml:space="preserve"> 专门面向中小企业采购项目。</w:t>
            </w:r>
          </w:p>
          <w:p>
            <w:pPr>
              <w:spacing w:before="48" w:after="48" w:line="240" w:lineRule="auto"/>
              <w:jc w:val="left"/>
              <w:rPr>
                <w:rFonts w:ascii="SimSun" w:eastAsia="SimSun" w:hAnsi="SimSun" w:cs="SimSun"/>
                <w:b w:val="0"/>
                <w:color w:val="000000"/>
                <w:sz w:val="21"/>
                <w:u w:val="none"/>
              </w:rPr>
            </w:pPr>
            <w:r>
              <w:rPr>
                <w:rFonts w:ascii="Wingdings 2" w:eastAsia="Wingdings 2" w:hAnsi="Wingdings 2" w:cs="Wingdings 2"/>
                <w:b w:val="0"/>
                <w:color w:val="000000"/>
                <w:sz w:val="21"/>
                <w:u w:val="none"/>
              </w:rPr>
              <w:sym w:font="Wingdings 2" w:char="F0A3"/>
            </w:r>
            <w:r>
              <w:rPr>
                <w:rFonts w:ascii="SimSun" w:eastAsia="SimSun" w:hAnsi="SimSun" w:cs="SimSun"/>
                <w:b w:val="0"/>
                <w:color w:val="000000"/>
                <w:sz w:val="21"/>
                <w:u w:val="none"/>
              </w:rPr>
              <w:t xml:space="preserve"> 预留份额面向中小企业采购项目。</w:t>
            </w:r>
          </w:p>
          <w:p>
            <w:pPr>
              <w:spacing w:before="48" w:after="48" w:line="240" w:lineRule="auto"/>
              <w:jc w:val="left"/>
              <w:rPr>
                <w:rFonts w:ascii="SimSun" w:eastAsia="SimSun" w:hAnsi="SimSun" w:cs="SimSun"/>
                <w:b w:val="0"/>
                <w:color w:val="000000"/>
                <w:sz w:val="21"/>
                <w:u w:val="none"/>
              </w:rPr>
            </w:pPr>
            <w:r>
              <w:rPr>
                <w:rFonts w:ascii="Wingdings 2" w:eastAsia="Wingdings 2" w:hAnsi="Wingdings 2" w:cs="Wingdings 2"/>
                <w:b w:val="0"/>
                <w:color w:val="000000"/>
                <w:sz w:val="21"/>
                <w:u w:val="none"/>
              </w:rPr>
              <w:sym w:font="Wingdings 2" w:char="F0A3"/>
            </w:r>
            <w:r>
              <w:rPr>
                <w:rFonts w:ascii="SimSun" w:eastAsia="SimSun" w:hAnsi="SimSun" w:cs="SimSun"/>
                <w:b w:val="0"/>
                <w:color w:val="000000"/>
                <w:sz w:val="21"/>
                <w:u w:val="none"/>
              </w:rPr>
              <w:t xml:space="preserve"> 非专门面向中小企业采购项目。对小型和微型企业的投标价格给予</w:t>
            </w:r>
            <w:r>
              <w:rPr>
                <w:rFonts w:ascii="SimSun" w:eastAsia="SimSun" w:hAnsi="SimSun" w:cs="SimSun"/>
                <w:b w:val="0"/>
                <w:color w:val="000000"/>
                <w:sz w:val="21"/>
                <w:u w:val="single"/>
              </w:rPr>
              <w:t xml:space="preserve"> </w:t>
            </w:r>
            <w:r>
              <w:rPr>
                <w:rFonts w:ascii="SimSun" w:eastAsia="SimSun" w:hAnsi="SimSun" w:cs="SimSun"/>
                <w:b w:val="0"/>
                <w:color w:val="000000"/>
                <w:sz w:val="21"/>
                <w:u w:val="none"/>
              </w:rPr>
              <w:t xml:space="preserve"> %的扣除，用扣除后的价格参与评审。</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18</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支持监狱企业发展</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根据《关于政府采购支持监狱企业发展有关问题的通知》（财库〔2014〕68号），监狱企业视同小型、微型企业，按照投标人须知前附表第17项享受政府采购促进中小企业发展的政府采购政策。</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19</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促进残疾人就业</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根据《关于促进残疾人就业政府采购政策的通知》（财库〔2017〕141号），残疾人福利性单位视同小型、微型企业，按照投标人须知前附表第17项享受政府采购促进中小企业发展的政府采购政策。</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20</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节能环保要求</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 xml:space="preserve"> 严格执行《财政部 发展改革委 生态环境部 市场监管总局关于调整优化节能产品、环境标志产品政府采购执行机制的通知》（财库〔2019〕9号）。</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（1）*本次投标产品属于政府强制采购产品类别的，须按照要求提供依据国家确定的认证机构出具的、处于有效期之内的节能产品认证证书，否则投标无效；</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（2）属于政府优先采购产品类别的，须按照要求提供依据国家确定的认证机构出具的、处于有效期之内的节能产品或环境标志产品认证证书，否则不予认定。</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21</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其他法律法规强制性规定或扶持政策</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 xml:space="preserve"> 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3.本项目中如涉及国家强制性产品认证证书（CCC 认证证书）、电信设备进网许可证、无线电发射设备核准证等市场准入类资质的，应严格执行国家相关法律法规的要求。</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在履约验收中，采购人将按照采购文件、中标/成交供应商响应文件、采购合同等对中标/成交供应商提供的货物和服务进行验收，必要时依法依规开展相应检测、认证。</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22</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评标方法及分值</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包件1：本项目采用综合评分法，其中价格分值为20分，其他因素分值为80分，详见招标文件商务部分第三章。</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包件2：本项目采用综合评分法，其中价格分值为20分，其他因素分值为80分，详见招标文件商务部分第三章。</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23</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合同类型和定价方式</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本项目签订固定总价的服务类合同。</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24</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履约保证金</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Wingdings 2" w:eastAsia="Wingdings 2" w:hAnsi="Wingdings 2" w:cs="Wingdings 2"/>
                <w:b w:val="0"/>
                <w:color w:val="000000"/>
                <w:sz w:val="21"/>
                <w:u w:val="none"/>
              </w:rPr>
              <w:sym w:font="Wingdings 2" w:char="F052"/>
            </w:r>
            <w:r>
              <w:rPr>
                <w:rFonts w:ascii="SimSun" w:eastAsia="SimSun" w:hAnsi="SimSun" w:cs="SimSun"/>
                <w:b w:val="0"/>
                <w:color w:val="000000"/>
                <w:sz w:val="21"/>
                <w:u w:val="none"/>
              </w:rPr>
              <w:t xml:space="preserve"> 不要求提供。</w:t>
            </w:r>
          </w:p>
          <w:p>
            <w:pPr>
              <w:spacing w:before="48" w:after="48" w:line="240" w:lineRule="auto"/>
              <w:jc w:val="left"/>
              <w:rPr>
                <w:rFonts w:ascii="SimSun" w:eastAsia="SimSun" w:hAnsi="SimSun" w:cs="SimSun"/>
                <w:b w:val="0"/>
                <w:color w:val="000000"/>
                <w:sz w:val="21"/>
                <w:u w:val="none"/>
              </w:rPr>
            </w:pPr>
            <w:r>
              <w:rPr>
                <w:rFonts w:ascii="Wingdings 2" w:eastAsia="Wingdings 2" w:hAnsi="Wingdings 2" w:cs="Wingdings 2"/>
                <w:b w:val="0"/>
                <w:color w:val="000000"/>
                <w:sz w:val="21"/>
                <w:u w:val="none"/>
              </w:rPr>
              <w:sym w:font="Wingdings 2" w:char="F0A3"/>
            </w:r>
            <w:r>
              <w:rPr>
                <w:rFonts w:ascii="SimSun" w:eastAsia="SimSun" w:hAnsi="SimSun" w:cs="SimSun"/>
                <w:b w:val="0"/>
                <w:color w:val="000000"/>
                <w:sz w:val="21"/>
                <w:u w:val="none"/>
              </w:rPr>
              <w:t xml:space="preserve"> 本采购项目履约保证金为合同金额的</w:t>
            </w:r>
            <w:r>
              <w:rPr>
                <w:rFonts w:ascii="SimSun" w:eastAsia="SimSun" w:hAnsi="SimSun" w:cs="SimSun"/>
                <w:b w:val="0"/>
                <w:color w:val="000000"/>
                <w:sz w:val="21"/>
                <w:u w:val="single"/>
              </w:rPr>
              <w:t xml:space="preserve"> </w:t>
            </w:r>
            <w:r>
              <w:rPr>
                <w:rFonts w:ascii="SimSun" w:eastAsia="SimSun" w:hAnsi="SimSun" w:cs="SimSun"/>
                <w:b w:val="0"/>
                <w:color w:val="000000"/>
                <w:sz w:val="21"/>
                <w:u w:val="none"/>
              </w:rPr>
              <w:t>%，</w:t>
            </w:r>
            <w:r>
              <w:rPr>
                <w:rFonts w:ascii="SimSun" w:eastAsia="SimSun" w:hAnsi="SimSun" w:cs="SimSun"/>
                <w:b w:val="0"/>
                <w:color w:val="000000"/>
                <w:sz w:val="21"/>
                <w:u w:val="none"/>
              </w:rPr>
              <w:t xml:space="preserve"> 提交方式为银行电汇、金融机构或担保机构出具的保函。</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账户信息：</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收款单位：</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银行帐号：</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开户银行：</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25</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付款安排</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本项目共安排12次/年付款，第1次付款,自项目实施开始之日起次月，采购人根据考核验收结果，支付第1个月的物业服务费用，甲方支付乙方合同金额8.33%的款项；第2次付款,自项目实施开始之日起第3个月，根据考核验收结果，支付第2个月的物业服务费用，甲方支付乙方合同金额8.33%的款项；第3次付款,自项目实施开始之日起第4个月，根据考核验收结果，支付第3个月的物业服务费用，甲方支付乙方合同金额8.33%的款项；第4次付款,自项目实施开始之日起第5个月，根据考核验收结果，支付第4个月的物业服务费用，甲方支付乙方合同金额8.33%的款项；第5次付款,自项目实施开始之日起第6个月，根据考核验收结果，支付第5个月的物业服务费用，甲方支付乙方合同金额8.33%的款项；第6次付款,自项目实施开始之日起第7个月，根据考核验收结果，支付第6个月的物业服务费用，甲方支付乙方合同金额8.33%的款项；第7次付款,自项目实施开始之日起第8个月，根据考核验收结果，支付第7个月的物业服务费用，甲方支付乙方合同金额8.33%的款项；第8次付款,自项目实施开始之日起第9个月，根据考核验收结果，支付第8个月的物业服务费用，甲方支付乙方合同金额8.33%的款项；第9次付款,自项目实施开始之日起第10个月，根据考核验收结果，支付第9个月的物业服务费用，甲方支付乙方合同金额8.33%的款项；第10次付款,自项目实施开始之日起第11个月，根据考核验收结果，支付第10个月的物业服务费用，甲方支付乙方合同金额8.33%的款项；第11次付款,自项目实施开始之日起第12个月，根据考核验收结果，支付第11个月的物业服务费用，甲方支付乙方合同金额8.33%的款项；第12次付款,自项目实施开始之日起第13个月，根据考核验收结果，支付第12个月的物业服务费用，甲方支付乙方合同金额8.37%的款项。采购人付款前，供应商应出具等额合法有效发票。</w:t>
            </w:r>
          </w:p>
        </w:tc>
      </w:tr>
      <w:tr>
        <w:tblPrEx>
          <w:tblW w:w="5000" w:type="pct"/>
          <w:tblLayout w:type="fixed"/>
          <w:tblCellMar>
            <w:left w:w="108" w:type="dxa"/>
            <w:right w:w="108" w:type="dxa"/>
          </w:tblCellMar>
        </w:tblPrEx>
        <w:trPr>
          <w:trHeight w:val="476"/>
        </w:trPr>
        <w:tc>
          <w:tcPr>
            <w:tcW w:w="777"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26</w:t>
            </w:r>
          </w:p>
        </w:tc>
        <w:tc>
          <w:tcPr>
            <w:tcW w:w="1763" w:type="dxa"/>
            <w:vAlign w:val="center"/>
          </w:tcPr>
          <w:p>
            <w:pPr>
              <w:spacing w:before="48" w:after="48" w:line="240" w:lineRule="auto"/>
              <w:jc w:val="center"/>
              <w:rPr>
                <w:rFonts w:ascii="SimSun" w:eastAsia="SimSun" w:hAnsi="SimSun" w:cs="SimSun"/>
                <w:b w:val="0"/>
                <w:color w:val="000000"/>
                <w:sz w:val="21"/>
                <w:u w:val="none"/>
              </w:rPr>
            </w:pPr>
            <w:r>
              <w:rPr>
                <w:rFonts w:ascii="SimSun" w:eastAsia="SimSun" w:hAnsi="SimSun" w:cs="SimSun"/>
                <w:b w:val="0"/>
                <w:color w:val="000000"/>
                <w:sz w:val="21"/>
                <w:u w:val="none"/>
              </w:rPr>
              <w:t>接收质疑的方式、部门、电话和通讯地址</w:t>
            </w:r>
          </w:p>
        </w:tc>
        <w:tc>
          <w:tcPr>
            <w:tcW w:w="6435" w:type="dxa"/>
            <w:gridSpan w:val="2"/>
            <w:vAlign w:val="center"/>
          </w:tcPr>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参与本项目采购活动的供应商如有质疑的，请按照《政府采购质疑和投诉办法》第十二条有关规定通过国家税务总局政府采购评审管理系统等书面形式将质疑函提交采购人。</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逾期提交的，采购人有权不予受理。</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联系部门：</w:t>
            </w:r>
            <w:r>
              <w:rPr>
                <w:rFonts w:ascii="SimSun" w:eastAsia="SimSun" w:hAnsi="SimSun" w:cs="SimSun"/>
                <w:b w:val="0"/>
                <w:color w:val="000000"/>
                <w:sz w:val="21"/>
                <w:u w:val="none"/>
              </w:rPr>
              <w:t>国家税务总局吉林市税务局财务管理科</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联系电话：</w:t>
            </w:r>
            <w:r>
              <w:rPr>
                <w:rFonts w:ascii="SimSun" w:eastAsia="SimSun" w:hAnsi="SimSun" w:cs="SimSun"/>
                <w:b w:val="0"/>
                <w:color w:val="000000"/>
                <w:sz w:val="21"/>
                <w:u w:val="none"/>
              </w:rPr>
              <w:t>0432--65136099、65136098</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通讯地址：</w:t>
            </w:r>
            <w:r>
              <w:rPr>
                <w:rFonts w:ascii="SimSun" w:eastAsia="SimSun" w:hAnsi="SimSun" w:cs="SimSun"/>
                <w:b w:val="0"/>
                <w:color w:val="000000"/>
                <w:sz w:val="21"/>
                <w:u w:val="none"/>
              </w:rPr>
              <w:t>国家税务总局吉林市税务局财务管理科（吉林省吉林市丰满区三亚路33号）</w:t>
            </w:r>
          </w:p>
          <w:p>
            <w:pPr>
              <w:spacing w:before="48" w:after="48" w:line="240" w:lineRule="auto"/>
              <w:jc w:val="left"/>
              <w:rPr>
                <w:rFonts w:ascii="SimSun" w:eastAsia="SimSun" w:hAnsi="SimSun" w:cs="SimSun"/>
                <w:b w:val="0"/>
                <w:color w:val="000000"/>
                <w:sz w:val="21"/>
                <w:u w:val="none"/>
              </w:rPr>
            </w:pPr>
            <w:r>
              <w:rPr>
                <w:rFonts w:ascii="SimSun" w:eastAsia="SimSun" w:hAnsi="SimSun" w:cs="SimSun"/>
                <w:b w:val="0"/>
                <w:color w:val="000000"/>
                <w:sz w:val="21"/>
                <w:u w:val="none"/>
              </w:rPr>
              <w:t>电子邮箱：</w:t>
            </w:r>
            <w:r>
              <w:rPr>
                <w:rFonts w:ascii="SimSun" w:eastAsia="SimSun" w:hAnsi="SimSun" w:cs="SimSun"/>
                <w:b w:val="0"/>
                <w:color w:val="000000"/>
                <w:sz w:val="21"/>
                <w:u w:val="none"/>
              </w:rPr>
              <w:t>848801931@qq.com</w:t>
            </w:r>
          </w:p>
        </w:tc>
      </w:tr>
    </w:tbl>
    <w:p w:rsidR="00A77B3E">
      <w:pPr>
        <w:spacing w:after="160" w:line="520" w:lineRule="exact"/>
        <w:jc w:val="center"/>
        <w:rPr>
          <w:rFonts w:ascii="SimHei" w:eastAsia="SimHei" w:hAnsi="SimHei" w:cs="SimHei"/>
          <w:sz w:val="28"/>
        </w:rPr>
      </w:pPr>
      <w:bookmarkEnd w:id="44"/>
      <w:r>
        <w:rPr>
          <w:sz w:val="32"/>
          <w:szCs w:val="32"/>
          <w:highlight w:val="none"/>
        </w:rPr>
        <w:br w:type="page"/>
      </w:r>
    </w:p>
    <w:p w14:paraId="7CD673C0">
      <w:pPr>
        <w:topLinePunct/>
        <w:autoSpaceDE w:val="0"/>
        <w:autoSpaceDN w:val="0"/>
        <w:adjustRightInd w:val="0"/>
        <w:snapToGrid w:val="0"/>
        <w:spacing w:after="0" w:line="360" w:lineRule="auto"/>
        <w:jc w:val="center"/>
        <w:rPr>
          <w:b/>
          <w:color w:val="auto"/>
          <w:sz w:val="32"/>
          <w:szCs w:val="32"/>
        </w:rPr>
      </w:pPr>
      <w:r>
        <w:rPr>
          <w:rFonts w:hint="eastAsia"/>
          <w:b/>
          <w:color w:val="auto"/>
          <w:sz w:val="32"/>
          <w:szCs w:val="32"/>
        </w:rPr>
        <w:t>一、总则</w:t>
      </w:r>
    </w:p>
    <w:p w14:paraId="101710A0">
      <w:pPr>
        <w:topLinePunct/>
        <w:autoSpaceDE w:val="0"/>
        <w:autoSpaceDN w:val="0"/>
        <w:adjustRightInd w:val="0"/>
        <w:snapToGrid w:val="0"/>
        <w:spacing w:after="0" w:line="360" w:lineRule="auto"/>
        <w:ind w:firstLine="470" w:firstLineChars="196"/>
        <w:rPr>
          <w:rFonts w:ascii="宋体" w:hAnsi="宋体" w:cs="宋体"/>
          <w:b/>
          <w:color w:val="auto"/>
          <w:sz w:val="24"/>
        </w:rPr>
      </w:pPr>
      <w:r>
        <w:rPr>
          <w:rFonts w:ascii="宋体" w:hAnsi="宋体" w:cs="宋体" w:hint="eastAsia"/>
          <w:b/>
          <w:color w:val="auto"/>
          <w:sz w:val="24"/>
        </w:rPr>
        <w:t>1.预算资金及来源</w:t>
      </w:r>
    </w:p>
    <w:p w14:paraId="24A233C3">
      <w:pPr>
        <w:topLinePunct/>
        <w:autoSpaceDE w:val="0"/>
        <w:autoSpaceDN w:val="0"/>
        <w:adjustRightInd w:val="0"/>
        <w:snapToGrid w:val="0"/>
        <w:spacing w:after="0" w:line="360" w:lineRule="auto"/>
        <w:ind w:left="432"/>
        <w:rPr>
          <w:rFonts w:ascii="宋体" w:hAnsi="宋体" w:cs="宋体"/>
          <w:color w:val="auto"/>
          <w:sz w:val="24"/>
        </w:rPr>
      </w:pPr>
      <w:r>
        <w:rPr>
          <w:rFonts w:ascii="宋体" w:hAnsi="宋体" w:cs="宋体" w:hint="eastAsia"/>
          <w:color w:val="auto"/>
          <w:sz w:val="24"/>
        </w:rPr>
        <w:t>1.1 本项目已批准立项。</w:t>
      </w:r>
    </w:p>
    <w:p w14:paraId="327D5DB3">
      <w:pPr>
        <w:topLinePunct/>
        <w:autoSpaceDE w:val="0"/>
        <w:autoSpaceDN w:val="0"/>
        <w:adjustRightInd w:val="0"/>
        <w:snapToGrid w:val="0"/>
        <w:spacing w:after="0" w:line="360" w:lineRule="auto"/>
        <w:ind w:firstLine="432" w:firstLineChars="180"/>
        <w:rPr>
          <w:rFonts w:ascii="宋体" w:hAnsi="宋体" w:cs="宋体"/>
          <w:color w:val="auto"/>
          <w:sz w:val="24"/>
        </w:rPr>
      </w:pPr>
      <w:r>
        <w:rPr>
          <w:rFonts w:ascii="宋体" w:hAnsi="宋体" w:cs="宋体" w:hint="eastAsia"/>
          <w:color w:val="auto"/>
          <w:sz w:val="24"/>
        </w:rPr>
        <w:t>1.2 本项目预算资金见</w:t>
      </w:r>
      <w:r>
        <w:rPr>
          <w:rFonts w:ascii="宋体" w:hAnsi="宋体" w:cs="宋体" w:hint="eastAsia"/>
          <w:b/>
          <w:bCs/>
          <w:color w:val="auto"/>
          <w:sz w:val="24"/>
        </w:rPr>
        <w:t>投标人须知前附表</w:t>
      </w:r>
      <w:r>
        <w:rPr>
          <w:rFonts w:ascii="宋体" w:hAnsi="宋体" w:cs="宋体" w:hint="eastAsia"/>
          <w:color w:val="auto"/>
          <w:sz w:val="24"/>
        </w:rPr>
        <w:t>，已列入预算。</w:t>
      </w:r>
    </w:p>
    <w:p w14:paraId="40723995">
      <w:pPr>
        <w:topLinePunct/>
        <w:autoSpaceDE w:val="0"/>
        <w:autoSpaceDN w:val="0"/>
        <w:adjustRightInd w:val="0"/>
        <w:snapToGrid w:val="0"/>
        <w:spacing w:after="0" w:line="360" w:lineRule="auto"/>
        <w:rPr>
          <w:rFonts w:ascii="宋体" w:hAnsi="宋体" w:cs="宋体"/>
          <w:color w:val="auto"/>
          <w:sz w:val="24"/>
        </w:rPr>
      </w:pPr>
    </w:p>
    <w:p w14:paraId="5CB2C5E7">
      <w:pPr>
        <w:numPr>
          <w:ilvl w:val="0"/>
          <w:numId w:val="0"/>
        </w:num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auto"/>
          <w:sz w:val="24"/>
        </w:rPr>
        <w:t>2.合格的产品和服务</w:t>
      </w:r>
    </w:p>
    <w:p w14:paraId="038D8A3E">
      <w:pPr>
        <w:tabs>
          <w:tab w:val="left" w:pos="2160"/>
        </w:tabs>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2.1 本项目所涉及的</w:t>
      </w:r>
      <w:r>
        <w:rPr>
          <w:rFonts w:ascii="宋体" w:hAnsi="宋体" w:cs="宋体" w:hint="eastAsia"/>
          <w:color w:val="auto"/>
          <w:sz w:val="24"/>
          <w:lang w:eastAsia="zh-CN"/>
        </w:rPr>
        <w:t>所有产品和</w:t>
      </w:r>
      <w:r>
        <w:rPr>
          <w:rFonts w:ascii="宋体" w:hAnsi="宋体" w:cs="宋体" w:hint="eastAsia"/>
          <w:color w:val="auto"/>
          <w:sz w:val="24"/>
        </w:rPr>
        <w:t>服务均应来自中国境内（指关境内），合同金额的支付也仅限于这些产品和服务。</w:t>
      </w:r>
    </w:p>
    <w:p w14:paraId="24A96669">
      <w:pPr>
        <w:tabs>
          <w:tab w:val="left" w:pos="2160"/>
        </w:tabs>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2.2 合格的产品和服务即</w:t>
      </w:r>
      <w:r>
        <w:rPr>
          <w:rFonts w:ascii="宋体" w:hAnsi="宋体" w:cs="宋体" w:hint="eastAsia"/>
          <w:b/>
          <w:bCs/>
          <w:color w:val="auto"/>
          <w:sz w:val="24"/>
        </w:rPr>
        <w:t>采购需求</w:t>
      </w:r>
      <w:r>
        <w:rPr>
          <w:rFonts w:ascii="宋体" w:hAnsi="宋体" w:cs="宋体" w:hint="eastAsia"/>
          <w:color w:val="auto"/>
          <w:sz w:val="24"/>
        </w:rPr>
        <w:t>见</w:t>
      </w:r>
      <w:r>
        <w:rPr>
          <w:rFonts w:ascii="宋体" w:hAnsi="宋体" w:cs="宋体" w:hint="eastAsia"/>
          <w:b/>
          <w:color w:val="auto"/>
          <w:sz w:val="24"/>
        </w:rPr>
        <w:t>招标文件（技术部分）。</w:t>
      </w:r>
    </w:p>
    <w:p w14:paraId="5A567183">
      <w:pPr>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2.3 投标人应保证所提供的产品及服务免受第三方提出侵犯其知识产权（专利权、商标权、工业设计权及使用权）的请求及起诉。</w:t>
      </w:r>
    </w:p>
    <w:p w14:paraId="3E4D3AB0">
      <w:pPr>
        <w:adjustRightInd w:val="0"/>
        <w:snapToGrid w:val="0"/>
        <w:spacing w:after="0" w:line="360" w:lineRule="auto"/>
        <w:ind w:firstLine="470" w:firstLineChars="196"/>
        <w:rPr>
          <w:rFonts w:ascii="宋体" w:hAnsi="宋体" w:cs="宋体"/>
          <w:b/>
          <w:color w:val="auto"/>
          <w:sz w:val="24"/>
        </w:rPr>
      </w:pPr>
    </w:p>
    <w:p w14:paraId="6B7ACBE5">
      <w:pPr>
        <w:numPr>
          <w:ilvl w:val="0"/>
          <w:numId w:val="0"/>
        </w:num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auto"/>
          <w:sz w:val="24"/>
        </w:rPr>
        <w:t>3.合格的投标人</w:t>
      </w:r>
    </w:p>
    <w:p w14:paraId="5243EB42">
      <w:pPr>
        <w:topLinePunct/>
        <w:autoSpaceDE w:val="0"/>
        <w:autoSpaceDN w:val="0"/>
        <w:adjustRightInd w:val="0"/>
        <w:snapToGrid w:val="0"/>
        <w:spacing w:after="0" w:line="360" w:lineRule="auto"/>
        <w:ind w:firstLine="432" w:firstLineChars="180"/>
        <w:rPr>
          <w:rFonts w:ascii="宋体" w:hAnsi="宋体" w:cs="宋体"/>
          <w:b/>
          <w:color w:val="auto"/>
          <w:sz w:val="24"/>
        </w:rPr>
      </w:pPr>
      <w:r>
        <w:rPr>
          <w:rFonts w:ascii="宋体" w:hAnsi="宋体" w:cs="宋体" w:hint="eastAsia"/>
          <w:color w:val="auto"/>
          <w:sz w:val="24"/>
        </w:rPr>
        <w:t>3.1 投标人的资格要求及本项目的特定资格要求见</w:t>
      </w:r>
      <w:r>
        <w:rPr>
          <w:rFonts w:ascii="宋体" w:hAnsi="宋体" w:cs="宋体" w:hint="eastAsia"/>
          <w:b/>
          <w:color w:val="auto"/>
          <w:sz w:val="24"/>
        </w:rPr>
        <w:t>投标人须知前附表。</w:t>
      </w:r>
    </w:p>
    <w:p w14:paraId="666AE55F">
      <w:pPr>
        <w:topLinePunct/>
        <w:autoSpaceDE w:val="0"/>
        <w:autoSpaceDN w:val="0"/>
        <w:adjustRightInd w:val="0"/>
        <w:snapToGrid w:val="0"/>
        <w:spacing w:after="0" w:line="360" w:lineRule="auto"/>
        <w:ind w:firstLine="432" w:firstLineChars="180"/>
        <w:rPr>
          <w:rFonts w:ascii="宋体" w:hAnsi="宋体" w:cs="宋体"/>
          <w:color w:val="auto"/>
          <w:sz w:val="24"/>
        </w:rPr>
      </w:pPr>
      <w:r>
        <w:rPr>
          <w:rFonts w:ascii="宋体" w:hAnsi="宋体" w:cs="宋体" w:hint="eastAsia"/>
          <w:color w:val="auto"/>
          <w:sz w:val="24"/>
        </w:rPr>
        <w:t>3.2 投标人相关要求</w:t>
      </w:r>
    </w:p>
    <w:p w14:paraId="46578E3B">
      <w:pPr>
        <w:widowControl/>
        <w:topLinePunct/>
        <w:autoSpaceDE w:val="0"/>
        <w:autoSpaceDN w:val="0"/>
        <w:adjustRightInd w:val="0"/>
        <w:snapToGrid w:val="0"/>
        <w:spacing w:after="0" w:line="360" w:lineRule="auto"/>
        <w:ind w:firstLine="432" w:firstLineChars="180"/>
        <w:jc w:val="left"/>
        <w:rPr>
          <w:rFonts w:ascii="宋体" w:hAnsi="宋体" w:cs="宋体"/>
          <w:color w:val="auto"/>
          <w:sz w:val="24"/>
        </w:rPr>
      </w:pPr>
      <w:r>
        <w:rPr>
          <w:rFonts w:ascii="宋体" w:hAnsi="宋体" w:cs="宋体" w:hint="eastAsia"/>
          <w:color w:val="auto"/>
          <w:sz w:val="24"/>
        </w:rPr>
        <w:t>3.2.1 单位负责人为同一人或者存在直接控股、管理关系的不同供应商，不得参加同一合同项下的政府采购活动。</w:t>
      </w:r>
    </w:p>
    <w:p w14:paraId="7DA64901">
      <w:pPr>
        <w:widowControl/>
        <w:topLinePunct/>
        <w:autoSpaceDE w:val="0"/>
        <w:autoSpaceDN w:val="0"/>
        <w:adjustRightInd w:val="0"/>
        <w:snapToGrid w:val="0"/>
        <w:spacing w:after="0" w:line="360" w:lineRule="auto"/>
        <w:ind w:firstLine="432" w:firstLineChars="180"/>
        <w:jc w:val="left"/>
        <w:rPr>
          <w:rFonts w:ascii="宋体" w:hAnsi="宋体" w:cs="宋体"/>
          <w:color w:val="auto"/>
          <w:sz w:val="24"/>
        </w:rPr>
      </w:pPr>
      <w:r>
        <w:rPr>
          <w:rFonts w:ascii="宋体" w:hAnsi="宋体" w:cs="宋体" w:hint="eastAsia"/>
          <w:color w:val="auto"/>
          <w:sz w:val="24"/>
        </w:rPr>
        <w:t>3.2.2 为采购项目提供整体设计、规范编制或者项目管理、监理、检测等服务的供应商，不得再参加该采购项目的其他采购活动。</w:t>
      </w:r>
    </w:p>
    <w:p w14:paraId="68EF468B">
      <w:pPr>
        <w:adjustRightInd w:val="0"/>
        <w:snapToGrid w:val="0"/>
        <w:spacing w:after="0" w:line="360" w:lineRule="auto"/>
        <w:ind w:firstLine="432" w:firstLineChars="180"/>
        <w:rPr>
          <w:rFonts w:ascii="宋体" w:hAnsi="宋体" w:cs="宋体"/>
          <w:b/>
          <w:color w:val="auto"/>
          <w:sz w:val="24"/>
        </w:rPr>
      </w:pPr>
    </w:p>
    <w:p w14:paraId="4E06DD95">
      <w:pPr>
        <w:numPr>
          <w:ilvl w:val="0"/>
          <w:numId w:val="0"/>
        </w:num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auto"/>
          <w:sz w:val="24"/>
        </w:rPr>
        <w:t>4.投标费用</w:t>
      </w:r>
    </w:p>
    <w:p w14:paraId="3A15C4D0">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4.1 投标人应承担所有与编写、提交投标文件有关的费用，不论招标的结果如何，采购人在任何情况下均无义务和责任承担这些费用。</w:t>
      </w:r>
    </w:p>
    <w:p w14:paraId="5902B73F">
      <w:pPr>
        <w:topLinePunct/>
        <w:autoSpaceDE w:val="0"/>
        <w:autoSpaceDN w:val="0"/>
        <w:adjustRightInd w:val="0"/>
        <w:snapToGrid w:val="0"/>
        <w:spacing w:after="0" w:line="360" w:lineRule="auto"/>
        <w:ind w:firstLine="480" w:firstLineChars="200"/>
        <w:rPr>
          <w:rFonts w:ascii="宋体" w:hAnsi="宋体" w:cs="宋体"/>
          <w:color w:val="auto"/>
          <w:sz w:val="24"/>
        </w:rPr>
      </w:pPr>
    </w:p>
    <w:p w14:paraId="36BD1437">
      <w:pPr>
        <w:topLinePunct/>
        <w:autoSpaceDE w:val="0"/>
        <w:autoSpaceDN w:val="0"/>
        <w:adjustRightInd w:val="0"/>
        <w:snapToGrid w:val="0"/>
        <w:spacing w:after="0" w:line="360" w:lineRule="auto"/>
        <w:jc w:val="center"/>
        <w:rPr>
          <w:rFonts w:ascii="宋体" w:hAnsi="宋体" w:cs="宋体"/>
          <w:b/>
          <w:bCs/>
          <w:color w:val="auto"/>
          <w:sz w:val="32"/>
          <w:szCs w:val="32"/>
        </w:rPr>
      </w:pPr>
      <w:r>
        <w:rPr>
          <w:rFonts w:ascii="宋体" w:hAnsi="宋体" w:cs="宋体" w:hint="eastAsia"/>
          <w:b/>
          <w:bCs/>
          <w:color w:val="auto"/>
          <w:sz w:val="32"/>
          <w:szCs w:val="32"/>
        </w:rPr>
        <w:t>二、  招标文件</w:t>
      </w:r>
    </w:p>
    <w:p w14:paraId="0E2F258D">
      <w:pPr>
        <w:topLinePunct/>
        <w:autoSpaceDE w:val="0"/>
        <w:autoSpaceDN w:val="0"/>
        <w:adjustRightInd w:val="0"/>
        <w:snapToGrid w:val="0"/>
        <w:spacing w:after="0" w:line="360" w:lineRule="auto"/>
        <w:jc w:val="center"/>
        <w:rPr>
          <w:rFonts w:ascii="宋体" w:hAnsi="宋体" w:cs="宋体"/>
          <w:b/>
          <w:color w:val="auto"/>
          <w:sz w:val="24"/>
        </w:rPr>
      </w:pPr>
    </w:p>
    <w:p w14:paraId="608D39E0">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auto"/>
          <w:sz w:val="24"/>
        </w:rPr>
        <w:t>5.招标文件构成</w:t>
      </w:r>
    </w:p>
    <w:p w14:paraId="162E0821">
      <w:pPr>
        <w:topLinePunct/>
        <w:autoSpaceDE w:val="0"/>
        <w:autoSpaceDN w:val="0"/>
        <w:adjustRightInd w:val="0"/>
        <w:snapToGrid w:val="0"/>
        <w:spacing w:after="0" w:line="360" w:lineRule="auto"/>
        <w:ind w:left="359" w:firstLine="120" w:leftChars="171" w:firstLineChars="50"/>
        <w:rPr>
          <w:rFonts w:ascii="宋体" w:hAnsi="宋体" w:cs="宋体"/>
          <w:color w:val="auto"/>
          <w:sz w:val="24"/>
        </w:rPr>
      </w:pPr>
      <w:r>
        <w:rPr>
          <w:rFonts w:ascii="宋体" w:hAnsi="宋体" w:cs="宋体" w:hint="eastAsia"/>
          <w:color w:val="auto"/>
          <w:sz w:val="24"/>
        </w:rPr>
        <w:t>第一部分 商务部分</w:t>
      </w:r>
    </w:p>
    <w:p w14:paraId="2F32B45F">
      <w:pPr>
        <w:topLinePunct/>
        <w:autoSpaceDE w:val="0"/>
        <w:autoSpaceDN w:val="0"/>
        <w:adjustRightInd w:val="0"/>
        <w:snapToGrid w:val="0"/>
        <w:spacing w:after="0" w:line="360" w:lineRule="auto"/>
        <w:ind w:left="359" w:firstLine="120" w:leftChars="171" w:firstLineChars="50"/>
        <w:rPr>
          <w:rFonts w:ascii="宋体" w:hAnsi="宋体" w:cs="宋体"/>
          <w:color w:val="auto"/>
          <w:sz w:val="24"/>
        </w:rPr>
      </w:pPr>
      <w:r>
        <w:rPr>
          <w:rFonts w:ascii="宋体" w:hAnsi="宋体" w:cs="宋体" w:hint="eastAsia"/>
          <w:color w:val="auto"/>
          <w:sz w:val="24"/>
        </w:rPr>
        <w:t>（1）招标公告</w:t>
      </w:r>
    </w:p>
    <w:p w14:paraId="4CEF7E03">
      <w:pPr>
        <w:topLinePunct/>
        <w:autoSpaceDE w:val="0"/>
        <w:autoSpaceDN w:val="0"/>
        <w:adjustRightInd w:val="0"/>
        <w:snapToGrid w:val="0"/>
        <w:spacing w:after="0" w:line="360" w:lineRule="auto"/>
        <w:ind w:left="359" w:firstLine="120" w:leftChars="171" w:firstLineChars="50"/>
        <w:rPr>
          <w:rFonts w:ascii="宋体" w:hAnsi="宋体" w:cs="宋体"/>
          <w:color w:val="auto"/>
          <w:sz w:val="24"/>
        </w:rPr>
      </w:pPr>
      <w:r>
        <w:rPr>
          <w:rFonts w:ascii="宋体" w:hAnsi="宋体" w:cs="宋体" w:hint="eastAsia"/>
          <w:color w:val="auto"/>
          <w:sz w:val="24"/>
        </w:rPr>
        <w:t>（2）投标人须知</w:t>
      </w:r>
    </w:p>
    <w:p w14:paraId="79B80ACE">
      <w:pPr>
        <w:topLinePunct/>
        <w:autoSpaceDE w:val="0"/>
        <w:autoSpaceDN w:val="0"/>
        <w:adjustRightInd w:val="0"/>
        <w:snapToGrid w:val="0"/>
        <w:spacing w:after="0" w:line="360" w:lineRule="auto"/>
        <w:ind w:left="359" w:firstLine="120" w:leftChars="171" w:firstLineChars="50"/>
        <w:rPr>
          <w:rFonts w:ascii="宋体" w:hAnsi="宋体" w:cs="宋体"/>
          <w:color w:val="auto"/>
          <w:sz w:val="24"/>
        </w:rPr>
      </w:pPr>
      <w:r>
        <w:rPr>
          <w:rFonts w:ascii="宋体" w:hAnsi="宋体" w:cs="宋体" w:hint="eastAsia"/>
          <w:color w:val="auto"/>
          <w:sz w:val="24"/>
        </w:rPr>
        <w:t>（3）评标方法及标准</w:t>
      </w:r>
    </w:p>
    <w:p w14:paraId="052FAAD2">
      <w:pPr>
        <w:topLinePunct/>
        <w:autoSpaceDE w:val="0"/>
        <w:autoSpaceDN w:val="0"/>
        <w:adjustRightInd w:val="0"/>
        <w:snapToGrid w:val="0"/>
        <w:spacing w:after="0" w:line="360" w:lineRule="auto"/>
        <w:ind w:left="359" w:firstLine="120" w:leftChars="171" w:firstLineChars="50"/>
        <w:rPr>
          <w:rFonts w:ascii="宋体" w:hAnsi="宋体" w:cs="宋体"/>
          <w:color w:val="auto"/>
          <w:sz w:val="24"/>
        </w:rPr>
      </w:pPr>
      <w:r>
        <w:rPr>
          <w:rFonts w:ascii="宋体" w:hAnsi="宋体" w:cs="宋体" w:hint="eastAsia"/>
          <w:color w:val="auto"/>
          <w:sz w:val="24"/>
        </w:rPr>
        <w:t>（4）政府采购合同文本</w:t>
      </w:r>
    </w:p>
    <w:p w14:paraId="6087BEDF">
      <w:pPr>
        <w:topLinePunct/>
        <w:autoSpaceDE w:val="0"/>
        <w:autoSpaceDN w:val="0"/>
        <w:adjustRightInd w:val="0"/>
        <w:snapToGrid w:val="0"/>
        <w:spacing w:after="0" w:line="360" w:lineRule="auto"/>
        <w:ind w:left="359" w:firstLine="120" w:leftChars="171" w:firstLineChars="50"/>
        <w:rPr>
          <w:rFonts w:ascii="宋体" w:eastAsia="宋体" w:hAnsi="宋体" w:cs="宋体" w:hint="eastAsia"/>
          <w:color w:val="auto"/>
          <w:sz w:val="24"/>
          <w:highlight w:val="none"/>
          <w:lang w:eastAsia="zh-CN"/>
        </w:rPr>
      </w:pPr>
      <w:r>
        <w:rPr>
          <w:rFonts w:ascii="宋体" w:hAnsi="宋体" w:cs="宋体" w:hint="eastAsia"/>
          <w:color w:val="auto"/>
          <w:sz w:val="24"/>
        </w:rPr>
        <w:t>（5）投标文件格式</w:t>
      </w:r>
    </w:p>
    <w:p w14:paraId="2779E7A8">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第二部分 技术部分</w:t>
      </w:r>
    </w:p>
    <w:p w14:paraId="7B2DB273">
      <w:pPr>
        <w:topLinePunct/>
        <w:autoSpaceDE w:val="0"/>
        <w:autoSpaceDN w:val="0"/>
        <w:adjustRightInd w:val="0"/>
        <w:snapToGrid w:val="0"/>
        <w:spacing w:after="0" w:line="360" w:lineRule="auto"/>
        <w:ind w:firstLine="480" w:firstLineChars="200"/>
        <w:rPr>
          <w:rFonts w:ascii="宋体" w:hAnsi="宋体" w:cs="宋体"/>
          <w:color w:val="auto"/>
          <w:sz w:val="24"/>
        </w:rPr>
      </w:pPr>
    </w:p>
    <w:p w14:paraId="19CA045E">
      <w:pPr>
        <w:topLinePunct/>
        <w:autoSpaceDE w:val="0"/>
        <w:autoSpaceDN w:val="0"/>
        <w:adjustRightInd w:val="0"/>
        <w:snapToGrid w:val="0"/>
        <w:spacing w:after="0" w:line="360" w:lineRule="auto"/>
        <w:ind w:firstLine="470" w:firstLineChars="196"/>
        <w:rPr>
          <w:rFonts w:ascii="宋体" w:hAnsi="宋体" w:cs="宋体"/>
          <w:b/>
          <w:color w:val="auto"/>
          <w:sz w:val="24"/>
        </w:rPr>
      </w:pPr>
      <w:r>
        <w:rPr>
          <w:rFonts w:ascii="宋体" w:hAnsi="宋体" w:cs="宋体" w:hint="eastAsia"/>
          <w:b/>
          <w:color w:val="auto"/>
          <w:sz w:val="24"/>
        </w:rPr>
        <w:t>6.招标文件询问、澄清或修改</w:t>
      </w:r>
    </w:p>
    <w:p w14:paraId="7292399E">
      <w:pPr>
        <w:widowControl/>
        <w:topLinePunct/>
        <w:autoSpaceDE w:val="0"/>
        <w:autoSpaceDN w:val="0"/>
        <w:adjustRightInd w:val="0"/>
        <w:snapToGrid w:val="0"/>
        <w:spacing w:after="0" w:line="360" w:lineRule="auto"/>
        <w:ind w:firstLine="480" w:firstLineChars="200"/>
        <w:jc w:val="left"/>
        <w:rPr>
          <w:rFonts w:ascii="宋体" w:hAnsi="宋体" w:cs="宋体"/>
          <w:b/>
          <w:color w:val="auto"/>
          <w:sz w:val="24"/>
        </w:rPr>
      </w:pPr>
      <w:r>
        <w:rPr>
          <w:rFonts w:ascii="宋体" w:hAnsi="宋体" w:cs="宋体" w:hint="eastAsia"/>
          <w:color w:val="auto"/>
          <w:sz w:val="24"/>
        </w:rPr>
        <w:t>6.1 投标人对招标文件如有疑问的，可以向采购人提出询问，采购人应当在3个工作日内作出答复</w:t>
      </w:r>
      <w:r>
        <w:rPr>
          <w:rFonts w:ascii="宋体" w:hAnsi="宋体" w:cs="宋体" w:hint="eastAsia"/>
          <w:bCs/>
          <w:color w:val="auto"/>
          <w:sz w:val="24"/>
        </w:rPr>
        <w:t>，但答复的内容不得涉及商业秘密。</w:t>
      </w:r>
      <w:r>
        <w:rPr>
          <w:rFonts w:ascii="宋体" w:hAnsi="宋体" w:cs="宋体" w:hint="eastAsia"/>
          <w:color w:val="auto"/>
          <w:sz w:val="24"/>
        </w:rPr>
        <w:t>如有必要，采购人可对招标文件进行澄清或者修改。</w:t>
      </w:r>
    </w:p>
    <w:p w14:paraId="785E44D8">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6.2 采购人可主动对招标文件进行必要的澄清或者修改，但不得改变采购标的和资格条件。</w:t>
      </w:r>
    </w:p>
    <w:p w14:paraId="696387C9">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6.3 澄清或者修改应当在原公告发布媒体上发布更正公告，</w:t>
      </w:r>
      <w:r>
        <w:rPr>
          <w:rFonts w:ascii="宋体" w:hAnsi="宋体" w:hint="eastAsia"/>
          <w:color w:val="auto"/>
          <w:sz w:val="24"/>
        </w:rPr>
        <w:t>并通过国家税务总局政府采购评审管理系统（以下简称“评审管理系统”）通知所有获取</w:t>
      </w:r>
      <w:r>
        <w:rPr>
          <w:rFonts w:ascii="宋体" w:hAnsi="宋体" w:cs="宋体" w:hint="eastAsia"/>
          <w:color w:val="auto"/>
          <w:sz w:val="24"/>
        </w:rPr>
        <w:t>招标文件的潜在投标人。</w:t>
      </w:r>
    </w:p>
    <w:p w14:paraId="624B3576">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6.4 澄清或者修改的内容可能影响投标文件编制的，采购人应当在投标截止时间至少15日前，</w:t>
      </w:r>
      <w:r>
        <w:rPr>
          <w:rFonts w:ascii="宋体" w:hAnsi="宋体" w:hint="eastAsia"/>
          <w:color w:val="auto"/>
          <w:sz w:val="24"/>
        </w:rPr>
        <w:t>通过评审管理系统通知</w:t>
      </w:r>
      <w:r>
        <w:rPr>
          <w:rFonts w:ascii="宋体" w:hAnsi="宋体" w:cs="宋体" w:hint="eastAsia"/>
          <w:color w:val="auto"/>
          <w:sz w:val="24"/>
        </w:rPr>
        <w:t>所有获取招标文件的潜在投标人；不足15日的，采购人应当顺延提交投标文件的截止时间。</w:t>
      </w:r>
    </w:p>
    <w:p w14:paraId="45C3D505">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6.5 澄清或者修改的内容为招标文件的组成部分。</w:t>
      </w:r>
    </w:p>
    <w:p w14:paraId="61DFF308">
      <w:pPr>
        <w:topLinePunct/>
        <w:autoSpaceDE w:val="0"/>
        <w:autoSpaceDN w:val="0"/>
        <w:adjustRightInd w:val="0"/>
        <w:snapToGrid w:val="0"/>
        <w:spacing w:after="0" w:line="360" w:lineRule="auto"/>
        <w:rPr>
          <w:rFonts w:ascii="宋体" w:hAnsi="宋体" w:cs="宋体"/>
          <w:color w:val="auto"/>
          <w:sz w:val="24"/>
        </w:rPr>
      </w:pPr>
    </w:p>
    <w:p w14:paraId="4D172A44">
      <w:pPr>
        <w:topLinePunct/>
        <w:autoSpaceDE w:val="0"/>
        <w:autoSpaceDN w:val="0"/>
        <w:adjustRightInd w:val="0"/>
        <w:snapToGrid w:val="0"/>
        <w:spacing w:after="0" w:line="360" w:lineRule="auto"/>
        <w:jc w:val="center"/>
        <w:rPr>
          <w:rFonts w:ascii="宋体" w:hAnsi="宋体" w:cs="宋体"/>
          <w:b/>
          <w:color w:val="auto"/>
          <w:sz w:val="24"/>
        </w:rPr>
      </w:pPr>
      <w:r>
        <w:rPr>
          <w:rFonts w:ascii="宋体" w:hAnsi="宋体" w:cs="宋体" w:hint="eastAsia"/>
          <w:b/>
          <w:bCs/>
          <w:color w:val="auto"/>
          <w:sz w:val="32"/>
          <w:szCs w:val="32"/>
        </w:rPr>
        <w:t>三、投标文件</w:t>
      </w:r>
    </w:p>
    <w:p w14:paraId="15FA5748">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auto"/>
          <w:sz w:val="24"/>
        </w:rPr>
        <w:t>7</w:t>
      </w:r>
      <w:r>
        <w:rPr>
          <w:rFonts w:ascii="宋体" w:hAnsi="宋体" w:cs="宋体" w:hint="eastAsia"/>
          <w:color w:val="auto"/>
          <w:szCs w:val="21"/>
        </w:rPr>
        <w:t>．</w:t>
      </w:r>
      <w:r>
        <w:rPr>
          <w:rFonts w:ascii="宋体" w:hAnsi="宋体" w:cs="宋体" w:hint="eastAsia"/>
          <w:b/>
          <w:color w:val="auto"/>
          <w:sz w:val="24"/>
        </w:rPr>
        <w:t>投标文件编制</w:t>
      </w:r>
    </w:p>
    <w:p w14:paraId="70D6A16F">
      <w:pPr>
        <w:topLinePunct/>
        <w:autoSpaceDE w:val="0"/>
        <w:autoSpaceDN w:val="0"/>
        <w:adjustRightInd w:val="0"/>
        <w:snapToGrid w:val="0"/>
        <w:spacing w:after="0" w:line="360" w:lineRule="auto"/>
        <w:ind w:firstLine="480" w:firstLineChars="200"/>
        <w:rPr>
          <w:rFonts w:ascii="宋体" w:eastAsia="Times New Roman" w:hAnsi="宋体" w:cs="宋体"/>
          <w:color w:val="auto"/>
          <w:sz w:val="24"/>
        </w:rPr>
      </w:pPr>
      <w:r>
        <w:rPr>
          <w:rFonts w:ascii="宋体" w:hAnsi="宋体" w:cs="宋体" w:hint="eastAsia"/>
          <w:color w:val="auto"/>
          <w:sz w:val="24"/>
        </w:rPr>
        <w:t>7.1 投标人应仔细阅读招标文件的全部内容，按照招标文件的要求编制投标文件。投标文件应当对招标文件提出的要求和条件作出明确响应。任何对招标文件的忽略或误解，不能作为投标文件存在缺陷或瑕疵的理由，其风险由投标人承担。</w:t>
      </w:r>
    </w:p>
    <w:p w14:paraId="39F3661D">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7.2 投标文件应使用中文简化字。</w:t>
      </w:r>
    </w:p>
    <w:p w14:paraId="014BF290">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7.3 供应商制作投标文件前须提前办理数字证书和电子签章，办理方式和注意事项详见网站《供应商操作手册》。供应商在国家税务总局集中采购中心网站 “下载中心”下载并安装“供应商投标工具”，使用投标工具编制投标文件。</w:t>
      </w:r>
    </w:p>
    <w:p w14:paraId="756FB141">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7.4 除在招标文件的要求中另有规定外，投标文件计量单位应使用中华人民共和国法定计量单位。</w:t>
      </w:r>
    </w:p>
    <w:p w14:paraId="75C96192">
      <w:pPr>
        <w:topLinePunct/>
        <w:autoSpaceDE w:val="0"/>
        <w:autoSpaceDN w:val="0"/>
        <w:adjustRightInd w:val="0"/>
        <w:snapToGrid w:val="0"/>
        <w:spacing w:after="0" w:line="360" w:lineRule="auto"/>
        <w:rPr>
          <w:rFonts w:ascii="宋体" w:hAnsi="宋体" w:cs="宋体"/>
          <w:b/>
          <w:color w:val="auto"/>
          <w:sz w:val="24"/>
        </w:rPr>
      </w:pPr>
    </w:p>
    <w:p w14:paraId="6587F845">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auto"/>
          <w:sz w:val="24"/>
        </w:rPr>
        <w:t>8.投标文件的组成</w:t>
      </w:r>
    </w:p>
    <w:p w14:paraId="3B2CA327">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8.1 投标文件包括商务部分和技术部分。</w:t>
      </w:r>
    </w:p>
    <w:p w14:paraId="0CDE699C">
      <w:pPr>
        <w:topLinePunct/>
        <w:autoSpaceDE w:val="0"/>
        <w:autoSpaceDN w:val="0"/>
        <w:adjustRightInd w:val="0"/>
        <w:snapToGrid w:val="0"/>
        <w:spacing w:after="0" w:line="360" w:lineRule="auto"/>
        <w:ind w:firstLine="490" w:firstLineChars="204"/>
        <w:rPr>
          <w:rFonts w:ascii="宋体" w:hAnsi="宋体" w:cs="宋体"/>
          <w:color w:val="auto"/>
          <w:sz w:val="24"/>
        </w:rPr>
      </w:pPr>
      <w:r>
        <w:rPr>
          <w:rFonts w:ascii="宋体" w:hAnsi="宋体" w:cs="宋体" w:hint="eastAsia"/>
          <w:color w:val="auto"/>
          <w:sz w:val="24"/>
        </w:rPr>
        <w:t>8.2 投标文件</w:t>
      </w:r>
      <w:r>
        <w:rPr>
          <w:rFonts w:ascii="宋体" w:hAnsi="宋体" w:cs="宋体" w:hint="eastAsia"/>
          <w:b/>
          <w:bCs/>
          <w:color w:val="auto"/>
          <w:sz w:val="24"/>
        </w:rPr>
        <w:t>商务部分</w:t>
      </w:r>
      <w:r>
        <w:rPr>
          <w:rFonts w:ascii="宋体" w:hAnsi="宋体" w:cs="宋体" w:hint="eastAsia"/>
          <w:color w:val="auto"/>
          <w:sz w:val="24"/>
        </w:rPr>
        <w:t>主要包括的文件和资料：</w:t>
      </w:r>
    </w:p>
    <w:p w14:paraId="64D66C33">
      <w:pPr>
        <w:topLinePunct/>
        <w:autoSpaceDE w:val="0"/>
        <w:autoSpaceDN w:val="0"/>
        <w:adjustRightInd w:val="0"/>
        <w:snapToGrid w:val="0"/>
        <w:spacing w:after="0" w:line="360" w:lineRule="auto"/>
        <w:ind w:firstLine="490" w:firstLineChars="204"/>
        <w:rPr>
          <w:rFonts w:ascii="宋体" w:hAnsi="宋体" w:cs="宋体"/>
          <w:color w:val="auto"/>
          <w:sz w:val="24"/>
        </w:rPr>
      </w:pPr>
      <w:r>
        <w:rPr>
          <w:rFonts w:ascii="宋体" w:hAnsi="宋体" w:cs="宋体" w:hint="eastAsia"/>
          <w:color w:val="auto"/>
          <w:sz w:val="24"/>
        </w:rPr>
        <w:t>8.2.1 资格证明文件，见</w:t>
      </w:r>
      <w:r>
        <w:rPr>
          <w:rFonts w:ascii="宋体" w:hAnsi="宋体" w:cs="宋体" w:hint="eastAsia"/>
          <w:b/>
          <w:color w:val="auto"/>
          <w:sz w:val="24"/>
        </w:rPr>
        <w:t>投标人须知前附表。</w:t>
      </w:r>
    </w:p>
    <w:p w14:paraId="41B5E08A">
      <w:pPr>
        <w:overflowPunct w:val="0"/>
        <w:autoSpaceDE w:val="0"/>
        <w:autoSpaceDN w:val="0"/>
        <w:adjustRightInd w:val="0"/>
        <w:snapToGrid w:val="0"/>
        <w:spacing w:after="0" w:line="360" w:lineRule="auto"/>
        <w:ind w:firstLine="487" w:firstLineChars="203"/>
        <w:rPr>
          <w:rFonts w:ascii="宋体" w:hAnsi="宋体" w:cs="宋体"/>
          <w:color w:val="auto"/>
          <w:sz w:val="24"/>
        </w:rPr>
      </w:pPr>
      <w:r>
        <w:rPr>
          <w:rFonts w:ascii="宋体" w:hAnsi="宋体" w:cs="宋体" w:hint="eastAsia"/>
          <w:color w:val="auto"/>
          <w:sz w:val="24"/>
        </w:rPr>
        <w:t>8.2.2 其他文件及资料，见</w:t>
      </w:r>
      <w:r>
        <w:rPr>
          <w:rFonts w:ascii="宋体" w:hAnsi="宋体" w:cs="宋体" w:hint="eastAsia"/>
          <w:b/>
          <w:color w:val="auto"/>
          <w:sz w:val="24"/>
        </w:rPr>
        <w:t>投标人须知前附表。</w:t>
      </w:r>
    </w:p>
    <w:p w14:paraId="7E62C6FD">
      <w:pPr>
        <w:overflowPunct w:val="0"/>
        <w:autoSpaceDE w:val="0"/>
        <w:autoSpaceDN w:val="0"/>
        <w:adjustRightInd w:val="0"/>
        <w:snapToGrid w:val="0"/>
        <w:spacing w:after="0" w:line="360" w:lineRule="auto"/>
        <w:ind w:firstLine="487" w:firstLineChars="203"/>
        <w:rPr>
          <w:rFonts w:ascii="宋体" w:hAnsi="宋体" w:cs="宋体"/>
          <w:color w:val="auto"/>
          <w:sz w:val="24"/>
        </w:rPr>
      </w:pPr>
      <w:r>
        <w:rPr>
          <w:rFonts w:ascii="宋体" w:hAnsi="宋体" w:cs="宋体" w:hint="eastAsia"/>
          <w:color w:val="auto"/>
          <w:sz w:val="24"/>
        </w:rPr>
        <w:t>8.3 投标文件</w:t>
      </w:r>
      <w:r>
        <w:rPr>
          <w:rFonts w:ascii="宋体" w:hAnsi="宋体" w:cs="宋体" w:hint="eastAsia"/>
          <w:b/>
          <w:bCs/>
          <w:color w:val="auto"/>
          <w:sz w:val="24"/>
        </w:rPr>
        <w:t>技术部分</w:t>
      </w:r>
      <w:r>
        <w:rPr>
          <w:rFonts w:ascii="宋体" w:hAnsi="宋体" w:cs="宋体" w:hint="eastAsia"/>
          <w:color w:val="auto"/>
          <w:sz w:val="24"/>
        </w:rPr>
        <w:t>主要包括的文件及资料，见</w:t>
      </w:r>
      <w:r>
        <w:rPr>
          <w:rFonts w:ascii="宋体" w:hAnsi="宋体" w:cs="宋体" w:hint="eastAsia"/>
          <w:b/>
          <w:color w:val="auto"/>
          <w:sz w:val="24"/>
        </w:rPr>
        <w:t>投标人须知前附表。</w:t>
      </w:r>
    </w:p>
    <w:p w14:paraId="3F07AB91">
      <w:pPr>
        <w:overflowPunct w:val="0"/>
        <w:autoSpaceDE w:val="0"/>
        <w:autoSpaceDN w:val="0"/>
        <w:adjustRightInd w:val="0"/>
        <w:snapToGrid w:val="0"/>
        <w:spacing w:after="0" w:line="360" w:lineRule="auto"/>
        <w:ind w:firstLine="487" w:firstLineChars="203"/>
        <w:rPr>
          <w:rFonts w:ascii="宋体" w:hAnsi="宋体" w:cs="宋体"/>
          <w:color w:val="auto"/>
          <w:sz w:val="24"/>
        </w:rPr>
      </w:pPr>
      <w:r>
        <w:rPr>
          <w:rFonts w:ascii="宋体" w:hAnsi="宋体" w:cs="宋体" w:hint="eastAsia"/>
          <w:color w:val="auto"/>
          <w:sz w:val="24"/>
        </w:rPr>
        <w:t>8.4 证明资料如标明有效期的，必须在有效期内。</w:t>
      </w:r>
    </w:p>
    <w:p w14:paraId="76ABAE7D">
      <w:pPr>
        <w:overflowPunct w:val="0"/>
        <w:autoSpaceDE w:val="0"/>
        <w:autoSpaceDN w:val="0"/>
        <w:adjustRightInd w:val="0"/>
        <w:snapToGrid w:val="0"/>
        <w:spacing w:after="0" w:line="360" w:lineRule="auto"/>
        <w:ind w:firstLine="487" w:firstLineChars="203"/>
        <w:rPr>
          <w:rFonts w:ascii="宋体" w:hAnsi="宋体" w:cs="宋体"/>
          <w:b/>
          <w:color w:val="auto"/>
          <w:sz w:val="24"/>
        </w:rPr>
      </w:pPr>
    </w:p>
    <w:p w14:paraId="667E95E2">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auto"/>
          <w:sz w:val="24"/>
        </w:rPr>
        <w:t>9.报价要求</w:t>
      </w:r>
    </w:p>
    <w:p w14:paraId="28A84063">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9.1 投标应以人民币报价，且必须按照投标工具的流程和提示编制并上传投标报价表。</w:t>
      </w:r>
    </w:p>
    <w:p w14:paraId="6E724CCA">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9.2 本项目不接受任何形式的赠送、“零”报价和折扣报价。</w:t>
      </w:r>
    </w:p>
    <w:p w14:paraId="3212805C">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9.3 本项目以投标报价为依据计算价格分。投标报价应包括招标文件中要求投标人承担所有工作内容的全部费用。</w:t>
      </w:r>
    </w:p>
    <w:p w14:paraId="52FEAD00">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9.4 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17D90D5E">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9.5 最低报价不能作为中标的保证。</w:t>
      </w:r>
    </w:p>
    <w:p w14:paraId="4C048425">
      <w:pPr>
        <w:topLinePunct/>
        <w:autoSpaceDE w:val="0"/>
        <w:autoSpaceDN w:val="0"/>
        <w:adjustRightInd w:val="0"/>
        <w:snapToGrid w:val="0"/>
        <w:spacing w:after="0" w:line="360" w:lineRule="auto"/>
        <w:ind w:firstLine="480" w:firstLineChars="200"/>
        <w:rPr>
          <w:rFonts w:ascii="宋体" w:hAnsi="宋体" w:cs="宋体"/>
          <w:color w:val="auto"/>
          <w:sz w:val="24"/>
        </w:rPr>
      </w:pPr>
    </w:p>
    <w:p w14:paraId="7C193452">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auto"/>
          <w:sz w:val="24"/>
        </w:rPr>
        <w:t>10.投标文件的签署、盖章</w:t>
      </w:r>
    </w:p>
    <w:p w14:paraId="17E42413">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10.1 投标文件</w:t>
      </w:r>
      <w:r>
        <w:rPr>
          <w:rFonts w:ascii="宋体" w:hAnsi="宋体" w:hint="eastAsia"/>
          <w:color w:val="auto"/>
          <w:sz w:val="24"/>
        </w:rPr>
        <w:t>必须按照招标文件给出文件格式的签署要求进行</w:t>
      </w:r>
      <w:r>
        <w:rPr>
          <w:rFonts w:ascii="宋体" w:hAnsi="宋体" w:hint="eastAsia"/>
          <w:b/>
          <w:color w:val="auto"/>
          <w:sz w:val="24"/>
        </w:rPr>
        <w:t>电子</w:t>
      </w:r>
      <w:r>
        <w:rPr>
          <w:rFonts w:ascii="宋体" w:hAnsi="宋体" w:hint="eastAsia"/>
          <w:color w:val="auto"/>
          <w:sz w:val="24"/>
        </w:rPr>
        <w:t>签署。</w:t>
      </w:r>
    </w:p>
    <w:p w14:paraId="3295B0C2">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10.2 投标人在</w:t>
      </w:r>
      <w:r>
        <w:rPr>
          <w:rFonts w:ascii="宋体" w:hAnsi="宋体" w:cs="宋体" w:hint="eastAsia"/>
          <w:b/>
          <w:bCs/>
          <w:color w:val="auto"/>
          <w:sz w:val="24"/>
        </w:rPr>
        <w:t>“投标函”“法定代表人授权委托书”</w:t>
      </w:r>
      <w:r>
        <w:rPr>
          <w:rFonts w:ascii="宋体" w:hAnsi="宋体" w:cs="宋体" w:hint="eastAsia"/>
          <w:color w:val="auto"/>
          <w:sz w:val="24"/>
        </w:rPr>
        <w:t>上应当按格式要求加盖与投标人名称全称一致的标准公章，并</w:t>
      </w:r>
      <w:r>
        <w:rPr>
          <w:rFonts w:ascii="宋体" w:hAnsi="宋体" w:cs="宋体" w:hint="eastAsia"/>
          <w:color w:val="auto"/>
          <w:sz w:val="24"/>
          <w:lang w:eastAsia="zh-CN"/>
        </w:rPr>
        <w:t>按照招标文件第五章投标文件格式中的相应格式文件要求</w:t>
      </w:r>
      <w:r>
        <w:rPr>
          <w:rFonts w:ascii="宋体" w:hAnsi="宋体" w:cs="宋体" w:hint="eastAsia"/>
          <w:color w:val="auto"/>
          <w:sz w:val="24"/>
        </w:rPr>
        <w:t>签署全名或加盖名章。</w:t>
      </w:r>
    </w:p>
    <w:p w14:paraId="579278F7">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10.3 投标文件中的“盖章”指加盖投标人的“公章”，而非“合同专用章”、“投标专用章”等其他非公章。</w:t>
      </w:r>
    </w:p>
    <w:p w14:paraId="4CAF9EF7">
      <w:pPr>
        <w:topLinePunct/>
        <w:autoSpaceDE w:val="0"/>
        <w:autoSpaceDN w:val="0"/>
        <w:adjustRightInd w:val="0"/>
        <w:snapToGrid w:val="0"/>
        <w:spacing w:after="0" w:line="360" w:lineRule="auto"/>
        <w:ind w:firstLine="490" w:firstLineChars="204"/>
        <w:rPr>
          <w:rFonts w:ascii="宋体" w:hAnsi="宋体" w:cs="宋体"/>
          <w:color w:val="auto"/>
          <w:sz w:val="24"/>
        </w:rPr>
      </w:pPr>
    </w:p>
    <w:p w14:paraId="685F3466">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auto"/>
          <w:sz w:val="24"/>
        </w:rPr>
        <w:t>11</w:t>
      </w:r>
      <w:r>
        <w:rPr>
          <w:rFonts w:ascii="宋体" w:hAnsi="宋体" w:cs="宋体" w:hint="eastAsia"/>
          <w:color w:val="auto"/>
          <w:szCs w:val="21"/>
        </w:rPr>
        <w:t>．</w:t>
      </w:r>
      <w:r>
        <w:rPr>
          <w:rFonts w:ascii="宋体" w:hAnsi="宋体" w:cs="宋体" w:hint="eastAsia"/>
          <w:b/>
          <w:color w:val="auto"/>
          <w:sz w:val="24"/>
        </w:rPr>
        <w:t>投标有效期</w:t>
      </w:r>
    </w:p>
    <w:p w14:paraId="7468568C">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11.1 投标有效期见</w:t>
      </w:r>
      <w:r>
        <w:rPr>
          <w:rFonts w:ascii="宋体" w:hAnsi="宋体" w:cs="宋体" w:hint="eastAsia"/>
          <w:b/>
          <w:color w:val="auto"/>
          <w:sz w:val="24"/>
        </w:rPr>
        <w:t>投标人须知前附表</w:t>
      </w:r>
      <w:r>
        <w:rPr>
          <w:rFonts w:ascii="宋体" w:hAnsi="宋体" w:cs="宋体" w:hint="eastAsia"/>
          <w:color w:val="auto"/>
          <w:sz w:val="24"/>
        </w:rPr>
        <w:t>，在此期间，投标文件对投标人具有法律约束力，以保证采购人有足够的时间完成评标、定标以及签订合同。投标文件中承诺的投标有效期应当不少于招标文件中载明的投标有效期，否则作为无效投标处理。</w:t>
      </w:r>
    </w:p>
    <w:p w14:paraId="7D1F36FC">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11.2 特殊情况下，在原投标有效期期满之前，采购人可征得投标人同意延长投标有效期。</w:t>
      </w:r>
    </w:p>
    <w:p w14:paraId="0C1501C2">
      <w:pPr>
        <w:topLinePunct/>
        <w:autoSpaceDE w:val="0"/>
        <w:autoSpaceDN w:val="0"/>
        <w:adjustRightInd w:val="0"/>
        <w:snapToGrid w:val="0"/>
        <w:spacing w:after="0" w:line="360" w:lineRule="auto"/>
        <w:jc w:val="center"/>
        <w:rPr>
          <w:rFonts w:ascii="宋体" w:hAnsi="宋体" w:cs="宋体"/>
          <w:b/>
          <w:color w:val="auto"/>
          <w:sz w:val="24"/>
        </w:rPr>
      </w:pPr>
    </w:p>
    <w:p w14:paraId="4DB67C68">
      <w:pPr>
        <w:topLinePunct/>
        <w:autoSpaceDE w:val="0"/>
        <w:autoSpaceDN w:val="0"/>
        <w:adjustRightInd w:val="0"/>
        <w:snapToGrid w:val="0"/>
        <w:spacing w:after="0" w:line="360" w:lineRule="auto"/>
        <w:jc w:val="center"/>
        <w:rPr>
          <w:rFonts w:ascii="宋体" w:hAnsi="宋体" w:cs="宋体"/>
          <w:b/>
          <w:bCs/>
          <w:color w:val="auto"/>
          <w:sz w:val="32"/>
          <w:szCs w:val="32"/>
        </w:rPr>
      </w:pPr>
      <w:r>
        <w:rPr>
          <w:rFonts w:ascii="宋体" w:hAnsi="宋体" w:cs="宋体" w:hint="eastAsia"/>
          <w:b/>
          <w:bCs/>
          <w:color w:val="auto"/>
          <w:sz w:val="32"/>
          <w:szCs w:val="32"/>
        </w:rPr>
        <w:t>四、投标文件递交</w:t>
      </w:r>
    </w:p>
    <w:p w14:paraId="597E03BD">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auto"/>
          <w:sz w:val="24"/>
        </w:rPr>
        <w:t>12</w:t>
      </w:r>
      <w:r>
        <w:rPr>
          <w:rFonts w:ascii="宋体" w:hAnsi="宋体" w:cs="宋体" w:hint="eastAsia"/>
          <w:color w:val="auto"/>
          <w:szCs w:val="21"/>
        </w:rPr>
        <w:t>．</w:t>
      </w:r>
      <w:r>
        <w:rPr>
          <w:rFonts w:ascii="宋体" w:hAnsi="宋体" w:cs="宋体" w:hint="eastAsia"/>
          <w:b/>
          <w:color w:val="auto"/>
          <w:sz w:val="24"/>
        </w:rPr>
        <w:t>投标文件递交</w:t>
      </w:r>
    </w:p>
    <w:p w14:paraId="14793E2D">
      <w:pPr>
        <w:topLinePunct/>
        <w:autoSpaceDE w:val="0"/>
        <w:autoSpaceDN w:val="0"/>
        <w:adjustRightInd w:val="0"/>
        <w:snapToGrid w:val="0"/>
        <w:spacing w:after="0" w:line="360" w:lineRule="auto"/>
        <w:ind w:firstLine="480" w:firstLineChars="200"/>
        <w:rPr>
          <w:rFonts w:ascii="宋体" w:eastAsia="宋体" w:hAnsi="宋体" w:cs="宋体" w:hint="eastAsia"/>
          <w:color w:val="auto"/>
          <w:sz w:val="24"/>
          <w:lang w:eastAsia="zh-CN"/>
        </w:rPr>
      </w:pPr>
      <w:r>
        <w:rPr>
          <w:rFonts w:ascii="宋体" w:hAnsi="宋体" w:cs="宋体" w:hint="eastAsia"/>
          <w:color w:val="auto"/>
          <w:sz w:val="24"/>
        </w:rPr>
        <w:t>12.1 投标人应当在</w:t>
      </w:r>
      <w:r>
        <w:rPr>
          <w:rFonts w:ascii="宋体" w:hAnsi="宋体" w:cs="宋体" w:hint="eastAsia"/>
          <w:b/>
          <w:color w:val="auto"/>
          <w:sz w:val="24"/>
        </w:rPr>
        <w:t>投标人须知前附表</w:t>
      </w:r>
      <w:r>
        <w:rPr>
          <w:rFonts w:ascii="宋体" w:hAnsi="宋体" w:cs="宋体" w:hint="eastAsia"/>
          <w:color w:val="auto"/>
          <w:sz w:val="24"/>
        </w:rPr>
        <w:t>要求提交投标文件截止时间前，登录评审管理系统并使用投标工具加密上传投标文件。除上述方式之外，不接受投标人以纸质文件以及其他任何方式提交的投标文件。</w:t>
      </w:r>
      <w:r>
        <w:rPr>
          <w:rFonts w:ascii="宋体" w:hAnsi="宋体" w:cs="宋体" w:hint="eastAsia"/>
          <w:color w:val="auto"/>
          <w:sz w:val="24"/>
          <w:lang w:eastAsia="zh-CN"/>
        </w:rPr>
        <w:t>投标人应充分考虑网络传输时间等因素，合理安排上传时间。</w:t>
      </w:r>
    </w:p>
    <w:p w14:paraId="2ED0A2F5">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12.2 提交投标文件截止时间后，评审管理系统不提供投标文件上传功能。投标人未完成投标文件上传的，投标将被拒绝。</w:t>
      </w:r>
    </w:p>
    <w:p w14:paraId="41A36337">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　　</w:t>
      </w:r>
    </w:p>
    <w:p w14:paraId="314D093C">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auto"/>
          <w:sz w:val="24"/>
        </w:rPr>
        <w:t>13</w:t>
      </w:r>
      <w:r>
        <w:rPr>
          <w:rFonts w:ascii="宋体" w:hAnsi="宋体" w:cs="宋体" w:hint="eastAsia"/>
          <w:color w:val="auto"/>
          <w:szCs w:val="21"/>
        </w:rPr>
        <w:t>．</w:t>
      </w:r>
      <w:r>
        <w:rPr>
          <w:rFonts w:ascii="宋体" w:hAnsi="宋体" w:cs="宋体" w:hint="eastAsia"/>
          <w:b/>
          <w:color w:val="auto"/>
          <w:sz w:val="24"/>
        </w:rPr>
        <w:t>投标文件补充、修改或撤回</w:t>
      </w:r>
    </w:p>
    <w:p w14:paraId="166650F3">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13.1 投标人在投标截止时间前，可以登录评审管理系统对所提交的投标文件进行撤回、补充、修改、重新提交</w:t>
      </w:r>
      <w:r>
        <w:rPr>
          <w:rFonts w:ascii="宋体" w:hAnsi="宋体" w:hint="eastAsia"/>
          <w:color w:val="auto"/>
          <w:sz w:val="24"/>
        </w:rPr>
        <w:t>。</w:t>
      </w:r>
      <w:r>
        <w:rPr>
          <w:rFonts w:ascii="宋体" w:hAnsi="宋体" w:cs="宋体" w:hint="eastAsia"/>
          <w:color w:val="auto"/>
          <w:sz w:val="24"/>
        </w:rPr>
        <w:t>补充、修改的内容应当按照招标文件要求签署、盖章。</w:t>
      </w:r>
    </w:p>
    <w:p w14:paraId="69D733A5">
      <w:pPr>
        <w:widowControl/>
        <w:topLinePunct/>
        <w:autoSpaceDE w:val="0"/>
        <w:autoSpaceDN w:val="0"/>
        <w:adjustRightInd w:val="0"/>
        <w:snapToGrid w:val="0"/>
        <w:spacing w:after="0" w:line="360" w:lineRule="auto"/>
        <w:ind w:firstLine="480" w:firstLineChars="200"/>
        <w:jc w:val="left"/>
        <w:rPr>
          <w:rFonts w:ascii="宋体" w:hAnsi="宋体" w:cs="宋体"/>
          <w:color w:val="auto"/>
          <w:sz w:val="24"/>
        </w:rPr>
      </w:pPr>
      <w:r>
        <w:rPr>
          <w:rFonts w:ascii="宋体" w:hAnsi="宋体" w:cs="宋体" w:hint="eastAsia"/>
          <w:color w:val="auto"/>
          <w:sz w:val="24"/>
        </w:rPr>
        <w:t>13.2 提交投标文件截止时间后，评审管理系统不</w:t>
      </w:r>
      <w:r>
        <w:rPr>
          <w:rFonts w:ascii="宋体" w:hAnsi="宋体" w:cs="宋体" w:hint="eastAsia"/>
          <w:color w:val="auto"/>
          <w:sz w:val="24"/>
          <w:lang w:eastAsia="zh-CN"/>
        </w:rPr>
        <w:t>支持</w:t>
      </w:r>
      <w:r>
        <w:rPr>
          <w:rFonts w:ascii="宋体" w:hAnsi="宋体" w:cs="宋体" w:hint="eastAsia"/>
          <w:color w:val="auto"/>
          <w:sz w:val="24"/>
        </w:rPr>
        <w:t>对已提交的投标文件作任何补充、修改或者撤回。</w:t>
      </w:r>
    </w:p>
    <w:p w14:paraId="32B7E92C">
      <w:pPr>
        <w:topLinePunct/>
        <w:autoSpaceDE w:val="0"/>
        <w:autoSpaceDN w:val="0"/>
        <w:adjustRightInd w:val="0"/>
        <w:snapToGrid w:val="0"/>
        <w:spacing w:after="0" w:line="360" w:lineRule="auto"/>
        <w:ind w:firstLine="480" w:firstLineChars="200"/>
        <w:rPr>
          <w:rFonts w:ascii="宋体" w:hAnsi="宋体" w:cs="宋体"/>
          <w:color w:val="auto"/>
          <w:sz w:val="24"/>
        </w:rPr>
      </w:pPr>
    </w:p>
    <w:p w14:paraId="7944095E">
      <w:pPr>
        <w:topLinePunct/>
        <w:autoSpaceDE w:val="0"/>
        <w:autoSpaceDN w:val="0"/>
        <w:adjustRightInd w:val="0"/>
        <w:snapToGrid w:val="0"/>
        <w:spacing w:after="0" w:line="360" w:lineRule="auto"/>
        <w:jc w:val="center"/>
        <w:rPr>
          <w:rFonts w:ascii="宋体" w:hAnsi="宋体" w:cs="宋体"/>
          <w:b/>
          <w:bCs/>
          <w:color w:val="auto"/>
          <w:sz w:val="32"/>
          <w:szCs w:val="32"/>
        </w:rPr>
      </w:pPr>
      <w:r>
        <w:rPr>
          <w:rFonts w:ascii="宋体" w:hAnsi="宋体" w:cs="宋体" w:hint="eastAsia"/>
          <w:b/>
          <w:bCs/>
          <w:color w:val="auto"/>
          <w:sz w:val="32"/>
          <w:szCs w:val="32"/>
        </w:rPr>
        <w:t>五、开标与评标</w:t>
      </w:r>
    </w:p>
    <w:p w14:paraId="14A42597">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b/>
          <w:color w:val="auto"/>
          <w:sz w:val="24"/>
        </w:rPr>
        <w:t>14</w:t>
      </w:r>
      <w:r>
        <w:rPr>
          <w:rFonts w:ascii="宋体" w:hAnsi="宋体" w:cs="宋体" w:hint="eastAsia"/>
          <w:color w:val="auto"/>
          <w:szCs w:val="21"/>
        </w:rPr>
        <w:t>．</w:t>
      </w:r>
      <w:r>
        <w:rPr>
          <w:rFonts w:ascii="宋体" w:hAnsi="宋体" w:cs="宋体" w:hint="eastAsia"/>
          <w:b/>
          <w:color w:val="auto"/>
          <w:sz w:val="24"/>
        </w:rPr>
        <w:t>开标</w:t>
      </w:r>
    </w:p>
    <w:p w14:paraId="33FF7D17">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14.1 采购人将在</w:t>
      </w:r>
      <w:r>
        <w:rPr>
          <w:rFonts w:ascii="宋体" w:hAnsi="宋体" w:cs="宋体" w:hint="eastAsia"/>
          <w:b/>
          <w:color w:val="auto"/>
          <w:sz w:val="24"/>
        </w:rPr>
        <w:t>投标人须知前附表</w:t>
      </w:r>
      <w:r>
        <w:rPr>
          <w:rFonts w:ascii="宋体" w:hAnsi="宋体" w:cs="宋体" w:hint="eastAsia"/>
          <w:color w:val="auto"/>
          <w:sz w:val="24"/>
        </w:rPr>
        <w:t>规定的时间进行电子开标，采购人将对开标、评标现场活动进行全程录音录像，音像资料作为采购文件一并存档。开标由采购人主持，投标人通过登录评审管理系统进入开标大厅远程参加。</w:t>
      </w:r>
    </w:p>
    <w:p w14:paraId="4432BDA4">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 xml:space="preserve">14.2 </w:t>
      </w:r>
      <w:r>
        <w:rPr>
          <w:rFonts w:ascii="宋体" w:hAnsi="宋体" w:hint="eastAsia"/>
          <w:color w:val="auto"/>
          <w:sz w:val="24"/>
        </w:rPr>
        <w:t>提交投标文件截止时间后进入解密程序，由采购人对所有完成投递的电子投标文件进行解密。</w:t>
      </w:r>
      <w:r>
        <w:rPr>
          <w:rFonts w:ascii="宋体" w:hAnsi="宋体" w:cs="宋体" w:hint="eastAsia"/>
          <w:color w:val="auto"/>
          <w:sz w:val="24"/>
        </w:rPr>
        <w:t>投标人不足3家的，不进入解密程序。</w:t>
      </w:r>
    </w:p>
    <w:p w14:paraId="5359BB9F">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14.3 解密完成后，进行电子</w:t>
      </w:r>
      <w:r>
        <w:rPr>
          <w:rFonts w:ascii="宋体" w:hAnsi="宋体" w:cs="宋体" w:hint="eastAsia"/>
          <w:color w:val="auto"/>
          <w:sz w:val="24"/>
          <w:lang w:eastAsia="zh-CN"/>
        </w:rPr>
        <w:t>开</w:t>
      </w:r>
      <w:r>
        <w:rPr>
          <w:rFonts w:ascii="宋体" w:hAnsi="宋体" w:cs="宋体" w:hint="eastAsia"/>
          <w:color w:val="auto"/>
          <w:sz w:val="24"/>
        </w:rPr>
        <w:t>标。</w:t>
      </w:r>
      <w:r>
        <w:rPr>
          <w:rFonts w:ascii="宋体" w:hAnsi="宋体" w:cs="宋体" w:hint="eastAsia"/>
          <w:color w:val="auto"/>
          <w:sz w:val="24"/>
          <w:lang w:eastAsia="zh-CN"/>
        </w:rPr>
        <w:t>开标</w:t>
      </w:r>
      <w:r>
        <w:rPr>
          <w:rFonts w:ascii="宋体" w:hAnsi="宋体" w:cs="宋体" w:hint="eastAsia"/>
          <w:color w:val="auto"/>
          <w:sz w:val="24"/>
        </w:rPr>
        <w:t>结束后，采购人发起开标结果确认，</w:t>
      </w:r>
      <w:r>
        <w:rPr>
          <w:rFonts w:ascii="宋体" w:hAnsi="宋体" w:hint="eastAsia"/>
          <w:color w:val="auto"/>
          <w:sz w:val="24"/>
        </w:rPr>
        <w:t>投标人在开标大厅于规定时间内确认开标结果，未</w:t>
      </w:r>
      <w:r>
        <w:rPr>
          <w:rFonts w:ascii="宋体" w:hAnsi="宋体" w:hint="eastAsia"/>
          <w:color w:val="auto"/>
          <w:sz w:val="24"/>
          <w:lang w:eastAsia="zh-CN"/>
        </w:rPr>
        <w:t>按时</w:t>
      </w:r>
      <w:r>
        <w:rPr>
          <w:rFonts w:ascii="宋体" w:hAnsi="宋体" w:hint="eastAsia"/>
          <w:color w:val="auto"/>
          <w:sz w:val="24"/>
        </w:rPr>
        <w:t>确认的系统将自动确认。</w:t>
      </w:r>
    </w:p>
    <w:p w14:paraId="1079EADB">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14.4 投标人未参加开标的，视同认可开标结果。</w:t>
      </w:r>
    </w:p>
    <w:p w14:paraId="3857CA03">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ascii="宋体" w:hAnsi="宋体" w:cs="宋体" w:hint="eastAsia"/>
          <w:color w:val="auto"/>
          <w:sz w:val="24"/>
        </w:rPr>
        <w:t>14.5 投标人代表对开标过程和开标记录有疑义，以及认为采购人相关工作人员有需要回避情形的，应及时提出询问或者回避申请。采购人对投标人代表提出的询问或者回避申请应当及时处理。</w:t>
      </w:r>
    </w:p>
    <w:p w14:paraId="3CD1ED00">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highlight w:val="none"/>
        </w:rPr>
        <w:t>14.6 未解密或解密失败的</w:t>
      </w:r>
      <w:r>
        <w:rPr>
          <w:rFonts w:ascii="宋体" w:hAnsi="宋体" w:cs="宋体" w:hint="eastAsia"/>
          <w:color w:val="auto"/>
          <w:sz w:val="24"/>
          <w:highlight w:val="none"/>
          <w:lang w:eastAsia="zh-CN"/>
        </w:rPr>
        <w:t>投标文件，</w:t>
      </w:r>
      <w:r>
        <w:rPr>
          <w:rFonts w:ascii="宋体" w:hAnsi="宋体" w:cs="宋体" w:hint="eastAsia"/>
          <w:color w:val="auto"/>
          <w:sz w:val="24"/>
          <w:highlight w:val="none"/>
        </w:rPr>
        <w:t>按无效投标处理。若解密成功的投标人不足3家，</w:t>
      </w:r>
      <w:r>
        <w:rPr>
          <w:rFonts w:ascii="宋体" w:hAnsi="宋体" w:cs="宋体" w:hint="eastAsia"/>
          <w:color w:val="auto"/>
          <w:sz w:val="24"/>
        </w:rPr>
        <w:t>不进入后续程序。</w:t>
      </w:r>
    </w:p>
    <w:p w14:paraId="6F060C2F">
      <w:pPr>
        <w:topLinePunct/>
        <w:autoSpaceDE w:val="0"/>
        <w:autoSpaceDN w:val="0"/>
        <w:adjustRightInd w:val="0"/>
        <w:snapToGrid w:val="0"/>
        <w:spacing w:after="0" w:line="360" w:lineRule="auto"/>
        <w:ind w:firstLine="480" w:firstLineChars="200"/>
        <w:rPr>
          <w:rFonts w:ascii="宋体" w:hAnsi="宋体" w:cs="宋体"/>
          <w:color w:val="auto"/>
          <w:sz w:val="24"/>
        </w:rPr>
      </w:pPr>
    </w:p>
    <w:p w14:paraId="3D7C8AC9">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auto"/>
          <w:sz w:val="24"/>
        </w:rPr>
        <w:t>15</w:t>
      </w:r>
      <w:r>
        <w:rPr>
          <w:rFonts w:ascii="宋体" w:hAnsi="宋体" w:cs="宋体" w:hint="eastAsia"/>
          <w:color w:val="auto"/>
          <w:szCs w:val="21"/>
        </w:rPr>
        <w:t>．</w:t>
      </w:r>
      <w:r>
        <w:rPr>
          <w:rFonts w:ascii="宋体" w:hAnsi="宋体" w:cs="宋体" w:hint="eastAsia"/>
          <w:b/>
          <w:color w:val="auto"/>
          <w:sz w:val="24"/>
        </w:rPr>
        <w:t>投标资格审查</w:t>
      </w:r>
    </w:p>
    <w:p w14:paraId="33B738EF">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15.1 采购人依法对投标人的资格进行审查，以确定投标人是否具备投标资格。</w:t>
      </w:r>
    </w:p>
    <w:p w14:paraId="37BBA263">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15.1.1 审查投标人按照</w:t>
      </w:r>
      <w:r>
        <w:rPr>
          <w:rFonts w:ascii="宋体" w:hAnsi="宋体" w:cs="宋体" w:hint="eastAsia"/>
          <w:color w:val="auto"/>
          <w:sz w:val="24"/>
          <w:lang w:val="en-US" w:eastAsia="zh-CN"/>
        </w:rPr>
        <w:t>8.2.1</w:t>
      </w:r>
      <w:r>
        <w:rPr>
          <w:rFonts w:ascii="宋体" w:hAnsi="宋体" w:cs="宋体" w:hint="eastAsia"/>
          <w:color w:val="auto"/>
          <w:sz w:val="24"/>
        </w:rPr>
        <w:t>提交的</w:t>
      </w:r>
      <w:r>
        <w:rPr>
          <w:rFonts w:ascii="宋体" w:hAnsi="宋体" w:cs="宋体" w:hint="eastAsia"/>
          <w:b/>
          <w:color w:val="auto"/>
          <w:sz w:val="24"/>
        </w:rPr>
        <w:t>“资格证明文件”</w:t>
      </w:r>
      <w:r>
        <w:rPr>
          <w:rFonts w:ascii="宋体" w:hAnsi="宋体" w:cs="宋体" w:hint="eastAsia"/>
          <w:color w:val="auto"/>
          <w:sz w:val="24"/>
        </w:rPr>
        <w:t>。</w:t>
      </w:r>
    </w:p>
    <w:p w14:paraId="53D9E7C8">
      <w:pPr>
        <w:topLinePunct/>
        <w:autoSpaceDE w:val="0"/>
        <w:autoSpaceDN w:val="0"/>
        <w:adjustRightInd w:val="0"/>
        <w:snapToGrid w:val="0"/>
        <w:spacing w:after="0" w:line="360" w:lineRule="auto"/>
        <w:ind w:firstLine="480" w:firstLineChars="200"/>
        <w:rPr>
          <w:rFonts w:ascii="宋体" w:hAnsi="宋体" w:cs="宋体"/>
          <w:b/>
          <w:bCs/>
          <w:color w:val="auto"/>
          <w:sz w:val="24"/>
        </w:rPr>
      </w:pPr>
      <w:r>
        <w:rPr>
          <w:rFonts w:ascii="宋体" w:hAnsi="宋体" w:cs="宋体" w:hint="eastAsia"/>
          <w:color w:val="auto"/>
          <w:sz w:val="24"/>
        </w:rPr>
        <w:t>15.1.2 信用记录审查。</w:t>
      </w:r>
      <w:r>
        <w:rPr>
          <w:rFonts w:ascii="宋体" w:hAnsi="宋体" w:cs="宋体" w:hint="eastAsia"/>
          <w:b/>
          <w:bCs/>
          <w:color w:val="auto"/>
          <w:sz w:val="24"/>
        </w:rPr>
        <w:t>见投标人须知前附表。</w:t>
      </w:r>
    </w:p>
    <w:p w14:paraId="3E6F8A33">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15.2 未通过资格审查的投标人，其投标无效。</w:t>
      </w:r>
    </w:p>
    <w:p w14:paraId="2EA190E4">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15.3 合格投标人不足3家的，不得评标。</w:t>
      </w:r>
    </w:p>
    <w:p w14:paraId="2E1F612E">
      <w:pPr>
        <w:topLinePunct/>
        <w:autoSpaceDE w:val="0"/>
        <w:autoSpaceDN w:val="0"/>
        <w:adjustRightInd w:val="0"/>
        <w:snapToGrid w:val="0"/>
        <w:spacing w:after="0" w:line="360" w:lineRule="auto"/>
        <w:ind w:firstLine="480"/>
        <w:rPr>
          <w:rFonts w:ascii="宋体" w:hAnsi="宋体" w:cs="宋体"/>
          <w:b/>
          <w:color w:val="auto"/>
          <w:sz w:val="24"/>
        </w:rPr>
      </w:pPr>
    </w:p>
    <w:p w14:paraId="4FECF1AA">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auto"/>
          <w:sz w:val="24"/>
        </w:rPr>
        <w:t>16</w:t>
      </w:r>
      <w:r>
        <w:rPr>
          <w:rFonts w:ascii="宋体" w:hAnsi="宋体" w:cs="宋体" w:hint="eastAsia"/>
          <w:color w:val="auto"/>
          <w:szCs w:val="21"/>
        </w:rPr>
        <w:t>．</w:t>
      </w:r>
      <w:r>
        <w:rPr>
          <w:rFonts w:ascii="宋体" w:hAnsi="宋体" w:cs="宋体" w:hint="eastAsia"/>
          <w:b/>
          <w:color w:val="auto"/>
          <w:sz w:val="24"/>
        </w:rPr>
        <w:t>评标委员会的组成</w:t>
      </w:r>
    </w:p>
    <w:p w14:paraId="345E1C2D">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16.1 根据有关法律法规规定组建评标委员会，评标委员会由采购人代表和评审专家组成。</w:t>
      </w:r>
    </w:p>
    <w:p w14:paraId="3B596ED2">
      <w:pPr>
        <w:topLinePunct/>
        <w:autoSpaceDE w:val="0"/>
        <w:autoSpaceDN w:val="0"/>
        <w:adjustRightInd w:val="0"/>
        <w:snapToGrid w:val="0"/>
        <w:spacing w:after="0" w:line="360" w:lineRule="auto"/>
        <w:ind w:firstLine="480"/>
        <w:rPr>
          <w:rFonts w:ascii="宋体" w:hAnsi="宋体" w:cs="宋体"/>
          <w:b/>
          <w:color w:val="auto"/>
          <w:sz w:val="24"/>
        </w:rPr>
      </w:pPr>
    </w:p>
    <w:p w14:paraId="5DAD43AD">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auto"/>
          <w:sz w:val="24"/>
        </w:rPr>
        <w:t>17</w:t>
      </w:r>
      <w:r>
        <w:rPr>
          <w:rFonts w:ascii="宋体" w:hAnsi="宋体" w:cs="宋体" w:hint="eastAsia"/>
          <w:color w:val="auto"/>
          <w:szCs w:val="21"/>
        </w:rPr>
        <w:t>．</w:t>
      </w:r>
      <w:r>
        <w:rPr>
          <w:rFonts w:ascii="宋体" w:hAnsi="宋体" w:cs="宋体" w:hint="eastAsia"/>
          <w:b/>
          <w:color w:val="auto"/>
          <w:sz w:val="24"/>
        </w:rPr>
        <w:t>投标符合性审查</w:t>
      </w:r>
    </w:p>
    <w:p w14:paraId="5F68840D">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17.1 评标委员会对符合资格的投标人的投标文件进行符合性审查，以确定其是否符合招标文件的商务、技术等实质性要求。</w:t>
      </w:r>
    </w:p>
    <w:p w14:paraId="6FEE2203">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17.2 未通过符合性审查的投标人，其投标无效。</w:t>
      </w:r>
    </w:p>
    <w:p w14:paraId="617BC353">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17.3 通过符合性审查的投标人不足3家的，应予以废标。</w:t>
      </w:r>
    </w:p>
    <w:p w14:paraId="322F5B72">
      <w:pPr>
        <w:topLinePunct/>
        <w:autoSpaceDE w:val="0"/>
        <w:autoSpaceDN w:val="0"/>
        <w:adjustRightInd w:val="0"/>
        <w:snapToGrid w:val="0"/>
        <w:spacing w:after="0" w:line="360" w:lineRule="auto"/>
        <w:rPr>
          <w:rFonts w:ascii="宋体" w:hAnsi="宋体" w:cs="宋体"/>
          <w:b/>
          <w:color w:val="auto"/>
          <w:sz w:val="24"/>
        </w:rPr>
      </w:pPr>
    </w:p>
    <w:p w14:paraId="698E1CD0">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auto"/>
          <w:sz w:val="24"/>
        </w:rPr>
        <w:t>18</w:t>
      </w:r>
      <w:r>
        <w:rPr>
          <w:rFonts w:ascii="宋体" w:hAnsi="宋体" w:cs="宋体" w:hint="eastAsia"/>
          <w:color w:val="auto"/>
          <w:szCs w:val="21"/>
        </w:rPr>
        <w:t>．</w:t>
      </w:r>
      <w:r>
        <w:rPr>
          <w:rFonts w:ascii="宋体" w:hAnsi="宋体" w:cs="宋体" w:hint="eastAsia"/>
          <w:b/>
          <w:color w:val="auto"/>
          <w:sz w:val="24"/>
        </w:rPr>
        <w:t>投标文件的澄清</w:t>
      </w:r>
    </w:p>
    <w:p w14:paraId="28FBD891">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18.1 对于投标文件中含义不明确、同类问题表述不一致或者有明显文字和计算错误的内容，评标委员会可以书面形式要求投标人作出必要的澄清、说明或者补正。</w:t>
      </w:r>
    </w:p>
    <w:p w14:paraId="1D671225">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18.2 投标人的澄清、说明或者补正应当采用书面形式，通过评审管理系统上传加盖电子公章的扫描件。投标人的澄清、说明或者补正不得超出投标文件的范围或者改变投标文件的实质性内容。</w:t>
      </w:r>
    </w:p>
    <w:p w14:paraId="416EE4E1">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18.3 除评标委员会要求投标人做出的澄清、说明或者补正以外，评标委员会不接受投标人的任何询问、说明、更改及文件。</w:t>
      </w:r>
    </w:p>
    <w:p w14:paraId="5BDE1BEA">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18.4 投标人的澄清必须在规定的时间内提交。</w:t>
      </w:r>
    </w:p>
    <w:p w14:paraId="2DCCBDD3">
      <w:pPr>
        <w:topLinePunct/>
        <w:autoSpaceDE w:val="0"/>
        <w:autoSpaceDN w:val="0"/>
        <w:adjustRightInd w:val="0"/>
        <w:snapToGrid w:val="0"/>
        <w:spacing w:after="0" w:line="360" w:lineRule="auto"/>
        <w:ind w:firstLine="480" w:firstLineChars="200"/>
        <w:rPr>
          <w:rFonts w:ascii="宋体" w:hAnsi="宋体" w:cs="宋体"/>
          <w:color w:val="auto"/>
          <w:sz w:val="24"/>
        </w:rPr>
      </w:pPr>
    </w:p>
    <w:p w14:paraId="233168B5">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auto"/>
          <w:sz w:val="24"/>
        </w:rPr>
        <w:t>19</w:t>
      </w:r>
      <w:r>
        <w:rPr>
          <w:rFonts w:ascii="宋体" w:hAnsi="宋体" w:cs="宋体" w:hint="eastAsia"/>
          <w:color w:val="auto"/>
          <w:szCs w:val="21"/>
        </w:rPr>
        <w:t>．</w:t>
      </w:r>
      <w:r>
        <w:rPr>
          <w:rFonts w:ascii="宋体" w:hAnsi="宋体" w:cs="宋体" w:hint="eastAsia"/>
          <w:b/>
          <w:color w:val="auto"/>
          <w:sz w:val="24"/>
        </w:rPr>
        <w:t>核价原则</w:t>
      </w:r>
    </w:p>
    <w:p w14:paraId="79D48781">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bCs/>
          <w:color w:val="auto"/>
          <w:sz w:val="24"/>
        </w:rPr>
        <w:t xml:space="preserve">19.1 </w:t>
      </w:r>
      <w:r>
        <w:rPr>
          <w:rFonts w:ascii="宋体" w:hAnsi="宋体" w:cs="宋体" w:hint="eastAsia"/>
          <w:color w:val="auto"/>
          <w:sz w:val="24"/>
        </w:rPr>
        <w:t>投标文件报价出现前后不一致的，除招标文件另有规定外，按照下列规定修正：</w:t>
      </w:r>
    </w:p>
    <w:p w14:paraId="53E36A39">
      <w:pPr>
        <w:overflowPunct w:val="0"/>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（1）投标文件中开标一览表（总报价表）内容与投标文件中相应内容不一致的，以开标一览表（总报价表）为准；</w:t>
      </w:r>
    </w:p>
    <w:p w14:paraId="75FE6990">
      <w:pPr>
        <w:overflowPunct w:val="0"/>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（2）大写金额和小写金额不一致的，以大写金额为准；</w:t>
      </w:r>
    </w:p>
    <w:p w14:paraId="5515B6AE">
      <w:pPr>
        <w:overflowPunct w:val="0"/>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（3）单价金额小数点或者百分比有明显错位的，以开标一览表的总价为准，并修改单价；</w:t>
      </w:r>
    </w:p>
    <w:p w14:paraId="26AB4AC3">
      <w:pPr>
        <w:overflowPunct w:val="0"/>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（4）总价金额与按单价汇总金额不一致的，以单价金额计算结果为准。</w:t>
      </w:r>
    </w:p>
    <w:p w14:paraId="4E9ACE1F">
      <w:pPr>
        <w:overflowPunct w:val="0"/>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（5）同时出现两种以上不一致的，按照前款规定的顺序修正。修正后的报价按照</w:t>
      </w:r>
      <w:r>
        <w:rPr>
          <w:rFonts w:ascii="宋体" w:hAnsi="宋体" w:cs="宋体" w:hint="eastAsia"/>
          <w:color w:val="auto"/>
          <w:sz w:val="24"/>
          <w:lang w:val="en-US" w:eastAsia="zh-CN"/>
        </w:rPr>
        <w:t>18.2</w:t>
      </w:r>
      <w:r>
        <w:rPr>
          <w:rFonts w:ascii="宋体" w:hAnsi="宋体" w:cs="宋体" w:hint="eastAsia"/>
          <w:color w:val="auto"/>
          <w:sz w:val="24"/>
        </w:rPr>
        <w:t>条的规定经投标人确认后产生约束力，投标人不确认的，其投标无效。</w:t>
      </w:r>
    </w:p>
    <w:p w14:paraId="31A602A8">
      <w:pPr>
        <w:topLinePunct/>
        <w:autoSpaceDE w:val="0"/>
        <w:autoSpaceDN w:val="0"/>
        <w:adjustRightInd w:val="0"/>
        <w:snapToGrid w:val="0"/>
        <w:spacing w:after="0" w:line="360" w:lineRule="auto"/>
        <w:ind w:left="420"/>
        <w:rPr>
          <w:rFonts w:ascii="宋体" w:hAnsi="宋体" w:cs="宋体"/>
          <w:color w:val="auto"/>
          <w:sz w:val="24"/>
        </w:rPr>
      </w:pPr>
    </w:p>
    <w:p w14:paraId="562D2CE4">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auto"/>
          <w:sz w:val="24"/>
        </w:rPr>
        <w:t>20</w:t>
      </w:r>
      <w:r>
        <w:rPr>
          <w:rFonts w:ascii="宋体" w:hAnsi="宋体" w:cs="宋体" w:hint="eastAsia"/>
          <w:color w:val="auto"/>
          <w:szCs w:val="21"/>
        </w:rPr>
        <w:t>．</w:t>
      </w:r>
      <w:r>
        <w:rPr>
          <w:rFonts w:ascii="宋体" w:hAnsi="宋体" w:cs="宋体" w:hint="eastAsia"/>
          <w:b/>
          <w:color w:val="auto"/>
          <w:sz w:val="24"/>
        </w:rPr>
        <w:t>投标无效</w:t>
      </w:r>
    </w:p>
    <w:p w14:paraId="704FFB27">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20.1 投标人及投标文件有下列情况之一的，应当在资格审查时按照投标无效处理：</w:t>
      </w:r>
    </w:p>
    <w:p w14:paraId="1059E72B">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 不具备招标文件中规定的资格要求的；</w:t>
      </w:r>
    </w:p>
    <w:p w14:paraId="15DE5C47">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 投标文件组成中“资格证明文件”未提供或无效的；</w:t>
      </w:r>
    </w:p>
    <w:p w14:paraId="2369E61C">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（3） 未通过信用记录审查或未提供相关证明材料的。</w:t>
      </w:r>
    </w:p>
    <w:p w14:paraId="0B0D9D29">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20.2 投标人及投标文件有下列情况之一的，应当在符合性审查时按照投标无效处理：</w:t>
      </w:r>
    </w:p>
    <w:p w14:paraId="5E88642B">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 投标文件组成中除“资格证明文件”外，★条款相关文件及资料未提供或提供无效的;</w:t>
      </w:r>
    </w:p>
    <w:p w14:paraId="47032FDD">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 投标文件未按招标文件要求签署、盖章的；</w:t>
      </w:r>
    </w:p>
    <w:p w14:paraId="677C76F3">
      <w:pPr>
        <w:topLinePunct/>
        <w:autoSpaceDE w:val="0"/>
        <w:autoSpaceDN w:val="0"/>
        <w:adjustRightInd w:val="0"/>
        <w:snapToGrid w:val="0"/>
        <w:spacing w:after="0" w:line="360" w:lineRule="auto"/>
        <w:ind w:firstLine="480" w:firstLineChars="200"/>
        <w:rPr>
          <w:rFonts w:ascii="宋体" w:eastAsia="宋体" w:hAnsi="宋体" w:cs="宋体" w:hint="default"/>
          <w:color w:val="auto"/>
          <w:sz w:val="24"/>
          <w:highlight w:val="none"/>
          <w:lang w:val="en-US" w:eastAsia="zh-CN"/>
        </w:rPr>
      </w:pPr>
      <w:r>
        <w:rPr>
          <w:rFonts w:ascii="宋体" w:hAnsi="宋体" w:cs="宋体" w:hint="eastAsia"/>
          <w:color w:val="auto"/>
          <w:sz w:val="24"/>
          <w:highlight w:val="none"/>
        </w:rPr>
        <w:t>（3） 投标报价超过招标文件中规定的预算金额或者最高限价</w:t>
      </w:r>
      <w:r>
        <w:rPr>
          <w:rFonts w:ascii="宋体" w:hAnsi="宋体" w:cs="宋体" w:hint="eastAsia"/>
          <w:color w:val="auto"/>
          <w:sz w:val="24"/>
          <w:highlight w:val="none"/>
          <w:lang w:eastAsia="zh-CN"/>
        </w:rPr>
        <w:t>（分项预算最高限价，如有）</w:t>
      </w:r>
      <w:r>
        <w:rPr>
          <w:rFonts w:ascii="宋体" w:hAnsi="宋体" w:cs="宋体" w:hint="eastAsia"/>
          <w:color w:val="auto"/>
          <w:sz w:val="24"/>
          <w:highlight w:val="none"/>
        </w:rPr>
        <w:t>的</w:t>
      </w:r>
      <w:r>
        <w:rPr>
          <w:rFonts w:ascii="宋体" w:hAnsi="宋体" w:cs="宋体" w:hint="eastAsia"/>
          <w:b w:val="0"/>
          <w:bCs w:val="0"/>
          <w:color w:val="auto"/>
          <w:sz w:val="24"/>
          <w:highlight w:val="none"/>
          <w:lang w:val="en-US" w:eastAsia="zh-CN"/>
        </w:rPr>
        <w:t>；</w:t>
      </w:r>
    </w:p>
    <w:p w14:paraId="77517B16">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（4） 投标有效期不足的；</w:t>
      </w:r>
    </w:p>
    <w:p w14:paraId="78AD4777">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（5） 投标文件含有采购人不能接受的附加条件的；</w:t>
      </w:r>
    </w:p>
    <w:p w14:paraId="4DC4ECFE">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20.3 除20.1及20.2情形外，投标人及投标文件有下列情况之一的，应当按照投标无效处理：</w:t>
      </w:r>
    </w:p>
    <w:p w14:paraId="243D7783">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 提供虚假投标文件材料的；</w:t>
      </w:r>
    </w:p>
    <w:p w14:paraId="2D36EEA8">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 投标人串通投标的；</w:t>
      </w:r>
    </w:p>
    <w:p w14:paraId="519AEE6A">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（3） 投标报价明显低于其他通过符合性审查投标人的报价，且不能证明其报价合理性的。</w:t>
      </w:r>
    </w:p>
    <w:p w14:paraId="3061AC90">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（4） 法律、法规和招标文件规定的其他无效情形。</w:t>
      </w:r>
    </w:p>
    <w:p w14:paraId="7180B695">
      <w:pPr>
        <w:topLinePunct/>
        <w:autoSpaceDE w:val="0"/>
        <w:autoSpaceDN w:val="0"/>
        <w:adjustRightInd w:val="0"/>
        <w:snapToGrid w:val="0"/>
        <w:spacing w:after="0" w:line="360" w:lineRule="auto"/>
        <w:ind w:firstLine="720" w:firstLineChars="300"/>
        <w:rPr>
          <w:rFonts w:ascii="宋体" w:hAnsi="宋体" w:cs="宋体"/>
          <w:color w:val="auto"/>
          <w:sz w:val="24"/>
        </w:rPr>
      </w:pPr>
    </w:p>
    <w:p w14:paraId="161E2D5B">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auto"/>
          <w:sz w:val="24"/>
        </w:rPr>
        <w:t>21</w:t>
      </w:r>
      <w:r>
        <w:rPr>
          <w:rFonts w:ascii="宋体" w:hAnsi="宋体" w:cs="宋体" w:hint="eastAsia"/>
          <w:color w:val="auto"/>
          <w:szCs w:val="21"/>
        </w:rPr>
        <w:t>．</w:t>
      </w:r>
      <w:r>
        <w:rPr>
          <w:rFonts w:ascii="宋体" w:hAnsi="宋体" w:cs="宋体" w:hint="eastAsia"/>
          <w:b/>
          <w:color w:val="auto"/>
          <w:sz w:val="24"/>
        </w:rPr>
        <w:t>比较与评价</w:t>
      </w:r>
    </w:p>
    <w:p w14:paraId="65658A63">
      <w:pPr>
        <w:topLinePunct/>
        <w:autoSpaceDE w:val="0"/>
        <w:autoSpaceDN w:val="0"/>
        <w:adjustRightInd w:val="0"/>
        <w:snapToGrid w:val="0"/>
        <w:spacing w:after="0" w:line="360" w:lineRule="auto"/>
        <w:ind w:firstLine="480" w:firstLineChars="200"/>
        <w:rPr>
          <w:rFonts w:ascii="宋体" w:hAnsi="宋体" w:cs="宋体" w:hint="eastAsia"/>
          <w:color w:val="auto"/>
          <w:sz w:val="24"/>
        </w:rPr>
      </w:pPr>
      <w:r>
        <w:rPr>
          <w:rFonts w:ascii="宋体" w:hAnsi="宋体" w:cs="宋体" w:hint="eastAsia"/>
          <w:color w:val="auto"/>
          <w:sz w:val="24"/>
        </w:rPr>
        <w:t>21.1 评标委员会按照招标文件中规定的评标方法和标准，对符合性审查合格的投标文件进行商务和技术评估，综合比较与评价。</w:t>
      </w:r>
    </w:p>
    <w:p w14:paraId="6B2D5588">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21.2 价格分应当采用低价优先法计算。</w:t>
      </w:r>
      <w:r>
        <w:rPr>
          <w:rFonts w:ascii="宋体" w:eastAsia="宋体" w:hAnsi="宋体" w:cs="宋体" w:hint="eastAsia"/>
          <w:kern w:val="2"/>
          <w:sz w:val="24"/>
          <w:szCs w:val="24"/>
          <w:lang w:val="en-US" w:eastAsia="zh-CN" w:bidi="ar"/>
        </w:rPr>
        <w:t>如果小型、微型企业和监狱企业、残疾人福利性单位的投标报价按照</w:t>
      </w:r>
      <w:r>
        <w:rPr>
          <w:rFonts w:ascii="宋体" w:eastAsia="宋体" w:hAnsi="宋体" w:cs="宋体" w:hint="eastAsia"/>
          <w:b/>
          <w:kern w:val="2"/>
          <w:sz w:val="24"/>
          <w:szCs w:val="24"/>
          <w:lang w:val="en-US" w:eastAsia="zh-CN" w:bidi="ar"/>
        </w:rPr>
        <w:t>投标人须知前附表</w:t>
      </w:r>
      <w:r>
        <w:rPr>
          <w:rFonts w:ascii="宋体" w:eastAsia="宋体" w:hAnsi="宋体" w:cs="宋体" w:hint="eastAsia"/>
          <w:kern w:val="2"/>
          <w:sz w:val="24"/>
          <w:szCs w:val="24"/>
          <w:lang w:val="en-US" w:eastAsia="zh-CN" w:bidi="ar"/>
        </w:rPr>
        <w:t>规定可进行价格扣除的，应分别给予扣除，并以扣除后的报价计算价格分。未提供《中小型企业声明函》、《监狱企业证明文件》、《残疾人福利性单位声明函》的，价格不予扣除。同一投标人不得重复享受价格扣除政策。</w:t>
      </w:r>
    </w:p>
    <w:p w14:paraId="2E1ABFE0">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21.3 评标委员会各成员独立对每个投标人的投标文件进行评价，并汇总得出每个投标人的评审得分。</w:t>
      </w:r>
    </w:p>
    <w:p w14:paraId="50740362">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21.4 评标结果按评审得分由高到低顺序排列。得分相同的，按投标报价由低到高顺序排列。得分且投标报价相同的并列。投标文件满足招标文件全部实质性要求，且按照评审因素的量化指标评审得分最高的投标人为排名第一的中标候选人。</w:t>
      </w:r>
    </w:p>
    <w:p w14:paraId="7F4CA171">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color w:val="auto"/>
          <w:sz w:val="24"/>
        </w:rPr>
        <w:t>21.5 评标方法及标准</w:t>
      </w:r>
      <w:r>
        <w:rPr>
          <w:rFonts w:ascii="宋体" w:hAnsi="宋体" w:cs="宋体" w:hint="eastAsia"/>
          <w:b/>
          <w:color w:val="auto"/>
          <w:sz w:val="24"/>
        </w:rPr>
        <w:t>详见招标文件商务部分第三章。</w:t>
      </w:r>
    </w:p>
    <w:p w14:paraId="36FF0D3B">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21.6 评标委员会成员应当在评标报告上签字，对自己的评审意见承担法律责任。评标委员会成员对需要共同认定的事项存在争议的，应当按照少数服从多数的原则作出结论。持不同意见的评标委员会成员应当在评标报告上签署不同意见及理由，否则视为同意评标报告。</w:t>
      </w:r>
    </w:p>
    <w:p w14:paraId="7A01D9E0">
      <w:pPr>
        <w:topLinePunct/>
        <w:autoSpaceDE w:val="0"/>
        <w:autoSpaceDN w:val="0"/>
        <w:adjustRightInd w:val="0"/>
        <w:snapToGrid w:val="0"/>
        <w:spacing w:after="0" w:line="360" w:lineRule="auto"/>
        <w:ind w:firstLine="480" w:firstLineChars="200"/>
        <w:rPr>
          <w:rFonts w:ascii="宋体" w:hAnsi="宋体" w:cs="宋体"/>
          <w:color w:val="auto"/>
          <w:sz w:val="24"/>
        </w:rPr>
      </w:pPr>
    </w:p>
    <w:p w14:paraId="535C13AE">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auto"/>
          <w:sz w:val="24"/>
        </w:rPr>
        <w:t>22</w:t>
      </w:r>
      <w:r>
        <w:rPr>
          <w:rFonts w:ascii="宋体" w:hAnsi="宋体" w:cs="宋体" w:hint="eastAsia"/>
          <w:color w:val="auto"/>
          <w:szCs w:val="21"/>
        </w:rPr>
        <w:t>．</w:t>
      </w:r>
      <w:r>
        <w:rPr>
          <w:rFonts w:ascii="宋体" w:hAnsi="宋体" w:cs="宋体" w:hint="eastAsia"/>
          <w:b/>
          <w:color w:val="auto"/>
          <w:sz w:val="24"/>
        </w:rPr>
        <w:t>废标</w:t>
      </w:r>
    </w:p>
    <w:p w14:paraId="3B72E88E">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22.1 在招标采购中，出现下列情形之一的，应予废标：</w:t>
      </w:r>
    </w:p>
    <w:p w14:paraId="0ABC1FA0">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（1）符合专业条件的供应商或者对招标文件作实质响应的供应商不足三家的；</w:t>
      </w:r>
    </w:p>
    <w:p w14:paraId="416F5329">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（2）出现影响采购公正的违法、违规行为的；</w:t>
      </w:r>
    </w:p>
    <w:p w14:paraId="22F2C556">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（3）投标人的报价均超过了采购预算，采购人不能支付的；</w:t>
      </w:r>
    </w:p>
    <w:p w14:paraId="3ACC4B1C">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（4）因重大变故，采购任务取消的。</w:t>
      </w:r>
    </w:p>
    <w:p w14:paraId="692AF2BF">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22.2 废标后，采购人将废标理由通知所有投标人。</w:t>
      </w:r>
    </w:p>
    <w:p w14:paraId="6C618F6F">
      <w:pPr>
        <w:topLinePunct/>
        <w:autoSpaceDE w:val="0"/>
        <w:autoSpaceDN w:val="0"/>
        <w:adjustRightInd w:val="0"/>
        <w:snapToGrid w:val="0"/>
        <w:spacing w:after="0" w:line="360" w:lineRule="auto"/>
        <w:ind w:firstLine="480" w:firstLineChars="200"/>
        <w:rPr>
          <w:rFonts w:ascii="宋体" w:hAnsi="宋体" w:cs="宋体"/>
          <w:color w:val="auto"/>
          <w:sz w:val="24"/>
        </w:rPr>
      </w:pPr>
    </w:p>
    <w:p w14:paraId="3E65B603">
      <w:pPr>
        <w:topLinePunct/>
        <w:autoSpaceDE w:val="0"/>
        <w:autoSpaceDN w:val="0"/>
        <w:adjustRightInd w:val="0"/>
        <w:snapToGrid w:val="0"/>
        <w:spacing w:after="0" w:line="360" w:lineRule="auto"/>
        <w:jc w:val="center"/>
        <w:rPr>
          <w:rFonts w:ascii="宋体" w:hAnsi="宋体" w:cs="宋体"/>
          <w:b/>
          <w:bCs/>
          <w:color w:val="auto"/>
          <w:sz w:val="32"/>
          <w:szCs w:val="32"/>
        </w:rPr>
      </w:pPr>
      <w:r>
        <w:rPr>
          <w:rFonts w:ascii="宋体" w:hAnsi="宋体" w:cs="宋体" w:hint="eastAsia"/>
          <w:b/>
          <w:bCs/>
          <w:color w:val="auto"/>
          <w:sz w:val="32"/>
          <w:szCs w:val="32"/>
        </w:rPr>
        <w:t>六、中标和合同</w:t>
      </w:r>
    </w:p>
    <w:p w14:paraId="2DC5F296">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auto"/>
          <w:sz w:val="24"/>
        </w:rPr>
        <w:t>23</w:t>
      </w:r>
      <w:r>
        <w:rPr>
          <w:rFonts w:ascii="宋体" w:hAnsi="宋体" w:cs="宋体" w:hint="eastAsia"/>
          <w:color w:val="auto"/>
          <w:szCs w:val="21"/>
        </w:rPr>
        <w:t>．</w:t>
      </w:r>
      <w:r>
        <w:rPr>
          <w:rFonts w:ascii="宋体" w:hAnsi="宋体" w:cs="宋体" w:hint="eastAsia"/>
          <w:b/>
          <w:color w:val="auto"/>
          <w:sz w:val="24"/>
        </w:rPr>
        <w:t>中标</w:t>
      </w:r>
    </w:p>
    <w:p w14:paraId="07CE4C49">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23.1 采购人在评标结束后5个工作日内，按评标报告推荐的中标候选人顺序确定中标人。</w:t>
      </w:r>
    </w:p>
    <w:p w14:paraId="0AF7CC4A">
      <w:pPr>
        <w:topLinePunct/>
        <w:autoSpaceDE w:val="0"/>
        <w:autoSpaceDN w:val="0"/>
        <w:adjustRightInd w:val="0"/>
        <w:snapToGrid w:val="0"/>
        <w:spacing w:after="0" w:line="360" w:lineRule="auto"/>
        <w:ind w:firstLine="480" w:firstLineChars="200"/>
        <w:rPr>
          <w:rFonts w:ascii="宋体" w:hAnsi="宋体" w:cs="宋体" w:hint="eastAsia"/>
          <w:color w:val="auto"/>
          <w:sz w:val="24"/>
        </w:rPr>
      </w:pPr>
      <w:r>
        <w:rPr>
          <w:rFonts w:ascii="宋体" w:hAnsi="宋体" w:cs="宋体" w:hint="eastAsia"/>
          <w:color w:val="auto"/>
          <w:sz w:val="24"/>
        </w:rPr>
        <w:t>23.2 采购人自中标人确定之日起2个工作日内，在</w:t>
      </w:r>
      <w:r>
        <w:rPr>
          <w:rFonts w:ascii="宋体" w:hAnsi="宋体" w:cs="宋体" w:hint="eastAsia"/>
          <w:b/>
          <w:color w:val="auto"/>
          <w:sz w:val="24"/>
        </w:rPr>
        <w:t>投标人须知前附表</w:t>
      </w:r>
      <w:r>
        <w:rPr>
          <w:rFonts w:ascii="宋体" w:hAnsi="宋体" w:cs="宋体" w:hint="eastAsia"/>
          <w:color w:val="auto"/>
          <w:sz w:val="24"/>
        </w:rPr>
        <w:t>规定的媒体上公告中标结果，招标文件应随中标结果同时公告（中标、成交结果公告前采购文件已公告的，不再重复公告）。中标公告期限为1个工作日。</w:t>
      </w:r>
    </w:p>
    <w:p w14:paraId="0ABF050C">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23.3 在公告中标结果的同时，采购人通过评审管理系统，发出中标通知书；对未通过资格审查的投标人，告知其未通过的原因；采用综合评分法评审的，同时告知未中标人本人的评审得分与排序。</w:t>
      </w:r>
    </w:p>
    <w:p w14:paraId="60AEFAB6">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23.4 中标通知书发出后，采购人不得违法改变中标结果，中标人无正当理由不得放弃中标。</w:t>
      </w:r>
    </w:p>
    <w:p w14:paraId="4637EA09">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23.5 中标通知书对采购人和中标人具有同等法律效力。</w:t>
      </w:r>
    </w:p>
    <w:p w14:paraId="6A7AFF60">
      <w:pPr>
        <w:topLinePunct/>
        <w:autoSpaceDE w:val="0"/>
        <w:autoSpaceDN w:val="0"/>
        <w:adjustRightInd w:val="0"/>
        <w:snapToGrid w:val="0"/>
        <w:spacing w:after="0" w:line="360" w:lineRule="auto"/>
        <w:ind w:left="420"/>
        <w:rPr>
          <w:rFonts w:ascii="宋体" w:hAnsi="宋体" w:cs="宋体"/>
          <w:color w:val="auto"/>
          <w:sz w:val="24"/>
        </w:rPr>
      </w:pPr>
    </w:p>
    <w:p w14:paraId="1B832F22">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auto"/>
          <w:sz w:val="24"/>
        </w:rPr>
        <w:t>24</w:t>
      </w:r>
      <w:r>
        <w:rPr>
          <w:rFonts w:ascii="宋体" w:hAnsi="宋体" w:cs="宋体" w:hint="eastAsia"/>
          <w:color w:val="auto"/>
          <w:szCs w:val="21"/>
        </w:rPr>
        <w:t>．</w:t>
      </w:r>
      <w:r>
        <w:rPr>
          <w:rFonts w:ascii="宋体" w:hAnsi="宋体" w:cs="宋体" w:hint="eastAsia"/>
          <w:b/>
          <w:color w:val="auto"/>
          <w:sz w:val="24"/>
        </w:rPr>
        <w:t>签订合同</w:t>
      </w:r>
    </w:p>
    <w:p w14:paraId="5A4DD38F">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24.1 采购人应当自中标通知书发出之日起30日内，按照招标文件和中标人投标文件的规定，</w:t>
      </w:r>
      <w:r>
        <w:rPr>
          <w:rFonts w:ascii="宋体" w:hAnsi="宋体" w:cs="宋体" w:hint="eastAsia"/>
          <w:color w:val="auto"/>
          <w:sz w:val="24"/>
          <w:lang w:eastAsia="zh-CN"/>
        </w:rPr>
        <w:t>通过国家税务总局政府采购评审管理系统</w:t>
      </w:r>
      <w:r>
        <w:rPr>
          <w:rFonts w:ascii="宋体" w:hAnsi="宋体" w:cs="宋体" w:hint="eastAsia"/>
          <w:color w:val="auto"/>
          <w:sz w:val="24"/>
        </w:rPr>
        <w:t>与中标人签订合同。</w:t>
      </w:r>
    </w:p>
    <w:p w14:paraId="1B97983F">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24.2 所签订的合同不得对招标文件确定的事项和中标人投标文件作实质性修改。</w:t>
      </w:r>
    </w:p>
    <w:p w14:paraId="5DEE72BF">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24.3 采购人不得向中标人提出任何不合理的要求作为签订合同的条件。</w:t>
      </w:r>
    </w:p>
    <w:p w14:paraId="7790FDF0">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24.4 中标人拒绝与采购人签订合同的，采购人可以按照评审报告推荐的中标候选人名单排序，确定下一候选人为中标人，也可以重新开展政府采购活动。</w:t>
      </w:r>
    </w:p>
    <w:p w14:paraId="56CDB8C9">
      <w:pPr>
        <w:topLinePunct/>
        <w:autoSpaceDE w:val="0"/>
        <w:autoSpaceDN w:val="0"/>
        <w:adjustRightInd w:val="0"/>
        <w:snapToGrid w:val="0"/>
        <w:spacing w:after="0" w:line="360" w:lineRule="auto"/>
        <w:rPr>
          <w:rFonts w:ascii="宋体" w:hAnsi="宋体" w:cs="宋体"/>
          <w:b/>
          <w:color w:val="auto"/>
          <w:sz w:val="24"/>
        </w:rPr>
      </w:pPr>
    </w:p>
    <w:p w14:paraId="6BD1CAB7">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auto"/>
          <w:sz w:val="24"/>
        </w:rPr>
        <w:t>25</w:t>
      </w:r>
      <w:r>
        <w:rPr>
          <w:rFonts w:ascii="宋体" w:hAnsi="宋体" w:cs="宋体" w:hint="eastAsia"/>
          <w:color w:val="auto"/>
          <w:szCs w:val="21"/>
        </w:rPr>
        <w:t>．</w:t>
      </w:r>
      <w:r>
        <w:rPr>
          <w:rFonts w:ascii="宋体" w:hAnsi="宋体" w:cs="宋体" w:hint="eastAsia"/>
          <w:b/>
          <w:color w:val="auto"/>
          <w:sz w:val="24"/>
        </w:rPr>
        <w:t>履约保证金</w:t>
      </w:r>
    </w:p>
    <w:p w14:paraId="0DB4B111">
      <w:pPr>
        <w:topLinePunct/>
        <w:autoSpaceDE w:val="0"/>
        <w:autoSpaceDN w:val="0"/>
        <w:adjustRightInd w:val="0"/>
        <w:snapToGrid w:val="0"/>
        <w:spacing w:after="0" w:line="360" w:lineRule="auto"/>
        <w:ind w:firstLine="480" w:firstLineChars="200"/>
        <w:rPr>
          <w:rFonts w:ascii="宋体"/>
          <w:color w:val="auto"/>
          <w:sz w:val="24"/>
        </w:rPr>
      </w:pPr>
      <w:r>
        <w:rPr>
          <w:rFonts w:ascii="宋体" w:hAnsi="宋体" w:cs="宋体" w:hint="eastAsia"/>
          <w:color w:val="auto"/>
          <w:sz w:val="24"/>
        </w:rPr>
        <w:t xml:space="preserve">25.1 </w:t>
      </w:r>
      <w:r>
        <w:rPr>
          <w:rFonts w:ascii="宋体" w:hAnsi="宋体" w:cs="宋体" w:hint="eastAsia"/>
          <w:color w:val="auto"/>
          <w:sz w:val="24"/>
          <w:lang w:eastAsia="zh-CN"/>
        </w:rPr>
        <w:t>需提交履约保证金的项目，</w:t>
      </w:r>
      <w:r>
        <w:rPr>
          <w:rFonts w:ascii="宋体" w:hAnsi="宋体" w:cs="宋体" w:hint="eastAsia"/>
          <w:color w:val="auto"/>
          <w:sz w:val="24"/>
        </w:rPr>
        <w:t>中标人应在合同签订之日起30日内，</w:t>
      </w:r>
      <w:r>
        <w:rPr>
          <w:rFonts w:ascii="宋体" w:hint="eastAsia"/>
          <w:color w:val="auto"/>
          <w:sz w:val="24"/>
        </w:rPr>
        <w:t>按照</w:t>
      </w:r>
      <w:r>
        <w:rPr>
          <w:rFonts w:ascii="宋体" w:hAnsi="宋体" w:cs="宋体" w:hint="eastAsia"/>
          <w:b/>
          <w:color w:val="auto"/>
          <w:sz w:val="24"/>
        </w:rPr>
        <w:t>投标人须知前附表</w:t>
      </w:r>
      <w:r>
        <w:rPr>
          <w:rFonts w:ascii="宋体" w:hint="eastAsia"/>
          <w:color w:val="auto"/>
          <w:sz w:val="24"/>
        </w:rPr>
        <w:t>的规定，向采购人提交履约保证金。</w:t>
      </w:r>
    </w:p>
    <w:p w14:paraId="36BABCDB">
      <w:pPr>
        <w:pStyle w:val="a2"/>
        <w:adjustRightInd w:val="0"/>
        <w:snapToGrid w:val="0"/>
        <w:spacing w:after="0" w:line="360" w:lineRule="auto"/>
        <w:rPr>
          <w:color w:val="auto"/>
        </w:rPr>
      </w:pPr>
    </w:p>
    <w:p w14:paraId="37079E83">
      <w:pPr>
        <w:topLinePunct/>
        <w:autoSpaceDE w:val="0"/>
        <w:autoSpaceDN w:val="0"/>
        <w:adjustRightInd w:val="0"/>
        <w:snapToGrid w:val="0"/>
        <w:spacing w:after="0" w:line="360" w:lineRule="auto"/>
        <w:ind w:firstLine="480" w:firstLineChars="200"/>
        <w:rPr>
          <w:rFonts w:ascii="宋体" w:hAnsi="宋体" w:cs="宋体"/>
          <w:color w:val="auto"/>
          <w:sz w:val="24"/>
        </w:rPr>
      </w:pPr>
    </w:p>
    <w:p w14:paraId="612E524E">
      <w:pPr>
        <w:topLinePunct/>
        <w:autoSpaceDE w:val="0"/>
        <w:autoSpaceDN w:val="0"/>
        <w:adjustRightInd w:val="0"/>
        <w:snapToGrid w:val="0"/>
        <w:spacing w:after="0" w:line="360" w:lineRule="auto"/>
        <w:ind w:firstLine="482"/>
        <w:jc w:val="center"/>
        <w:rPr>
          <w:rFonts w:ascii="宋体" w:hAnsi="宋体" w:cs="宋体"/>
          <w:b/>
          <w:bCs/>
          <w:color w:val="auto"/>
          <w:sz w:val="32"/>
          <w:szCs w:val="32"/>
        </w:rPr>
      </w:pPr>
      <w:r>
        <w:rPr>
          <w:rFonts w:ascii="宋体" w:hAnsi="宋体" w:cs="宋体" w:hint="eastAsia"/>
          <w:b/>
          <w:bCs/>
          <w:color w:val="auto"/>
          <w:sz w:val="32"/>
          <w:szCs w:val="32"/>
        </w:rPr>
        <w:t>七、询问和质疑</w:t>
      </w:r>
    </w:p>
    <w:p w14:paraId="0CDE2E9B">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auto"/>
          <w:sz w:val="24"/>
        </w:rPr>
        <w:t>26. 询问</w:t>
      </w:r>
    </w:p>
    <w:p w14:paraId="62A95874">
      <w:pPr>
        <w:topLinePunct/>
        <w:autoSpaceDE w:val="0"/>
        <w:autoSpaceDN w:val="0"/>
        <w:adjustRightInd w:val="0"/>
        <w:snapToGrid w:val="0"/>
        <w:spacing w:after="0" w:line="360" w:lineRule="auto"/>
        <w:ind w:firstLine="480" w:firstLineChars="200"/>
        <w:jc w:val="left"/>
        <w:rPr>
          <w:rFonts w:ascii="宋体" w:hAnsi="宋体" w:cs="宋体"/>
          <w:color w:val="auto"/>
          <w:sz w:val="24"/>
        </w:rPr>
      </w:pPr>
      <w:r>
        <w:rPr>
          <w:rFonts w:ascii="宋体" w:hAnsi="宋体" w:cs="宋体" w:hint="eastAsia"/>
          <w:color w:val="auto"/>
          <w:sz w:val="24"/>
        </w:rPr>
        <w:t>26.1 供应商对政府采购活动事项有疑问的，可以向采购人提出询问，采购人应在3个工作日内作出答复，但答复的内容不得涉及商业秘密。</w:t>
      </w:r>
    </w:p>
    <w:p w14:paraId="7087ADA4">
      <w:pPr>
        <w:topLinePunct/>
        <w:autoSpaceDE w:val="0"/>
        <w:autoSpaceDN w:val="0"/>
        <w:adjustRightInd w:val="0"/>
        <w:snapToGrid w:val="0"/>
        <w:spacing w:after="0" w:line="360" w:lineRule="auto"/>
        <w:ind w:firstLine="480" w:firstLineChars="200"/>
        <w:jc w:val="left"/>
        <w:rPr>
          <w:rFonts w:ascii="宋体" w:hAnsi="宋体" w:cs="宋体"/>
          <w:color w:val="auto"/>
          <w:sz w:val="24"/>
        </w:rPr>
      </w:pPr>
    </w:p>
    <w:p w14:paraId="55D5730D">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auto"/>
          <w:sz w:val="24"/>
        </w:rPr>
        <w:t>27</w:t>
      </w:r>
      <w:r>
        <w:rPr>
          <w:rFonts w:ascii="宋体" w:hAnsi="宋体" w:cs="宋体" w:hint="eastAsia"/>
          <w:color w:val="auto"/>
          <w:szCs w:val="21"/>
        </w:rPr>
        <w:t>．</w:t>
      </w:r>
      <w:r>
        <w:rPr>
          <w:rFonts w:ascii="宋体" w:hAnsi="宋体" w:cs="宋体" w:hint="eastAsia"/>
          <w:b/>
          <w:color w:val="auto"/>
          <w:sz w:val="24"/>
        </w:rPr>
        <w:t>质疑</w:t>
      </w:r>
    </w:p>
    <w:p w14:paraId="00414788">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27.1 供应商认为招标文件、招标过程和中标结果使自己的权益受到损害的，可以在知道或者应知其权益受到损害之日起7个工作日内</w:t>
      </w:r>
      <w:r>
        <w:rPr>
          <w:rFonts w:ascii="宋体" w:hAnsi="宋体" w:cs="宋体" w:hint="eastAsia"/>
          <w:b w:val="0"/>
          <w:bCs/>
          <w:color w:val="auto"/>
          <w:sz w:val="24"/>
        </w:rPr>
        <w:t>通过评审管理系统</w:t>
      </w:r>
      <w:r>
        <w:rPr>
          <w:rFonts w:ascii="宋体" w:hAnsi="宋体" w:cs="宋体" w:hint="eastAsia"/>
          <w:b w:val="0"/>
          <w:bCs/>
          <w:color w:val="auto"/>
          <w:sz w:val="24"/>
          <w:lang w:eastAsia="zh-CN"/>
        </w:rPr>
        <w:t>等书面形式</w:t>
      </w:r>
      <w:r>
        <w:rPr>
          <w:rFonts w:ascii="宋体" w:hAnsi="宋体" w:cs="宋体" w:hint="eastAsia"/>
          <w:color w:val="auto"/>
          <w:sz w:val="24"/>
        </w:rPr>
        <w:t>向采购人提出质疑。联系部门、联系电话、通讯地址、电子邮箱</w:t>
      </w:r>
      <w:r>
        <w:rPr>
          <w:rFonts w:ascii="宋体" w:hAnsi="宋体" w:cs="宋体" w:hint="eastAsia"/>
          <w:b/>
          <w:bCs/>
          <w:color w:val="auto"/>
          <w:sz w:val="24"/>
        </w:rPr>
        <w:t>见</w:t>
      </w:r>
      <w:r>
        <w:rPr>
          <w:rFonts w:ascii="宋体" w:hAnsi="宋体" w:cs="宋体" w:hint="eastAsia"/>
          <w:b/>
          <w:color w:val="auto"/>
          <w:sz w:val="24"/>
        </w:rPr>
        <w:t>投标人须知前附表</w:t>
      </w:r>
      <w:r>
        <w:rPr>
          <w:rFonts w:ascii="宋体" w:hAnsi="宋体" w:cs="宋体" w:hint="eastAsia"/>
          <w:color w:val="auto"/>
          <w:sz w:val="24"/>
        </w:rPr>
        <w:t>。在法定质疑期内，针对同一采购程序环节的质疑应一次性提出。</w:t>
      </w:r>
    </w:p>
    <w:p w14:paraId="2573F0F2">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27.2 供应商提出质疑应当提交质疑函和必要的证明材料。供应商为自然人的，应当由本人签字；供应商为法人或者其他组织的，应当由法定代表人、主要负责人，或者其授权代表签字或者签章，并加盖公章。</w:t>
      </w:r>
    </w:p>
    <w:p w14:paraId="4A64FEAE">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27.3 采购人应当在收到供应商的质疑函后7个工作日内，对质疑内容作出答复，并通过评审管理系统</w:t>
      </w:r>
      <w:r>
        <w:rPr>
          <w:rFonts w:ascii="宋体" w:hAnsi="宋体" w:cs="宋体" w:hint="eastAsia"/>
          <w:b w:val="0"/>
          <w:bCs/>
          <w:color w:val="auto"/>
          <w:sz w:val="24"/>
          <w:lang w:eastAsia="zh-CN"/>
        </w:rPr>
        <w:t>等书面形式</w:t>
      </w:r>
      <w:r>
        <w:rPr>
          <w:rFonts w:ascii="宋体" w:hAnsi="宋体" w:cs="宋体" w:hint="eastAsia"/>
          <w:color w:val="auto"/>
          <w:sz w:val="24"/>
        </w:rPr>
        <w:t>通知质疑供应商和其他有关供应商，但答复内容不得涉及商业秘密。</w:t>
      </w:r>
    </w:p>
    <w:p w14:paraId="601523E8">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27.4 质疑供应商对采购人的答复不满意或者采购人未在规定时间内作出答复的，可以在答复期满后15个工作日内按有关规定，向同级人民政府财政部门投诉。</w:t>
      </w:r>
    </w:p>
    <w:p w14:paraId="4C4A673B">
      <w:pPr>
        <w:topLinePunct/>
        <w:autoSpaceDE w:val="0"/>
        <w:autoSpaceDN w:val="0"/>
        <w:adjustRightInd w:val="0"/>
        <w:snapToGrid w:val="0"/>
        <w:spacing w:after="0" w:line="360" w:lineRule="auto"/>
        <w:rPr>
          <w:rFonts w:ascii="宋体" w:hAnsi="宋体" w:cs="宋体"/>
          <w:b/>
          <w:color w:val="auto"/>
          <w:sz w:val="24"/>
        </w:rPr>
      </w:pPr>
    </w:p>
    <w:p w14:paraId="2E849CF0">
      <w:pPr>
        <w:topLinePunct/>
        <w:autoSpaceDE w:val="0"/>
        <w:autoSpaceDN w:val="0"/>
        <w:adjustRightInd w:val="0"/>
        <w:snapToGrid w:val="0"/>
        <w:spacing w:after="0" w:line="360" w:lineRule="auto"/>
        <w:jc w:val="center"/>
        <w:rPr>
          <w:rFonts w:ascii="宋体" w:hAnsi="宋体" w:cs="宋体"/>
          <w:b/>
          <w:bCs/>
          <w:color w:val="auto"/>
          <w:sz w:val="32"/>
          <w:szCs w:val="32"/>
        </w:rPr>
      </w:pPr>
      <w:r>
        <w:rPr>
          <w:rFonts w:ascii="宋体" w:hAnsi="宋体" w:cs="宋体" w:hint="eastAsia"/>
          <w:b/>
          <w:bCs/>
          <w:color w:val="auto"/>
          <w:sz w:val="32"/>
          <w:szCs w:val="32"/>
        </w:rPr>
        <w:t>八、其他</w:t>
      </w:r>
    </w:p>
    <w:p w14:paraId="2C80044B">
      <w:pPr>
        <w:topLinePunct/>
        <w:autoSpaceDE w:val="0"/>
        <w:autoSpaceDN w:val="0"/>
        <w:adjustRightInd w:val="0"/>
        <w:snapToGrid w:val="0"/>
        <w:spacing w:after="0" w:line="360" w:lineRule="auto"/>
        <w:ind w:firstLine="480" w:firstLineChars="200"/>
        <w:rPr>
          <w:rFonts w:ascii="宋体" w:hAnsi="宋体" w:cs="宋体"/>
          <w:b/>
          <w:color w:val="auto"/>
          <w:sz w:val="24"/>
        </w:rPr>
      </w:pPr>
    </w:p>
    <w:p w14:paraId="3ED8EC58">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ascii="宋体" w:hAnsi="宋体" w:cs="宋体" w:hint="eastAsia"/>
          <w:b/>
          <w:color w:val="auto"/>
          <w:sz w:val="24"/>
        </w:rPr>
        <w:t>28</w:t>
      </w:r>
      <w:r>
        <w:rPr>
          <w:rFonts w:ascii="宋体" w:hAnsi="宋体" w:cs="宋体" w:hint="eastAsia"/>
          <w:color w:val="auto"/>
          <w:szCs w:val="21"/>
        </w:rPr>
        <w:t>．</w:t>
      </w:r>
      <w:r>
        <w:rPr>
          <w:rFonts w:ascii="宋体" w:hAnsi="宋体" w:cs="宋体" w:hint="eastAsia"/>
          <w:b/>
          <w:color w:val="auto"/>
          <w:sz w:val="24"/>
        </w:rPr>
        <w:t>保密</w:t>
      </w:r>
    </w:p>
    <w:p w14:paraId="4CE19B6E">
      <w:pPr>
        <w:widowControl/>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28.1 采购人应当采取必要措施，保证评标在严格保密的情况下进行。除采购人代表、评标现场组织人员外，采购人的其他工作人员以及与评标工作无关的人员不得进入评标现场。</w:t>
      </w:r>
    </w:p>
    <w:p w14:paraId="5ED3D297">
      <w:pPr>
        <w:topLinePunct/>
        <w:autoSpaceDE w:val="0"/>
        <w:autoSpaceDN w:val="0"/>
        <w:adjustRightInd w:val="0"/>
        <w:snapToGrid w:val="0"/>
        <w:spacing w:after="0" w:line="360" w:lineRule="auto"/>
        <w:ind w:firstLine="480" w:firstLineChars="200"/>
        <w:rPr>
          <w:rFonts w:ascii="宋体" w:hAnsi="宋体" w:cs="宋体"/>
          <w:color w:val="auto"/>
          <w:sz w:val="24"/>
        </w:rPr>
      </w:pPr>
      <w:r>
        <w:rPr>
          <w:rFonts w:ascii="宋体" w:hAnsi="宋体" w:cs="宋体" w:hint="eastAsia"/>
          <w:color w:val="auto"/>
          <w:sz w:val="24"/>
        </w:rPr>
        <w:t>28.2 评标委员会成员和参与评标工作的有关人员对评标情况以及在评标过程中获悉的国家秘密、商业秘密负有保密责任。</w:t>
      </w:r>
    </w:p>
    <w:p w14:paraId="577DC978">
      <w:pPr>
        <w:topLinePunct/>
        <w:autoSpaceDE w:val="0"/>
        <w:autoSpaceDN w:val="0"/>
        <w:adjustRightInd w:val="0"/>
        <w:snapToGrid w:val="0"/>
        <w:spacing w:after="0" w:line="360" w:lineRule="auto"/>
        <w:rPr>
          <w:rFonts w:ascii="宋体" w:hAnsi="宋体" w:cs="宋体"/>
          <w:b/>
          <w:color w:val="auto"/>
          <w:sz w:val="24"/>
          <w:highlight w:val="none"/>
        </w:rPr>
      </w:pPr>
    </w:p>
    <w:p w14:paraId="07FB2404">
      <w:pPr>
        <w:topLinePunct/>
        <w:autoSpaceDE w:val="0"/>
        <w:autoSpaceDN w:val="0"/>
        <w:adjustRightInd w:val="0"/>
        <w:snapToGrid w:val="0"/>
        <w:spacing w:after="0" w:line="360" w:lineRule="auto"/>
        <w:ind w:firstLine="480" w:firstLineChars="200"/>
        <w:rPr>
          <w:rFonts w:ascii="宋体" w:hAnsi="宋体" w:cs="宋体"/>
          <w:b/>
          <w:color w:val="auto"/>
          <w:sz w:val="24"/>
          <w:highlight w:val="none"/>
        </w:rPr>
      </w:pPr>
      <w:r>
        <w:rPr>
          <w:rFonts w:ascii="宋体" w:hAnsi="宋体" w:cs="宋体" w:hint="eastAsia"/>
          <w:b/>
          <w:color w:val="auto"/>
          <w:sz w:val="24"/>
          <w:highlight w:val="none"/>
        </w:rPr>
        <w:t>29. 知识产权与规避专利、版权纠纷</w:t>
      </w:r>
    </w:p>
    <w:p w14:paraId="707ABDF8">
      <w:pPr>
        <w:widowControl/>
        <w:topLinePunct/>
        <w:autoSpaceDE w:val="0"/>
        <w:autoSpaceDN w:val="0"/>
        <w:adjustRightInd w:val="0"/>
        <w:snapToGrid w:val="0"/>
        <w:spacing w:after="0" w:line="360" w:lineRule="auto"/>
        <w:ind w:firstLine="480" w:firstLineChars="200"/>
        <w:rPr>
          <w:rFonts w:ascii="宋体" w:hAnsi="宋体" w:cs="宋体" w:hint="eastAsia"/>
          <w:color w:val="auto"/>
          <w:sz w:val="24"/>
        </w:rPr>
      </w:pPr>
      <w:r>
        <w:rPr>
          <w:rFonts w:ascii="宋体" w:hAnsi="宋体" w:cs="宋体" w:hint="eastAsia"/>
          <w:color w:val="auto"/>
          <w:sz w:val="24"/>
          <w:lang w:eastAsia="zh-CN"/>
        </w:rPr>
        <w:t>2</w:t>
      </w:r>
      <w:r>
        <w:rPr>
          <w:rFonts w:ascii="宋体" w:hAnsi="宋体" w:cs="宋体" w:hint="eastAsia"/>
          <w:color w:val="auto"/>
          <w:sz w:val="24"/>
          <w:lang w:val="en-US" w:eastAsia="zh-CN"/>
        </w:rPr>
        <w:t>9</w:t>
      </w:r>
      <w:r>
        <w:rPr>
          <w:rFonts w:ascii="宋体" w:hAnsi="宋体" w:cs="宋体" w:hint="eastAsia"/>
          <w:color w:val="auto"/>
          <w:sz w:val="24"/>
        </w:rPr>
        <w:t>.1 知识产权</w:t>
      </w:r>
    </w:p>
    <w:p w14:paraId="7A8386E4">
      <w:pPr>
        <w:widowControl/>
        <w:topLinePunct/>
        <w:autoSpaceDE w:val="0"/>
        <w:autoSpaceDN w:val="0"/>
        <w:adjustRightInd w:val="0"/>
        <w:snapToGrid w:val="0"/>
        <w:spacing w:after="0" w:line="360" w:lineRule="auto"/>
        <w:ind w:firstLine="480" w:firstLineChars="200"/>
        <w:rPr>
          <w:rFonts w:ascii="宋体" w:hAnsi="宋体" w:cs="宋体" w:hint="eastAsia"/>
          <w:color w:val="auto"/>
          <w:sz w:val="24"/>
        </w:rPr>
      </w:pPr>
      <w:r>
        <w:rPr>
          <w:rFonts w:ascii="宋体" w:hAnsi="宋体" w:cs="宋体" w:hint="eastAsia"/>
          <w:color w:val="auto"/>
          <w:sz w:val="24"/>
          <w:lang w:val="en-US" w:eastAsia="zh-CN"/>
        </w:rPr>
        <w:t>29</w:t>
      </w:r>
      <w:r>
        <w:rPr>
          <w:rFonts w:ascii="宋体" w:hAnsi="宋体" w:cs="宋体" w:hint="eastAsia"/>
          <w:color w:val="auto"/>
          <w:sz w:val="24"/>
        </w:rPr>
        <w:t xml:space="preserve">.1.1 </w:t>
      </w:r>
      <w:r>
        <w:rPr>
          <w:rFonts w:ascii="宋体" w:hAnsi="宋体" w:cs="宋体" w:hint="eastAsia"/>
          <w:color w:val="auto"/>
          <w:sz w:val="24"/>
          <w:lang w:val="en-US" w:eastAsia="zh-CN"/>
        </w:rPr>
        <w:t>本项目涉及需开发的系统的版权属于采购人所有</w:t>
      </w:r>
      <w:r>
        <w:rPr>
          <w:rFonts w:ascii="宋体" w:hAnsi="宋体" w:cs="宋体" w:hint="eastAsia"/>
          <w:color w:val="auto"/>
          <w:sz w:val="24"/>
          <w:lang w:eastAsia="zh-CN"/>
        </w:rPr>
        <w:t>，中标人应向采购人开放并提供涉及本项目软件开发、升级完善、运行维护等工作的全部源代码（含保证期内的后续升级版本）。由本项目系统形成的技术和成果的专利申请权、专利权、技术秘密的所有权、使用权、转让权等知识产权归采购人所有</w:t>
      </w:r>
      <w:r>
        <w:rPr>
          <w:rFonts w:ascii="宋体" w:hAnsi="宋体" w:cs="宋体" w:hint="eastAsia"/>
          <w:color w:val="auto"/>
          <w:sz w:val="24"/>
        </w:rPr>
        <w:t>。</w:t>
      </w:r>
    </w:p>
    <w:p w14:paraId="530A35D9">
      <w:pPr>
        <w:widowControl/>
        <w:topLinePunct/>
        <w:autoSpaceDE w:val="0"/>
        <w:autoSpaceDN w:val="0"/>
        <w:adjustRightInd w:val="0"/>
        <w:snapToGrid w:val="0"/>
        <w:spacing w:after="0" w:line="360" w:lineRule="auto"/>
        <w:ind w:firstLine="480" w:firstLineChars="200"/>
        <w:rPr>
          <w:rFonts w:ascii="宋体" w:hAnsi="宋体" w:cs="宋体" w:hint="eastAsia"/>
          <w:color w:val="auto"/>
          <w:sz w:val="24"/>
        </w:rPr>
      </w:pPr>
      <w:r>
        <w:rPr>
          <w:rFonts w:ascii="宋体" w:hAnsi="宋体" w:cs="宋体" w:hint="eastAsia"/>
          <w:color w:val="auto"/>
          <w:sz w:val="24"/>
          <w:lang w:val="en-US" w:eastAsia="zh-CN"/>
        </w:rPr>
        <w:t>29</w:t>
      </w:r>
      <w:r>
        <w:rPr>
          <w:rFonts w:ascii="宋体" w:hAnsi="宋体" w:cs="宋体" w:hint="eastAsia"/>
          <w:color w:val="auto"/>
          <w:sz w:val="24"/>
        </w:rPr>
        <w:t>.2 规避专利、版权纠纷</w:t>
      </w:r>
    </w:p>
    <w:p w14:paraId="4396EACC">
      <w:pPr>
        <w:widowControl/>
        <w:topLinePunct/>
        <w:autoSpaceDE w:val="0"/>
        <w:autoSpaceDN w:val="0"/>
        <w:adjustRightInd w:val="0"/>
        <w:snapToGrid w:val="0"/>
        <w:spacing w:after="0" w:line="360" w:lineRule="auto"/>
        <w:ind w:firstLine="480" w:firstLineChars="200"/>
        <w:rPr>
          <w:rFonts w:ascii="宋体" w:hAnsi="宋体" w:cs="宋体" w:hint="eastAsia"/>
          <w:color w:val="auto"/>
          <w:sz w:val="24"/>
        </w:rPr>
      </w:pPr>
      <w:r>
        <w:rPr>
          <w:rFonts w:ascii="宋体" w:hAnsi="宋体" w:cs="宋体" w:hint="eastAsia"/>
          <w:color w:val="auto"/>
          <w:sz w:val="24"/>
          <w:lang w:val="en-US" w:eastAsia="zh-CN"/>
        </w:rPr>
        <w:t>29</w:t>
      </w:r>
      <w:r>
        <w:rPr>
          <w:rFonts w:ascii="宋体" w:hAnsi="宋体" w:cs="宋体" w:hint="eastAsia"/>
          <w:color w:val="auto"/>
          <w:sz w:val="24"/>
        </w:rPr>
        <w:t>.2.1 投标人应保证其投标方案中的有关软件、文件、图纸等没有违反有关专利和版权等知识产权的规定。</w:t>
      </w:r>
    </w:p>
    <w:p w14:paraId="247E22A7">
      <w:pPr>
        <w:widowControl/>
        <w:topLinePunct/>
        <w:autoSpaceDE w:val="0"/>
        <w:autoSpaceDN w:val="0"/>
        <w:adjustRightInd w:val="0"/>
        <w:snapToGrid w:val="0"/>
        <w:spacing w:after="0" w:line="360" w:lineRule="auto"/>
        <w:ind w:firstLine="480" w:firstLineChars="200"/>
        <w:rPr>
          <w:rFonts w:ascii="宋体" w:hAnsi="宋体" w:cs="宋体" w:hint="eastAsia"/>
          <w:color w:val="auto"/>
          <w:sz w:val="24"/>
        </w:rPr>
      </w:pPr>
      <w:r>
        <w:rPr>
          <w:rFonts w:ascii="宋体" w:hAnsi="宋体" w:cs="宋体" w:hint="eastAsia"/>
          <w:color w:val="auto"/>
          <w:sz w:val="24"/>
          <w:lang w:val="en-US" w:eastAsia="zh-CN"/>
        </w:rPr>
        <w:t>29</w:t>
      </w:r>
      <w:r>
        <w:rPr>
          <w:rFonts w:ascii="宋体" w:hAnsi="宋体" w:cs="宋体" w:hint="eastAsia"/>
          <w:color w:val="auto"/>
          <w:sz w:val="24"/>
        </w:rPr>
        <w:t>.2.2 中标人应保证采购人在中华人民共和国使用本项目成果任何一部分、或接受乙方服务时，免受第三方提出的侵犯其专利权、商标权或工业设计权等知识产权的索赔或起诉。</w:t>
      </w:r>
    </w:p>
    <w:p w14:paraId="0DF7502D">
      <w:pPr>
        <w:widowControl/>
        <w:topLinePunct/>
        <w:autoSpaceDE w:val="0"/>
        <w:autoSpaceDN w:val="0"/>
        <w:adjustRightInd w:val="0"/>
        <w:snapToGrid w:val="0"/>
        <w:spacing w:after="0" w:line="360" w:lineRule="auto"/>
        <w:ind w:firstLine="480" w:firstLineChars="200"/>
        <w:rPr>
          <w:rFonts w:ascii="宋体" w:hAnsi="宋体" w:cs="宋体" w:hint="eastAsia"/>
          <w:color w:val="auto"/>
          <w:sz w:val="24"/>
        </w:rPr>
      </w:pPr>
      <w:r>
        <w:rPr>
          <w:rFonts w:ascii="宋体" w:hAnsi="宋体" w:cs="宋体" w:hint="eastAsia"/>
          <w:color w:val="auto"/>
          <w:sz w:val="24"/>
          <w:lang w:val="en-US" w:eastAsia="zh-CN"/>
        </w:rPr>
        <w:t>29</w:t>
      </w:r>
      <w:r>
        <w:rPr>
          <w:rFonts w:ascii="宋体" w:hAnsi="宋体" w:cs="宋体" w:hint="eastAsia"/>
          <w:color w:val="auto"/>
          <w:sz w:val="24"/>
        </w:rPr>
        <w:t>.2.3 如果采购人在使用本项目任何一部分时被任何第三方诉称侵犯了第三方知识产权或任何其它权利，中标人应负责处理这一指控并应以中标人的名义自负费用向起诉方提出抗辩。由此可能产生的一切法律责任和经济责任均由中标人承担。</w:t>
      </w:r>
    </w:p>
    <w:p w14:paraId="298E15A5">
      <w:pPr>
        <w:widowControl/>
        <w:topLinePunct/>
        <w:autoSpaceDE w:val="0"/>
        <w:autoSpaceDN w:val="0"/>
        <w:adjustRightInd w:val="0"/>
        <w:snapToGrid w:val="0"/>
        <w:spacing w:after="0" w:line="360" w:lineRule="auto"/>
        <w:ind w:firstLine="480" w:firstLineChars="200"/>
        <w:rPr>
          <w:rFonts w:ascii="宋体" w:hAnsi="宋体" w:cs="宋体" w:hint="eastAsia"/>
          <w:color w:val="auto"/>
          <w:sz w:val="24"/>
          <w:highlight w:val="none"/>
        </w:rPr>
      </w:pPr>
      <w:r>
        <w:rPr>
          <w:rFonts w:ascii="宋体" w:hAnsi="宋体" w:cs="宋体" w:hint="eastAsia"/>
          <w:color w:val="auto"/>
          <w:sz w:val="24"/>
          <w:lang w:val="en-US" w:eastAsia="zh-CN"/>
        </w:rPr>
        <w:t>29</w:t>
      </w:r>
      <w:r>
        <w:rPr>
          <w:rFonts w:ascii="宋体" w:hAnsi="宋体" w:cs="宋体" w:hint="eastAsia"/>
          <w:color w:val="auto"/>
          <w:sz w:val="24"/>
        </w:rPr>
        <w:t>.2.4 如果采购人发现任何第三方在采购人未被许可的范围内非法使用采购人获得的知识产权，采购人应通知中标人。中标人应在收到采购人通知后14天内采取行动制止非法使用行为，否则由中标人承担相应的责任。</w:t>
      </w:r>
    </w:p>
    <w:p w14:paraId="6089060D">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0"/>
        <w:rPr>
          <w:rFonts w:ascii="宋体" w:hAnsi="宋体" w:cs="宋体"/>
          <w:color w:val="auto"/>
          <w:sz w:val="24"/>
          <w:highlight w:val="none"/>
        </w:rPr>
      </w:pPr>
      <w:r>
        <w:rPr>
          <w:color w:val="auto"/>
          <w:sz w:val="24"/>
          <w:highlight w:val="none"/>
        </w:rPr>
        <w:br w:type="page"/>
      </w:r>
      <w:bookmarkStart w:id="45" w:name="_Toc1481241717"/>
      <w:bookmarkStart w:id="46" w:name="_Toc38030149"/>
      <w:bookmarkStart w:id="47" w:name="_Toc1380332034"/>
      <w:bookmarkStart w:id="48" w:name="_Toc1168671576"/>
      <w:bookmarkStart w:id="49" w:name="_Toc937455070"/>
      <w:bookmarkStart w:id="50" w:name="_Toc1762322514"/>
      <w:bookmarkStart w:id="51" w:name="_Toc525052846"/>
      <w:bookmarkStart w:id="52" w:name="_Toc256000002"/>
      <w:r>
        <w:rPr>
          <w:rStyle w:val="1Char"/>
          <w:rFonts w:hint="eastAsia"/>
          <w:color w:val="auto"/>
          <w:highlight w:val="none"/>
          <w:lang w:val="en-US" w:eastAsia="zh-CN"/>
        </w:rPr>
        <w:t>第三章　评标方法及标准</w:t>
      </w:r>
      <w:bookmarkEnd w:id="52"/>
      <w:bookmarkEnd w:id="45"/>
      <w:bookmarkEnd w:id="46"/>
      <w:bookmarkEnd w:id="47"/>
      <w:bookmarkEnd w:id="48"/>
      <w:bookmarkEnd w:id="49"/>
      <w:bookmarkEnd w:id="50"/>
      <w:bookmarkEnd w:id="51"/>
    </w:p>
    <w:p w:rsidR="00A77B3E">
      <w:pPr>
        <w:spacing w:line="360" w:lineRule="auto"/>
        <w:rPr>
          <w:rFonts w:ascii="宋体" w:eastAsia="宋体" w:hAnsi="宋体" w:cs="宋体"/>
        </w:rPr>
      </w:pPr>
      <w:bookmarkStart w:id="53" w:name="评审办法_zxzbsw_PSBF"/>
      <w:r>
        <w:rPr>
          <w:rFonts w:ascii="宋体" w:eastAsia="宋体" w:hAnsi="宋体" w:cs="宋体"/>
          <w:sz w:val="24"/>
        </w:rPr>
        <w:t xml:space="preserve">    </w:t>
      </w:r>
      <w:r>
        <w:rPr>
          <w:rFonts w:ascii="宋体" w:eastAsia="宋体" w:hAnsi="宋体" w:cs="宋体"/>
          <w:sz w:val="24"/>
        </w:rPr>
        <w:t>包件1：</w:t>
      </w:r>
    </w:p>
    <w:p w:rsidR="00A77B3E">
      <w:pPr>
        <w:spacing w:line="360" w:lineRule="auto"/>
        <w:rPr>
          <w:rFonts w:ascii="宋体" w:eastAsia="宋体" w:hAnsi="宋体" w:cs="宋体"/>
        </w:rPr>
      </w:pPr>
      <w:r>
        <w:rPr>
          <w:rFonts w:ascii="宋体" w:eastAsia="宋体" w:hAnsi="宋体" w:cs="宋体"/>
          <w:sz w:val="24"/>
        </w:rPr>
        <w:t xml:space="preserve">    根据财政部《政府采购货物和服务招标投标管理办法》（财政部令第87号）第五十五条规定，本项目采用综合评分法，其中价格分值20分，客观分值65分，主观分值15分。具体评审标准如下：</w:t>
      </w:r>
    </w:p>
    <w:tbl>
      <w:tblPr>
        <w:tblStyle w:val="TableNorm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8" w:type="dxa"/>
          <w:right w:w="108" w:type="dxa"/>
        </w:tblCellMar>
      </w:tblPr>
      <w:tblGrid>
        <w:gridCol w:w="669"/>
        <w:gridCol w:w="1276"/>
        <w:gridCol w:w="1134"/>
        <w:gridCol w:w="1276"/>
        <w:gridCol w:w="3475"/>
        <w:gridCol w:w="1196"/>
      </w:tblGrid>
      <w:tr>
        <w:tblPrEx>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8" w:type="dxa"/>
            <w:right w:w="108" w:type="dxa"/>
          </w:tblCellMar>
        </w:tblPrEx>
        <w:tc>
          <w:tcPr>
            <w:tcW w:w="669" w:type="dxa"/>
            <w:vAlign w:val="center"/>
          </w:tcPr>
          <w:p>
            <w:pPr>
              <w:spacing w:before="48" w:after="48" w:line="240" w:lineRule="auto"/>
              <w:jc w:val="center"/>
            </w:pPr>
            <w:r>
              <w:rPr>
                <w:rFonts w:ascii="宋体" w:eastAsia="宋体" w:hAnsi="宋体" w:cs="宋体"/>
                <w:b/>
                <w:sz w:val="21"/>
              </w:rPr>
              <w:t>序号</w:t>
            </w:r>
          </w:p>
        </w:tc>
        <w:tc>
          <w:tcPr>
            <w:tcW w:w="1276" w:type="dxa"/>
            <w:vAlign w:val="center"/>
          </w:tcPr>
          <w:p>
            <w:pPr>
              <w:spacing w:before="48" w:after="48" w:line="240" w:lineRule="auto"/>
              <w:jc w:val="center"/>
            </w:pPr>
            <w:r>
              <w:rPr>
                <w:rFonts w:ascii="宋体" w:eastAsia="宋体" w:hAnsi="宋体" w:cs="宋体"/>
                <w:b/>
                <w:sz w:val="21"/>
              </w:rPr>
              <w:t>类别</w:t>
            </w:r>
          </w:p>
        </w:tc>
        <w:tc>
          <w:tcPr>
            <w:tcW w:w="1134" w:type="dxa"/>
            <w:vAlign w:val="center"/>
          </w:tcPr>
          <w:p>
            <w:pPr>
              <w:spacing w:before="48" w:after="48" w:line="240" w:lineRule="auto"/>
              <w:jc w:val="center"/>
            </w:pPr>
            <w:r>
              <w:rPr>
                <w:rFonts w:ascii="宋体" w:eastAsia="宋体" w:hAnsi="宋体" w:cs="宋体"/>
                <w:b/>
                <w:sz w:val="21"/>
              </w:rPr>
              <w:t>评审因素</w:t>
            </w:r>
          </w:p>
        </w:tc>
        <w:tc>
          <w:tcPr>
            <w:tcW w:w="1276" w:type="dxa"/>
            <w:vAlign w:val="center"/>
          </w:tcPr>
          <w:p>
            <w:pPr>
              <w:spacing w:before="48" w:after="48" w:line="240" w:lineRule="auto"/>
              <w:jc w:val="center"/>
            </w:pPr>
            <w:r>
              <w:rPr>
                <w:rFonts w:ascii="宋体" w:eastAsia="宋体" w:hAnsi="宋体" w:cs="宋体"/>
                <w:b/>
                <w:sz w:val="21"/>
              </w:rPr>
              <w:t>主要内容</w:t>
            </w:r>
          </w:p>
        </w:tc>
        <w:tc>
          <w:tcPr>
            <w:tcW w:w="3475" w:type="dxa"/>
            <w:vAlign w:val="center"/>
          </w:tcPr>
          <w:p>
            <w:pPr>
              <w:spacing w:before="48" w:after="48" w:line="240" w:lineRule="auto"/>
              <w:jc w:val="center"/>
            </w:pPr>
            <w:r>
              <w:rPr>
                <w:rFonts w:ascii="宋体" w:eastAsia="宋体" w:hAnsi="宋体" w:cs="宋体"/>
                <w:b/>
                <w:sz w:val="21"/>
              </w:rPr>
              <w:t>指标要求</w:t>
            </w:r>
          </w:p>
        </w:tc>
        <w:tc>
          <w:tcPr>
            <w:tcW w:w="1196" w:type="dxa"/>
            <w:vAlign w:val="center"/>
          </w:tcPr>
          <w:p>
            <w:pPr>
              <w:spacing w:before="48" w:after="48" w:line="240" w:lineRule="auto"/>
              <w:jc w:val="center"/>
            </w:pPr>
            <w:r>
              <w:rPr>
                <w:rFonts w:ascii="宋体" w:eastAsia="宋体" w:hAnsi="宋体" w:cs="宋体"/>
                <w:b/>
                <w:sz w:val="21"/>
              </w:rPr>
              <w:t>细项分值</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1</w:t>
            </w:r>
          </w:p>
        </w:tc>
        <w:tc>
          <w:tcPr>
            <w:tcW w:w="360" w:type="dxa"/>
            <w:vMerge w:val="restart"/>
            <w:vAlign w:val="center"/>
          </w:tcPr>
          <w:p>
            <w:pPr>
              <w:spacing w:before="48" w:after="48" w:line="240" w:lineRule="auto"/>
              <w:jc w:val="center"/>
            </w:pPr>
            <w:r>
              <w:rPr>
                <w:rFonts w:ascii="宋体" w:eastAsia="宋体" w:hAnsi="宋体" w:cs="宋体"/>
                <w:sz w:val="21"/>
              </w:rPr>
              <w:t>价格分</w:t>
            </w:r>
            <w:r>
              <w:br/>
            </w:r>
            <w:r>
              <w:rPr>
                <w:rFonts w:ascii="宋体" w:eastAsia="宋体" w:hAnsi="宋体" w:cs="宋体"/>
                <w:sz w:val="21"/>
              </w:rPr>
              <w:t>(20分)</w:t>
            </w:r>
          </w:p>
        </w:tc>
        <w:tc>
          <w:tcPr>
            <w:tcW w:w="360" w:type="dxa"/>
            <w:vMerge w:val="restart"/>
            <w:vAlign w:val="center"/>
          </w:tcPr>
          <w:p>
            <w:pPr>
              <w:spacing w:before="48" w:after="48" w:line="240" w:lineRule="auto"/>
              <w:jc w:val="center"/>
            </w:pPr>
            <w:r>
              <w:rPr>
                <w:rFonts w:ascii="宋体" w:eastAsia="宋体" w:hAnsi="宋体" w:cs="宋体"/>
                <w:sz w:val="21"/>
              </w:rPr>
              <w:t>报价</w:t>
            </w:r>
          </w:p>
        </w:tc>
        <w:tc>
          <w:tcPr>
            <w:tcW w:w="360" w:type="dxa"/>
            <w:vMerge w:val="restart"/>
            <w:vAlign w:val="center"/>
          </w:tcPr>
          <w:p>
            <w:pPr>
              <w:spacing w:before="48" w:after="48" w:line="240" w:lineRule="auto"/>
              <w:jc w:val="center"/>
            </w:pPr>
            <w:r>
              <w:rPr>
                <w:rFonts w:ascii="宋体" w:eastAsia="宋体" w:hAnsi="宋体" w:cs="宋体"/>
                <w:sz w:val="21"/>
              </w:rPr>
              <w:t>价格</w:t>
            </w:r>
          </w:p>
        </w:tc>
        <w:tc>
          <w:tcPr>
            <w:tcW w:w="360" w:type="dxa"/>
          </w:tcPr>
          <w:p>
            <w:pPr>
              <w:spacing w:before="48" w:after="48" w:line="240" w:lineRule="auto"/>
            </w:pPr>
            <w:r>
              <w:rPr>
                <w:rFonts w:ascii="宋体" w:eastAsia="宋体" w:hAnsi="宋体" w:cs="宋体"/>
                <w:sz w:val="21"/>
              </w:rPr>
              <w:t>得分S＝（Pmin/P）×20，其中：Pmin为所有供应商的最低有效报价，P为供应商有效报价。</w:t>
            </w:r>
          </w:p>
        </w:tc>
        <w:tc>
          <w:tcPr>
            <w:tcW w:w="360" w:type="dxa"/>
            <w:vMerge w:val="restart"/>
            <w:vAlign w:val="center"/>
          </w:tcPr>
          <w:p>
            <w:pPr>
              <w:spacing w:before="48" w:after="48" w:line="240" w:lineRule="auto"/>
              <w:jc w:val="center"/>
            </w:pPr>
            <w:r>
              <w:rPr>
                <w:rFonts w:ascii="宋体" w:eastAsia="宋体" w:hAnsi="宋体" w:cs="宋体"/>
                <w:sz w:val="21"/>
              </w:rPr>
              <w:t>20</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2</w:t>
            </w:r>
          </w:p>
        </w:tc>
        <w:tc>
          <w:tcPr>
            <w:tcW w:w="360" w:type="dxa"/>
            <w:vMerge w:val="restart"/>
            <w:vAlign w:val="center"/>
          </w:tcPr>
          <w:p>
            <w:pPr>
              <w:spacing w:before="48" w:after="48" w:line="240" w:lineRule="auto"/>
              <w:jc w:val="center"/>
            </w:pPr>
            <w:r>
              <w:rPr>
                <w:rFonts w:ascii="宋体" w:eastAsia="宋体" w:hAnsi="宋体" w:cs="宋体"/>
                <w:sz w:val="21"/>
              </w:rPr>
              <w:t>客观分</w:t>
            </w:r>
            <w:r>
              <w:br/>
            </w:r>
            <w:r>
              <w:rPr>
                <w:rFonts w:ascii="宋体" w:eastAsia="宋体" w:hAnsi="宋体" w:cs="宋体"/>
                <w:sz w:val="21"/>
              </w:rPr>
              <w:t>(65分)</w:t>
            </w:r>
          </w:p>
        </w:tc>
        <w:tc>
          <w:tcPr>
            <w:tcW w:w="360" w:type="dxa"/>
            <w:vMerge w:val="restart"/>
            <w:vAlign w:val="center"/>
          </w:tcPr>
          <w:p>
            <w:pPr>
              <w:spacing w:before="48" w:after="48" w:line="240" w:lineRule="auto"/>
              <w:jc w:val="center"/>
            </w:pPr>
            <w:r>
              <w:rPr>
                <w:rFonts w:ascii="宋体" w:eastAsia="宋体" w:hAnsi="宋体" w:cs="宋体"/>
                <w:sz w:val="21"/>
              </w:rPr>
              <w:t>相关证书和成功案例</w:t>
            </w:r>
          </w:p>
        </w:tc>
        <w:tc>
          <w:tcPr>
            <w:tcW w:w="360" w:type="dxa"/>
            <w:vMerge w:val="restart"/>
            <w:vAlign w:val="center"/>
          </w:tcPr>
          <w:p>
            <w:pPr>
              <w:spacing w:before="48" w:after="48" w:line="240" w:lineRule="auto"/>
              <w:jc w:val="center"/>
            </w:pPr>
            <w:r>
              <w:rPr>
                <w:rFonts w:ascii="宋体" w:eastAsia="宋体" w:hAnsi="宋体" w:cs="宋体"/>
                <w:sz w:val="21"/>
              </w:rPr>
              <w:t>相关证书（需提供有效期内的资质证书扫描件并加盖公章）</w:t>
            </w:r>
          </w:p>
        </w:tc>
        <w:tc>
          <w:tcPr>
            <w:tcW w:w="360" w:type="dxa"/>
          </w:tcPr>
          <w:p>
            <w:pPr>
              <w:spacing w:before="48" w:after="48" w:line="240" w:lineRule="auto"/>
            </w:pPr>
            <w:r>
              <w:rPr>
                <w:rFonts w:ascii="宋体" w:eastAsia="宋体" w:hAnsi="宋体" w:cs="宋体"/>
                <w:sz w:val="21"/>
              </w:rPr>
              <w:t>提供ISO 9001:2015质量管理体系认证证书、ISO45001:2018职业健康安全管理体系认证证书、ISO14001:2015环境管理体系认证证书，每提供一个得1分，满分3分；不提供，得0分。</w:t>
            </w:r>
          </w:p>
        </w:tc>
        <w:tc>
          <w:tcPr>
            <w:tcW w:w="360" w:type="dxa"/>
            <w:vMerge w:val="restart"/>
            <w:vAlign w:val="center"/>
          </w:tcPr>
          <w:p>
            <w:pPr>
              <w:spacing w:before="48" w:after="48" w:line="240" w:lineRule="auto"/>
              <w:jc w:val="center"/>
            </w:pPr>
            <w:r>
              <w:rPr>
                <w:rFonts w:ascii="宋体" w:eastAsia="宋体" w:hAnsi="宋体" w:cs="宋体"/>
                <w:sz w:val="21"/>
              </w:rPr>
              <w:t>3</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3</w:t>
            </w:r>
          </w:p>
        </w:tc>
        <w:tc>
          <w:tcPr>
            <w:tcW w:w="0" w:type="dxa"/>
            <w:vMerge/>
            <w:vAlign w:val="center"/>
          </w:tcPr>
          <w:p>
            <w:pPr>
              <w:spacing w:before="48" w:after="48" w:line="240" w:lineRule="auto"/>
              <w:jc w:val="center"/>
            </w:pPr>
            <w:r>
              <w:rPr>
                <w:rFonts w:ascii="宋体" w:eastAsia="宋体" w:hAnsi="宋体" w:cs="宋体"/>
                <w:sz w:val="21"/>
              </w:rPr>
              <w:t>客观分</w:t>
            </w:r>
            <w:r>
              <w:br/>
            </w:r>
            <w:r>
              <w:rPr>
                <w:rFonts w:ascii="宋体" w:eastAsia="宋体" w:hAnsi="宋体" w:cs="宋体"/>
                <w:sz w:val="21"/>
              </w:rPr>
              <w:t>(65分)</w:t>
            </w:r>
          </w:p>
        </w:tc>
        <w:tc>
          <w:tcPr>
            <w:tcW w:w="0" w:type="dxa"/>
            <w:vMerge/>
            <w:vAlign w:val="center"/>
          </w:tcPr>
          <w:p>
            <w:pPr>
              <w:spacing w:before="48" w:after="48" w:line="240" w:lineRule="auto"/>
              <w:jc w:val="center"/>
            </w:pPr>
            <w:r>
              <w:rPr>
                <w:rFonts w:ascii="宋体" w:eastAsia="宋体" w:hAnsi="宋体" w:cs="宋体"/>
                <w:sz w:val="21"/>
              </w:rPr>
              <w:t>相关证书和成功案例</w:t>
            </w:r>
          </w:p>
        </w:tc>
        <w:tc>
          <w:tcPr>
            <w:tcW w:w="360" w:type="dxa"/>
            <w:vMerge w:val="restart"/>
            <w:vAlign w:val="center"/>
          </w:tcPr>
          <w:p>
            <w:pPr>
              <w:spacing w:before="48" w:after="48" w:line="240" w:lineRule="auto"/>
              <w:jc w:val="center"/>
            </w:pPr>
            <w:r>
              <w:rPr>
                <w:rFonts w:ascii="宋体" w:eastAsia="宋体" w:hAnsi="宋体" w:cs="宋体"/>
                <w:sz w:val="21"/>
              </w:rPr>
              <w:t>成功案例</w:t>
            </w:r>
          </w:p>
        </w:tc>
        <w:tc>
          <w:tcPr>
            <w:tcW w:w="360" w:type="dxa"/>
          </w:tcPr>
          <w:p>
            <w:pPr>
              <w:spacing w:before="48" w:after="48" w:line="240" w:lineRule="auto"/>
            </w:pPr>
            <w:r>
              <w:rPr>
                <w:rFonts w:ascii="宋体" w:eastAsia="宋体" w:hAnsi="宋体" w:cs="宋体"/>
                <w:sz w:val="21"/>
              </w:rPr>
              <w:t>提供2023年1月1日以来（以合同签订日期为准）独立承担实施的相类似项目的成功案例。服务同一个单位分年度多次签订的案例按1个计算。（应提供合同关键页扫描件并加盖公章）每提供一个相类似项目的成功案例得1分，满分3分；不提供，得0分。</w:t>
            </w:r>
          </w:p>
        </w:tc>
        <w:tc>
          <w:tcPr>
            <w:tcW w:w="360" w:type="dxa"/>
            <w:vMerge w:val="restart"/>
            <w:vAlign w:val="center"/>
          </w:tcPr>
          <w:p>
            <w:pPr>
              <w:spacing w:before="48" w:after="48" w:line="240" w:lineRule="auto"/>
              <w:jc w:val="center"/>
            </w:pPr>
            <w:r>
              <w:rPr>
                <w:rFonts w:ascii="宋体" w:eastAsia="宋体" w:hAnsi="宋体" w:cs="宋体"/>
                <w:sz w:val="21"/>
              </w:rPr>
              <w:t>3</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4</w:t>
            </w:r>
          </w:p>
        </w:tc>
        <w:tc>
          <w:tcPr>
            <w:tcW w:w="0" w:type="dxa"/>
            <w:vMerge/>
            <w:vAlign w:val="center"/>
          </w:tcPr>
          <w:p>
            <w:pPr>
              <w:spacing w:before="48" w:after="48" w:line="240" w:lineRule="auto"/>
              <w:jc w:val="center"/>
            </w:pPr>
            <w:r>
              <w:rPr>
                <w:rFonts w:ascii="宋体" w:eastAsia="宋体" w:hAnsi="宋体" w:cs="宋体"/>
                <w:sz w:val="21"/>
              </w:rPr>
              <w:t>客观分</w:t>
            </w:r>
            <w:r>
              <w:br/>
            </w:r>
            <w:r>
              <w:rPr>
                <w:rFonts w:ascii="宋体" w:eastAsia="宋体" w:hAnsi="宋体" w:cs="宋体"/>
                <w:sz w:val="21"/>
              </w:rPr>
              <w:t>(65分)</w:t>
            </w:r>
          </w:p>
        </w:tc>
        <w:tc>
          <w:tcPr>
            <w:tcW w:w="360" w:type="dxa"/>
            <w:vMerge w:val="restart"/>
            <w:vAlign w:val="center"/>
          </w:tcPr>
          <w:p>
            <w:pPr>
              <w:spacing w:before="48" w:after="48" w:line="240" w:lineRule="auto"/>
              <w:jc w:val="center"/>
            </w:pPr>
            <w:r>
              <w:rPr>
                <w:rFonts w:ascii="宋体" w:eastAsia="宋体" w:hAnsi="宋体" w:cs="宋体"/>
                <w:sz w:val="21"/>
              </w:rPr>
              <w:t>技术力量</w:t>
            </w:r>
          </w:p>
        </w:tc>
        <w:tc>
          <w:tcPr>
            <w:tcW w:w="360" w:type="dxa"/>
            <w:vMerge w:val="restart"/>
            <w:vAlign w:val="center"/>
          </w:tcPr>
          <w:p>
            <w:pPr>
              <w:spacing w:before="48" w:after="48" w:line="240" w:lineRule="auto"/>
              <w:jc w:val="center"/>
            </w:pPr>
            <w:r>
              <w:rPr>
                <w:rFonts w:ascii="宋体" w:eastAsia="宋体" w:hAnsi="宋体" w:cs="宋体"/>
                <w:sz w:val="21"/>
              </w:rPr>
              <w:t>技术力量1</w:t>
            </w:r>
          </w:p>
        </w:tc>
        <w:tc>
          <w:tcPr>
            <w:tcW w:w="360" w:type="dxa"/>
          </w:tcPr>
          <w:p>
            <w:pPr>
              <w:spacing w:before="48" w:after="48" w:line="240" w:lineRule="auto"/>
            </w:pPr>
            <w:r>
              <w:rPr>
                <w:rFonts w:ascii="宋体" w:eastAsia="宋体" w:hAnsi="宋体" w:cs="宋体"/>
                <w:sz w:val="21"/>
              </w:rPr>
              <w:t>配备项目经理，要求：</w:t>
            </w:r>
            <w:r>
              <w:rPr>
                <w:rFonts w:ascii="宋体" w:eastAsia="宋体" w:hAnsi="宋体" w:cs="宋体"/>
                <w:sz w:val="21"/>
              </w:rPr>
              <w:br/>
            </w:r>
            <w:r>
              <w:rPr>
                <w:rFonts w:ascii="宋体" w:eastAsia="宋体" w:hAnsi="宋体" w:cs="宋体"/>
                <w:sz w:val="21"/>
              </w:rPr>
              <w:t>1人。男性年龄：30--55周岁之间，女性年龄：30--50周岁之间；提供投标人为其缴纳的2023年至今连续不少于24个月的社保证明。满足上述全部要求得3分；不满足得0分。</w:t>
            </w:r>
          </w:p>
        </w:tc>
        <w:tc>
          <w:tcPr>
            <w:tcW w:w="360" w:type="dxa"/>
            <w:vMerge w:val="restart"/>
            <w:vAlign w:val="center"/>
          </w:tcPr>
          <w:p>
            <w:pPr>
              <w:spacing w:before="48" w:after="48" w:line="240" w:lineRule="auto"/>
              <w:jc w:val="center"/>
            </w:pPr>
            <w:r>
              <w:rPr>
                <w:rFonts w:ascii="宋体" w:eastAsia="宋体" w:hAnsi="宋体" w:cs="宋体"/>
                <w:sz w:val="21"/>
              </w:rPr>
              <w:t>3</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5</w:t>
            </w:r>
          </w:p>
        </w:tc>
        <w:tc>
          <w:tcPr>
            <w:tcW w:w="0" w:type="dxa"/>
            <w:vMerge/>
            <w:vAlign w:val="center"/>
          </w:tcPr>
          <w:p>
            <w:pPr>
              <w:spacing w:before="48" w:after="48" w:line="240" w:lineRule="auto"/>
              <w:jc w:val="center"/>
            </w:pPr>
            <w:r>
              <w:rPr>
                <w:rFonts w:ascii="宋体" w:eastAsia="宋体" w:hAnsi="宋体" w:cs="宋体"/>
                <w:sz w:val="21"/>
              </w:rPr>
              <w:t>客观分</w:t>
            </w:r>
            <w:r>
              <w:br/>
            </w:r>
            <w:r>
              <w:rPr>
                <w:rFonts w:ascii="宋体" w:eastAsia="宋体" w:hAnsi="宋体" w:cs="宋体"/>
                <w:sz w:val="21"/>
              </w:rPr>
              <w:t>(65分)</w:t>
            </w:r>
          </w:p>
        </w:tc>
        <w:tc>
          <w:tcPr>
            <w:tcW w:w="0" w:type="dxa"/>
            <w:vMerge/>
            <w:vAlign w:val="center"/>
          </w:tcPr>
          <w:p>
            <w:pPr>
              <w:spacing w:before="48" w:after="48" w:line="240" w:lineRule="auto"/>
              <w:jc w:val="center"/>
            </w:pPr>
            <w:r>
              <w:rPr>
                <w:rFonts w:ascii="宋体" w:eastAsia="宋体" w:hAnsi="宋体" w:cs="宋体"/>
                <w:sz w:val="21"/>
              </w:rPr>
              <w:t>技术力量</w:t>
            </w:r>
          </w:p>
        </w:tc>
        <w:tc>
          <w:tcPr>
            <w:tcW w:w="360" w:type="dxa"/>
            <w:vMerge w:val="restart"/>
            <w:vAlign w:val="center"/>
          </w:tcPr>
          <w:p>
            <w:pPr>
              <w:spacing w:before="48" w:after="48" w:line="240" w:lineRule="auto"/>
              <w:jc w:val="center"/>
            </w:pPr>
            <w:r>
              <w:rPr>
                <w:rFonts w:ascii="宋体" w:eastAsia="宋体" w:hAnsi="宋体" w:cs="宋体"/>
                <w:sz w:val="21"/>
              </w:rPr>
              <w:t>技术力量2</w:t>
            </w:r>
          </w:p>
        </w:tc>
        <w:tc>
          <w:tcPr>
            <w:tcW w:w="360" w:type="dxa"/>
          </w:tcPr>
          <w:p>
            <w:pPr>
              <w:spacing w:before="48" w:after="48" w:line="240" w:lineRule="auto"/>
            </w:pPr>
            <w:r>
              <w:rPr>
                <w:rFonts w:ascii="宋体" w:eastAsia="宋体" w:hAnsi="宋体" w:cs="宋体"/>
                <w:sz w:val="21"/>
              </w:rPr>
              <w:t>配备消防员，要求：</w:t>
            </w:r>
            <w:r>
              <w:rPr>
                <w:rFonts w:ascii="宋体" w:eastAsia="宋体" w:hAnsi="宋体" w:cs="宋体"/>
                <w:sz w:val="21"/>
              </w:rPr>
              <w:br/>
            </w:r>
            <w:r>
              <w:rPr>
                <w:rFonts w:ascii="宋体" w:eastAsia="宋体" w:hAnsi="宋体" w:cs="宋体"/>
                <w:sz w:val="21"/>
              </w:rPr>
              <w:t>1人；男性年龄：45周岁以下，持有消防员证，提供投标人为其缴纳的2023年至今连续不少于24个月的社保证明。满足上述全部要求得2分；不满足得0分。</w:t>
            </w:r>
          </w:p>
        </w:tc>
        <w:tc>
          <w:tcPr>
            <w:tcW w:w="360" w:type="dxa"/>
            <w:vMerge w:val="restart"/>
            <w:vAlign w:val="center"/>
          </w:tcPr>
          <w:p>
            <w:pPr>
              <w:spacing w:before="48" w:after="48" w:line="240" w:lineRule="auto"/>
              <w:jc w:val="center"/>
            </w:pPr>
            <w:r>
              <w:rPr>
                <w:rFonts w:ascii="宋体" w:eastAsia="宋体" w:hAnsi="宋体" w:cs="宋体"/>
                <w:sz w:val="21"/>
              </w:rPr>
              <w:t>2</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6</w:t>
            </w:r>
          </w:p>
        </w:tc>
        <w:tc>
          <w:tcPr>
            <w:tcW w:w="0" w:type="dxa"/>
            <w:vMerge/>
            <w:vAlign w:val="center"/>
          </w:tcPr>
          <w:p>
            <w:pPr>
              <w:spacing w:before="48" w:after="48" w:line="240" w:lineRule="auto"/>
              <w:jc w:val="center"/>
            </w:pPr>
            <w:r>
              <w:rPr>
                <w:rFonts w:ascii="宋体" w:eastAsia="宋体" w:hAnsi="宋体" w:cs="宋体"/>
                <w:sz w:val="21"/>
              </w:rPr>
              <w:t>客观分</w:t>
            </w:r>
            <w:r>
              <w:br/>
            </w:r>
            <w:r>
              <w:rPr>
                <w:rFonts w:ascii="宋体" w:eastAsia="宋体" w:hAnsi="宋体" w:cs="宋体"/>
                <w:sz w:val="21"/>
              </w:rPr>
              <w:t>(65分)</w:t>
            </w:r>
          </w:p>
        </w:tc>
        <w:tc>
          <w:tcPr>
            <w:tcW w:w="0" w:type="dxa"/>
            <w:vMerge/>
            <w:vAlign w:val="center"/>
          </w:tcPr>
          <w:p>
            <w:pPr>
              <w:spacing w:before="48" w:after="48" w:line="240" w:lineRule="auto"/>
              <w:jc w:val="center"/>
            </w:pPr>
            <w:r>
              <w:rPr>
                <w:rFonts w:ascii="宋体" w:eastAsia="宋体" w:hAnsi="宋体" w:cs="宋体"/>
                <w:sz w:val="21"/>
              </w:rPr>
              <w:t>技术力量</w:t>
            </w:r>
          </w:p>
        </w:tc>
        <w:tc>
          <w:tcPr>
            <w:tcW w:w="360" w:type="dxa"/>
            <w:vMerge w:val="restart"/>
            <w:vAlign w:val="center"/>
          </w:tcPr>
          <w:p>
            <w:pPr>
              <w:spacing w:before="48" w:after="48" w:line="240" w:lineRule="auto"/>
              <w:jc w:val="center"/>
            </w:pPr>
            <w:r>
              <w:rPr>
                <w:rFonts w:ascii="宋体" w:eastAsia="宋体" w:hAnsi="宋体" w:cs="宋体"/>
                <w:sz w:val="21"/>
              </w:rPr>
              <w:t>技术力量3</w:t>
            </w:r>
          </w:p>
        </w:tc>
        <w:tc>
          <w:tcPr>
            <w:tcW w:w="360" w:type="dxa"/>
          </w:tcPr>
          <w:p>
            <w:pPr>
              <w:spacing w:before="48" w:after="48" w:line="240" w:lineRule="auto"/>
            </w:pPr>
            <w:r>
              <w:rPr>
                <w:rFonts w:ascii="宋体" w:eastAsia="宋体" w:hAnsi="宋体" w:cs="宋体"/>
                <w:sz w:val="21"/>
              </w:rPr>
              <w:t>配备会议服务人员，要求：</w:t>
            </w:r>
            <w:r>
              <w:rPr>
                <w:rFonts w:ascii="宋体" w:eastAsia="宋体" w:hAnsi="宋体" w:cs="宋体"/>
                <w:sz w:val="21"/>
              </w:rPr>
              <w:br/>
            </w:r>
            <w:r>
              <w:rPr>
                <w:rFonts w:ascii="宋体" w:eastAsia="宋体" w:hAnsi="宋体" w:cs="宋体"/>
                <w:sz w:val="21"/>
              </w:rPr>
              <w:t>3人；女性；30至45周岁（含）之间；提供投标人为其缴纳的2023年至今连续不少于24个月的社保证明。</w:t>
            </w:r>
            <w:r>
              <w:rPr>
                <w:rFonts w:ascii="宋体" w:eastAsia="宋体" w:hAnsi="宋体" w:cs="宋体"/>
                <w:sz w:val="21"/>
              </w:rPr>
              <w:br/>
            </w:r>
            <w:r>
              <w:rPr>
                <w:rFonts w:ascii="宋体" w:eastAsia="宋体" w:hAnsi="宋体" w:cs="宋体"/>
                <w:sz w:val="21"/>
              </w:rPr>
              <w:t>满足上述全部要求得6分；不满足得0分。</w:t>
            </w:r>
          </w:p>
        </w:tc>
        <w:tc>
          <w:tcPr>
            <w:tcW w:w="360" w:type="dxa"/>
            <w:vMerge w:val="restart"/>
            <w:vAlign w:val="center"/>
          </w:tcPr>
          <w:p>
            <w:pPr>
              <w:spacing w:before="48" w:after="48" w:line="240" w:lineRule="auto"/>
              <w:jc w:val="center"/>
            </w:pPr>
            <w:r>
              <w:rPr>
                <w:rFonts w:ascii="宋体" w:eastAsia="宋体" w:hAnsi="宋体" w:cs="宋体"/>
                <w:sz w:val="21"/>
              </w:rPr>
              <w:t>6</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7</w:t>
            </w:r>
          </w:p>
        </w:tc>
        <w:tc>
          <w:tcPr>
            <w:tcW w:w="0" w:type="dxa"/>
            <w:vMerge/>
            <w:vAlign w:val="center"/>
          </w:tcPr>
          <w:p>
            <w:pPr>
              <w:spacing w:before="48" w:after="48" w:line="240" w:lineRule="auto"/>
              <w:jc w:val="center"/>
            </w:pPr>
            <w:r>
              <w:rPr>
                <w:rFonts w:ascii="宋体" w:eastAsia="宋体" w:hAnsi="宋体" w:cs="宋体"/>
                <w:sz w:val="21"/>
              </w:rPr>
              <w:t>客观分</w:t>
            </w:r>
            <w:r>
              <w:br/>
            </w:r>
            <w:r>
              <w:rPr>
                <w:rFonts w:ascii="宋体" w:eastAsia="宋体" w:hAnsi="宋体" w:cs="宋体"/>
                <w:sz w:val="21"/>
              </w:rPr>
              <w:t>(65分)</w:t>
            </w:r>
          </w:p>
        </w:tc>
        <w:tc>
          <w:tcPr>
            <w:tcW w:w="0" w:type="dxa"/>
            <w:vMerge/>
            <w:vAlign w:val="center"/>
          </w:tcPr>
          <w:p>
            <w:pPr>
              <w:spacing w:before="48" w:after="48" w:line="240" w:lineRule="auto"/>
              <w:jc w:val="center"/>
            </w:pPr>
            <w:r>
              <w:rPr>
                <w:rFonts w:ascii="宋体" w:eastAsia="宋体" w:hAnsi="宋体" w:cs="宋体"/>
                <w:sz w:val="21"/>
              </w:rPr>
              <w:t>技术力量</w:t>
            </w:r>
          </w:p>
        </w:tc>
        <w:tc>
          <w:tcPr>
            <w:tcW w:w="360" w:type="dxa"/>
            <w:vMerge w:val="restart"/>
            <w:vAlign w:val="center"/>
          </w:tcPr>
          <w:p>
            <w:pPr>
              <w:spacing w:before="48" w:after="48" w:line="240" w:lineRule="auto"/>
              <w:jc w:val="center"/>
            </w:pPr>
            <w:r>
              <w:rPr>
                <w:rFonts w:ascii="宋体" w:eastAsia="宋体" w:hAnsi="宋体" w:cs="宋体"/>
                <w:sz w:val="21"/>
              </w:rPr>
              <w:t>技术力量4</w:t>
            </w:r>
          </w:p>
        </w:tc>
        <w:tc>
          <w:tcPr>
            <w:tcW w:w="360" w:type="dxa"/>
          </w:tcPr>
          <w:p>
            <w:pPr>
              <w:spacing w:before="48" w:after="48" w:line="240" w:lineRule="auto"/>
            </w:pPr>
            <w:r>
              <w:rPr>
                <w:rFonts w:ascii="宋体" w:eastAsia="宋体" w:hAnsi="宋体" w:cs="宋体"/>
                <w:sz w:val="21"/>
              </w:rPr>
              <w:t>配备秩序维护人员，要求：11人；男性；35至60周岁（含）之间；提供投标人为其缴纳的2023年至今连续不少于24个月的社保证明。满足上述全部要求得11分，不满足得0分。</w:t>
            </w:r>
          </w:p>
        </w:tc>
        <w:tc>
          <w:tcPr>
            <w:tcW w:w="360" w:type="dxa"/>
            <w:vMerge w:val="restart"/>
            <w:vAlign w:val="center"/>
          </w:tcPr>
          <w:p>
            <w:pPr>
              <w:spacing w:before="48" w:after="48" w:line="240" w:lineRule="auto"/>
              <w:jc w:val="center"/>
            </w:pPr>
            <w:r>
              <w:rPr>
                <w:rFonts w:ascii="宋体" w:eastAsia="宋体" w:hAnsi="宋体" w:cs="宋体"/>
                <w:sz w:val="21"/>
              </w:rPr>
              <w:t>11</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8</w:t>
            </w:r>
          </w:p>
        </w:tc>
        <w:tc>
          <w:tcPr>
            <w:tcW w:w="0" w:type="dxa"/>
            <w:vMerge/>
            <w:vAlign w:val="center"/>
          </w:tcPr>
          <w:p>
            <w:pPr>
              <w:spacing w:before="48" w:after="48" w:line="240" w:lineRule="auto"/>
              <w:jc w:val="center"/>
            </w:pPr>
            <w:r>
              <w:rPr>
                <w:rFonts w:ascii="宋体" w:eastAsia="宋体" w:hAnsi="宋体" w:cs="宋体"/>
                <w:sz w:val="21"/>
              </w:rPr>
              <w:t>客观分</w:t>
            </w:r>
            <w:r>
              <w:br/>
            </w:r>
            <w:r>
              <w:rPr>
                <w:rFonts w:ascii="宋体" w:eastAsia="宋体" w:hAnsi="宋体" w:cs="宋体"/>
                <w:sz w:val="21"/>
              </w:rPr>
              <w:t>(65分)</w:t>
            </w:r>
          </w:p>
        </w:tc>
        <w:tc>
          <w:tcPr>
            <w:tcW w:w="0" w:type="dxa"/>
            <w:vMerge/>
            <w:vAlign w:val="center"/>
          </w:tcPr>
          <w:p>
            <w:pPr>
              <w:spacing w:before="48" w:after="48" w:line="240" w:lineRule="auto"/>
              <w:jc w:val="center"/>
            </w:pPr>
            <w:r>
              <w:rPr>
                <w:rFonts w:ascii="宋体" w:eastAsia="宋体" w:hAnsi="宋体" w:cs="宋体"/>
                <w:sz w:val="21"/>
              </w:rPr>
              <w:t>技术力量</w:t>
            </w:r>
          </w:p>
        </w:tc>
        <w:tc>
          <w:tcPr>
            <w:tcW w:w="360" w:type="dxa"/>
            <w:vMerge w:val="restart"/>
            <w:vAlign w:val="center"/>
          </w:tcPr>
          <w:p>
            <w:pPr>
              <w:spacing w:before="48" w:after="48" w:line="240" w:lineRule="auto"/>
              <w:jc w:val="center"/>
            </w:pPr>
            <w:r>
              <w:rPr>
                <w:rFonts w:ascii="宋体" w:eastAsia="宋体" w:hAnsi="宋体" w:cs="宋体"/>
                <w:sz w:val="21"/>
              </w:rPr>
              <w:t>技术力量5</w:t>
            </w:r>
          </w:p>
        </w:tc>
        <w:tc>
          <w:tcPr>
            <w:tcW w:w="360" w:type="dxa"/>
          </w:tcPr>
          <w:p>
            <w:pPr>
              <w:spacing w:before="48" w:after="48" w:line="240" w:lineRule="auto"/>
            </w:pPr>
            <w:r>
              <w:rPr>
                <w:rFonts w:ascii="宋体" w:eastAsia="宋体" w:hAnsi="宋体" w:cs="宋体"/>
                <w:sz w:val="21"/>
              </w:rPr>
              <w:t>配备保洁员，要求：7人；女性；50周岁以下；提供投标人为其缴纳的2023年至今连续不少于24个月的社保证明。满足上述全部要求得7分；不满足得0分。</w:t>
            </w:r>
          </w:p>
        </w:tc>
        <w:tc>
          <w:tcPr>
            <w:tcW w:w="360" w:type="dxa"/>
            <w:vMerge w:val="restart"/>
            <w:vAlign w:val="center"/>
          </w:tcPr>
          <w:p>
            <w:pPr>
              <w:spacing w:before="48" w:after="48" w:line="240" w:lineRule="auto"/>
              <w:jc w:val="center"/>
            </w:pPr>
            <w:r>
              <w:rPr>
                <w:rFonts w:ascii="宋体" w:eastAsia="宋体" w:hAnsi="宋体" w:cs="宋体"/>
                <w:sz w:val="21"/>
              </w:rPr>
              <w:t>7</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9</w:t>
            </w:r>
          </w:p>
        </w:tc>
        <w:tc>
          <w:tcPr>
            <w:tcW w:w="0" w:type="dxa"/>
            <w:vMerge/>
            <w:vAlign w:val="center"/>
          </w:tcPr>
          <w:p>
            <w:pPr>
              <w:spacing w:before="48" w:after="48" w:line="240" w:lineRule="auto"/>
              <w:jc w:val="center"/>
            </w:pPr>
            <w:r>
              <w:rPr>
                <w:rFonts w:ascii="宋体" w:eastAsia="宋体" w:hAnsi="宋体" w:cs="宋体"/>
                <w:sz w:val="21"/>
              </w:rPr>
              <w:t>客观分</w:t>
            </w:r>
            <w:r>
              <w:br/>
            </w:r>
            <w:r>
              <w:rPr>
                <w:rFonts w:ascii="宋体" w:eastAsia="宋体" w:hAnsi="宋体" w:cs="宋体"/>
                <w:sz w:val="21"/>
              </w:rPr>
              <w:t>(65分)</w:t>
            </w:r>
          </w:p>
        </w:tc>
        <w:tc>
          <w:tcPr>
            <w:tcW w:w="0" w:type="dxa"/>
            <w:vMerge/>
            <w:vAlign w:val="center"/>
          </w:tcPr>
          <w:p>
            <w:pPr>
              <w:spacing w:before="48" w:after="48" w:line="240" w:lineRule="auto"/>
              <w:jc w:val="center"/>
            </w:pPr>
            <w:r>
              <w:rPr>
                <w:rFonts w:ascii="宋体" w:eastAsia="宋体" w:hAnsi="宋体" w:cs="宋体"/>
                <w:sz w:val="21"/>
              </w:rPr>
              <w:t>技术力量</w:t>
            </w:r>
          </w:p>
        </w:tc>
        <w:tc>
          <w:tcPr>
            <w:tcW w:w="360" w:type="dxa"/>
            <w:vMerge w:val="restart"/>
            <w:vAlign w:val="center"/>
          </w:tcPr>
          <w:p>
            <w:pPr>
              <w:spacing w:before="48" w:after="48" w:line="240" w:lineRule="auto"/>
              <w:jc w:val="center"/>
            </w:pPr>
            <w:r>
              <w:rPr>
                <w:rFonts w:ascii="宋体" w:eastAsia="宋体" w:hAnsi="宋体" w:cs="宋体"/>
                <w:sz w:val="21"/>
              </w:rPr>
              <w:t>技术力量6</w:t>
            </w:r>
          </w:p>
        </w:tc>
        <w:tc>
          <w:tcPr>
            <w:tcW w:w="360" w:type="dxa"/>
          </w:tcPr>
          <w:p>
            <w:pPr>
              <w:spacing w:before="48" w:after="48" w:line="240" w:lineRule="auto"/>
            </w:pPr>
            <w:r>
              <w:rPr>
                <w:rFonts w:ascii="宋体" w:eastAsia="宋体" w:hAnsi="宋体" w:cs="宋体"/>
                <w:sz w:val="21"/>
              </w:rPr>
              <w:t>配备食堂服务人员，要求：15人；女性；50周岁以下；男性；60周岁以下；提供投标人为其缴纳的2023年至今连续不少于24个月的社保证明。满足上述全部要求得15分；不满足得0分。</w:t>
            </w:r>
          </w:p>
        </w:tc>
        <w:tc>
          <w:tcPr>
            <w:tcW w:w="360" w:type="dxa"/>
            <w:vMerge w:val="restart"/>
            <w:vAlign w:val="center"/>
          </w:tcPr>
          <w:p>
            <w:pPr>
              <w:spacing w:before="48" w:after="48" w:line="240" w:lineRule="auto"/>
              <w:jc w:val="center"/>
            </w:pPr>
            <w:r>
              <w:rPr>
                <w:rFonts w:ascii="宋体" w:eastAsia="宋体" w:hAnsi="宋体" w:cs="宋体"/>
                <w:sz w:val="21"/>
              </w:rPr>
              <w:t>15</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10</w:t>
            </w:r>
          </w:p>
        </w:tc>
        <w:tc>
          <w:tcPr>
            <w:tcW w:w="0" w:type="dxa"/>
            <w:vMerge/>
            <w:vAlign w:val="center"/>
          </w:tcPr>
          <w:p>
            <w:pPr>
              <w:spacing w:before="48" w:after="48" w:line="240" w:lineRule="auto"/>
              <w:jc w:val="center"/>
            </w:pPr>
            <w:r>
              <w:rPr>
                <w:rFonts w:ascii="宋体" w:eastAsia="宋体" w:hAnsi="宋体" w:cs="宋体"/>
                <w:sz w:val="21"/>
              </w:rPr>
              <w:t>客观分</w:t>
            </w:r>
            <w:r>
              <w:br/>
            </w:r>
            <w:r>
              <w:rPr>
                <w:rFonts w:ascii="宋体" w:eastAsia="宋体" w:hAnsi="宋体" w:cs="宋体"/>
                <w:sz w:val="21"/>
              </w:rPr>
              <w:t>(65分)</w:t>
            </w:r>
          </w:p>
        </w:tc>
        <w:tc>
          <w:tcPr>
            <w:tcW w:w="0" w:type="dxa"/>
            <w:vMerge/>
            <w:vAlign w:val="center"/>
          </w:tcPr>
          <w:p>
            <w:pPr>
              <w:spacing w:before="48" w:after="48" w:line="240" w:lineRule="auto"/>
              <w:jc w:val="center"/>
            </w:pPr>
            <w:r>
              <w:rPr>
                <w:rFonts w:ascii="宋体" w:eastAsia="宋体" w:hAnsi="宋体" w:cs="宋体"/>
                <w:sz w:val="21"/>
              </w:rPr>
              <w:t>技术力量</w:t>
            </w:r>
          </w:p>
        </w:tc>
        <w:tc>
          <w:tcPr>
            <w:tcW w:w="360" w:type="dxa"/>
            <w:vMerge w:val="restart"/>
            <w:vAlign w:val="center"/>
          </w:tcPr>
          <w:p>
            <w:pPr>
              <w:spacing w:before="48" w:after="48" w:line="240" w:lineRule="auto"/>
              <w:jc w:val="center"/>
            </w:pPr>
            <w:r>
              <w:rPr>
                <w:rFonts w:ascii="宋体" w:eastAsia="宋体" w:hAnsi="宋体" w:cs="宋体"/>
                <w:sz w:val="21"/>
              </w:rPr>
              <w:t>技术力量7</w:t>
            </w:r>
          </w:p>
        </w:tc>
        <w:tc>
          <w:tcPr>
            <w:tcW w:w="360" w:type="dxa"/>
          </w:tcPr>
          <w:p>
            <w:pPr>
              <w:spacing w:before="48" w:after="48" w:line="240" w:lineRule="auto"/>
            </w:pPr>
            <w:r>
              <w:rPr>
                <w:rFonts w:ascii="宋体" w:eastAsia="宋体" w:hAnsi="宋体" w:cs="宋体"/>
                <w:sz w:val="21"/>
              </w:rPr>
              <w:t>配备水暖工，要求：1人；男性30至55周岁（含）之间；提供投标人为其缴纳的2023年至今连续不少于24个月的社保证明。满足上述全部要求得2分；不满足得0分。</w:t>
            </w:r>
          </w:p>
        </w:tc>
        <w:tc>
          <w:tcPr>
            <w:tcW w:w="360" w:type="dxa"/>
            <w:vMerge w:val="restart"/>
            <w:vAlign w:val="center"/>
          </w:tcPr>
          <w:p>
            <w:pPr>
              <w:spacing w:before="48" w:after="48" w:line="240" w:lineRule="auto"/>
              <w:jc w:val="center"/>
            </w:pPr>
            <w:r>
              <w:rPr>
                <w:rFonts w:ascii="宋体" w:eastAsia="宋体" w:hAnsi="宋体" w:cs="宋体"/>
                <w:sz w:val="21"/>
              </w:rPr>
              <w:t>2</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11</w:t>
            </w:r>
          </w:p>
        </w:tc>
        <w:tc>
          <w:tcPr>
            <w:tcW w:w="0" w:type="dxa"/>
            <w:vMerge/>
            <w:vAlign w:val="center"/>
          </w:tcPr>
          <w:p>
            <w:pPr>
              <w:spacing w:before="48" w:after="48" w:line="240" w:lineRule="auto"/>
              <w:jc w:val="center"/>
            </w:pPr>
            <w:r>
              <w:rPr>
                <w:rFonts w:ascii="宋体" w:eastAsia="宋体" w:hAnsi="宋体" w:cs="宋体"/>
                <w:sz w:val="21"/>
              </w:rPr>
              <w:t>客观分</w:t>
            </w:r>
            <w:r>
              <w:br/>
            </w:r>
            <w:r>
              <w:rPr>
                <w:rFonts w:ascii="宋体" w:eastAsia="宋体" w:hAnsi="宋体" w:cs="宋体"/>
                <w:sz w:val="21"/>
              </w:rPr>
              <w:t>(65分)</w:t>
            </w:r>
          </w:p>
        </w:tc>
        <w:tc>
          <w:tcPr>
            <w:tcW w:w="0" w:type="dxa"/>
            <w:vMerge/>
            <w:vAlign w:val="center"/>
          </w:tcPr>
          <w:p>
            <w:pPr>
              <w:spacing w:before="48" w:after="48" w:line="240" w:lineRule="auto"/>
              <w:jc w:val="center"/>
            </w:pPr>
            <w:r>
              <w:rPr>
                <w:rFonts w:ascii="宋体" w:eastAsia="宋体" w:hAnsi="宋体" w:cs="宋体"/>
                <w:sz w:val="21"/>
              </w:rPr>
              <w:t>技术力量</w:t>
            </w:r>
          </w:p>
        </w:tc>
        <w:tc>
          <w:tcPr>
            <w:tcW w:w="360" w:type="dxa"/>
            <w:vMerge w:val="restart"/>
            <w:vAlign w:val="center"/>
          </w:tcPr>
          <w:p>
            <w:pPr>
              <w:spacing w:before="48" w:after="48" w:line="240" w:lineRule="auto"/>
              <w:jc w:val="center"/>
            </w:pPr>
            <w:r>
              <w:rPr>
                <w:rFonts w:ascii="宋体" w:eastAsia="宋体" w:hAnsi="宋体" w:cs="宋体"/>
                <w:sz w:val="21"/>
              </w:rPr>
              <w:t>技术力量8</w:t>
            </w:r>
          </w:p>
        </w:tc>
        <w:tc>
          <w:tcPr>
            <w:tcW w:w="360" w:type="dxa"/>
          </w:tcPr>
          <w:p>
            <w:pPr>
              <w:spacing w:before="48" w:after="48" w:line="240" w:lineRule="auto"/>
            </w:pPr>
            <w:r>
              <w:rPr>
                <w:rFonts w:ascii="宋体" w:eastAsia="宋体" w:hAnsi="宋体" w:cs="宋体"/>
                <w:sz w:val="21"/>
              </w:rPr>
              <w:t>配备高压电工，要求：4人；男性；年龄30至55周岁（含）之间；提供投标人为其缴纳的2023年至今连续不少于24个月的社保证明。满足上述全部要求得6分；不满足得0分。</w:t>
            </w:r>
          </w:p>
        </w:tc>
        <w:tc>
          <w:tcPr>
            <w:tcW w:w="360" w:type="dxa"/>
            <w:vMerge w:val="restart"/>
            <w:vAlign w:val="center"/>
          </w:tcPr>
          <w:p>
            <w:pPr>
              <w:spacing w:before="48" w:after="48" w:line="240" w:lineRule="auto"/>
              <w:jc w:val="center"/>
            </w:pPr>
            <w:r>
              <w:rPr>
                <w:rFonts w:ascii="宋体" w:eastAsia="宋体" w:hAnsi="宋体" w:cs="宋体"/>
                <w:sz w:val="21"/>
              </w:rPr>
              <w:t>6</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12</w:t>
            </w:r>
          </w:p>
        </w:tc>
        <w:tc>
          <w:tcPr>
            <w:tcW w:w="0" w:type="dxa"/>
            <w:vMerge/>
            <w:vAlign w:val="center"/>
          </w:tcPr>
          <w:p>
            <w:pPr>
              <w:spacing w:before="48" w:after="48" w:line="240" w:lineRule="auto"/>
              <w:jc w:val="center"/>
            </w:pPr>
            <w:r>
              <w:rPr>
                <w:rFonts w:ascii="宋体" w:eastAsia="宋体" w:hAnsi="宋体" w:cs="宋体"/>
                <w:sz w:val="21"/>
              </w:rPr>
              <w:t>客观分</w:t>
            </w:r>
            <w:r>
              <w:br/>
            </w:r>
            <w:r>
              <w:rPr>
                <w:rFonts w:ascii="宋体" w:eastAsia="宋体" w:hAnsi="宋体" w:cs="宋体"/>
                <w:sz w:val="21"/>
              </w:rPr>
              <w:t>(65分)</w:t>
            </w:r>
          </w:p>
        </w:tc>
        <w:tc>
          <w:tcPr>
            <w:tcW w:w="0" w:type="dxa"/>
            <w:vMerge/>
            <w:vAlign w:val="center"/>
          </w:tcPr>
          <w:p>
            <w:pPr>
              <w:spacing w:before="48" w:after="48" w:line="240" w:lineRule="auto"/>
              <w:jc w:val="center"/>
            </w:pPr>
            <w:r>
              <w:rPr>
                <w:rFonts w:ascii="宋体" w:eastAsia="宋体" w:hAnsi="宋体" w:cs="宋体"/>
                <w:sz w:val="21"/>
              </w:rPr>
              <w:t>技术力量</w:t>
            </w:r>
          </w:p>
        </w:tc>
        <w:tc>
          <w:tcPr>
            <w:tcW w:w="360" w:type="dxa"/>
            <w:vMerge w:val="restart"/>
            <w:vAlign w:val="center"/>
          </w:tcPr>
          <w:p>
            <w:pPr>
              <w:spacing w:before="48" w:after="48" w:line="240" w:lineRule="auto"/>
              <w:jc w:val="center"/>
            </w:pPr>
            <w:r>
              <w:rPr>
                <w:rFonts w:ascii="宋体" w:eastAsia="宋体" w:hAnsi="宋体" w:cs="宋体"/>
                <w:sz w:val="21"/>
              </w:rPr>
              <w:t>技术力量9</w:t>
            </w:r>
          </w:p>
        </w:tc>
        <w:tc>
          <w:tcPr>
            <w:tcW w:w="360" w:type="dxa"/>
          </w:tcPr>
          <w:p>
            <w:pPr>
              <w:spacing w:before="48" w:after="48" w:line="240" w:lineRule="auto"/>
            </w:pPr>
            <w:r>
              <w:rPr>
                <w:rFonts w:ascii="宋体" w:eastAsia="宋体" w:hAnsi="宋体" w:cs="宋体"/>
                <w:sz w:val="21"/>
              </w:rPr>
              <w:t>配备综合维修人员，要求：2人；男性；55周岁以下；提供投标人为其缴纳的2023年至今连续不少于24个月的社保证明。满足上述全部要求得2分；不满足得0分。</w:t>
            </w:r>
          </w:p>
        </w:tc>
        <w:tc>
          <w:tcPr>
            <w:tcW w:w="360" w:type="dxa"/>
            <w:vMerge w:val="restart"/>
            <w:vAlign w:val="center"/>
          </w:tcPr>
          <w:p>
            <w:pPr>
              <w:spacing w:before="48" w:after="48" w:line="240" w:lineRule="auto"/>
              <w:jc w:val="center"/>
            </w:pPr>
            <w:r>
              <w:rPr>
                <w:rFonts w:ascii="宋体" w:eastAsia="宋体" w:hAnsi="宋体" w:cs="宋体"/>
                <w:sz w:val="21"/>
              </w:rPr>
              <w:t>2</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13</w:t>
            </w:r>
          </w:p>
        </w:tc>
        <w:tc>
          <w:tcPr>
            <w:tcW w:w="0" w:type="dxa"/>
            <w:vMerge/>
            <w:vAlign w:val="center"/>
          </w:tcPr>
          <w:p>
            <w:pPr>
              <w:spacing w:before="48" w:after="48" w:line="240" w:lineRule="auto"/>
              <w:jc w:val="center"/>
            </w:pPr>
            <w:r>
              <w:rPr>
                <w:rFonts w:ascii="宋体" w:eastAsia="宋体" w:hAnsi="宋体" w:cs="宋体"/>
                <w:sz w:val="21"/>
              </w:rPr>
              <w:t>客观分</w:t>
            </w:r>
            <w:r>
              <w:br/>
            </w:r>
            <w:r>
              <w:rPr>
                <w:rFonts w:ascii="宋体" w:eastAsia="宋体" w:hAnsi="宋体" w:cs="宋体"/>
                <w:sz w:val="21"/>
              </w:rPr>
              <w:t>(65分)</w:t>
            </w:r>
          </w:p>
        </w:tc>
        <w:tc>
          <w:tcPr>
            <w:tcW w:w="0" w:type="dxa"/>
            <w:vMerge/>
            <w:vAlign w:val="center"/>
          </w:tcPr>
          <w:p>
            <w:pPr>
              <w:spacing w:before="48" w:after="48" w:line="240" w:lineRule="auto"/>
              <w:jc w:val="center"/>
            </w:pPr>
            <w:r>
              <w:rPr>
                <w:rFonts w:ascii="宋体" w:eastAsia="宋体" w:hAnsi="宋体" w:cs="宋体"/>
                <w:sz w:val="21"/>
              </w:rPr>
              <w:t>技术力量</w:t>
            </w:r>
          </w:p>
        </w:tc>
        <w:tc>
          <w:tcPr>
            <w:tcW w:w="360" w:type="dxa"/>
            <w:vMerge w:val="restart"/>
            <w:vAlign w:val="center"/>
          </w:tcPr>
          <w:p>
            <w:pPr>
              <w:spacing w:before="48" w:after="48" w:line="240" w:lineRule="auto"/>
              <w:jc w:val="center"/>
            </w:pPr>
            <w:r>
              <w:rPr>
                <w:rFonts w:ascii="宋体" w:eastAsia="宋体" w:hAnsi="宋体" w:cs="宋体"/>
                <w:sz w:val="21"/>
              </w:rPr>
              <w:t>技术力量10</w:t>
            </w:r>
          </w:p>
        </w:tc>
        <w:tc>
          <w:tcPr>
            <w:tcW w:w="360" w:type="dxa"/>
          </w:tcPr>
          <w:p>
            <w:pPr>
              <w:spacing w:before="48" w:after="48" w:line="240" w:lineRule="auto"/>
            </w:pPr>
            <w:r>
              <w:rPr>
                <w:rFonts w:ascii="宋体" w:eastAsia="宋体" w:hAnsi="宋体" w:cs="宋体"/>
                <w:sz w:val="21"/>
              </w:rPr>
              <w:t>配备综合服务人员，要求：1人；男性；55周岁以下；女性50周岁以下；提供投标人为其缴纳的2023年至今连续不少于24个月的社保证明。满足上述全部要求得2分；不满足得0分。</w:t>
            </w:r>
          </w:p>
        </w:tc>
        <w:tc>
          <w:tcPr>
            <w:tcW w:w="360" w:type="dxa"/>
            <w:vMerge w:val="restart"/>
            <w:vAlign w:val="center"/>
          </w:tcPr>
          <w:p>
            <w:pPr>
              <w:spacing w:before="48" w:after="48" w:line="240" w:lineRule="auto"/>
              <w:jc w:val="center"/>
            </w:pPr>
            <w:r>
              <w:rPr>
                <w:rFonts w:ascii="宋体" w:eastAsia="宋体" w:hAnsi="宋体" w:cs="宋体"/>
                <w:sz w:val="21"/>
              </w:rPr>
              <w:t>2</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14</w:t>
            </w:r>
          </w:p>
        </w:tc>
        <w:tc>
          <w:tcPr>
            <w:tcW w:w="0" w:type="dxa"/>
            <w:vMerge/>
            <w:vAlign w:val="center"/>
          </w:tcPr>
          <w:p>
            <w:pPr>
              <w:spacing w:before="48" w:after="48" w:line="240" w:lineRule="auto"/>
              <w:jc w:val="center"/>
            </w:pPr>
            <w:r>
              <w:rPr>
                <w:rFonts w:ascii="宋体" w:eastAsia="宋体" w:hAnsi="宋体" w:cs="宋体"/>
                <w:sz w:val="21"/>
              </w:rPr>
              <w:t>客观分</w:t>
            </w:r>
            <w:r>
              <w:br/>
            </w:r>
            <w:r>
              <w:rPr>
                <w:rFonts w:ascii="宋体" w:eastAsia="宋体" w:hAnsi="宋体" w:cs="宋体"/>
                <w:sz w:val="21"/>
              </w:rPr>
              <w:t>(65分)</w:t>
            </w:r>
          </w:p>
        </w:tc>
        <w:tc>
          <w:tcPr>
            <w:tcW w:w="0" w:type="dxa"/>
            <w:vMerge/>
            <w:vAlign w:val="center"/>
          </w:tcPr>
          <w:p>
            <w:pPr>
              <w:spacing w:before="48" w:after="48" w:line="240" w:lineRule="auto"/>
              <w:jc w:val="center"/>
            </w:pPr>
            <w:r>
              <w:rPr>
                <w:rFonts w:ascii="宋体" w:eastAsia="宋体" w:hAnsi="宋体" w:cs="宋体"/>
                <w:sz w:val="21"/>
              </w:rPr>
              <w:t>技术力量</w:t>
            </w:r>
          </w:p>
        </w:tc>
        <w:tc>
          <w:tcPr>
            <w:tcW w:w="360" w:type="dxa"/>
            <w:vMerge w:val="restart"/>
            <w:vAlign w:val="center"/>
          </w:tcPr>
          <w:p>
            <w:pPr>
              <w:spacing w:before="48" w:after="48" w:line="240" w:lineRule="auto"/>
              <w:jc w:val="center"/>
            </w:pPr>
            <w:r>
              <w:rPr>
                <w:rFonts w:ascii="宋体" w:eastAsia="宋体" w:hAnsi="宋体" w:cs="宋体"/>
                <w:sz w:val="21"/>
              </w:rPr>
              <w:t>技术力量11</w:t>
            </w:r>
          </w:p>
        </w:tc>
        <w:tc>
          <w:tcPr>
            <w:tcW w:w="360" w:type="dxa"/>
          </w:tcPr>
          <w:p>
            <w:pPr>
              <w:spacing w:before="48" w:after="48" w:line="240" w:lineRule="auto"/>
            </w:pPr>
            <w:r>
              <w:rPr>
                <w:rFonts w:ascii="宋体" w:eastAsia="宋体" w:hAnsi="宋体" w:cs="宋体"/>
                <w:sz w:val="21"/>
              </w:rPr>
              <w:t>根据投标人提供适合本项目服务需求的清雪车、扫地机、吸尘器三类设备进行打分，每提供1类设备，得1分，最多得3分（如为自有设备，需提供设备图片、购置合同以及购置发票等有效证明材料；如为租用设备，需提供设备图片、租赁合同以及租赁发票等有效证明材料）。</w:t>
            </w:r>
          </w:p>
        </w:tc>
        <w:tc>
          <w:tcPr>
            <w:tcW w:w="360" w:type="dxa"/>
            <w:vMerge w:val="restart"/>
            <w:vAlign w:val="center"/>
          </w:tcPr>
          <w:p>
            <w:pPr>
              <w:spacing w:before="48" w:after="48" w:line="240" w:lineRule="auto"/>
              <w:jc w:val="center"/>
            </w:pPr>
            <w:r>
              <w:rPr>
                <w:rFonts w:ascii="宋体" w:eastAsia="宋体" w:hAnsi="宋体" w:cs="宋体"/>
                <w:sz w:val="21"/>
              </w:rPr>
              <w:t>3</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15</w:t>
            </w:r>
          </w:p>
        </w:tc>
        <w:tc>
          <w:tcPr>
            <w:tcW w:w="360" w:type="dxa"/>
            <w:vMerge w:val="restart"/>
            <w:vAlign w:val="center"/>
          </w:tcPr>
          <w:p>
            <w:pPr>
              <w:spacing w:before="48" w:after="48" w:line="240" w:lineRule="auto"/>
              <w:jc w:val="center"/>
            </w:pPr>
            <w:r>
              <w:rPr>
                <w:rFonts w:ascii="宋体" w:eastAsia="宋体" w:hAnsi="宋体" w:cs="宋体"/>
                <w:sz w:val="21"/>
              </w:rPr>
              <w:t>主观分</w:t>
            </w:r>
            <w:r>
              <w:br/>
            </w:r>
            <w:r>
              <w:rPr>
                <w:rFonts w:ascii="宋体" w:eastAsia="宋体" w:hAnsi="宋体" w:cs="宋体"/>
                <w:sz w:val="21"/>
              </w:rPr>
              <w:t>(15分)</w:t>
            </w:r>
          </w:p>
        </w:tc>
        <w:tc>
          <w:tcPr>
            <w:tcW w:w="360" w:type="dxa"/>
            <w:vMerge w:val="restart"/>
            <w:vAlign w:val="center"/>
          </w:tcPr>
          <w:p>
            <w:pPr>
              <w:spacing w:before="48" w:after="48" w:line="240" w:lineRule="auto"/>
              <w:jc w:val="center"/>
            </w:pPr>
            <w:r>
              <w:rPr>
                <w:rFonts w:ascii="宋体" w:eastAsia="宋体" w:hAnsi="宋体" w:cs="宋体"/>
                <w:sz w:val="21"/>
              </w:rPr>
              <w:t>技术和服务水平</w:t>
            </w:r>
          </w:p>
        </w:tc>
        <w:tc>
          <w:tcPr>
            <w:tcW w:w="360" w:type="dxa"/>
            <w:vMerge w:val="restart"/>
            <w:vAlign w:val="center"/>
          </w:tcPr>
          <w:p>
            <w:pPr>
              <w:spacing w:before="48" w:after="48" w:line="240" w:lineRule="auto"/>
              <w:jc w:val="center"/>
            </w:pPr>
            <w:r>
              <w:rPr>
                <w:rFonts w:ascii="宋体" w:eastAsia="宋体" w:hAnsi="宋体" w:cs="宋体"/>
                <w:sz w:val="21"/>
              </w:rPr>
              <w:t>管理实施方案</w:t>
            </w:r>
          </w:p>
        </w:tc>
        <w:tc>
          <w:tcPr>
            <w:tcW w:w="360" w:type="dxa"/>
          </w:tcPr>
          <w:p>
            <w:pPr>
              <w:spacing w:before="48" w:after="48" w:line="240" w:lineRule="auto"/>
            </w:pPr>
            <w:r>
              <w:rPr>
                <w:rFonts w:ascii="宋体" w:eastAsia="宋体" w:hAnsi="宋体" w:cs="宋体"/>
                <w:sz w:val="21"/>
              </w:rPr>
              <w:t>投标人提供的方案内容应包含：（1）工作实施方案、日常物业管理方案；（2）人员配置及人员稳定性保障方案；（3）服务质量保障方案。</w:t>
            </w:r>
            <w:r>
              <w:rPr>
                <w:rFonts w:ascii="宋体" w:eastAsia="宋体" w:hAnsi="宋体" w:cs="宋体"/>
                <w:sz w:val="21"/>
              </w:rPr>
              <w:br/>
            </w:r>
            <w:r>
              <w:rPr>
                <w:rFonts w:ascii="宋体" w:eastAsia="宋体" w:hAnsi="宋体" w:cs="宋体"/>
                <w:sz w:val="21"/>
              </w:rPr>
              <w:t>方案中每提供1项且内容完整、详细、完全符合本项目实际情况、可操作性强的得1分，最多得3分，否则不得分。</w:t>
            </w:r>
          </w:p>
        </w:tc>
        <w:tc>
          <w:tcPr>
            <w:tcW w:w="360" w:type="dxa"/>
            <w:vMerge w:val="restart"/>
            <w:vAlign w:val="center"/>
          </w:tcPr>
          <w:p>
            <w:pPr>
              <w:spacing w:before="48" w:after="48" w:line="240" w:lineRule="auto"/>
              <w:jc w:val="center"/>
            </w:pPr>
            <w:r>
              <w:rPr>
                <w:rFonts w:ascii="宋体" w:eastAsia="宋体" w:hAnsi="宋体" w:cs="宋体"/>
                <w:sz w:val="21"/>
              </w:rPr>
              <w:t>3</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16</w:t>
            </w:r>
          </w:p>
        </w:tc>
        <w:tc>
          <w:tcPr>
            <w:tcW w:w="0" w:type="dxa"/>
            <w:vMerge/>
            <w:vAlign w:val="center"/>
          </w:tcPr>
          <w:p>
            <w:pPr>
              <w:spacing w:before="48" w:after="48" w:line="240" w:lineRule="auto"/>
              <w:jc w:val="center"/>
            </w:pPr>
            <w:r>
              <w:rPr>
                <w:rFonts w:ascii="宋体" w:eastAsia="宋体" w:hAnsi="宋体" w:cs="宋体"/>
                <w:sz w:val="21"/>
              </w:rPr>
              <w:t>主观分</w:t>
            </w:r>
            <w:r>
              <w:br/>
            </w:r>
            <w:r>
              <w:rPr>
                <w:rFonts w:ascii="宋体" w:eastAsia="宋体" w:hAnsi="宋体" w:cs="宋体"/>
                <w:sz w:val="21"/>
              </w:rPr>
              <w:t>(15分)</w:t>
            </w:r>
          </w:p>
        </w:tc>
        <w:tc>
          <w:tcPr>
            <w:tcW w:w="0" w:type="dxa"/>
            <w:vMerge/>
            <w:vAlign w:val="center"/>
          </w:tcPr>
          <w:p>
            <w:pPr>
              <w:spacing w:before="48" w:after="48" w:line="240" w:lineRule="auto"/>
              <w:jc w:val="center"/>
            </w:pPr>
            <w:r>
              <w:rPr>
                <w:rFonts w:ascii="宋体" w:eastAsia="宋体" w:hAnsi="宋体" w:cs="宋体"/>
                <w:sz w:val="21"/>
              </w:rPr>
              <w:t>技术和服务水平</w:t>
            </w:r>
          </w:p>
        </w:tc>
        <w:tc>
          <w:tcPr>
            <w:tcW w:w="360" w:type="dxa"/>
            <w:vMerge w:val="restart"/>
            <w:vAlign w:val="center"/>
          </w:tcPr>
          <w:p>
            <w:pPr>
              <w:spacing w:before="48" w:after="48" w:line="240" w:lineRule="auto"/>
              <w:jc w:val="center"/>
            </w:pPr>
            <w:r>
              <w:rPr>
                <w:rFonts w:ascii="宋体" w:eastAsia="宋体" w:hAnsi="宋体" w:cs="宋体"/>
                <w:sz w:val="21"/>
              </w:rPr>
              <w:t>特约服务实施方案</w:t>
            </w:r>
          </w:p>
        </w:tc>
        <w:tc>
          <w:tcPr>
            <w:tcW w:w="360" w:type="dxa"/>
          </w:tcPr>
          <w:p>
            <w:pPr>
              <w:spacing w:before="48" w:after="48" w:line="240" w:lineRule="auto"/>
            </w:pPr>
            <w:r>
              <w:rPr>
                <w:rFonts w:ascii="宋体" w:eastAsia="宋体" w:hAnsi="宋体" w:cs="宋体"/>
                <w:sz w:val="21"/>
              </w:rPr>
              <w:t>投标人提供的方案内容应包含：（1）玻璃擦拭实施方案；（2）积雪清扫实施方案；（3）机关食堂服务方案。</w:t>
            </w:r>
            <w:r>
              <w:rPr>
                <w:rFonts w:ascii="宋体" w:eastAsia="宋体" w:hAnsi="宋体" w:cs="宋体"/>
                <w:sz w:val="21"/>
              </w:rPr>
              <w:br/>
            </w:r>
            <w:r>
              <w:rPr>
                <w:rFonts w:ascii="宋体" w:eastAsia="宋体" w:hAnsi="宋体" w:cs="宋体"/>
                <w:sz w:val="21"/>
              </w:rPr>
              <w:t>方案中每提供1项且内容完整、详细、完全符合本项目实际情况、可操作性强的得1分，最多得3分，否则不得分。</w:t>
            </w:r>
          </w:p>
        </w:tc>
        <w:tc>
          <w:tcPr>
            <w:tcW w:w="360" w:type="dxa"/>
            <w:vMerge w:val="restart"/>
            <w:vAlign w:val="center"/>
          </w:tcPr>
          <w:p>
            <w:pPr>
              <w:spacing w:before="48" w:after="48" w:line="240" w:lineRule="auto"/>
              <w:jc w:val="center"/>
            </w:pPr>
            <w:r>
              <w:rPr>
                <w:rFonts w:ascii="宋体" w:eastAsia="宋体" w:hAnsi="宋体" w:cs="宋体"/>
                <w:sz w:val="21"/>
              </w:rPr>
              <w:t>3</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17</w:t>
            </w:r>
          </w:p>
        </w:tc>
        <w:tc>
          <w:tcPr>
            <w:tcW w:w="0" w:type="dxa"/>
            <w:vMerge/>
            <w:vAlign w:val="center"/>
          </w:tcPr>
          <w:p>
            <w:pPr>
              <w:spacing w:before="48" w:after="48" w:line="240" w:lineRule="auto"/>
              <w:jc w:val="center"/>
            </w:pPr>
            <w:r>
              <w:rPr>
                <w:rFonts w:ascii="宋体" w:eastAsia="宋体" w:hAnsi="宋体" w:cs="宋体"/>
                <w:sz w:val="21"/>
              </w:rPr>
              <w:t>主观分</w:t>
            </w:r>
            <w:r>
              <w:br/>
            </w:r>
            <w:r>
              <w:rPr>
                <w:rFonts w:ascii="宋体" w:eastAsia="宋体" w:hAnsi="宋体" w:cs="宋体"/>
                <w:sz w:val="21"/>
              </w:rPr>
              <w:t>(15分)</w:t>
            </w:r>
          </w:p>
        </w:tc>
        <w:tc>
          <w:tcPr>
            <w:tcW w:w="0" w:type="dxa"/>
            <w:vMerge/>
            <w:vAlign w:val="center"/>
          </w:tcPr>
          <w:p>
            <w:pPr>
              <w:spacing w:before="48" w:after="48" w:line="240" w:lineRule="auto"/>
              <w:jc w:val="center"/>
            </w:pPr>
            <w:r>
              <w:rPr>
                <w:rFonts w:ascii="宋体" w:eastAsia="宋体" w:hAnsi="宋体" w:cs="宋体"/>
                <w:sz w:val="21"/>
              </w:rPr>
              <w:t>技术和服务水平</w:t>
            </w:r>
          </w:p>
        </w:tc>
        <w:tc>
          <w:tcPr>
            <w:tcW w:w="360" w:type="dxa"/>
            <w:vMerge w:val="restart"/>
            <w:vAlign w:val="center"/>
          </w:tcPr>
          <w:p>
            <w:pPr>
              <w:spacing w:before="48" w:after="48" w:line="240" w:lineRule="auto"/>
              <w:jc w:val="center"/>
            </w:pPr>
            <w:r>
              <w:rPr>
                <w:rFonts w:ascii="宋体" w:eastAsia="宋体" w:hAnsi="宋体" w:cs="宋体"/>
                <w:sz w:val="21"/>
              </w:rPr>
              <w:t>风险管控方案</w:t>
            </w:r>
          </w:p>
        </w:tc>
        <w:tc>
          <w:tcPr>
            <w:tcW w:w="360" w:type="dxa"/>
          </w:tcPr>
          <w:p>
            <w:pPr>
              <w:spacing w:before="48" w:after="48" w:line="240" w:lineRule="auto"/>
            </w:pPr>
            <w:r>
              <w:rPr>
                <w:rFonts w:ascii="宋体" w:eastAsia="宋体" w:hAnsi="宋体" w:cs="宋体"/>
                <w:sz w:val="21"/>
              </w:rPr>
              <w:t>投标人提供的方案内容应包含：（1）工作机密泄露风险；（2）重点区域安全隐患排查；（3）工作失误风险。</w:t>
            </w:r>
            <w:r>
              <w:rPr>
                <w:rFonts w:ascii="宋体" w:eastAsia="宋体" w:hAnsi="宋体" w:cs="宋体"/>
                <w:sz w:val="21"/>
              </w:rPr>
              <w:br/>
            </w:r>
            <w:r>
              <w:rPr>
                <w:rFonts w:ascii="宋体" w:eastAsia="宋体" w:hAnsi="宋体" w:cs="宋体"/>
                <w:sz w:val="21"/>
              </w:rPr>
              <w:t>方案中每提供1项且内容完整、详细、完全符合本项目实际情况、可操作性强的得1分，最多得3分，否则不得分。</w:t>
            </w:r>
          </w:p>
        </w:tc>
        <w:tc>
          <w:tcPr>
            <w:tcW w:w="360" w:type="dxa"/>
            <w:vMerge w:val="restart"/>
            <w:vAlign w:val="center"/>
          </w:tcPr>
          <w:p>
            <w:pPr>
              <w:spacing w:before="48" w:after="48" w:line="240" w:lineRule="auto"/>
              <w:jc w:val="center"/>
            </w:pPr>
            <w:r>
              <w:rPr>
                <w:rFonts w:ascii="宋体" w:eastAsia="宋体" w:hAnsi="宋体" w:cs="宋体"/>
                <w:sz w:val="21"/>
              </w:rPr>
              <w:t>3</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18</w:t>
            </w:r>
          </w:p>
        </w:tc>
        <w:tc>
          <w:tcPr>
            <w:tcW w:w="0" w:type="dxa"/>
            <w:vMerge/>
            <w:vAlign w:val="center"/>
          </w:tcPr>
          <w:p>
            <w:pPr>
              <w:spacing w:before="48" w:after="48" w:line="240" w:lineRule="auto"/>
              <w:jc w:val="center"/>
            </w:pPr>
            <w:r>
              <w:rPr>
                <w:rFonts w:ascii="宋体" w:eastAsia="宋体" w:hAnsi="宋体" w:cs="宋体"/>
                <w:sz w:val="21"/>
              </w:rPr>
              <w:t>主观分</w:t>
            </w:r>
            <w:r>
              <w:br/>
            </w:r>
            <w:r>
              <w:rPr>
                <w:rFonts w:ascii="宋体" w:eastAsia="宋体" w:hAnsi="宋体" w:cs="宋体"/>
                <w:sz w:val="21"/>
              </w:rPr>
              <w:t>(15分)</w:t>
            </w:r>
          </w:p>
        </w:tc>
        <w:tc>
          <w:tcPr>
            <w:tcW w:w="0" w:type="dxa"/>
            <w:vMerge/>
            <w:vAlign w:val="center"/>
          </w:tcPr>
          <w:p>
            <w:pPr>
              <w:spacing w:before="48" w:after="48" w:line="240" w:lineRule="auto"/>
              <w:jc w:val="center"/>
            </w:pPr>
            <w:r>
              <w:rPr>
                <w:rFonts w:ascii="宋体" w:eastAsia="宋体" w:hAnsi="宋体" w:cs="宋体"/>
                <w:sz w:val="21"/>
              </w:rPr>
              <w:t>技术和服务水平</w:t>
            </w:r>
          </w:p>
        </w:tc>
        <w:tc>
          <w:tcPr>
            <w:tcW w:w="360" w:type="dxa"/>
            <w:vAlign w:val="center"/>
          </w:tcPr>
          <w:p>
            <w:pPr>
              <w:spacing w:before="48" w:after="48" w:line="240" w:lineRule="auto"/>
              <w:jc w:val="center"/>
            </w:pPr>
            <w:r>
              <w:rPr>
                <w:rFonts w:ascii="宋体" w:eastAsia="宋体" w:hAnsi="宋体" w:cs="宋体"/>
                <w:sz w:val="21"/>
              </w:rPr>
              <w:t>履约验收方案</w:t>
            </w:r>
          </w:p>
        </w:tc>
        <w:tc>
          <w:tcPr>
            <w:tcW w:w="360" w:type="dxa"/>
          </w:tcPr>
          <w:p>
            <w:pPr>
              <w:spacing w:before="48" w:after="48" w:line="240" w:lineRule="auto"/>
            </w:pPr>
            <w:r>
              <w:rPr>
                <w:rFonts w:ascii="宋体" w:eastAsia="宋体" w:hAnsi="宋体" w:cs="宋体"/>
                <w:sz w:val="21"/>
              </w:rPr>
              <w:t>投标人提供的方案应包含：（1）验收条件、验收方式以及验收标准及流程；（2）验收不合格处置方式与改进方案；（3）针对本项目验收考核方案。</w:t>
            </w:r>
            <w:r>
              <w:rPr>
                <w:rFonts w:ascii="宋体" w:eastAsia="宋体" w:hAnsi="宋体" w:cs="宋体"/>
                <w:sz w:val="21"/>
              </w:rPr>
              <w:br/>
            </w:r>
            <w:r>
              <w:rPr>
                <w:rFonts w:ascii="宋体" w:eastAsia="宋体" w:hAnsi="宋体" w:cs="宋体"/>
                <w:sz w:val="21"/>
              </w:rPr>
              <w:t>方案中每提供1项且内容完整、详细、完全符合本项目实际情况、可操作性强的得1分，最多得3分，否则不得分。</w:t>
            </w:r>
          </w:p>
        </w:tc>
        <w:tc>
          <w:tcPr>
            <w:tcW w:w="360" w:type="dxa"/>
            <w:vAlign w:val="center"/>
          </w:tcPr>
          <w:p>
            <w:pPr>
              <w:spacing w:before="48" w:after="48" w:line="240" w:lineRule="auto"/>
              <w:jc w:val="center"/>
            </w:pPr>
            <w:r>
              <w:rPr>
                <w:rFonts w:ascii="宋体" w:eastAsia="宋体" w:hAnsi="宋体" w:cs="宋体"/>
                <w:sz w:val="21"/>
              </w:rPr>
              <w:t>3</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19</w:t>
            </w:r>
          </w:p>
        </w:tc>
        <w:tc>
          <w:tcPr>
            <w:tcW w:w="0" w:type="dxa"/>
            <w:vMerge/>
            <w:vAlign w:val="center"/>
          </w:tcPr>
          <w:p>
            <w:pPr>
              <w:spacing w:before="48" w:after="48" w:line="240" w:lineRule="auto"/>
              <w:jc w:val="center"/>
            </w:pPr>
            <w:r>
              <w:rPr>
                <w:rFonts w:ascii="宋体" w:eastAsia="宋体" w:hAnsi="宋体" w:cs="宋体"/>
                <w:sz w:val="21"/>
              </w:rPr>
              <w:t>主观分</w:t>
            </w:r>
            <w:r>
              <w:br/>
            </w:r>
            <w:r>
              <w:rPr>
                <w:rFonts w:ascii="宋体" w:eastAsia="宋体" w:hAnsi="宋体" w:cs="宋体"/>
                <w:sz w:val="21"/>
              </w:rPr>
              <w:t>(15分)</w:t>
            </w:r>
          </w:p>
        </w:tc>
        <w:tc>
          <w:tcPr>
            <w:tcW w:w="0" w:type="dxa"/>
            <w:vMerge/>
            <w:vAlign w:val="center"/>
          </w:tcPr>
          <w:p>
            <w:pPr>
              <w:spacing w:before="48" w:after="48" w:line="240" w:lineRule="auto"/>
              <w:jc w:val="center"/>
            </w:pPr>
            <w:r>
              <w:rPr>
                <w:rFonts w:ascii="宋体" w:eastAsia="宋体" w:hAnsi="宋体" w:cs="宋体"/>
                <w:sz w:val="21"/>
              </w:rPr>
              <w:t>技术和服务水平</w:t>
            </w:r>
          </w:p>
        </w:tc>
        <w:tc>
          <w:tcPr>
            <w:tcW w:w="360" w:type="dxa"/>
            <w:vAlign w:val="center"/>
          </w:tcPr>
          <w:p>
            <w:pPr>
              <w:spacing w:before="48" w:after="48" w:line="240" w:lineRule="auto"/>
              <w:jc w:val="center"/>
            </w:pPr>
            <w:r>
              <w:rPr>
                <w:rFonts w:ascii="宋体" w:eastAsia="宋体" w:hAnsi="宋体" w:cs="宋体"/>
                <w:sz w:val="21"/>
              </w:rPr>
              <w:t>应急处置方案</w:t>
            </w:r>
          </w:p>
        </w:tc>
        <w:tc>
          <w:tcPr>
            <w:tcW w:w="360" w:type="dxa"/>
          </w:tcPr>
          <w:p>
            <w:pPr>
              <w:spacing w:before="48" w:after="48" w:line="240" w:lineRule="auto"/>
            </w:pPr>
            <w:r>
              <w:rPr>
                <w:rFonts w:ascii="宋体" w:eastAsia="宋体" w:hAnsi="宋体" w:cs="宋体"/>
                <w:sz w:val="21"/>
              </w:rPr>
              <w:t>投标人提供的方案应包含：（1）应急组织机构及职责；（2）应急人员培训方案；（3）预防预警方案及应急响应措施。</w:t>
            </w:r>
            <w:r>
              <w:rPr>
                <w:rFonts w:ascii="宋体" w:eastAsia="宋体" w:hAnsi="宋体" w:cs="宋体"/>
                <w:sz w:val="21"/>
              </w:rPr>
              <w:br/>
            </w:r>
            <w:r>
              <w:rPr>
                <w:rFonts w:ascii="宋体" w:eastAsia="宋体" w:hAnsi="宋体" w:cs="宋体"/>
                <w:sz w:val="21"/>
              </w:rPr>
              <w:t>方案中每提供1项且内容完整、详细、完全符合本项目实际情况、可操作性强的得1分，最多得3分，否则不得分。</w:t>
            </w:r>
          </w:p>
        </w:tc>
        <w:tc>
          <w:tcPr>
            <w:tcW w:w="360" w:type="dxa"/>
            <w:vAlign w:val="center"/>
          </w:tcPr>
          <w:p>
            <w:pPr>
              <w:spacing w:before="48" w:after="48" w:line="240" w:lineRule="auto"/>
              <w:jc w:val="center"/>
            </w:pPr>
            <w:r>
              <w:rPr>
                <w:rFonts w:ascii="宋体" w:eastAsia="宋体" w:hAnsi="宋体" w:cs="宋体"/>
                <w:sz w:val="21"/>
              </w:rPr>
              <w:t>3</w:t>
            </w:r>
          </w:p>
        </w:tc>
      </w:tr>
      <w:tr>
        <w:tblPrEx>
          <w:tblW w:w="5000" w:type="pct"/>
          <w:tblCellMar>
            <w:left w:w="108" w:type="dxa"/>
            <w:right w:w="108" w:type="dxa"/>
          </w:tblCellMar>
        </w:tblPrEx>
        <w:tc>
          <w:tcPr>
            <w:tcW w:w="1800" w:type="dxa"/>
            <w:gridSpan w:val="5"/>
          </w:tcPr>
          <w:p>
            <w:pPr>
              <w:spacing w:before="48" w:after="48" w:line="240" w:lineRule="auto"/>
              <w:jc w:val="center"/>
            </w:pPr>
            <w:r>
              <w:rPr>
                <w:rFonts w:ascii="宋体" w:eastAsia="宋体" w:hAnsi="宋体" w:cs="宋体"/>
                <w:sz w:val="21"/>
              </w:rPr>
              <w:t>合计</w:t>
            </w:r>
          </w:p>
        </w:tc>
        <w:tc>
          <w:tcPr>
            <w:tcW w:w="360" w:type="dxa"/>
          </w:tcPr>
          <w:p>
            <w:pPr>
              <w:spacing w:before="48" w:after="48" w:line="240" w:lineRule="auto"/>
              <w:jc w:val="center"/>
            </w:pPr>
            <w:r>
              <w:rPr>
                <w:rFonts w:ascii="宋体" w:eastAsia="宋体" w:hAnsi="宋体" w:cs="宋体"/>
                <w:sz w:val="21"/>
              </w:rPr>
              <w:t>100</w:t>
            </w:r>
          </w:p>
        </w:tc>
      </w:tr>
    </w:tbl>
    <w:p w:rsidR="00A77B3E">
      <w:pPr>
        <w:spacing w:line="360" w:lineRule="auto"/>
        <w:rPr>
          <w:rFonts w:ascii="宋体" w:eastAsia="宋体" w:hAnsi="宋体" w:cs="宋体"/>
        </w:rPr>
      </w:pPr>
      <w:r>
        <w:rPr>
          <w:rFonts w:ascii="宋体" w:eastAsia="宋体" w:hAnsi="宋体" w:cs="宋体"/>
          <w:sz w:val="24"/>
        </w:rPr>
        <w:t xml:space="preserve">    </w:t>
      </w:r>
      <w:r>
        <w:rPr>
          <w:rFonts w:ascii="宋体" w:eastAsia="宋体" w:hAnsi="宋体" w:cs="宋体"/>
          <w:sz w:val="24"/>
        </w:rPr>
        <w:t>包件2：</w:t>
      </w:r>
    </w:p>
    <w:p w:rsidR="00A77B3E">
      <w:pPr>
        <w:spacing w:line="360" w:lineRule="auto"/>
        <w:rPr>
          <w:rFonts w:ascii="宋体" w:eastAsia="宋体" w:hAnsi="宋体" w:cs="宋体"/>
        </w:rPr>
      </w:pPr>
      <w:r>
        <w:rPr>
          <w:rFonts w:ascii="宋体" w:eastAsia="宋体" w:hAnsi="宋体" w:cs="宋体"/>
          <w:sz w:val="24"/>
        </w:rPr>
        <w:t xml:space="preserve">    根据财政部《政府采购货物和服务招标投标管理办法》（财政部令第87号）第五十五条规定，本项目采用综合评分法，其中价格分值20分，客观分值65分，主观分值15分。具体评审标准如下：</w:t>
      </w:r>
    </w:p>
    <w:tbl>
      <w:tblPr>
        <w:tblStyle w:val="TableNorm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8" w:type="dxa"/>
          <w:right w:w="108" w:type="dxa"/>
        </w:tblCellMar>
      </w:tblPr>
      <w:tblGrid>
        <w:gridCol w:w="669"/>
        <w:gridCol w:w="1276"/>
        <w:gridCol w:w="1134"/>
        <w:gridCol w:w="1276"/>
        <w:gridCol w:w="3475"/>
        <w:gridCol w:w="1196"/>
      </w:tblGrid>
      <w:tr>
        <w:tblPrEx>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8" w:type="dxa"/>
            <w:right w:w="108" w:type="dxa"/>
          </w:tblCellMar>
        </w:tblPrEx>
        <w:tc>
          <w:tcPr>
            <w:tcW w:w="669" w:type="dxa"/>
            <w:vAlign w:val="center"/>
          </w:tcPr>
          <w:p>
            <w:pPr>
              <w:spacing w:before="48" w:after="48" w:line="240" w:lineRule="auto"/>
              <w:jc w:val="center"/>
            </w:pPr>
            <w:r>
              <w:rPr>
                <w:rFonts w:ascii="宋体" w:eastAsia="宋体" w:hAnsi="宋体" w:cs="宋体"/>
                <w:b/>
                <w:sz w:val="21"/>
              </w:rPr>
              <w:t>序号</w:t>
            </w:r>
          </w:p>
        </w:tc>
        <w:tc>
          <w:tcPr>
            <w:tcW w:w="1276" w:type="dxa"/>
            <w:vAlign w:val="center"/>
          </w:tcPr>
          <w:p>
            <w:pPr>
              <w:spacing w:before="48" w:after="48" w:line="240" w:lineRule="auto"/>
              <w:jc w:val="center"/>
            </w:pPr>
            <w:r>
              <w:rPr>
                <w:rFonts w:ascii="宋体" w:eastAsia="宋体" w:hAnsi="宋体" w:cs="宋体"/>
                <w:b/>
                <w:sz w:val="21"/>
              </w:rPr>
              <w:t>类别</w:t>
            </w:r>
          </w:p>
        </w:tc>
        <w:tc>
          <w:tcPr>
            <w:tcW w:w="1134" w:type="dxa"/>
            <w:vAlign w:val="center"/>
          </w:tcPr>
          <w:p>
            <w:pPr>
              <w:spacing w:before="48" w:after="48" w:line="240" w:lineRule="auto"/>
              <w:jc w:val="center"/>
            </w:pPr>
            <w:r>
              <w:rPr>
                <w:rFonts w:ascii="宋体" w:eastAsia="宋体" w:hAnsi="宋体" w:cs="宋体"/>
                <w:b/>
                <w:sz w:val="21"/>
              </w:rPr>
              <w:t>评审因素</w:t>
            </w:r>
          </w:p>
        </w:tc>
        <w:tc>
          <w:tcPr>
            <w:tcW w:w="1276" w:type="dxa"/>
            <w:vAlign w:val="center"/>
          </w:tcPr>
          <w:p>
            <w:pPr>
              <w:spacing w:before="48" w:after="48" w:line="240" w:lineRule="auto"/>
              <w:jc w:val="center"/>
            </w:pPr>
            <w:r>
              <w:rPr>
                <w:rFonts w:ascii="宋体" w:eastAsia="宋体" w:hAnsi="宋体" w:cs="宋体"/>
                <w:b/>
                <w:sz w:val="21"/>
              </w:rPr>
              <w:t>主要内容</w:t>
            </w:r>
          </w:p>
        </w:tc>
        <w:tc>
          <w:tcPr>
            <w:tcW w:w="3475" w:type="dxa"/>
            <w:vAlign w:val="center"/>
          </w:tcPr>
          <w:p>
            <w:pPr>
              <w:spacing w:before="48" w:after="48" w:line="240" w:lineRule="auto"/>
              <w:jc w:val="center"/>
            </w:pPr>
            <w:r>
              <w:rPr>
                <w:rFonts w:ascii="宋体" w:eastAsia="宋体" w:hAnsi="宋体" w:cs="宋体"/>
                <w:b/>
                <w:sz w:val="21"/>
              </w:rPr>
              <w:t>指标要求</w:t>
            </w:r>
          </w:p>
        </w:tc>
        <w:tc>
          <w:tcPr>
            <w:tcW w:w="1196" w:type="dxa"/>
            <w:vAlign w:val="center"/>
          </w:tcPr>
          <w:p>
            <w:pPr>
              <w:spacing w:before="48" w:after="48" w:line="240" w:lineRule="auto"/>
              <w:jc w:val="center"/>
            </w:pPr>
            <w:r>
              <w:rPr>
                <w:rFonts w:ascii="宋体" w:eastAsia="宋体" w:hAnsi="宋体" w:cs="宋体"/>
                <w:b/>
                <w:sz w:val="21"/>
              </w:rPr>
              <w:t>细项分值</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1</w:t>
            </w:r>
          </w:p>
        </w:tc>
        <w:tc>
          <w:tcPr>
            <w:tcW w:w="360" w:type="dxa"/>
            <w:vMerge w:val="restart"/>
            <w:vAlign w:val="center"/>
          </w:tcPr>
          <w:p>
            <w:pPr>
              <w:spacing w:before="48" w:after="48" w:line="240" w:lineRule="auto"/>
              <w:jc w:val="center"/>
            </w:pPr>
            <w:r>
              <w:rPr>
                <w:rFonts w:ascii="宋体" w:eastAsia="宋体" w:hAnsi="宋体" w:cs="宋体"/>
                <w:sz w:val="21"/>
              </w:rPr>
              <w:t>价格分</w:t>
            </w:r>
            <w:r>
              <w:br/>
            </w:r>
            <w:r>
              <w:rPr>
                <w:rFonts w:ascii="宋体" w:eastAsia="宋体" w:hAnsi="宋体" w:cs="宋体"/>
                <w:sz w:val="21"/>
              </w:rPr>
              <w:t>(20分)</w:t>
            </w:r>
          </w:p>
        </w:tc>
        <w:tc>
          <w:tcPr>
            <w:tcW w:w="360" w:type="dxa"/>
            <w:vMerge w:val="restart"/>
            <w:vAlign w:val="center"/>
          </w:tcPr>
          <w:p>
            <w:pPr>
              <w:spacing w:before="48" w:after="48" w:line="240" w:lineRule="auto"/>
              <w:jc w:val="center"/>
            </w:pPr>
            <w:r>
              <w:rPr>
                <w:rFonts w:ascii="宋体" w:eastAsia="宋体" w:hAnsi="宋体" w:cs="宋体"/>
                <w:sz w:val="21"/>
              </w:rPr>
              <w:t>报价</w:t>
            </w:r>
          </w:p>
        </w:tc>
        <w:tc>
          <w:tcPr>
            <w:tcW w:w="360" w:type="dxa"/>
            <w:vMerge w:val="restart"/>
            <w:vAlign w:val="center"/>
          </w:tcPr>
          <w:p>
            <w:pPr>
              <w:spacing w:before="48" w:after="48" w:line="240" w:lineRule="auto"/>
              <w:jc w:val="center"/>
            </w:pPr>
            <w:r>
              <w:rPr>
                <w:rFonts w:ascii="宋体" w:eastAsia="宋体" w:hAnsi="宋体" w:cs="宋体"/>
                <w:sz w:val="21"/>
              </w:rPr>
              <w:t>价格</w:t>
            </w:r>
          </w:p>
        </w:tc>
        <w:tc>
          <w:tcPr>
            <w:tcW w:w="360" w:type="dxa"/>
          </w:tcPr>
          <w:p>
            <w:pPr>
              <w:spacing w:before="48" w:after="48" w:line="240" w:lineRule="auto"/>
            </w:pPr>
            <w:r>
              <w:rPr>
                <w:rFonts w:ascii="宋体" w:eastAsia="宋体" w:hAnsi="宋体" w:cs="宋体"/>
                <w:sz w:val="21"/>
              </w:rPr>
              <w:t>得分S＝（Pmin/P）×20，其中：Pmin为所有供应商的最低有效报价，P为供应商有效报价。</w:t>
            </w:r>
          </w:p>
        </w:tc>
        <w:tc>
          <w:tcPr>
            <w:tcW w:w="360" w:type="dxa"/>
            <w:vMerge w:val="restart"/>
            <w:vAlign w:val="center"/>
          </w:tcPr>
          <w:p>
            <w:pPr>
              <w:spacing w:before="48" w:after="48" w:line="240" w:lineRule="auto"/>
              <w:jc w:val="center"/>
            </w:pPr>
            <w:r>
              <w:rPr>
                <w:rFonts w:ascii="宋体" w:eastAsia="宋体" w:hAnsi="宋体" w:cs="宋体"/>
                <w:sz w:val="21"/>
              </w:rPr>
              <w:t>20</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2</w:t>
            </w:r>
          </w:p>
        </w:tc>
        <w:tc>
          <w:tcPr>
            <w:tcW w:w="360" w:type="dxa"/>
            <w:vMerge w:val="restart"/>
            <w:vAlign w:val="center"/>
          </w:tcPr>
          <w:p>
            <w:pPr>
              <w:spacing w:before="48" w:after="48" w:line="240" w:lineRule="auto"/>
              <w:jc w:val="center"/>
            </w:pPr>
            <w:r>
              <w:rPr>
                <w:rFonts w:ascii="宋体" w:eastAsia="宋体" w:hAnsi="宋体" w:cs="宋体"/>
                <w:sz w:val="21"/>
              </w:rPr>
              <w:t>客观分</w:t>
            </w:r>
            <w:r>
              <w:br/>
            </w:r>
            <w:r>
              <w:rPr>
                <w:rFonts w:ascii="宋体" w:eastAsia="宋体" w:hAnsi="宋体" w:cs="宋体"/>
                <w:sz w:val="21"/>
              </w:rPr>
              <w:t>(65分)</w:t>
            </w:r>
          </w:p>
        </w:tc>
        <w:tc>
          <w:tcPr>
            <w:tcW w:w="360" w:type="dxa"/>
            <w:vMerge w:val="restart"/>
            <w:vAlign w:val="center"/>
          </w:tcPr>
          <w:p>
            <w:pPr>
              <w:spacing w:before="48" w:after="48" w:line="240" w:lineRule="auto"/>
              <w:jc w:val="center"/>
            </w:pPr>
            <w:r>
              <w:rPr>
                <w:rFonts w:ascii="宋体" w:eastAsia="宋体" w:hAnsi="宋体" w:cs="宋体"/>
                <w:sz w:val="21"/>
              </w:rPr>
              <w:t>相关证书和成功案例</w:t>
            </w:r>
          </w:p>
        </w:tc>
        <w:tc>
          <w:tcPr>
            <w:tcW w:w="360" w:type="dxa"/>
            <w:vMerge w:val="restart"/>
            <w:vAlign w:val="center"/>
          </w:tcPr>
          <w:p>
            <w:pPr>
              <w:spacing w:before="48" w:after="48" w:line="240" w:lineRule="auto"/>
              <w:jc w:val="center"/>
            </w:pPr>
            <w:r>
              <w:rPr>
                <w:rFonts w:ascii="宋体" w:eastAsia="宋体" w:hAnsi="宋体" w:cs="宋体"/>
                <w:sz w:val="21"/>
              </w:rPr>
              <w:t>相关证书（需提供有效期内的资质证书扫描件并加盖公章）</w:t>
            </w:r>
          </w:p>
        </w:tc>
        <w:tc>
          <w:tcPr>
            <w:tcW w:w="360" w:type="dxa"/>
          </w:tcPr>
          <w:p>
            <w:pPr>
              <w:spacing w:before="48" w:after="48" w:line="240" w:lineRule="auto"/>
            </w:pPr>
            <w:r>
              <w:rPr>
                <w:rFonts w:ascii="宋体" w:eastAsia="宋体" w:hAnsi="宋体" w:cs="宋体"/>
                <w:sz w:val="21"/>
              </w:rPr>
              <w:t>提供ISO 9001:2015质量管理体系认证证书、ISO45001:2018职业健康安全管理体系认证证书、ISO14001:2015环境管理体系认证证书，每提供一个得1分，满分3分；不提供，得0分。</w:t>
            </w:r>
          </w:p>
        </w:tc>
        <w:tc>
          <w:tcPr>
            <w:tcW w:w="360" w:type="dxa"/>
            <w:vMerge w:val="restart"/>
            <w:vAlign w:val="center"/>
          </w:tcPr>
          <w:p>
            <w:pPr>
              <w:spacing w:before="48" w:after="48" w:line="240" w:lineRule="auto"/>
              <w:jc w:val="center"/>
            </w:pPr>
            <w:r>
              <w:rPr>
                <w:rFonts w:ascii="宋体" w:eastAsia="宋体" w:hAnsi="宋体" w:cs="宋体"/>
                <w:sz w:val="21"/>
              </w:rPr>
              <w:t>3</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3</w:t>
            </w:r>
          </w:p>
        </w:tc>
        <w:tc>
          <w:tcPr>
            <w:tcW w:w="0" w:type="dxa"/>
            <w:vMerge/>
            <w:vAlign w:val="center"/>
          </w:tcPr>
          <w:p>
            <w:pPr>
              <w:spacing w:before="48" w:after="48" w:line="240" w:lineRule="auto"/>
              <w:jc w:val="center"/>
            </w:pPr>
            <w:r>
              <w:rPr>
                <w:rFonts w:ascii="宋体" w:eastAsia="宋体" w:hAnsi="宋体" w:cs="宋体"/>
                <w:sz w:val="21"/>
              </w:rPr>
              <w:t>客观分</w:t>
            </w:r>
            <w:r>
              <w:br/>
            </w:r>
            <w:r>
              <w:rPr>
                <w:rFonts w:ascii="宋体" w:eastAsia="宋体" w:hAnsi="宋体" w:cs="宋体"/>
                <w:sz w:val="21"/>
              </w:rPr>
              <w:t>(65分)</w:t>
            </w:r>
          </w:p>
        </w:tc>
        <w:tc>
          <w:tcPr>
            <w:tcW w:w="0" w:type="dxa"/>
            <w:vMerge/>
            <w:vAlign w:val="center"/>
          </w:tcPr>
          <w:p>
            <w:pPr>
              <w:spacing w:before="48" w:after="48" w:line="240" w:lineRule="auto"/>
              <w:jc w:val="center"/>
            </w:pPr>
            <w:r>
              <w:rPr>
                <w:rFonts w:ascii="宋体" w:eastAsia="宋体" w:hAnsi="宋体" w:cs="宋体"/>
                <w:sz w:val="21"/>
              </w:rPr>
              <w:t>相关证书和成功案例</w:t>
            </w:r>
          </w:p>
        </w:tc>
        <w:tc>
          <w:tcPr>
            <w:tcW w:w="360" w:type="dxa"/>
            <w:vMerge w:val="restart"/>
            <w:vAlign w:val="center"/>
          </w:tcPr>
          <w:p>
            <w:pPr>
              <w:spacing w:before="48" w:after="48" w:line="240" w:lineRule="auto"/>
              <w:jc w:val="center"/>
            </w:pPr>
            <w:r>
              <w:rPr>
                <w:rFonts w:ascii="宋体" w:eastAsia="宋体" w:hAnsi="宋体" w:cs="宋体"/>
                <w:sz w:val="21"/>
              </w:rPr>
              <w:t>成功案例</w:t>
            </w:r>
          </w:p>
        </w:tc>
        <w:tc>
          <w:tcPr>
            <w:tcW w:w="360" w:type="dxa"/>
          </w:tcPr>
          <w:p>
            <w:pPr>
              <w:spacing w:before="48" w:after="48" w:line="240" w:lineRule="auto"/>
            </w:pPr>
            <w:r>
              <w:rPr>
                <w:rFonts w:ascii="宋体" w:eastAsia="宋体" w:hAnsi="宋体" w:cs="宋体"/>
                <w:sz w:val="21"/>
              </w:rPr>
              <w:t>提供2023年1月1日以来（以合同签订日期为准）独立承担实施的相类似项目的成功案例。服务同一个单位分年度多次签订的案例按1个计算。（应提供合同关键页扫描件并加盖公章）每提供一个相类似项目的成功案例得1分，满分3分；不提供，得0分。</w:t>
            </w:r>
          </w:p>
        </w:tc>
        <w:tc>
          <w:tcPr>
            <w:tcW w:w="360" w:type="dxa"/>
            <w:vMerge w:val="restart"/>
            <w:vAlign w:val="center"/>
          </w:tcPr>
          <w:p>
            <w:pPr>
              <w:spacing w:before="48" w:after="48" w:line="240" w:lineRule="auto"/>
              <w:jc w:val="center"/>
            </w:pPr>
            <w:r>
              <w:rPr>
                <w:rFonts w:ascii="宋体" w:eastAsia="宋体" w:hAnsi="宋体" w:cs="宋体"/>
                <w:sz w:val="21"/>
              </w:rPr>
              <w:t>3</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4</w:t>
            </w:r>
          </w:p>
        </w:tc>
        <w:tc>
          <w:tcPr>
            <w:tcW w:w="0" w:type="dxa"/>
            <w:vMerge/>
            <w:vAlign w:val="center"/>
          </w:tcPr>
          <w:p>
            <w:pPr>
              <w:spacing w:before="48" w:after="48" w:line="240" w:lineRule="auto"/>
              <w:jc w:val="center"/>
            </w:pPr>
            <w:r>
              <w:rPr>
                <w:rFonts w:ascii="宋体" w:eastAsia="宋体" w:hAnsi="宋体" w:cs="宋体"/>
                <w:sz w:val="21"/>
              </w:rPr>
              <w:t>客观分</w:t>
            </w:r>
            <w:r>
              <w:br/>
            </w:r>
            <w:r>
              <w:rPr>
                <w:rFonts w:ascii="宋体" w:eastAsia="宋体" w:hAnsi="宋体" w:cs="宋体"/>
                <w:sz w:val="21"/>
              </w:rPr>
              <w:t>(65分)</w:t>
            </w:r>
          </w:p>
        </w:tc>
        <w:tc>
          <w:tcPr>
            <w:tcW w:w="360" w:type="dxa"/>
            <w:vMerge w:val="restart"/>
            <w:vAlign w:val="center"/>
          </w:tcPr>
          <w:p>
            <w:pPr>
              <w:spacing w:before="48" w:after="48" w:line="240" w:lineRule="auto"/>
              <w:jc w:val="center"/>
            </w:pPr>
            <w:r>
              <w:rPr>
                <w:rFonts w:ascii="宋体" w:eastAsia="宋体" w:hAnsi="宋体" w:cs="宋体"/>
                <w:sz w:val="21"/>
              </w:rPr>
              <w:t>技术力量</w:t>
            </w:r>
          </w:p>
        </w:tc>
        <w:tc>
          <w:tcPr>
            <w:tcW w:w="360" w:type="dxa"/>
            <w:vMerge w:val="restart"/>
            <w:vAlign w:val="center"/>
          </w:tcPr>
          <w:p>
            <w:pPr>
              <w:spacing w:before="48" w:after="48" w:line="240" w:lineRule="auto"/>
              <w:jc w:val="center"/>
            </w:pPr>
            <w:r>
              <w:rPr>
                <w:rFonts w:ascii="宋体" w:eastAsia="宋体" w:hAnsi="宋体" w:cs="宋体"/>
                <w:sz w:val="21"/>
              </w:rPr>
              <w:t>技术力量1</w:t>
            </w:r>
          </w:p>
        </w:tc>
        <w:tc>
          <w:tcPr>
            <w:tcW w:w="360" w:type="dxa"/>
          </w:tcPr>
          <w:p>
            <w:pPr>
              <w:spacing w:before="48" w:after="48" w:line="240" w:lineRule="auto"/>
            </w:pPr>
            <w:r>
              <w:rPr>
                <w:rFonts w:ascii="宋体" w:eastAsia="宋体" w:hAnsi="宋体" w:cs="宋体"/>
                <w:sz w:val="21"/>
              </w:rPr>
              <w:t>配备项目经理，要求：</w:t>
            </w:r>
            <w:r>
              <w:rPr>
                <w:rFonts w:ascii="宋体" w:eastAsia="宋体" w:hAnsi="宋体" w:cs="宋体"/>
                <w:sz w:val="21"/>
              </w:rPr>
              <w:br/>
            </w:r>
            <w:r>
              <w:rPr>
                <w:rFonts w:ascii="宋体" w:eastAsia="宋体" w:hAnsi="宋体" w:cs="宋体"/>
                <w:sz w:val="21"/>
              </w:rPr>
              <w:t>1人；男性年龄：30--55周岁之间，女性年龄：30--50周岁之间；提供投标人为其缴纳的截止开标前12个月内至少6个月社保的证明材料。满足上述全部要求得3分；不满足得0分。</w:t>
            </w:r>
          </w:p>
        </w:tc>
        <w:tc>
          <w:tcPr>
            <w:tcW w:w="360" w:type="dxa"/>
            <w:vMerge w:val="restart"/>
            <w:vAlign w:val="center"/>
          </w:tcPr>
          <w:p>
            <w:pPr>
              <w:spacing w:before="48" w:after="48" w:line="240" w:lineRule="auto"/>
              <w:jc w:val="center"/>
            </w:pPr>
            <w:r>
              <w:rPr>
                <w:rFonts w:ascii="宋体" w:eastAsia="宋体" w:hAnsi="宋体" w:cs="宋体"/>
                <w:sz w:val="21"/>
              </w:rPr>
              <w:t>3</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5</w:t>
            </w:r>
          </w:p>
        </w:tc>
        <w:tc>
          <w:tcPr>
            <w:tcW w:w="0" w:type="dxa"/>
            <w:vMerge/>
            <w:vAlign w:val="center"/>
          </w:tcPr>
          <w:p>
            <w:pPr>
              <w:spacing w:before="48" w:after="48" w:line="240" w:lineRule="auto"/>
              <w:jc w:val="center"/>
            </w:pPr>
            <w:r>
              <w:rPr>
                <w:rFonts w:ascii="宋体" w:eastAsia="宋体" w:hAnsi="宋体" w:cs="宋体"/>
                <w:sz w:val="21"/>
              </w:rPr>
              <w:t>客观分</w:t>
            </w:r>
            <w:r>
              <w:br/>
            </w:r>
            <w:r>
              <w:rPr>
                <w:rFonts w:ascii="宋体" w:eastAsia="宋体" w:hAnsi="宋体" w:cs="宋体"/>
                <w:sz w:val="21"/>
              </w:rPr>
              <w:t>(65分)</w:t>
            </w:r>
          </w:p>
        </w:tc>
        <w:tc>
          <w:tcPr>
            <w:tcW w:w="0" w:type="dxa"/>
            <w:vMerge/>
            <w:vAlign w:val="center"/>
          </w:tcPr>
          <w:p>
            <w:pPr>
              <w:spacing w:before="48" w:after="48" w:line="240" w:lineRule="auto"/>
              <w:jc w:val="center"/>
            </w:pPr>
            <w:r>
              <w:rPr>
                <w:rFonts w:ascii="宋体" w:eastAsia="宋体" w:hAnsi="宋体" w:cs="宋体"/>
                <w:sz w:val="21"/>
              </w:rPr>
              <w:t>技术力量</w:t>
            </w:r>
          </w:p>
        </w:tc>
        <w:tc>
          <w:tcPr>
            <w:tcW w:w="360" w:type="dxa"/>
            <w:vMerge w:val="restart"/>
            <w:vAlign w:val="center"/>
          </w:tcPr>
          <w:p>
            <w:pPr>
              <w:spacing w:before="48" w:after="48" w:line="240" w:lineRule="auto"/>
              <w:jc w:val="center"/>
            </w:pPr>
            <w:r>
              <w:rPr>
                <w:rFonts w:ascii="宋体" w:eastAsia="宋体" w:hAnsi="宋体" w:cs="宋体"/>
                <w:sz w:val="21"/>
              </w:rPr>
              <w:t>技术力量2</w:t>
            </w:r>
          </w:p>
        </w:tc>
        <w:tc>
          <w:tcPr>
            <w:tcW w:w="360" w:type="dxa"/>
          </w:tcPr>
          <w:p>
            <w:pPr>
              <w:spacing w:before="48" w:after="48" w:line="240" w:lineRule="auto"/>
            </w:pPr>
            <w:r>
              <w:rPr>
                <w:rFonts w:ascii="宋体" w:eastAsia="宋体" w:hAnsi="宋体" w:cs="宋体"/>
                <w:sz w:val="21"/>
              </w:rPr>
              <w:t>配备会议服务人员，要求：</w:t>
            </w:r>
            <w:r>
              <w:rPr>
                <w:rFonts w:ascii="宋体" w:eastAsia="宋体" w:hAnsi="宋体" w:cs="宋体"/>
                <w:sz w:val="21"/>
              </w:rPr>
              <w:br/>
            </w:r>
            <w:r>
              <w:rPr>
                <w:rFonts w:ascii="宋体" w:eastAsia="宋体" w:hAnsi="宋体" w:cs="宋体"/>
                <w:sz w:val="21"/>
              </w:rPr>
              <w:t>3人；女性；年龄：30--50周岁之间；提供投标人为其缴纳的截止开标前12个月内至少6个月社保的证明材料。</w:t>
            </w:r>
            <w:r>
              <w:rPr>
                <w:rFonts w:ascii="宋体" w:eastAsia="宋体" w:hAnsi="宋体" w:cs="宋体"/>
                <w:sz w:val="21"/>
              </w:rPr>
              <w:br/>
            </w:r>
            <w:r>
              <w:rPr>
                <w:rFonts w:ascii="宋体" w:eastAsia="宋体" w:hAnsi="宋体" w:cs="宋体"/>
                <w:sz w:val="21"/>
              </w:rPr>
              <w:t>满足上述全部要求得6分；不满足得0分。</w:t>
            </w:r>
          </w:p>
        </w:tc>
        <w:tc>
          <w:tcPr>
            <w:tcW w:w="360" w:type="dxa"/>
            <w:vMerge w:val="restart"/>
            <w:vAlign w:val="center"/>
          </w:tcPr>
          <w:p>
            <w:pPr>
              <w:spacing w:before="48" w:after="48" w:line="240" w:lineRule="auto"/>
              <w:jc w:val="center"/>
            </w:pPr>
            <w:r>
              <w:rPr>
                <w:rFonts w:ascii="宋体" w:eastAsia="宋体" w:hAnsi="宋体" w:cs="宋体"/>
                <w:sz w:val="21"/>
              </w:rPr>
              <w:t>6</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6</w:t>
            </w:r>
          </w:p>
        </w:tc>
        <w:tc>
          <w:tcPr>
            <w:tcW w:w="0" w:type="dxa"/>
            <w:vMerge/>
            <w:vAlign w:val="center"/>
          </w:tcPr>
          <w:p>
            <w:pPr>
              <w:spacing w:before="48" w:after="48" w:line="240" w:lineRule="auto"/>
              <w:jc w:val="center"/>
            </w:pPr>
            <w:r>
              <w:rPr>
                <w:rFonts w:ascii="宋体" w:eastAsia="宋体" w:hAnsi="宋体" w:cs="宋体"/>
                <w:sz w:val="21"/>
              </w:rPr>
              <w:t>客观分</w:t>
            </w:r>
            <w:r>
              <w:br/>
            </w:r>
            <w:r>
              <w:rPr>
                <w:rFonts w:ascii="宋体" w:eastAsia="宋体" w:hAnsi="宋体" w:cs="宋体"/>
                <w:sz w:val="21"/>
              </w:rPr>
              <w:t>(65分)</w:t>
            </w:r>
          </w:p>
        </w:tc>
        <w:tc>
          <w:tcPr>
            <w:tcW w:w="0" w:type="dxa"/>
            <w:vMerge/>
            <w:vAlign w:val="center"/>
          </w:tcPr>
          <w:p>
            <w:pPr>
              <w:spacing w:before="48" w:after="48" w:line="240" w:lineRule="auto"/>
              <w:jc w:val="center"/>
            </w:pPr>
            <w:r>
              <w:rPr>
                <w:rFonts w:ascii="宋体" w:eastAsia="宋体" w:hAnsi="宋体" w:cs="宋体"/>
                <w:sz w:val="21"/>
              </w:rPr>
              <w:t>技术力量</w:t>
            </w:r>
          </w:p>
        </w:tc>
        <w:tc>
          <w:tcPr>
            <w:tcW w:w="360" w:type="dxa"/>
            <w:vMerge w:val="restart"/>
            <w:vAlign w:val="center"/>
          </w:tcPr>
          <w:p>
            <w:pPr>
              <w:spacing w:before="48" w:after="48" w:line="240" w:lineRule="auto"/>
              <w:jc w:val="center"/>
            </w:pPr>
            <w:r>
              <w:rPr>
                <w:rFonts w:ascii="宋体" w:eastAsia="宋体" w:hAnsi="宋体" w:cs="宋体"/>
                <w:sz w:val="21"/>
              </w:rPr>
              <w:t>技术力量3</w:t>
            </w:r>
          </w:p>
        </w:tc>
        <w:tc>
          <w:tcPr>
            <w:tcW w:w="360" w:type="dxa"/>
          </w:tcPr>
          <w:p>
            <w:pPr>
              <w:spacing w:before="48" w:after="48" w:line="240" w:lineRule="auto"/>
            </w:pPr>
            <w:r>
              <w:rPr>
                <w:rFonts w:ascii="宋体" w:eastAsia="宋体" w:hAnsi="宋体" w:cs="宋体"/>
                <w:sz w:val="21"/>
              </w:rPr>
              <w:t>配备保洁，要求：5人；女性；年龄在 18 至 55周岁（含）之间；提供投标人为其缴纳的截止开标前12个月内至少6个月社保的证明材料。满足上述全部要求得10分，不满足得0分。</w:t>
            </w:r>
          </w:p>
        </w:tc>
        <w:tc>
          <w:tcPr>
            <w:tcW w:w="360" w:type="dxa"/>
            <w:vMerge w:val="restart"/>
            <w:vAlign w:val="center"/>
          </w:tcPr>
          <w:p>
            <w:pPr>
              <w:spacing w:before="48" w:after="48" w:line="240" w:lineRule="auto"/>
              <w:jc w:val="center"/>
            </w:pPr>
            <w:r>
              <w:rPr>
                <w:rFonts w:ascii="宋体" w:eastAsia="宋体" w:hAnsi="宋体" w:cs="宋体"/>
                <w:sz w:val="21"/>
              </w:rPr>
              <w:t>10</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7</w:t>
            </w:r>
          </w:p>
        </w:tc>
        <w:tc>
          <w:tcPr>
            <w:tcW w:w="0" w:type="dxa"/>
            <w:vMerge/>
            <w:vAlign w:val="center"/>
          </w:tcPr>
          <w:p>
            <w:pPr>
              <w:spacing w:before="48" w:after="48" w:line="240" w:lineRule="auto"/>
              <w:jc w:val="center"/>
            </w:pPr>
            <w:r>
              <w:rPr>
                <w:rFonts w:ascii="宋体" w:eastAsia="宋体" w:hAnsi="宋体" w:cs="宋体"/>
                <w:sz w:val="21"/>
              </w:rPr>
              <w:t>客观分</w:t>
            </w:r>
            <w:r>
              <w:br/>
            </w:r>
            <w:r>
              <w:rPr>
                <w:rFonts w:ascii="宋体" w:eastAsia="宋体" w:hAnsi="宋体" w:cs="宋体"/>
                <w:sz w:val="21"/>
              </w:rPr>
              <w:t>(65分)</w:t>
            </w:r>
          </w:p>
        </w:tc>
        <w:tc>
          <w:tcPr>
            <w:tcW w:w="0" w:type="dxa"/>
            <w:vMerge/>
            <w:vAlign w:val="center"/>
          </w:tcPr>
          <w:p>
            <w:pPr>
              <w:spacing w:before="48" w:after="48" w:line="240" w:lineRule="auto"/>
              <w:jc w:val="center"/>
            </w:pPr>
            <w:r>
              <w:rPr>
                <w:rFonts w:ascii="宋体" w:eastAsia="宋体" w:hAnsi="宋体" w:cs="宋体"/>
                <w:sz w:val="21"/>
              </w:rPr>
              <w:t>技术力量</w:t>
            </w:r>
          </w:p>
        </w:tc>
        <w:tc>
          <w:tcPr>
            <w:tcW w:w="360" w:type="dxa"/>
            <w:vMerge w:val="restart"/>
            <w:vAlign w:val="center"/>
          </w:tcPr>
          <w:p>
            <w:pPr>
              <w:spacing w:before="48" w:after="48" w:line="240" w:lineRule="auto"/>
              <w:jc w:val="center"/>
            </w:pPr>
            <w:r>
              <w:rPr>
                <w:rFonts w:ascii="宋体" w:eastAsia="宋体" w:hAnsi="宋体" w:cs="宋体"/>
                <w:sz w:val="21"/>
              </w:rPr>
              <w:t>技术力量4</w:t>
            </w:r>
          </w:p>
        </w:tc>
        <w:tc>
          <w:tcPr>
            <w:tcW w:w="360" w:type="dxa"/>
          </w:tcPr>
          <w:p>
            <w:pPr>
              <w:spacing w:before="48" w:after="48" w:line="240" w:lineRule="auto"/>
            </w:pPr>
            <w:r>
              <w:rPr>
                <w:rFonts w:ascii="宋体" w:eastAsia="宋体" w:hAnsi="宋体" w:cs="宋体"/>
                <w:sz w:val="21"/>
              </w:rPr>
              <w:t>配备秩序维护人员，要求：10人；男性；年龄均在18 至60周岁（含）之间。提供投标人为其缴纳的截止开标前12个月内至少6个月社保的证明材料。满足上述全部要求得15分，不满足得0分。</w:t>
            </w:r>
          </w:p>
        </w:tc>
        <w:tc>
          <w:tcPr>
            <w:tcW w:w="360" w:type="dxa"/>
            <w:vMerge w:val="restart"/>
            <w:vAlign w:val="center"/>
          </w:tcPr>
          <w:p>
            <w:pPr>
              <w:spacing w:before="48" w:after="48" w:line="240" w:lineRule="auto"/>
              <w:jc w:val="center"/>
            </w:pPr>
            <w:r>
              <w:rPr>
                <w:rFonts w:ascii="宋体" w:eastAsia="宋体" w:hAnsi="宋体" w:cs="宋体"/>
                <w:sz w:val="21"/>
              </w:rPr>
              <w:t>15</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8</w:t>
            </w:r>
          </w:p>
        </w:tc>
        <w:tc>
          <w:tcPr>
            <w:tcW w:w="0" w:type="dxa"/>
            <w:vMerge/>
            <w:vAlign w:val="center"/>
          </w:tcPr>
          <w:p>
            <w:pPr>
              <w:spacing w:before="48" w:after="48" w:line="240" w:lineRule="auto"/>
              <w:jc w:val="center"/>
            </w:pPr>
            <w:r>
              <w:rPr>
                <w:rFonts w:ascii="宋体" w:eastAsia="宋体" w:hAnsi="宋体" w:cs="宋体"/>
                <w:sz w:val="21"/>
              </w:rPr>
              <w:t>客观分</w:t>
            </w:r>
            <w:r>
              <w:br/>
            </w:r>
            <w:r>
              <w:rPr>
                <w:rFonts w:ascii="宋体" w:eastAsia="宋体" w:hAnsi="宋体" w:cs="宋体"/>
                <w:sz w:val="21"/>
              </w:rPr>
              <w:t>(65分)</w:t>
            </w:r>
          </w:p>
        </w:tc>
        <w:tc>
          <w:tcPr>
            <w:tcW w:w="0" w:type="dxa"/>
            <w:vMerge/>
            <w:vAlign w:val="center"/>
          </w:tcPr>
          <w:p>
            <w:pPr>
              <w:spacing w:before="48" w:after="48" w:line="240" w:lineRule="auto"/>
              <w:jc w:val="center"/>
            </w:pPr>
            <w:r>
              <w:rPr>
                <w:rFonts w:ascii="宋体" w:eastAsia="宋体" w:hAnsi="宋体" w:cs="宋体"/>
                <w:sz w:val="21"/>
              </w:rPr>
              <w:t>技术力量</w:t>
            </w:r>
          </w:p>
        </w:tc>
        <w:tc>
          <w:tcPr>
            <w:tcW w:w="360" w:type="dxa"/>
            <w:vMerge w:val="restart"/>
            <w:vAlign w:val="center"/>
          </w:tcPr>
          <w:p>
            <w:pPr>
              <w:spacing w:before="48" w:after="48" w:line="240" w:lineRule="auto"/>
              <w:jc w:val="center"/>
            </w:pPr>
            <w:r>
              <w:rPr>
                <w:rFonts w:ascii="宋体" w:eastAsia="宋体" w:hAnsi="宋体" w:cs="宋体"/>
                <w:sz w:val="21"/>
              </w:rPr>
              <w:t>技术力量5</w:t>
            </w:r>
          </w:p>
        </w:tc>
        <w:tc>
          <w:tcPr>
            <w:tcW w:w="360" w:type="dxa"/>
          </w:tcPr>
          <w:p>
            <w:pPr>
              <w:spacing w:before="48" w:after="48" w:line="240" w:lineRule="auto"/>
            </w:pPr>
            <w:r>
              <w:rPr>
                <w:rFonts w:ascii="宋体" w:eastAsia="宋体" w:hAnsi="宋体" w:cs="宋体"/>
                <w:sz w:val="21"/>
              </w:rPr>
              <w:t>配备食堂服务人员，要求：12人；其中，厨师3人，男性，年龄：18-58周岁之间、面点师3人，女性，年龄18--55周岁之间、杂工3人，女性，年龄18--55周岁之间、后勤保障人员3人，女性，年龄18-55周岁之间。提供投标人为其缴纳的截止开标前12个月内至少6个月社保的证明材料。满足上述全部要求得17分；不满足得0分。</w:t>
            </w:r>
          </w:p>
        </w:tc>
        <w:tc>
          <w:tcPr>
            <w:tcW w:w="360" w:type="dxa"/>
            <w:vMerge w:val="restart"/>
            <w:vAlign w:val="center"/>
          </w:tcPr>
          <w:p>
            <w:pPr>
              <w:spacing w:before="48" w:after="48" w:line="240" w:lineRule="auto"/>
              <w:jc w:val="center"/>
            </w:pPr>
            <w:r>
              <w:rPr>
                <w:rFonts w:ascii="宋体" w:eastAsia="宋体" w:hAnsi="宋体" w:cs="宋体"/>
                <w:sz w:val="21"/>
              </w:rPr>
              <w:t>17</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9</w:t>
            </w:r>
          </w:p>
        </w:tc>
        <w:tc>
          <w:tcPr>
            <w:tcW w:w="0" w:type="dxa"/>
            <w:vMerge/>
            <w:vAlign w:val="center"/>
          </w:tcPr>
          <w:p>
            <w:pPr>
              <w:spacing w:before="48" w:after="48" w:line="240" w:lineRule="auto"/>
              <w:jc w:val="center"/>
            </w:pPr>
            <w:r>
              <w:rPr>
                <w:rFonts w:ascii="宋体" w:eastAsia="宋体" w:hAnsi="宋体" w:cs="宋体"/>
                <w:sz w:val="21"/>
              </w:rPr>
              <w:t>客观分</w:t>
            </w:r>
            <w:r>
              <w:br/>
            </w:r>
            <w:r>
              <w:rPr>
                <w:rFonts w:ascii="宋体" w:eastAsia="宋体" w:hAnsi="宋体" w:cs="宋体"/>
                <w:sz w:val="21"/>
              </w:rPr>
              <w:t>(65分)</w:t>
            </w:r>
          </w:p>
        </w:tc>
        <w:tc>
          <w:tcPr>
            <w:tcW w:w="0" w:type="dxa"/>
            <w:vMerge/>
            <w:vAlign w:val="center"/>
          </w:tcPr>
          <w:p>
            <w:pPr>
              <w:spacing w:before="48" w:after="48" w:line="240" w:lineRule="auto"/>
              <w:jc w:val="center"/>
            </w:pPr>
            <w:r>
              <w:rPr>
                <w:rFonts w:ascii="宋体" w:eastAsia="宋体" w:hAnsi="宋体" w:cs="宋体"/>
                <w:sz w:val="21"/>
              </w:rPr>
              <w:t>技术力量</w:t>
            </w:r>
          </w:p>
        </w:tc>
        <w:tc>
          <w:tcPr>
            <w:tcW w:w="360" w:type="dxa"/>
            <w:vMerge w:val="restart"/>
            <w:vAlign w:val="center"/>
          </w:tcPr>
          <w:p>
            <w:pPr>
              <w:spacing w:before="48" w:after="48" w:line="240" w:lineRule="auto"/>
              <w:jc w:val="center"/>
            </w:pPr>
            <w:r>
              <w:rPr>
                <w:rFonts w:ascii="宋体" w:eastAsia="宋体" w:hAnsi="宋体" w:cs="宋体"/>
                <w:sz w:val="21"/>
              </w:rPr>
              <w:t>技术力量6</w:t>
            </w:r>
          </w:p>
        </w:tc>
        <w:tc>
          <w:tcPr>
            <w:tcW w:w="360" w:type="dxa"/>
          </w:tcPr>
          <w:p>
            <w:pPr>
              <w:spacing w:before="48" w:after="48" w:line="240" w:lineRule="auto"/>
            </w:pPr>
            <w:r>
              <w:rPr>
                <w:rFonts w:ascii="宋体" w:eastAsia="宋体" w:hAnsi="宋体" w:cs="宋体"/>
                <w:sz w:val="21"/>
              </w:rPr>
              <w:t>配备综合服务人员，要求：1人；女性；年龄50周岁以下，男性55周岁以下。提供投标人为其缴纳的截止开标前12个月内至少6个月社保的证明材料。满足上述全部要求得2分；不满足得0分。</w:t>
            </w:r>
          </w:p>
        </w:tc>
        <w:tc>
          <w:tcPr>
            <w:tcW w:w="360" w:type="dxa"/>
            <w:vMerge w:val="restart"/>
            <w:vAlign w:val="center"/>
          </w:tcPr>
          <w:p>
            <w:pPr>
              <w:spacing w:before="48" w:after="48" w:line="240" w:lineRule="auto"/>
              <w:jc w:val="center"/>
            </w:pPr>
            <w:r>
              <w:rPr>
                <w:rFonts w:ascii="宋体" w:eastAsia="宋体" w:hAnsi="宋体" w:cs="宋体"/>
                <w:sz w:val="21"/>
              </w:rPr>
              <w:t>2</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10</w:t>
            </w:r>
          </w:p>
        </w:tc>
        <w:tc>
          <w:tcPr>
            <w:tcW w:w="0" w:type="dxa"/>
            <w:vMerge/>
            <w:vAlign w:val="center"/>
          </w:tcPr>
          <w:p>
            <w:pPr>
              <w:spacing w:before="48" w:after="48" w:line="240" w:lineRule="auto"/>
              <w:jc w:val="center"/>
            </w:pPr>
            <w:r>
              <w:rPr>
                <w:rFonts w:ascii="宋体" w:eastAsia="宋体" w:hAnsi="宋体" w:cs="宋体"/>
                <w:sz w:val="21"/>
              </w:rPr>
              <w:t>客观分</w:t>
            </w:r>
            <w:r>
              <w:br/>
            </w:r>
            <w:r>
              <w:rPr>
                <w:rFonts w:ascii="宋体" w:eastAsia="宋体" w:hAnsi="宋体" w:cs="宋体"/>
                <w:sz w:val="21"/>
              </w:rPr>
              <w:t>(65分)</w:t>
            </w:r>
          </w:p>
        </w:tc>
        <w:tc>
          <w:tcPr>
            <w:tcW w:w="0" w:type="dxa"/>
            <w:vMerge/>
            <w:vAlign w:val="center"/>
          </w:tcPr>
          <w:p>
            <w:pPr>
              <w:spacing w:before="48" w:after="48" w:line="240" w:lineRule="auto"/>
              <w:jc w:val="center"/>
            </w:pPr>
            <w:r>
              <w:rPr>
                <w:rFonts w:ascii="宋体" w:eastAsia="宋体" w:hAnsi="宋体" w:cs="宋体"/>
                <w:sz w:val="21"/>
              </w:rPr>
              <w:t>技术力量</w:t>
            </w:r>
          </w:p>
        </w:tc>
        <w:tc>
          <w:tcPr>
            <w:tcW w:w="360" w:type="dxa"/>
            <w:vMerge w:val="restart"/>
            <w:vAlign w:val="center"/>
          </w:tcPr>
          <w:p>
            <w:pPr>
              <w:spacing w:before="48" w:after="48" w:line="240" w:lineRule="auto"/>
              <w:jc w:val="center"/>
            </w:pPr>
            <w:r>
              <w:rPr>
                <w:rFonts w:ascii="宋体" w:eastAsia="宋体" w:hAnsi="宋体" w:cs="宋体"/>
                <w:sz w:val="21"/>
              </w:rPr>
              <w:t>技术力量7</w:t>
            </w:r>
          </w:p>
        </w:tc>
        <w:tc>
          <w:tcPr>
            <w:tcW w:w="360" w:type="dxa"/>
          </w:tcPr>
          <w:p>
            <w:pPr>
              <w:spacing w:before="48" w:after="48" w:line="240" w:lineRule="auto"/>
            </w:pPr>
            <w:r>
              <w:rPr>
                <w:rFonts w:ascii="宋体" w:eastAsia="宋体" w:hAnsi="宋体" w:cs="宋体"/>
                <w:sz w:val="21"/>
              </w:rPr>
              <w:t>根据投标人提供适合本项目服务需求的清雪车、扫地机、吸尘器三类设备进行打分，每类设备不少于3台，每提供1类设备，得2分，最多得6分（如为自有设备，需提供设备图片、购置合同以及购置发票等有效证明材料；如为租用设备，需提供设备图片、租赁合同以及租赁发票等有效证明材料）。</w:t>
            </w:r>
          </w:p>
        </w:tc>
        <w:tc>
          <w:tcPr>
            <w:tcW w:w="360" w:type="dxa"/>
            <w:vMerge w:val="restart"/>
            <w:vAlign w:val="center"/>
          </w:tcPr>
          <w:p>
            <w:pPr>
              <w:spacing w:before="48" w:after="48" w:line="240" w:lineRule="auto"/>
              <w:jc w:val="center"/>
            </w:pPr>
            <w:r>
              <w:rPr>
                <w:rFonts w:ascii="宋体" w:eastAsia="宋体" w:hAnsi="宋体" w:cs="宋体"/>
                <w:sz w:val="21"/>
              </w:rPr>
              <w:t>6</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11</w:t>
            </w:r>
          </w:p>
        </w:tc>
        <w:tc>
          <w:tcPr>
            <w:tcW w:w="360" w:type="dxa"/>
            <w:vMerge w:val="restart"/>
            <w:vAlign w:val="center"/>
          </w:tcPr>
          <w:p>
            <w:pPr>
              <w:spacing w:before="48" w:after="48" w:line="240" w:lineRule="auto"/>
              <w:jc w:val="center"/>
            </w:pPr>
            <w:r>
              <w:rPr>
                <w:rFonts w:ascii="宋体" w:eastAsia="宋体" w:hAnsi="宋体" w:cs="宋体"/>
                <w:sz w:val="21"/>
              </w:rPr>
              <w:t>主观分</w:t>
            </w:r>
            <w:r>
              <w:br/>
            </w:r>
            <w:r>
              <w:rPr>
                <w:rFonts w:ascii="宋体" w:eastAsia="宋体" w:hAnsi="宋体" w:cs="宋体"/>
                <w:sz w:val="21"/>
              </w:rPr>
              <w:t>(15分)</w:t>
            </w:r>
          </w:p>
        </w:tc>
        <w:tc>
          <w:tcPr>
            <w:tcW w:w="360" w:type="dxa"/>
            <w:vMerge w:val="restart"/>
            <w:vAlign w:val="center"/>
          </w:tcPr>
          <w:p>
            <w:pPr>
              <w:spacing w:before="48" w:after="48" w:line="240" w:lineRule="auto"/>
              <w:jc w:val="center"/>
            </w:pPr>
            <w:r>
              <w:rPr>
                <w:rFonts w:ascii="宋体" w:eastAsia="宋体" w:hAnsi="宋体" w:cs="宋体"/>
                <w:sz w:val="21"/>
              </w:rPr>
              <w:t>技术和服务水平</w:t>
            </w:r>
          </w:p>
        </w:tc>
        <w:tc>
          <w:tcPr>
            <w:tcW w:w="360" w:type="dxa"/>
            <w:vMerge w:val="restart"/>
            <w:vAlign w:val="center"/>
          </w:tcPr>
          <w:p>
            <w:pPr>
              <w:spacing w:before="48" w:after="48" w:line="240" w:lineRule="auto"/>
              <w:jc w:val="center"/>
            </w:pPr>
            <w:r>
              <w:rPr>
                <w:rFonts w:ascii="宋体" w:eastAsia="宋体" w:hAnsi="宋体" w:cs="宋体"/>
                <w:sz w:val="21"/>
              </w:rPr>
              <w:t>管理实施方案</w:t>
            </w:r>
          </w:p>
        </w:tc>
        <w:tc>
          <w:tcPr>
            <w:tcW w:w="360" w:type="dxa"/>
          </w:tcPr>
          <w:p>
            <w:pPr>
              <w:spacing w:before="48" w:after="48" w:line="240" w:lineRule="auto"/>
            </w:pPr>
            <w:r>
              <w:rPr>
                <w:rFonts w:ascii="宋体" w:eastAsia="宋体" w:hAnsi="宋体" w:cs="宋体"/>
                <w:sz w:val="21"/>
              </w:rPr>
              <w:t>投标人提供的方案内容应包含：（1）工作实施方案、日常物业管理方案；（2）人员配置及人员稳定性保障方案；（3）服务质量保障方案。</w:t>
            </w:r>
            <w:r>
              <w:rPr>
                <w:rFonts w:ascii="宋体" w:eastAsia="宋体" w:hAnsi="宋体" w:cs="宋体"/>
                <w:sz w:val="21"/>
              </w:rPr>
              <w:br/>
            </w:r>
            <w:r>
              <w:rPr>
                <w:rFonts w:ascii="宋体" w:eastAsia="宋体" w:hAnsi="宋体" w:cs="宋体"/>
                <w:sz w:val="21"/>
              </w:rPr>
              <w:t>方案中每提供1项且内容完整、详细、完全符合本项目实际情况、可操作性强的得1分，最多得3分，否则不得分。</w:t>
            </w:r>
          </w:p>
        </w:tc>
        <w:tc>
          <w:tcPr>
            <w:tcW w:w="360" w:type="dxa"/>
            <w:vMerge w:val="restart"/>
            <w:vAlign w:val="center"/>
          </w:tcPr>
          <w:p>
            <w:pPr>
              <w:spacing w:before="48" w:after="48" w:line="240" w:lineRule="auto"/>
              <w:jc w:val="center"/>
            </w:pPr>
            <w:r>
              <w:rPr>
                <w:rFonts w:ascii="宋体" w:eastAsia="宋体" w:hAnsi="宋体" w:cs="宋体"/>
                <w:sz w:val="21"/>
              </w:rPr>
              <w:t>3</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12</w:t>
            </w:r>
          </w:p>
        </w:tc>
        <w:tc>
          <w:tcPr>
            <w:tcW w:w="0" w:type="dxa"/>
            <w:vMerge/>
            <w:vAlign w:val="center"/>
          </w:tcPr>
          <w:p>
            <w:pPr>
              <w:spacing w:before="48" w:after="48" w:line="240" w:lineRule="auto"/>
              <w:jc w:val="center"/>
            </w:pPr>
            <w:r>
              <w:rPr>
                <w:rFonts w:ascii="宋体" w:eastAsia="宋体" w:hAnsi="宋体" w:cs="宋体"/>
                <w:sz w:val="21"/>
              </w:rPr>
              <w:t>主观分</w:t>
            </w:r>
            <w:r>
              <w:br/>
            </w:r>
            <w:r>
              <w:rPr>
                <w:rFonts w:ascii="宋体" w:eastAsia="宋体" w:hAnsi="宋体" w:cs="宋体"/>
                <w:sz w:val="21"/>
              </w:rPr>
              <w:t>(15分)</w:t>
            </w:r>
          </w:p>
        </w:tc>
        <w:tc>
          <w:tcPr>
            <w:tcW w:w="0" w:type="dxa"/>
            <w:vMerge/>
            <w:vAlign w:val="center"/>
          </w:tcPr>
          <w:p>
            <w:pPr>
              <w:spacing w:before="48" w:after="48" w:line="240" w:lineRule="auto"/>
              <w:jc w:val="center"/>
            </w:pPr>
            <w:r>
              <w:rPr>
                <w:rFonts w:ascii="宋体" w:eastAsia="宋体" w:hAnsi="宋体" w:cs="宋体"/>
                <w:sz w:val="21"/>
              </w:rPr>
              <w:t>技术和服务水平</w:t>
            </w:r>
          </w:p>
        </w:tc>
        <w:tc>
          <w:tcPr>
            <w:tcW w:w="360" w:type="dxa"/>
            <w:vMerge w:val="restart"/>
            <w:vAlign w:val="center"/>
          </w:tcPr>
          <w:p>
            <w:pPr>
              <w:spacing w:before="48" w:after="48" w:line="240" w:lineRule="auto"/>
              <w:jc w:val="center"/>
            </w:pPr>
            <w:r>
              <w:rPr>
                <w:rFonts w:ascii="宋体" w:eastAsia="宋体" w:hAnsi="宋体" w:cs="宋体"/>
                <w:sz w:val="21"/>
              </w:rPr>
              <w:t>特约服务实施方案</w:t>
            </w:r>
          </w:p>
        </w:tc>
        <w:tc>
          <w:tcPr>
            <w:tcW w:w="360" w:type="dxa"/>
          </w:tcPr>
          <w:p>
            <w:pPr>
              <w:spacing w:before="48" w:after="48" w:line="240" w:lineRule="auto"/>
            </w:pPr>
            <w:r>
              <w:rPr>
                <w:rFonts w:ascii="宋体" w:eastAsia="宋体" w:hAnsi="宋体" w:cs="宋体"/>
                <w:sz w:val="21"/>
              </w:rPr>
              <w:t>投标人提供的方案内容应包含：（1）玻璃擦拭实施方案；（2）积雪清扫实施方案；（3）机关食堂服务方案。</w:t>
            </w:r>
            <w:r>
              <w:rPr>
                <w:rFonts w:ascii="宋体" w:eastAsia="宋体" w:hAnsi="宋体" w:cs="宋体"/>
                <w:sz w:val="21"/>
              </w:rPr>
              <w:br/>
            </w:r>
            <w:r>
              <w:rPr>
                <w:rFonts w:ascii="宋体" w:eastAsia="宋体" w:hAnsi="宋体" w:cs="宋体"/>
                <w:sz w:val="21"/>
              </w:rPr>
              <w:t>方案中每提供1项且内容完整、详细、完全符合本项目实际情况、可操作性强的得1分，最多得3分，否则不得分。</w:t>
            </w:r>
          </w:p>
        </w:tc>
        <w:tc>
          <w:tcPr>
            <w:tcW w:w="360" w:type="dxa"/>
            <w:vMerge w:val="restart"/>
            <w:vAlign w:val="center"/>
          </w:tcPr>
          <w:p>
            <w:pPr>
              <w:spacing w:before="48" w:after="48" w:line="240" w:lineRule="auto"/>
              <w:jc w:val="center"/>
            </w:pPr>
            <w:r>
              <w:rPr>
                <w:rFonts w:ascii="宋体" w:eastAsia="宋体" w:hAnsi="宋体" w:cs="宋体"/>
                <w:sz w:val="21"/>
              </w:rPr>
              <w:t>3</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13</w:t>
            </w:r>
          </w:p>
        </w:tc>
        <w:tc>
          <w:tcPr>
            <w:tcW w:w="0" w:type="dxa"/>
            <w:vMerge/>
            <w:vAlign w:val="center"/>
          </w:tcPr>
          <w:p>
            <w:pPr>
              <w:spacing w:before="48" w:after="48" w:line="240" w:lineRule="auto"/>
              <w:jc w:val="center"/>
            </w:pPr>
            <w:r>
              <w:rPr>
                <w:rFonts w:ascii="宋体" w:eastAsia="宋体" w:hAnsi="宋体" w:cs="宋体"/>
                <w:sz w:val="21"/>
              </w:rPr>
              <w:t>主观分</w:t>
            </w:r>
            <w:r>
              <w:br/>
            </w:r>
            <w:r>
              <w:rPr>
                <w:rFonts w:ascii="宋体" w:eastAsia="宋体" w:hAnsi="宋体" w:cs="宋体"/>
                <w:sz w:val="21"/>
              </w:rPr>
              <w:t>(15分)</w:t>
            </w:r>
          </w:p>
        </w:tc>
        <w:tc>
          <w:tcPr>
            <w:tcW w:w="0" w:type="dxa"/>
            <w:vMerge/>
            <w:vAlign w:val="center"/>
          </w:tcPr>
          <w:p>
            <w:pPr>
              <w:spacing w:before="48" w:after="48" w:line="240" w:lineRule="auto"/>
              <w:jc w:val="center"/>
            </w:pPr>
            <w:r>
              <w:rPr>
                <w:rFonts w:ascii="宋体" w:eastAsia="宋体" w:hAnsi="宋体" w:cs="宋体"/>
                <w:sz w:val="21"/>
              </w:rPr>
              <w:t>技术和服务水平</w:t>
            </w:r>
          </w:p>
        </w:tc>
        <w:tc>
          <w:tcPr>
            <w:tcW w:w="360" w:type="dxa"/>
            <w:vMerge w:val="restart"/>
            <w:vAlign w:val="center"/>
          </w:tcPr>
          <w:p>
            <w:pPr>
              <w:spacing w:before="48" w:after="48" w:line="240" w:lineRule="auto"/>
              <w:jc w:val="center"/>
            </w:pPr>
            <w:r>
              <w:rPr>
                <w:rFonts w:ascii="宋体" w:eastAsia="宋体" w:hAnsi="宋体" w:cs="宋体"/>
                <w:sz w:val="21"/>
              </w:rPr>
              <w:t>风险管控方案</w:t>
            </w:r>
          </w:p>
        </w:tc>
        <w:tc>
          <w:tcPr>
            <w:tcW w:w="360" w:type="dxa"/>
          </w:tcPr>
          <w:p>
            <w:pPr>
              <w:spacing w:before="48" w:after="48" w:line="240" w:lineRule="auto"/>
            </w:pPr>
            <w:r>
              <w:rPr>
                <w:rFonts w:ascii="宋体" w:eastAsia="宋体" w:hAnsi="宋体" w:cs="宋体"/>
                <w:sz w:val="21"/>
              </w:rPr>
              <w:t>投标人提供的方案内容应包含：（1）工作机密泄露风险；（2）重点区域安全隐患排查；（3）工作失误风险。</w:t>
            </w:r>
            <w:r>
              <w:rPr>
                <w:rFonts w:ascii="宋体" w:eastAsia="宋体" w:hAnsi="宋体" w:cs="宋体"/>
                <w:sz w:val="21"/>
              </w:rPr>
              <w:br/>
            </w:r>
            <w:r>
              <w:rPr>
                <w:rFonts w:ascii="宋体" w:eastAsia="宋体" w:hAnsi="宋体" w:cs="宋体"/>
                <w:sz w:val="21"/>
              </w:rPr>
              <w:t>方案中每提供1项且内容完整、详细、完全符合本项目实际情况、可操作性强的得1分，最多得3分，否则不得分。</w:t>
            </w:r>
          </w:p>
        </w:tc>
        <w:tc>
          <w:tcPr>
            <w:tcW w:w="360" w:type="dxa"/>
            <w:vMerge w:val="restart"/>
            <w:vAlign w:val="center"/>
          </w:tcPr>
          <w:p>
            <w:pPr>
              <w:spacing w:before="48" w:after="48" w:line="240" w:lineRule="auto"/>
              <w:jc w:val="center"/>
            </w:pPr>
            <w:r>
              <w:rPr>
                <w:rFonts w:ascii="宋体" w:eastAsia="宋体" w:hAnsi="宋体" w:cs="宋体"/>
                <w:sz w:val="21"/>
              </w:rPr>
              <w:t>3</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14</w:t>
            </w:r>
          </w:p>
        </w:tc>
        <w:tc>
          <w:tcPr>
            <w:tcW w:w="0" w:type="dxa"/>
            <w:vMerge/>
            <w:vAlign w:val="center"/>
          </w:tcPr>
          <w:p>
            <w:pPr>
              <w:spacing w:before="48" w:after="48" w:line="240" w:lineRule="auto"/>
              <w:jc w:val="center"/>
            </w:pPr>
            <w:r>
              <w:rPr>
                <w:rFonts w:ascii="宋体" w:eastAsia="宋体" w:hAnsi="宋体" w:cs="宋体"/>
                <w:sz w:val="21"/>
              </w:rPr>
              <w:t>主观分</w:t>
            </w:r>
            <w:r>
              <w:br/>
            </w:r>
            <w:r>
              <w:rPr>
                <w:rFonts w:ascii="宋体" w:eastAsia="宋体" w:hAnsi="宋体" w:cs="宋体"/>
                <w:sz w:val="21"/>
              </w:rPr>
              <w:t>(15分)</w:t>
            </w:r>
          </w:p>
        </w:tc>
        <w:tc>
          <w:tcPr>
            <w:tcW w:w="0" w:type="dxa"/>
            <w:vMerge/>
            <w:vAlign w:val="center"/>
          </w:tcPr>
          <w:p>
            <w:pPr>
              <w:spacing w:before="48" w:after="48" w:line="240" w:lineRule="auto"/>
              <w:jc w:val="center"/>
            </w:pPr>
            <w:r>
              <w:rPr>
                <w:rFonts w:ascii="宋体" w:eastAsia="宋体" w:hAnsi="宋体" w:cs="宋体"/>
                <w:sz w:val="21"/>
              </w:rPr>
              <w:t>技术和服务水平</w:t>
            </w:r>
          </w:p>
        </w:tc>
        <w:tc>
          <w:tcPr>
            <w:tcW w:w="360" w:type="dxa"/>
            <w:vAlign w:val="center"/>
          </w:tcPr>
          <w:p>
            <w:pPr>
              <w:spacing w:before="48" w:after="48" w:line="240" w:lineRule="auto"/>
              <w:jc w:val="center"/>
            </w:pPr>
            <w:r>
              <w:rPr>
                <w:rFonts w:ascii="宋体" w:eastAsia="宋体" w:hAnsi="宋体" w:cs="宋体"/>
                <w:sz w:val="21"/>
              </w:rPr>
              <w:t>履约验收方案</w:t>
            </w:r>
          </w:p>
        </w:tc>
        <w:tc>
          <w:tcPr>
            <w:tcW w:w="360" w:type="dxa"/>
          </w:tcPr>
          <w:p>
            <w:pPr>
              <w:spacing w:before="48" w:after="48" w:line="240" w:lineRule="auto"/>
            </w:pPr>
            <w:r>
              <w:rPr>
                <w:rFonts w:ascii="宋体" w:eastAsia="宋体" w:hAnsi="宋体" w:cs="宋体"/>
                <w:sz w:val="21"/>
              </w:rPr>
              <w:t>投标人提供的方案应包含：（1）验收条件、验收方式以及验收标准及流程；（2）验收不合格处置方式与改进方案；（3）针对本项目验收考核方案。</w:t>
            </w:r>
            <w:r>
              <w:rPr>
                <w:rFonts w:ascii="宋体" w:eastAsia="宋体" w:hAnsi="宋体" w:cs="宋体"/>
                <w:sz w:val="21"/>
              </w:rPr>
              <w:br/>
            </w:r>
            <w:r>
              <w:rPr>
                <w:rFonts w:ascii="宋体" w:eastAsia="宋体" w:hAnsi="宋体" w:cs="宋体"/>
                <w:sz w:val="21"/>
              </w:rPr>
              <w:t>方案中每提供1项且内容完整、详细、完全符合本项目实际情况、可操作性强的得1分，最多得3分，否则不得分。</w:t>
            </w:r>
          </w:p>
        </w:tc>
        <w:tc>
          <w:tcPr>
            <w:tcW w:w="360" w:type="dxa"/>
            <w:vAlign w:val="center"/>
          </w:tcPr>
          <w:p>
            <w:pPr>
              <w:spacing w:before="48" w:after="48" w:line="240" w:lineRule="auto"/>
              <w:jc w:val="center"/>
            </w:pPr>
            <w:r>
              <w:rPr>
                <w:rFonts w:ascii="宋体" w:eastAsia="宋体" w:hAnsi="宋体" w:cs="宋体"/>
                <w:sz w:val="21"/>
              </w:rPr>
              <w:t>3</w:t>
            </w:r>
          </w:p>
        </w:tc>
      </w:tr>
      <w:tr>
        <w:tblPrEx>
          <w:tblW w:w="5000" w:type="pct"/>
          <w:tblCellMar>
            <w:left w:w="108" w:type="dxa"/>
            <w:right w:w="108" w:type="dxa"/>
          </w:tblCellMar>
        </w:tblPrEx>
        <w:tc>
          <w:tcPr>
            <w:tcW w:w="360" w:type="dxa"/>
            <w:vAlign w:val="center"/>
          </w:tcPr>
          <w:p>
            <w:pPr>
              <w:spacing w:before="48" w:after="48" w:line="240" w:lineRule="auto"/>
              <w:jc w:val="center"/>
            </w:pPr>
            <w:r>
              <w:rPr>
                <w:rFonts w:ascii="宋体" w:eastAsia="宋体" w:hAnsi="宋体" w:cs="宋体"/>
                <w:sz w:val="21"/>
              </w:rPr>
              <w:t>15</w:t>
            </w:r>
          </w:p>
        </w:tc>
        <w:tc>
          <w:tcPr>
            <w:tcW w:w="0" w:type="dxa"/>
            <w:vMerge/>
            <w:vAlign w:val="center"/>
          </w:tcPr>
          <w:p>
            <w:pPr>
              <w:spacing w:before="48" w:after="48" w:line="240" w:lineRule="auto"/>
              <w:jc w:val="center"/>
            </w:pPr>
            <w:r>
              <w:rPr>
                <w:rFonts w:ascii="宋体" w:eastAsia="宋体" w:hAnsi="宋体" w:cs="宋体"/>
                <w:sz w:val="21"/>
              </w:rPr>
              <w:t>主观分</w:t>
            </w:r>
            <w:r>
              <w:br/>
            </w:r>
            <w:r>
              <w:rPr>
                <w:rFonts w:ascii="宋体" w:eastAsia="宋体" w:hAnsi="宋体" w:cs="宋体"/>
                <w:sz w:val="21"/>
              </w:rPr>
              <w:t>(15分)</w:t>
            </w:r>
          </w:p>
        </w:tc>
        <w:tc>
          <w:tcPr>
            <w:tcW w:w="0" w:type="dxa"/>
            <w:vMerge/>
            <w:vAlign w:val="center"/>
          </w:tcPr>
          <w:p>
            <w:pPr>
              <w:spacing w:before="48" w:after="48" w:line="240" w:lineRule="auto"/>
              <w:jc w:val="center"/>
            </w:pPr>
            <w:r>
              <w:rPr>
                <w:rFonts w:ascii="宋体" w:eastAsia="宋体" w:hAnsi="宋体" w:cs="宋体"/>
                <w:sz w:val="21"/>
              </w:rPr>
              <w:t>技术和服务水平</w:t>
            </w:r>
          </w:p>
        </w:tc>
        <w:tc>
          <w:tcPr>
            <w:tcW w:w="360" w:type="dxa"/>
            <w:vAlign w:val="center"/>
          </w:tcPr>
          <w:p>
            <w:pPr>
              <w:spacing w:before="48" w:after="48" w:line="240" w:lineRule="auto"/>
              <w:jc w:val="center"/>
            </w:pPr>
            <w:r>
              <w:rPr>
                <w:rFonts w:ascii="宋体" w:eastAsia="宋体" w:hAnsi="宋体" w:cs="宋体"/>
                <w:sz w:val="21"/>
              </w:rPr>
              <w:t>应急处置方案</w:t>
            </w:r>
          </w:p>
        </w:tc>
        <w:tc>
          <w:tcPr>
            <w:tcW w:w="360" w:type="dxa"/>
          </w:tcPr>
          <w:p>
            <w:pPr>
              <w:spacing w:before="48" w:after="48" w:line="240" w:lineRule="auto"/>
            </w:pPr>
            <w:r>
              <w:rPr>
                <w:rFonts w:ascii="宋体" w:eastAsia="宋体" w:hAnsi="宋体" w:cs="宋体"/>
                <w:sz w:val="21"/>
              </w:rPr>
              <w:t>投标人提供的方案应包含：（1）应急组织机构及职责；（2）应急人员培训方案；（3）预防预警方案及应急响应措施。</w:t>
            </w:r>
            <w:r>
              <w:rPr>
                <w:rFonts w:ascii="宋体" w:eastAsia="宋体" w:hAnsi="宋体" w:cs="宋体"/>
                <w:sz w:val="21"/>
              </w:rPr>
              <w:br/>
            </w:r>
            <w:r>
              <w:rPr>
                <w:rFonts w:ascii="宋体" w:eastAsia="宋体" w:hAnsi="宋体" w:cs="宋体"/>
                <w:sz w:val="21"/>
              </w:rPr>
              <w:t>方案中每提供1项且内容完整、详细、完全符合本项目实际情况、可操作性强的得1分，最多得3分，否则不得分。</w:t>
            </w:r>
          </w:p>
        </w:tc>
        <w:tc>
          <w:tcPr>
            <w:tcW w:w="360" w:type="dxa"/>
            <w:vAlign w:val="center"/>
          </w:tcPr>
          <w:p>
            <w:pPr>
              <w:spacing w:before="48" w:after="48" w:line="240" w:lineRule="auto"/>
              <w:jc w:val="center"/>
            </w:pPr>
            <w:r>
              <w:rPr>
                <w:rFonts w:ascii="宋体" w:eastAsia="宋体" w:hAnsi="宋体" w:cs="宋体"/>
                <w:sz w:val="21"/>
              </w:rPr>
              <w:t>3</w:t>
            </w:r>
          </w:p>
        </w:tc>
      </w:tr>
      <w:tr>
        <w:tblPrEx>
          <w:tblW w:w="5000" w:type="pct"/>
          <w:tblCellMar>
            <w:left w:w="108" w:type="dxa"/>
            <w:right w:w="108" w:type="dxa"/>
          </w:tblCellMar>
        </w:tblPrEx>
        <w:tc>
          <w:tcPr>
            <w:tcW w:w="1800" w:type="dxa"/>
            <w:gridSpan w:val="5"/>
          </w:tcPr>
          <w:p>
            <w:pPr>
              <w:spacing w:before="48" w:after="48" w:line="240" w:lineRule="auto"/>
              <w:jc w:val="center"/>
            </w:pPr>
            <w:r>
              <w:rPr>
                <w:rFonts w:ascii="宋体" w:eastAsia="宋体" w:hAnsi="宋体" w:cs="宋体"/>
                <w:sz w:val="21"/>
              </w:rPr>
              <w:t>合计</w:t>
            </w:r>
          </w:p>
        </w:tc>
        <w:tc>
          <w:tcPr>
            <w:tcW w:w="360" w:type="dxa"/>
          </w:tcPr>
          <w:p>
            <w:pPr>
              <w:spacing w:before="48" w:after="48" w:line="240" w:lineRule="auto"/>
              <w:jc w:val="center"/>
            </w:pPr>
            <w:r>
              <w:rPr>
                <w:rFonts w:ascii="宋体" w:eastAsia="宋体" w:hAnsi="宋体" w:cs="宋体"/>
                <w:sz w:val="21"/>
              </w:rPr>
              <w:t>100</w:t>
            </w:r>
          </w:p>
        </w:tc>
      </w:tr>
    </w:tbl>
    <w:p w:rsidR="00A77B3E">
      <w:pPr>
        <w:spacing w:line="360" w:lineRule="auto"/>
        <w:rPr>
          <w:rFonts w:ascii="宋体" w:eastAsia="宋体" w:hAnsi="宋体" w:cs="宋体"/>
        </w:rPr>
      </w:pPr>
      <w:bookmarkEnd w:id="53"/>
      <w:bookmarkStart w:id="54" w:name="_Toc525052847"/>
    </w:p>
    <w:p w14:paraId="13CACDE0">
      <w:pPr>
        <w:pStyle w:val="Heading1"/>
        <w:keepNext/>
        <w:keepLines/>
        <w:pageBreakBefore w:val="0"/>
        <w:widowControl w:val="0"/>
        <w:numPr>
          <w:ilvl w:val="12"/>
          <w:numId w:val="0"/>
        </w:numPr>
        <w:tabs>
          <w:tab w:val="left" w:pos="576"/>
          <w:tab w:val="left" w:pos="2400"/>
        </w:tabs>
        <w:kinsoku/>
        <w:wordWrap/>
        <w:overflowPunct/>
        <w:topLinePunct w:val="0"/>
        <w:autoSpaceDE/>
        <w:autoSpaceDN/>
        <w:bidi w:val="0"/>
        <w:adjustRightInd/>
        <w:snapToGrid/>
        <w:spacing w:after="156" w:line="416" w:lineRule="auto"/>
        <w:jc w:val="center"/>
        <w:textAlignment w:val="auto"/>
        <w:rPr>
          <w:rFonts w:ascii="Times New Roman" w:eastAsia="宋体" w:hAnsi="Times New Roman" w:cs="Times New Roman" w:hint="eastAsia"/>
          <w:b/>
          <w:bCs/>
          <w:color w:val="auto"/>
          <w:kern w:val="44"/>
          <w:sz w:val="36"/>
          <w:szCs w:val="36"/>
          <w:highlight w:val="none"/>
          <w:lang w:val="en-US" w:eastAsia="zh-CN" w:bidi="ar-SA"/>
        </w:rPr>
      </w:pPr>
      <w:r>
        <w:rPr>
          <w:color w:val="auto"/>
          <w:highlight w:val="none"/>
        </w:rPr>
        <w:br w:type="page"/>
      </w:r>
      <w:bookmarkStart w:id="55" w:name="_Toc1505390621"/>
      <w:bookmarkStart w:id="56" w:name="_Toc1406510925"/>
      <w:bookmarkStart w:id="57" w:name="_Toc38030150"/>
      <w:bookmarkStart w:id="58" w:name="_Toc1484421284"/>
      <w:bookmarkStart w:id="59" w:name="_Toc614538032"/>
      <w:bookmarkStart w:id="60" w:name="_Toc353483817"/>
      <w:bookmarkStart w:id="61" w:name="_Toc256000003"/>
      <w:r>
        <w:rPr>
          <w:rStyle w:val="1Char"/>
          <w:rFonts w:hint="eastAsia"/>
          <w:b/>
          <w:bCs/>
          <w:lang w:val="en-US" w:eastAsia="zh-CN"/>
        </w:rPr>
        <w:t>第四章  政府采购合同文本</w:t>
      </w:r>
      <w:bookmarkEnd w:id="61"/>
      <w:bookmarkEnd w:id="54"/>
      <w:bookmarkEnd w:id="55"/>
      <w:bookmarkEnd w:id="56"/>
      <w:bookmarkEnd w:id="57"/>
      <w:bookmarkEnd w:id="58"/>
      <w:bookmarkEnd w:id="59"/>
      <w:bookmarkEnd w:id="60"/>
    </w:p>
    <w:p>
      <w:pPr>
        <w:widowControl w:val="0"/>
        <w:adjustRightInd w:val="0"/>
        <w:spacing w:before="0" w:beforeAutospacing="0" w:after="0" w:afterAutospacing="0" w:line="360" w:lineRule="atLeast"/>
        <w:jc w:val="center"/>
        <w:textAlignment w:val="baseline"/>
        <w:rPr>
          <w:rFonts w:ascii="宋体" w:eastAsia="宋体" w:hAnsi="宋体" w:cs="宋体" w:hint="eastAsia"/>
          <w:b/>
          <w:sz w:val="96"/>
          <w:szCs w:val="96"/>
          <w:lang w:eastAsia="zh-CN"/>
        </w:rPr>
      </w:pPr>
      <w:bookmarkStart w:id="62" w:name="采购合同_zxzbsw_CGHT"/>
      <w:r>
        <w:rPr>
          <w:rFonts w:ascii="宋体" w:eastAsia="宋体" w:hAnsi="Courier New" w:hint="eastAsia"/>
          <w:b/>
          <w:bCs/>
          <w:kern w:val="44"/>
          <w:sz w:val="36"/>
          <w:szCs w:val="36"/>
          <w:lang w:eastAsia="zh-CN"/>
        </w:rPr>
        <w:t>政府采购合同文本（服务类）</w:t>
      </w:r>
    </w:p>
    <w:p>
      <w:pPr>
        <w:widowControl w:val="0"/>
        <w:adjustRightInd w:val="0"/>
        <w:spacing w:before="0" w:beforeAutospacing="0" w:after="0" w:afterAutospacing="0" w:line="360" w:lineRule="atLeast"/>
        <w:jc w:val="center"/>
        <w:textAlignment w:val="baseline"/>
        <w:rPr>
          <w:rFonts w:ascii="宋体" w:eastAsia="宋体" w:hAnsi="宋体" w:cs="宋体" w:hint="eastAsia"/>
          <w:b/>
          <w:sz w:val="96"/>
          <w:szCs w:val="96"/>
          <w:lang w:eastAsia="zh-CN"/>
        </w:rPr>
      </w:pPr>
    </w:p>
    <w:p>
      <w:pPr>
        <w:widowControl w:val="0"/>
        <w:adjustRightInd w:val="0"/>
        <w:spacing w:before="0" w:beforeAutospacing="0" w:after="0" w:afterAutospacing="0" w:line="360" w:lineRule="atLeast"/>
        <w:jc w:val="center"/>
        <w:textAlignment w:val="baseline"/>
        <w:rPr>
          <w:rFonts w:ascii="宋体" w:eastAsia="宋体" w:hAnsi="宋体" w:cs="宋体" w:hint="eastAsia"/>
          <w:b/>
          <w:sz w:val="96"/>
          <w:szCs w:val="96"/>
          <w:lang w:eastAsia="zh-CN"/>
        </w:rPr>
      </w:pPr>
      <w:r>
        <w:rPr>
          <w:rFonts w:ascii="宋体" w:eastAsia="宋体" w:hAnsi="宋体" w:cs="宋体" w:hint="eastAsia"/>
          <w:b/>
          <w:sz w:val="96"/>
          <w:szCs w:val="96"/>
          <w:lang w:eastAsia="zh-CN"/>
        </w:rPr>
        <w:t>合 同 书</w:t>
      </w:r>
    </w:p>
    <w:p>
      <w:pPr>
        <w:widowControl w:val="0"/>
        <w:adjustRightInd w:val="0"/>
        <w:spacing w:before="0" w:beforeAutospacing="0" w:after="0" w:afterAutospacing="0" w:line="360" w:lineRule="atLeast"/>
        <w:jc w:val="center"/>
        <w:textAlignment w:val="baseline"/>
        <w:rPr>
          <w:rFonts w:ascii="宋体" w:eastAsia="宋体" w:hAnsi="宋体" w:cs="宋体" w:hint="eastAsia"/>
          <w:b/>
          <w:sz w:val="96"/>
          <w:szCs w:val="96"/>
          <w:lang w:eastAsia="zh-CN"/>
        </w:rPr>
      </w:pPr>
    </w:p>
    <w:p>
      <w:pPr>
        <w:widowControl w:val="0"/>
        <w:tabs>
          <w:tab w:val="left" w:pos="540"/>
          <w:tab w:val="left" w:pos="1080"/>
          <w:tab w:val="left" w:pos="1440"/>
        </w:tabs>
        <w:snapToGrid w:val="0"/>
        <w:spacing w:before="0" w:beforeAutospacing="0" w:after="0" w:afterAutospacing="0" w:line="259" w:lineRule="auto"/>
        <w:jc w:val="center"/>
        <w:rPr>
          <w:rFonts w:ascii="宋体" w:eastAsia="宋体" w:hAnsi="宋体" w:cs="宋体" w:hint="eastAsia"/>
          <w:kern w:val="2"/>
          <w:sz w:val="32"/>
          <w:szCs w:val="32"/>
          <w:lang w:eastAsia="zh-CN"/>
        </w:rPr>
      </w:pPr>
    </w:p>
    <w:p>
      <w:pPr>
        <w:widowControl w:val="0"/>
        <w:tabs>
          <w:tab w:val="left" w:pos="540"/>
          <w:tab w:val="left" w:pos="1080"/>
          <w:tab w:val="left" w:pos="1440"/>
        </w:tabs>
        <w:snapToGrid w:val="0"/>
        <w:spacing w:before="0" w:beforeAutospacing="0" w:after="0" w:afterAutospacing="0" w:line="259" w:lineRule="auto"/>
        <w:jc w:val="center"/>
        <w:rPr>
          <w:rFonts w:ascii="宋体" w:eastAsia="宋体" w:hAnsi="宋体" w:cs="宋体" w:hint="eastAsia"/>
          <w:kern w:val="2"/>
          <w:sz w:val="32"/>
          <w:szCs w:val="32"/>
          <w:lang w:eastAsia="zh-CN"/>
        </w:rPr>
      </w:pPr>
    </w:p>
    <w:p>
      <w:pPr>
        <w:widowControl w:val="0"/>
        <w:tabs>
          <w:tab w:val="left" w:pos="2160"/>
        </w:tabs>
        <w:topLinePunct/>
        <w:autoSpaceDE w:val="0"/>
        <w:autoSpaceDN w:val="0"/>
        <w:snapToGrid w:val="0"/>
        <w:spacing w:before="0" w:beforeAutospacing="0" w:after="0" w:afterAutospacing="0" w:line="360" w:lineRule="auto"/>
        <w:ind w:left="4040" w:hanging="3200" w:leftChars="400" w:hangingChars="1000"/>
        <w:jc w:val="both"/>
        <w:rPr>
          <w:rFonts w:ascii="宋体" w:eastAsia="宋体" w:hAnsi="宋体" w:cs="宋体" w:hint="eastAsia"/>
          <w:b/>
          <w:kern w:val="2"/>
          <w:sz w:val="32"/>
          <w:szCs w:val="32"/>
          <w:lang w:eastAsia="zh-CN"/>
        </w:rPr>
      </w:pPr>
      <w:r>
        <w:rPr>
          <w:rFonts w:ascii="宋体" w:eastAsia="宋体" w:hAnsi="宋体" w:cs="宋体" w:hint="eastAsia"/>
          <w:b/>
          <w:kern w:val="2"/>
          <w:sz w:val="32"/>
          <w:szCs w:val="32"/>
          <w:lang w:eastAsia="zh-CN"/>
        </w:rPr>
        <w:t>项目名称：</w:t>
      </w:r>
      <w:r>
        <w:rPr>
          <w:rFonts w:ascii="宋体" w:eastAsia="宋体" w:hAnsi="宋体" w:cs="宋体" w:hint="eastAsia"/>
          <w:b/>
          <w:kern w:val="2"/>
          <w:sz w:val="32"/>
          <w:szCs w:val="32"/>
          <w:lang w:eastAsia="zh-CN"/>
        </w:rPr>
        <w:t>国家税务总局吉林市税务局</w:t>
      </w:r>
    </w:p>
    <w:p>
      <w:pPr>
        <w:widowControl w:val="0"/>
        <w:tabs>
          <w:tab w:val="left" w:pos="2160"/>
        </w:tabs>
        <w:topLinePunct/>
        <w:autoSpaceDE w:val="0"/>
        <w:autoSpaceDN w:val="0"/>
        <w:snapToGrid w:val="0"/>
        <w:spacing w:before="0" w:beforeAutospacing="0" w:after="0" w:afterAutospacing="0" w:line="360" w:lineRule="auto"/>
        <w:jc w:val="center"/>
        <w:rPr>
          <w:rFonts w:ascii="宋体" w:eastAsia="宋体" w:hAnsi="宋体" w:cs="宋体" w:hint="eastAsia"/>
          <w:b/>
          <w:kern w:val="2"/>
          <w:sz w:val="32"/>
          <w:szCs w:val="32"/>
          <w:lang w:eastAsia="zh-CN"/>
        </w:rPr>
      </w:pPr>
      <w:r>
        <w:rPr>
          <w:rFonts w:ascii="宋体" w:eastAsia="宋体" w:hAnsi="宋体" w:cs="宋体" w:hint="eastAsia"/>
          <w:b/>
          <w:kern w:val="2"/>
          <w:sz w:val="32"/>
          <w:szCs w:val="32"/>
          <w:lang w:eastAsia="zh-CN"/>
        </w:rPr>
        <w:t>202</w:t>
      </w:r>
      <w:r>
        <w:rPr>
          <w:rFonts w:ascii="宋体" w:eastAsia="宋体" w:hAnsi="宋体" w:cs="宋体" w:hint="eastAsia"/>
          <w:b/>
          <w:kern w:val="2"/>
          <w:sz w:val="32"/>
          <w:szCs w:val="32"/>
          <w:lang w:eastAsia="zh-CN"/>
        </w:rPr>
        <w:t>6</w:t>
      </w:r>
      <w:r>
        <w:rPr>
          <w:rFonts w:ascii="宋体" w:eastAsia="宋体" w:hAnsi="宋体" w:cs="宋体" w:hint="eastAsia"/>
          <w:b/>
          <w:kern w:val="2"/>
          <w:sz w:val="32"/>
          <w:szCs w:val="32"/>
          <w:lang w:eastAsia="zh-CN"/>
        </w:rPr>
        <w:t>年物业管理服务项目</w:t>
      </w:r>
    </w:p>
    <w:p>
      <w:pPr>
        <w:widowControl w:val="0"/>
        <w:tabs>
          <w:tab w:val="left" w:pos="540"/>
          <w:tab w:val="left" w:pos="1080"/>
          <w:tab w:val="left" w:pos="1440"/>
        </w:tabs>
        <w:snapToGrid w:val="0"/>
        <w:spacing w:before="0" w:beforeAutospacing="0" w:after="0" w:afterAutospacing="0" w:line="500" w:lineRule="exact"/>
        <w:ind w:left="840" w:leftChars="400"/>
        <w:jc w:val="both"/>
        <w:rPr>
          <w:rFonts w:ascii="宋体" w:eastAsia="宋体" w:hAnsi="宋体" w:cs="宋体" w:hint="eastAsia"/>
          <w:b/>
          <w:kern w:val="2"/>
          <w:sz w:val="32"/>
          <w:szCs w:val="32"/>
          <w:lang w:eastAsia="zh-CN"/>
        </w:rPr>
      </w:pPr>
      <w:r>
        <w:rPr>
          <w:rFonts w:ascii="宋体" w:eastAsia="宋体" w:hAnsi="宋体" w:cs="宋体" w:hint="eastAsia"/>
          <w:b/>
          <w:kern w:val="2"/>
          <w:sz w:val="32"/>
          <w:szCs w:val="32"/>
          <w:lang w:eastAsia="zh-CN"/>
        </w:rPr>
        <w:t>合同编号：</w:t>
      </w:r>
    </w:p>
    <w:p>
      <w:pPr>
        <w:widowControl w:val="0"/>
        <w:tabs>
          <w:tab w:val="left" w:pos="2160"/>
        </w:tabs>
        <w:topLinePunct/>
        <w:autoSpaceDE w:val="0"/>
        <w:autoSpaceDN w:val="0"/>
        <w:snapToGrid w:val="0"/>
        <w:spacing w:before="0" w:beforeAutospacing="0" w:after="0" w:afterAutospacing="0" w:line="360" w:lineRule="auto"/>
        <w:ind w:left="2558" w:hanging="1600" w:leftChars="456" w:hangingChars="500"/>
        <w:jc w:val="both"/>
        <w:rPr>
          <w:rFonts w:ascii="宋体" w:eastAsia="宋体" w:hAnsi="宋体" w:cs="宋体" w:hint="eastAsia"/>
          <w:b/>
          <w:kern w:val="2"/>
          <w:sz w:val="32"/>
          <w:szCs w:val="32"/>
          <w:lang w:eastAsia="zh-CN"/>
        </w:rPr>
      </w:pPr>
    </w:p>
    <w:p>
      <w:pPr>
        <w:widowControl w:val="0"/>
        <w:adjustRightInd w:val="0"/>
        <w:spacing w:before="0" w:beforeAutospacing="0" w:after="0" w:afterAutospacing="0" w:line="460" w:lineRule="exact"/>
        <w:jc w:val="center"/>
        <w:textAlignment w:val="baseline"/>
        <w:rPr>
          <w:rFonts w:ascii="宋体" w:eastAsia="宋体" w:hAnsi="宋体" w:cs="宋体" w:hint="eastAsia"/>
          <w:b/>
          <w:sz w:val="52"/>
          <w:szCs w:val="21"/>
          <w:lang w:eastAsia="zh-CN"/>
        </w:rPr>
      </w:pPr>
    </w:p>
    <w:p>
      <w:pPr>
        <w:widowControl w:val="0"/>
        <w:tabs>
          <w:tab w:val="left" w:pos="3045"/>
        </w:tabs>
        <w:adjustRightInd w:val="0"/>
        <w:spacing w:before="0" w:beforeAutospacing="0" w:after="0" w:afterAutospacing="0" w:line="460" w:lineRule="exact"/>
        <w:jc w:val="left"/>
        <w:textAlignment w:val="baseline"/>
        <w:rPr>
          <w:rFonts w:ascii="宋体" w:eastAsia="宋体" w:hAnsi="宋体" w:cs="宋体" w:hint="eastAsia"/>
          <w:b/>
          <w:sz w:val="32"/>
          <w:szCs w:val="21"/>
          <w:lang w:eastAsia="zh-CN"/>
        </w:rPr>
      </w:pPr>
      <w:r>
        <w:rPr>
          <w:rFonts w:ascii="宋体" w:eastAsia="宋体" w:hAnsi="宋体" w:cs="宋体" w:hint="eastAsia"/>
          <w:b/>
          <w:sz w:val="32"/>
          <w:szCs w:val="21"/>
          <w:lang w:eastAsia="zh-CN"/>
        </w:rPr>
        <w:tab/>
      </w:r>
    </w:p>
    <w:p>
      <w:pPr>
        <w:widowControl w:val="0"/>
        <w:tabs>
          <w:tab w:val="left" w:pos="3045"/>
        </w:tabs>
        <w:adjustRightInd w:val="0"/>
        <w:spacing w:before="0" w:beforeAutospacing="0" w:after="0" w:afterAutospacing="0" w:line="460" w:lineRule="exact"/>
        <w:jc w:val="left"/>
        <w:textAlignment w:val="baseline"/>
        <w:rPr>
          <w:rFonts w:ascii="宋体" w:eastAsia="宋体" w:hAnsi="宋体" w:cs="宋体" w:hint="eastAsia"/>
          <w:b/>
          <w:sz w:val="32"/>
          <w:szCs w:val="21"/>
          <w:lang w:eastAsia="zh-CN"/>
        </w:rPr>
      </w:pPr>
    </w:p>
    <w:p>
      <w:pPr>
        <w:widowControl w:val="0"/>
        <w:tabs>
          <w:tab w:val="left" w:pos="3045"/>
        </w:tabs>
        <w:adjustRightInd w:val="0"/>
        <w:spacing w:before="0" w:beforeAutospacing="0" w:after="0" w:afterAutospacing="0" w:line="460" w:lineRule="exact"/>
        <w:jc w:val="left"/>
        <w:textAlignment w:val="baseline"/>
        <w:rPr>
          <w:rFonts w:ascii="宋体" w:eastAsia="宋体" w:hAnsi="宋体" w:cs="宋体" w:hint="eastAsia"/>
          <w:b/>
          <w:sz w:val="52"/>
          <w:szCs w:val="21"/>
          <w:lang w:eastAsia="zh-CN"/>
        </w:rPr>
      </w:pPr>
    </w:p>
    <w:p>
      <w:pPr>
        <w:widowControl w:val="0"/>
        <w:adjustRightInd w:val="0"/>
        <w:spacing w:before="0" w:beforeAutospacing="0" w:after="0" w:afterAutospacing="0" w:line="460" w:lineRule="exact"/>
        <w:jc w:val="both"/>
        <w:textAlignment w:val="baseline"/>
        <w:rPr>
          <w:rFonts w:ascii="宋体" w:eastAsia="宋体" w:hAnsi="宋体" w:cs="宋体" w:hint="eastAsia"/>
          <w:b/>
          <w:sz w:val="52"/>
          <w:szCs w:val="21"/>
          <w:lang w:eastAsia="zh-CN"/>
        </w:rPr>
      </w:pPr>
    </w:p>
    <w:p>
      <w:pPr>
        <w:widowControl w:val="0"/>
        <w:adjustRightInd w:val="0"/>
        <w:spacing w:before="0" w:beforeAutospacing="0" w:after="0" w:afterAutospacing="0" w:line="460" w:lineRule="exact"/>
        <w:jc w:val="center"/>
        <w:textAlignment w:val="baseline"/>
        <w:rPr>
          <w:rFonts w:ascii="宋体" w:eastAsia="宋体" w:hAnsi="宋体" w:cs="宋体" w:hint="eastAsia"/>
          <w:b/>
          <w:sz w:val="52"/>
          <w:szCs w:val="21"/>
          <w:lang w:eastAsia="zh-CN"/>
        </w:rPr>
      </w:pPr>
    </w:p>
    <w:p>
      <w:pPr>
        <w:widowControl w:val="0"/>
        <w:spacing w:before="0" w:beforeAutospacing="0" w:after="0" w:afterAutospacing="0" w:line="300" w:lineRule="auto"/>
        <w:ind w:firstLine="1515" w:firstLineChars="541"/>
        <w:jc w:val="both"/>
        <w:rPr>
          <w:rFonts w:ascii="宋体" w:eastAsia="宋体" w:hAnsi="宋体" w:cs="宋体" w:hint="eastAsia"/>
          <w:b/>
          <w:bCs/>
          <w:kern w:val="2"/>
          <w:sz w:val="28"/>
          <w:lang w:eastAsia="zh-CN"/>
        </w:rPr>
      </w:pPr>
      <w:r>
        <w:rPr>
          <w:rFonts w:ascii="宋体" w:eastAsia="宋体" w:hAnsi="宋体" w:cs="宋体" w:hint="eastAsia"/>
          <w:b/>
          <w:bCs/>
          <w:kern w:val="2"/>
          <w:sz w:val="28"/>
          <w:lang w:eastAsia="zh-CN"/>
        </w:rPr>
        <w:t xml:space="preserve">甲    方： </w:t>
      </w:r>
      <w:r>
        <w:rPr>
          <w:rFonts w:ascii="宋体" w:eastAsia="宋体" w:hAnsi="宋体" w:cs="宋体" w:hint="eastAsia"/>
          <w:b/>
          <w:bCs/>
          <w:kern w:val="2"/>
          <w:sz w:val="28"/>
          <w:u w:val="single"/>
          <w:lang w:eastAsia="zh-CN"/>
        </w:rPr>
        <w:t xml:space="preserve">   国家税务总局吉林市税务局                 </w:t>
      </w:r>
    </w:p>
    <w:p>
      <w:pPr>
        <w:widowControl w:val="0"/>
        <w:spacing w:before="0" w:beforeAutospacing="0" w:after="0" w:afterAutospacing="0" w:line="300" w:lineRule="auto"/>
        <w:ind w:firstLine="1515" w:firstLineChars="541"/>
        <w:jc w:val="both"/>
        <w:rPr>
          <w:rFonts w:ascii="宋体" w:eastAsia="宋体" w:hAnsi="宋体" w:cs="宋体" w:hint="eastAsia"/>
          <w:b/>
          <w:bCs/>
          <w:kern w:val="2"/>
          <w:sz w:val="28"/>
          <w:u w:val="single"/>
          <w:lang w:eastAsia="zh-CN"/>
        </w:rPr>
      </w:pPr>
      <w:r>
        <w:rPr>
          <w:rFonts w:ascii="宋体" w:eastAsia="宋体" w:hAnsi="宋体" w:cs="宋体" w:hint="eastAsia"/>
          <w:b/>
          <w:bCs/>
          <w:kern w:val="2"/>
          <w:sz w:val="28"/>
          <w:lang w:eastAsia="zh-CN"/>
        </w:rPr>
        <w:t xml:space="preserve">乙    方： </w:t>
      </w:r>
      <w:r>
        <w:rPr>
          <w:rFonts w:ascii="宋体" w:eastAsia="宋体" w:hAnsi="宋体" w:cs="宋体" w:hint="eastAsia"/>
          <w:b/>
          <w:bCs/>
          <w:kern w:val="2"/>
          <w:sz w:val="28"/>
          <w:u w:val="single"/>
          <w:lang w:eastAsia="zh-CN"/>
        </w:rPr>
        <w:t xml:space="preserve">                                      </w:t>
      </w:r>
    </w:p>
    <w:p>
      <w:pPr>
        <w:widowControl w:val="0"/>
        <w:spacing w:before="0" w:beforeAutospacing="0" w:after="0" w:afterAutospacing="0" w:line="300" w:lineRule="auto"/>
        <w:ind w:firstLine="1515" w:firstLineChars="541"/>
        <w:jc w:val="both"/>
        <w:rPr>
          <w:rFonts w:ascii="宋体" w:eastAsia="宋体" w:hAnsi="宋体" w:cs="宋体" w:hint="eastAsia"/>
          <w:b/>
          <w:bCs/>
          <w:kern w:val="2"/>
          <w:sz w:val="28"/>
          <w:u w:val="single"/>
          <w:lang w:eastAsia="zh-CN"/>
        </w:rPr>
      </w:pPr>
      <w:r>
        <w:rPr>
          <w:rFonts w:ascii="宋体" w:eastAsia="宋体" w:hAnsi="宋体" w:cs="宋体" w:hint="eastAsia"/>
          <w:b/>
          <w:bCs/>
          <w:kern w:val="2"/>
          <w:sz w:val="28"/>
          <w:lang w:eastAsia="zh-CN"/>
        </w:rPr>
        <w:t xml:space="preserve">日    期： </w:t>
      </w:r>
      <w:r>
        <w:rPr>
          <w:rFonts w:ascii="宋体" w:eastAsia="宋体" w:hAnsi="宋体" w:cs="宋体" w:hint="eastAsia"/>
          <w:b/>
          <w:bCs/>
          <w:kern w:val="2"/>
          <w:sz w:val="28"/>
          <w:u w:val="single"/>
          <w:lang w:eastAsia="zh-CN"/>
        </w:rPr>
        <w:t xml:space="preserve">        年      月                     </w:t>
      </w:r>
    </w:p>
    <w:p>
      <w:pPr>
        <w:widowControl w:val="0"/>
        <w:spacing w:before="0" w:beforeAutospacing="0" w:after="0" w:afterAutospacing="0" w:line="300" w:lineRule="auto"/>
        <w:jc w:val="center"/>
        <w:rPr>
          <w:rFonts w:ascii="宋体" w:eastAsia="宋体" w:hAnsi="宋体" w:cs="宋体" w:hint="eastAsia"/>
          <w:b/>
          <w:kern w:val="2"/>
          <w:sz w:val="28"/>
          <w:lang w:eastAsia="zh-CN"/>
        </w:rPr>
      </w:pPr>
      <w:r>
        <w:rPr>
          <w:rFonts w:ascii="宋体" w:eastAsia="宋体" w:hAnsi="宋体" w:cs="宋体"/>
          <w:b/>
          <w:bCs/>
          <w:kern w:val="2"/>
          <w:sz w:val="28"/>
          <w:u w:val="single"/>
          <w:lang w:eastAsia="zh-CN"/>
        </w:rPr>
        <w:br w:type="page"/>
      </w:r>
      <w:r>
        <w:rPr>
          <w:rFonts w:ascii="宋体" w:eastAsia="宋体" w:hAnsi="宋体" w:cs="宋体" w:hint="eastAsia"/>
          <w:b/>
          <w:kern w:val="2"/>
          <w:sz w:val="28"/>
          <w:lang w:eastAsia="zh-CN"/>
        </w:rPr>
        <w:t>合同条款前附表</w:t>
      </w:r>
    </w:p>
    <w:tbl>
      <w:tblPr>
        <w:tblStyle w:val="TableNormal"/>
        <w:tblW w:w="8841" w:type="dxa"/>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520"/>
        <w:gridCol w:w="544"/>
        <w:gridCol w:w="1376"/>
        <w:gridCol w:w="6388"/>
        <w:gridCol w:w="13"/>
      </w:tblGrid>
      <w:tr>
        <w:tblPrEx>
          <w:tblW w:w="8841" w:type="dxa"/>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Ex>
        <w:trPr>
          <w:gridAfter w:val="1"/>
          <w:wAfter w:w="13" w:type="dxa"/>
          <w:trHeight w:hRule="exact" w:val="554"/>
        </w:trPr>
        <w:tc>
          <w:tcPr>
            <w:tcW w:w="520" w:type="dxa"/>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宋体" w:eastAsia="宋体" w:hAnsi="宋体" w:cs="宋体" w:hint="eastAsia"/>
                <w:b/>
                <w:kern w:val="2"/>
                <w:sz w:val="21"/>
                <w:szCs w:val="21"/>
                <w:lang w:eastAsia="zh-CN"/>
              </w:rPr>
            </w:pPr>
            <w:r>
              <w:rPr>
                <w:rFonts w:ascii="宋体" w:eastAsia="宋体" w:hAnsi="宋体" w:cs="宋体" w:hint="eastAsia"/>
                <w:b/>
                <w:kern w:val="2"/>
                <w:sz w:val="21"/>
                <w:szCs w:val="21"/>
                <w:lang w:eastAsia="zh-CN"/>
              </w:rPr>
              <w:t>序号</w:t>
            </w:r>
          </w:p>
        </w:tc>
        <w:tc>
          <w:tcPr>
            <w:tcW w:w="8308" w:type="dxa"/>
            <w:gridSpan w:val="3"/>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宋体" w:eastAsia="宋体" w:hAnsi="宋体" w:cs="宋体" w:hint="eastAsia"/>
                <w:b/>
                <w:kern w:val="2"/>
                <w:sz w:val="21"/>
                <w:szCs w:val="21"/>
                <w:lang w:eastAsia="zh-CN"/>
              </w:rPr>
            </w:pPr>
            <w:r>
              <w:rPr>
                <w:rFonts w:ascii="宋体" w:eastAsia="宋体" w:hAnsi="宋体" w:cs="宋体" w:hint="eastAsia"/>
                <w:b/>
                <w:kern w:val="2"/>
                <w:sz w:val="21"/>
                <w:szCs w:val="21"/>
                <w:lang w:eastAsia="zh-CN"/>
              </w:rPr>
              <w:t>内        容</w:t>
            </w:r>
          </w:p>
        </w:tc>
      </w:tr>
      <w:tr>
        <w:tblPrEx>
          <w:tblW w:w="8841" w:type="dxa"/>
          <w:tblInd w:w="96" w:type="dxa"/>
          <w:tblLayout w:type="fixed"/>
          <w:tblCellMar>
            <w:top w:w="0" w:type="dxa"/>
            <w:left w:w="108" w:type="dxa"/>
            <w:bottom w:w="0" w:type="dxa"/>
            <w:right w:w="108" w:type="dxa"/>
          </w:tblCellMar>
        </w:tblPrEx>
        <w:trPr>
          <w:gridAfter w:val="1"/>
          <w:wAfter w:w="13" w:type="dxa"/>
          <w:trHeight w:hRule="exact" w:val="454"/>
        </w:trPr>
        <w:tc>
          <w:tcPr>
            <w:tcW w:w="520" w:type="dxa"/>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宋体" w:eastAsia="宋体" w:hAnsi="宋体" w:cs="宋体" w:hint="eastAsia"/>
                <w:kern w:val="2"/>
                <w:sz w:val="21"/>
                <w:szCs w:val="21"/>
                <w:lang w:eastAsia="zh-CN"/>
              </w:rPr>
            </w:pPr>
            <w:r>
              <w:rPr>
                <w:rFonts w:ascii="宋体" w:eastAsia="宋体" w:hAnsi="宋体" w:cs="宋体" w:hint="eastAsia"/>
                <w:kern w:val="2"/>
                <w:sz w:val="21"/>
                <w:szCs w:val="21"/>
                <w:lang w:eastAsia="zh-CN"/>
              </w:rPr>
              <w:t>1</w:t>
            </w:r>
          </w:p>
        </w:tc>
        <w:tc>
          <w:tcPr>
            <w:tcW w:w="1920" w:type="dxa"/>
            <w:gridSpan w:val="2"/>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宋体" w:eastAsia="宋体" w:hAnsi="宋体" w:cs="宋体" w:hint="eastAsia"/>
                <w:kern w:val="2"/>
                <w:sz w:val="21"/>
                <w:szCs w:val="21"/>
                <w:lang w:eastAsia="zh-CN"/>
              </w:rPr>
            </w:pPr>
            <w:r>
              <w:rPr>
                <w:rFonts w:ascii="宋体" w:eastAsia="宋体" w:hAnsi="宋体" w:cs="宋体" w:hint="eastAsia"/>
                <w:kern w:val="2"/>
                <w:sz w:val="21"/>
                <w:szCs w:val="21"/>
                <w:lang w:eastAsia="zh-CN"/>
              </w:rPr>
              <w:t>合同名称</w:t>
            </w:r>
          </w:p>
        </w:tc>
        <w:tc>
          <w:tcPr>
            <w:tcW w:w="6388" w:type="dxa"/>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both"/>
              <w:rPr>
                <w:rFonts w:ascii="宋体" w:eastAsia="宋体" w:hAnsi="宋体" w:cs="宋体" w:hint="eastAsia"/>
                <w:bCs/>
                <w:kern w:val="2"/>
                <w:sz w:val="21"/>
                <w:szCs w:val="21"/>
                <w:lang w:eastAsia="zh-CN"/>
              </w:rPr>
            </w:pPr>
            <w:r>
              <w:rPr>
                <w:rFonts w:ascii="宋体" w:eastAsia="宋体" w:hAnsi="宋体" w:cs="宋体" w:hint="eastAsia"/>
                <w:bCs/>
                <w:kern w:val="2"/>
                <w:sz w:val="21"/>
                <w:szCs w:val="21"/>
                <w:lang w:eastAsia="zh-CN"/>
              </w:rPr>
              <w:t>国家税务总局吉林市税务局202</w:t>
            </w:r>
            <w:r>
              <w:rPr>
                <w:rFonts w:ascii="宋体" w:eastAsia="宋体" w:hAnsi="宋体" w:cs="宋体" w:hint="eastAsia"/>
                <w:bCs/>
                <w:kern w:val="2"/>
                <w:sz w:val="21"/>
                <w:szCs w:val="21"/>
                <w:lang w:eastAsia="zh-CN"/>
              </w:rPr>
              <w:t>6</w:t>
            </w:r>
            <w:r>
              <w:rPr>
                <w:rFonts w:ascii="宋体" w:eastAsia="宋体" w:hAnsi="宋体" w:cs="宋体" w:hint="eastAsia"/>
                <w:bCs/>
                <w:kern w:val="2"/>
                <w:sz w:val="21"/>
                <w:szCs w:val="21"/>
                <w:lang w:eastAsia="zh-CN"/>
              </w:rPr>
              <w:t>年物业管理服务项目合同</w:t>
            </w:r>
          </w:p>
        </w:tc>
      </w:tr>
      <w:tr>
        <w:tblPrEx>
          <w:tblW w:w="8841" w:type="dxa"/>
          <w:tblInd w:w="96" w:type="dxa"/>
          <w:tblLayout w:type="fixed"/>
          <w:tblCellMar>
            <w:top w:w="0" w:type="dxa"/>
            <w:left w:w="108" w:type="dxa"/>
            <w:bottom w:w="0" w:type="dxa"/>
            <w:right w:w="108" w:type="dxa"/>
          </w:tblCellMar>
        </w:tblPrEx>
        <w:trPr>
          <w:gridAfter w:val="1"/>
          <w:wAfter w:w="13" w:type="dxa"/>
          <w:trHeight w:hRule="exact" w:val="454"/>
        </w:trPr>
        <w:tc>
          <w:tcPr>
            <w:tcW w:w="520" w:type="dxa"/>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宋体" w:eastAsia="宋体" w:hAnsi="宋体" w:cs="宋体" w:hint="eastAsia"/>
                <w:kern w:val="2"/>
                <w:sz w:val="21"/>
                <w:szCs w:val="21"/>
                <w:lang w:eastAsia="zh-CN"/>
              </w:rPr>
            </w:pPr>
            <w:r>
              <w:rPr>
                <w:rFonts w:ascii="宋体" w:eastAsia="宋体" w:hAnsi="宋体" w:cs="宋体" w:hint="eastAsia"/>
                <w:kern w:val="2"/>
                <w:sz w:val="21"/>
                <w:szCs w:val="21"/>
                <w:lang w:eastAsia="zh-CN"/>
              </w:rPr>
              <w:t>2</w:t>
            </w:r>
          </w:p>
        </w:tc>
        <w:tc>
          <w:tcPr>
            <w:tcW w:w="1920" w:type="dxa"/>
            <w:gridSpan w:val="2"/>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宋体" w:eastAsia="宋体" w:hAnsi="宋体" w:cs="宋体" w:hint="eastAsia"/>
                <w:kern w:val="2"/>
                <w:sz w:val="21"/>
                <w:szCs w:val="21"/>
                <w:lang w:eastAsia="zh-CN"/>
              </w:rPr>
            </w:pPr>
            <w:r>
              <w:rPr>
                <w:rFonts w:ascii="宋体" w:eastAsia="宋体" w:hAnsi="宋体" w:cs="宋体" w:hint="eastAsia"/>
                <w:kern w:val="2"/>
                <w:sz w:val="21"/>
                <w:szCs w:val="21"/>
                <w:lang w:eastAsia="zh-CN"/>
              </w:rPr>
              <w:t>合同编号</w:t>
            </w:r>
          </w:p>
        </w:tc>
        <w:tc>
          <w:tcPr>
            <w:tcW w:w="6388" w:type="dxa"/>
            <w:tcBorders>
              <w:top w:val="single" w:sz="4" w:space="0" w:color="auto"/>
              <w:left w:val="single" w:sz="4" w:space="0" w:color="auto"/>
              <w:bottom w:val="single" w:sz="4" w:space="0" w:color="auto"/>
              <w:right w:val="single" w:sz="4" w:space="0" w:color="auto"/>
            </w:tcBorders>
            <w:vAlign w:val="center"/>
          </w:tcPr>
          <w:p>
            <w:pPr>
              <w:widowControl w:val="0"/>
              <w:tabs>
                <w:tab w:val="left" w:pos="2160"/>
              </w:tabs>
              <w:topLinePunct/>
              <w:autoSpaceDE w:val="0"/>
              <w:autoSpaceDN w:val="0"/>
              <w:adjustRightInd w:val="0"/>
              <w:snapToGrid w:val="0"/>
              <w:spacing w:before="0" w:beforeAutospacing="0" w:after="0" w:afterAutospacing="0" w:line="259" w:lineRule="auto"/>
              <w:jc w:val="both"/>
              <w:rPr>
                <w:rFonts w:ascii="宋体" w:eastAsia="宋体" w:hAnsi="宋体" w:cs="宋体" w:hint="eastAsia"/>
                <w:bCs/>
                <w:kern w:val="2"/>
                <w:sz w:val="21"/>
                <w:szCs w:val="21"/>
                <w:lang w:eastAsia="zh-CN"/>
              </w:rPr>
            </w:pPr>
          </w:p>
        </w:tc>
      </w:tr>
      <w:tr>
        <w:tblPrEx>
          <w:tblW w:w="8841" w:type="dxa"/>
          <w:tblInd w:w="96" w:type="dxa"/>
          <w:tblLayout w:type="fixed"/>
          <w:tblCellMar>
            <w:top w:w="0" w:type="dxa"/>
            <w:left w:w="108" w:type="dxa"/>
            <w:bottom w:w="0" w:type="dxa"/>
            <w:right w:w="108" w:type="dxa"/>
          </w:tblCellMar>
        </w:tblPrEx>
        <w:trPr>
          <w:gridAfter w:val="1"/>
          <w:wAfter w:w="13" w:type="dxa"/>
          <w:trHeight w:hRule="exact" w:val="454"/>
        </w:trPr>
        <w:tc>
          <w:tcPr>
            <w:tcW w:w="520" w:type="dxa"/>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宋体" w:eastAsia="宋体" w:hAnsi="宋体" w:cs="宋体" w:hint="eastAsia"/>
                <w:kern w:val="2"/>
                <w:sz w:val="21"/>
                <w:szCs w:val="21"/>
                <w:lang w:eastAsia="zh-CN"/>
              </w:rPr>
            </w:pPr>
            <w:r>
              <w:rPr>
                <w:rFonts w:ascii="宋体" w:eastAsia="宋体" w:hAnsi="宋体" w:cs="宋体" w:hint="eastAsia"/>
                <w:kern w:val="2"/>
                <w:sz w:val="21"/>
                <w:szCs w:val="21"/>
                <w:lang w:eastAsia="zh-CN"/>
              </w:rPr>
              <w:t>3</w:t>
            </w:r>
          </w:p>
        </w:tc>
        <w:tc>
          <w:tcPr>
            <w:tcW w:w="1920" w:type="dxa"/>
            <w:gridSpan w:val="2"/>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宋体" w:eastAsia="宋体" w:hAnsi="宋体" w:cs="宋体" w:hint="eastAsia"/>
                <w:kern w:val="2"/>
                <w:sz w:val="21"/>
                <w:szCs w:val="21"/>
                <w:lang w:eastAsia="zh-CN"/>
              </w:rPr>
            </w:pPr>
            <w:r>
              <w:rPr>
                <w:rFonts w:ascii="宋体" w:eastAsia="宋体" w:hAnsi="宋体" w:cs="宋体" w:hint="eastAsia"/>
                <w:kern w:val="2"/>
                <w:sz w:val="21"/>
                <w:szCs w:val="21"/>
                <w:lang w:eastAsia="zh-CN"/>
              </w:rPr>
              <w:t>合同类型</w:t>
            </w:r>
          </w:p>
        </w:tc>
        <w:tc>
          <w:tcPr>
            <w:tcW w:w="6388" w:type="dxa"/>
            <w:tcBorders>
              <w:top w:val="single" w:sz="4" w:space="0" w:color="auto"/>
              <w:left w:val="single" w:sz="4" w:space="0" w:color="auto"/>
              <w:bottom w:val="single" w:sz="4" w:space="0" w:color="auto"/>
              <w:right w:val="single" w:sz="4" w:space="0" w:color="auto"/>
            </w:tcBorders>
            <w:vAlign w:val="center"/>
          </w:tcPr>
          <w:p>
            <w:pPr>
              <w:widowControl w:val="0"/>
              <w:tabs>
                <w:tab w:val="left" w:pos="2160"/>
              </w:tabs>
              <w:topLinePunct/>
              <w:autoSpaceDE w:val="0"/>
              <w:autoSpaceDN w:val="0"/>
              <w:adjustRightInd w:val="0"/>
              <w:snapToGrid w:val="0"/>
              <w:spacing w:before="0" w:beforeAutospacing="0" w:after="0" w:afterAutospacing="0" w:line="259" w:lineRule="auto"/>
              <w:jc w:val="both"/>
              <w:rPr>
                <w:rFonts w:ascii="宋体" w:eastAsia="宋体" w:hAnsi="宋体" w:cs="宋体" w:hint="eastAsia"/>
                <w:kern w:val="2"/>
                <w:sz w:val="21"/>
                <w:szCs w:val="21"/>
                <w:lang w:eastAsia="zh-CN"/>
              </w:rPr>
            </w:pPr>
            <w:r>
              <w:rPr>
                <w:rFonts w:ascii="宋体" w:eastAsia="宋体" w:hAnsi="宋体" w:cs="宋体" w:hint="eastAsia"/>
                <w:kern w:val="2"/>
                <w:sz w:val="21"/>
                <w:szCs w:val="21"/>
                <w:lang w:eastAsia="zh-CN"/>
              </w:rPr>
              <w:t>专门面向中小企业采购合同</w:t>
            </w:r>
          </w:p>
        </w:tc>
      </w:tr>
      <w:tr>
        <w:tblPrEx>
          <w:tblW w:w="8841" w:type="dxa"/>
          <w:tblInd w:w="96" w:type="dxa"/>
          <w:tblLayout w:type="fixed"/>
          <w:tblCellMar>
            <w:top w:w="0" w:type="dxa"/>
            <w:left w:w="108" w:type="dxa"/>
            <w:bottom w:w="0" w:type="dxa"/>
            <w:right w:w="108" w:type="dxa"/>
          </w:tblCellMar>
        </w:tblPrEx>
        <w:trPr>
          <w:gridAfter w:val="1"/>
          <w:wAfter w:w="13" w:type="dxa"/>
          <w:trHeight w:hRule="exact" w:val="454"/>
        </w:trPr>
        <w:tc>
          <w:tcPr>
            <w:tcW w:w="520" w:type="dxa"/>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宋体" w:eastAsia="宋体" w:hAnsi="宋体" w:cs="宋体" w:hint="eastAsia"/>
                <w:kern w:val="2"/>
                <w:sz w:val="21"/>
                <w:szCs w:val="21"/>
                <w:lang w:eastAsia="zh-CN"/>
              </w:rPr>
            </w:pPr>
            <w:r>
              <w:rPr>
                <w:rFonts w:ascii="宋体" w:eastAsia="宋体" w:hAnsi="宋体" w:cs="宋体" w:hint="eastAsia"/>
                <w:kern w:val="2"/>
                <w:sz w:val="21"/>
                <w:szCs w:val="21"/>
                <w:lang w:eastAsia="zh-CN"/>
              </w:rPr>
              <w:t>4</w:t>
            </w:r>
          </w:p>
        </w:tc>
        <w:tc>
          <w:tcPr>
            <w:tcW w:w="1920" w:type="dxa"/>
            <w:gridSpan w:val="2"/>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宋体" w:eastAsia="宋体" w:hAnsi="宋体" w:cs="宋体" w:hint="eastAsia"/>
                <w:kern w:val="2"/>
                <w:sz w:val="21"/>
                <w:szCs w:val="21"/>
                <w:lang w:eastAsia="zh-CN"/>
              </w:rPr>
            </w:pPr>
            <w:r>
              <w:rPr>
                <w:rFonts w:ascii="宋体" w:eastAsia="宋体" w:hAnsi="宋体" w:cs="宋体" w:hint="eastAsia"/>
                <w:kern w:val="2"/>
                <w:sz w:val="21"/>
                <w:szCs w:val="21"/>
                <w:lang w:eastAsia="zh-CN"/>
              </w:rPr>
              <w:t>定价方式</w:t>
            </w:r>
          </w:p>
        </w:tc>
        <w:tc>
          <w:tcPr>
            <w:tcW w:w="6388" w:type="dxa"/>
            <w:tcBorders>
              <w:top w:val="single" w:sz="4" w:space="0" w:color="auto"/>
              <w:left w:val="single" w:sz="4" w:space="0" w:color="auto"/>
              <w:bottom w:val="single" w:sz="4" w:space="0" w:color="auto"/>
              <w:right w:val="single" w:sz="4" w:space="0" w:color="auto"/>
            </w:tcBorders>
            <w:vAlign w:val="center"/>
          </w:tcPr>
          <w:p>
            <w:pPr>
              <w:widowControl w:val="0"/>
              <w:tabs>
                <w:tab w:val="left" w:pos="2160"/>
              </w:tabs>
              <w:topLinePunct/>
              <w:autoSpaceDE w:val="0"/>
              <w:autoSpaceDN w:val="0"/>
              <w:adjustRightInd w:val="0"/>
              <w:snapToGrid w:val="0"/>
              <w:spacing w:before="0" w:beforeAutospacing="0" w:after="0" w:afterAutospacing="0" w:line="259" w:lineRule="auto"/>
              <w:jc w:val="both"/>
              <w:rPr>
                <w:rFonts w:ascii="宋体" w:eastAsia="宋体" w:hAnsi="宋体" w:cs="宋体" w:hint="eastAsia"/>
                <w:kern w:val="2"/>
                <w:sz w:val="21"/>
                <w:szCs w:val="21"/>
                <w:lang w:eastAsia="zh-CN"/>
              </w:rPr>
            </w:pPr>
          </w:p>
        </w:tc>
      </w:tr>
      <w:tr>
        <w:tblPrEx>
          <w:tblW w:w="8841" w:type="dxa"/>
          <w:tblInd w:w="96" w:type="dxa"/>
          <w:tblLayout w:type="fixed"/>
          <w:tblCellMar>
            <w:top w:w="0" w:type="dxa"/>
            <w:left w:w="108" w:type="dxa"/>
            <w:bottom w:w="0" w:type="dxa"/>
            <w:right w:w="108" w:type="dxa"/>
          </w:tblCellMar>
        </w:tblPrEx>
        <w:trPr>
          <w:gridAfter w:val="1"/>
          <w:wAfter w:w="13" w:type="dxa"/>
          <w:trHeight w:hRule="exact" w:val="809"/>
        </w:trPr>
        <w:tc>
          <w:tcPr>
            <w:tcW w:w="520" w:type="dxa"/>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宋体" w:eastAsia="宋体" w:hAnsi="宋体" w:cs="宋体" w:hint="eastAsia"/>
                <w:kern w:val="2"/>
                <w:sz w:val="21"/>
                <w:szCs w:val="21"/>
                <w:lang w:eastAsia="zh-CN"/>
              </w:rPr>
            </w:pPr>
            <w:r>
              <w:rPr>
                <w:rFonts w:ascii="宋体" w:eastAsia="宋体" w:hAnsi="宋体" w:cs="宋体"/>
                <w:kern w:val="2"/>
                <w:sz w:val="21"/>
                <w:szCs w:val="21"/>
                <w:lang w:eastAsia="zh-CN"/>
              </w:rPr>
              <w:t>5</w:t>
            </w:r>
          </w:p>
        </w:tc>
        <w:tc>
          <w:tcPr>
            <w:tcW w:w="1920" w:type="dxa"/>
            <w:gridSpan w:val="2"/>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宋体" w:eastAsia="宋体" w:hAnsi="宋体" w:cs="宋体" w:hint="eastAsia"/>
                <w:kern w:val="2"/>
                <w:sz w:val="21"/>
                <w:szCs w:val="21"/>
                <w:lang w:eastAsia="zh-CN"/>
              </w:rPr>
            </w:pPr>
            <w:r>
              <w:rPr>
                <w:rFonts w:ascii="宋体" w:eastAsia="宋体" w:hAnsi="宋体" w:cs="宋体"/>
                <w:kern w:val="2"/>
                <w:sz w:val="21"/>
                <w:szCs w:val="21"/>
                <w:lang w:eastAsia="zh-CN"/>
              </w:rPr>
              <w:t>项目类别</w:t>
            </w:r>
          </w:p>
        </w:tc>
        <w:tc>
          <w:tcPr>
            <w:tcW w:w="6388" w:type="dxa"/>
            <w:tcBorders>
              <w:top w:val="single" w:sz="4" w:space="0" w:color="auto"/>
              <w:left w:val="single" w:sz="4" w:space="0" w:color="auto"/>
              <w:bottom w:val="single" w:sz="4" w:space="0" w:color="auto"/>
              <w:right w:val="single" w:sz="4" w:space="0" w:color="auto"/>
            </w:tcBorders>
            <w:vAlign w:val="center"/>
          </w:tcPr>
          <w:p>
            <w:pPr>
              <w:widowControl w:val="0"/>
              <w:tabs>
                <w:tab w:val="left" w:pos="2160"/>
              </w:tabs>
              <w:topLinePunct/>
              <w:autoSpaceDE w:val="0"/>
              <w:autoSpaceDN w:val="0"/>
              <w:adjustRightInd w:val="0"/>
              <w:snapToGrid w:val="0"/>
              <w:spacing w:before="0" w:beforeAutospacing="0" w:after="0" w:afterAutospacing="0" w:line="257" w:lineRule="auto"/>
              <w:jc w:val="both"/>
              <w:rPr>
                <w:rFonts w:ascii="宋体" w:eastAsia="宋体" w:hAnsi="宋体" w:cs="宋体" w:hint="eastAsia"/>
                <w:kern w:val="2"/>
                <w:sz w:val="21"/>
                <w:szCs w:val="21"/>
                <w:lang w:eastAsia="zh-CN"/>
              </w:rPr>
            </w:pPr>
            <w:r>
              <w:rPr>
                <w:rFonts w:ascii="Wingdings 2" w:eastAsia="宋体" w:hAnsi="Wingdings 2" w:cs="宋体"/>
                <w:kern w:val="2"/>
                <w:sz w:val="21"/>
                <w:szCs w:val="21"/>
                <w:lang w:eastAsia="zh-CN" w:bidi="ar"/>
              </w:rPr>
              <w:t>£</w:t>
            </w:r>
            <w:r>
              <w:rPr>
                <w:rFonts w:ascii="宋体" w:eastAsia="宋体" w:hAnsi="宋体" w:cs="宋体" w:hint="eastAsia"/>
                <w:kern w:val="2"/>
                <w:sz w:val="21"/>
                <w:szCs w:val="21"/>
                <w:lang w:eastAsia="zh-CN" w:bidi="ar"/>
              </w:rPr>
              <w:t xml:space="preserve">信息化项目      </w:t>
            </w:r>
            <w:r>
              <w:rPr>
                <w:rFonts w:ascii="Wingdings 2" w:eastAsia="宋体" w:hAnsi="Wingdings 2" w:cs="宋体"/>
                <w:kern w:val="2"/>
                <w:sz w:val="21"/>
                <w:szCs w:val="21"/>
                <w:lang w:eastAsia="zh-CN" w:bidi="ar"/>
              </w:rPr>
              <w:sym w:font="Wingdings 2" w:char="F052"/>
            </w:r>
            <w:r>
              <w:rPr>
                <w:rFonts w:ascii="Wingdings 2" w:eastAsia="宋体" w:hAnsi="Wingdings 2" w:cs="宋体" w:hint="eastAsia"/>
                <w:kern w:val="2"/>
                <w:sz w:val="21"/>
                <w:szCs w:val="21"/>
                <w:lang w:eastAsia="zh-CN" w:bidi="ar"/>
              </w:rPr>
              <w:t>非信息化项目</w:t>
            </w:r>
          </w:p>
        </w:tc>
      </w:tr>
      <w:tr>
        <w:tblPrEx>
          <w:tblW w:w="8841" w:type="dxa"/>
          <w:tblInd w:w="96" w:type="dxa"/>
          <w:tblLayout w:type="fixed"/>
          <w:tblCellMar>
            <w:top w:w="0" w:type="dxa"/>
            <w:left w:w="108" w:type="dxa"/>
            <w:bottom w:w="0" w:type="dxa"/>
            <w:right w:w="108" w:type="dxa"/>
          </w:tblCellMar>
        </w:tblPrEx>
        <w:trPr>
          <w:gridAfter w:val="1"/>
          <w:wAfter w:w="13" w:type="dxa"/>
          <w:trHeight w:hRule="exact" w:val="454"/>
        </w:trPr>
        <w:tc>
          <w:tcPr>
            <w:tcW w:w="520" w:type="dxa"/>
            <w:vMerge w:val="restart"/>
            <w:tcBorders>
              <w:top w:val="single" w:sz="4" w:space="0" w:color="auto"/>
              <w:left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宋体" w:eastAsia="宋体" w:hAnsi="宋体" w:cs="宋体" w:hint="eastAsia"/>
                <w:kern w:val="2"/>
                <w:sz w:val="21"/>
                <w:szCs w:val="21"/>
                <w:lang w:eastAsia="zh-CN"/>
              </w:rPr>
            </w:pPr>
            <w:r>
              <w:rPr>
                <w:rFonts w:ascii="宋体" w:eastAsia="宋体" w:hAnsi="宋体" w:cs="宋体"/>
                <w:kern w:val="2"/>
                <w:sz w:val="21"/>
                <w:szCs w:val="21"/>
                <w:lang w:eastAsia="zh-CN"/>
              </w:rPr>
              <w:t>6</w:t>
            </w:r>
          </w:p>
        </w:tc>
        <w:tc>
          <w:tcPr>
            <w:tcW w:w="1920" w:type="dxa"/>
            <w:gridSpan w:val="2"/>
            <w:tcBorders>
              <w:top w:val="single" w:sz="4" w:space="0" w:color="auto"/>
              <w:left w:val="single" w:sz="4" w:space="0" w:color="auto"/>
              <w:bottom w:val="single" w:sz="6" w:space="0" w:color="auto"/>
              <w:right w:val="single" w:sz="6"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宋体" w:eastAsia="宋体" w:hAnsi="宋体" w:cs="宋体" w:hint="eastAsia"/>
                <w:kern w:val="2"/>
                <w:sz w:val="21"/>
                <w:szCs w:val="21"/>
                <w:lang w:eastAsia="zh-CN"/>
              </w:rPr>
            </w:pPr>
            <w:r>
              <w:rPr>
                <w:rFonts w:ascii="宋体" w:eastAsia="宋体" w:hAnsi="宋体" w:cs="宋体" w:hint="eastAsia"/>
                <w:kern w:val="2"/>
                <w:sz w:val="21"/>
                <w:szCs w:val="21"/>
                <w:lang w:eastAsia="zh-CN"/>
              </w:rPr>
              <w:t>甲方名称</w:t>
            </w:r>
          </w:p>
        </w:tc>
        <w:tc>
          <w:tcPr>
            <w:tcW w:w="6388" w:type="dxa"/>
            <w:tcBorders>
              <w:top w:val="single" w:sz="4" w:space="0" w:color="auto"/>
              <w:left w:val="single" w:sz="6" w:space="0" w:color="auto"/>
              <w:bottom w:val="single" w:sz="6"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both"/>
              <w:rPr>
                <w:rFonts w:ascii="宋体" w:eastAsia="宋体" w:hAnsi="宋体" w:cs="宋体" w:hint="eastAsia"/>
                <w:bCs/>
                <w:kern w:val="2"/>
                <w:sz w:val="21"/>
                <w:szCs w:val="21"/>
                <w:lang w:eastAsia="zh-CN"/>
              </w:rPr>
            </w:pPr>
            <w:r>
              <w:rPr>
                <w:rFonts w:ascii="宋体" w:eastAsia="宋体" w:hAnsi="宋体" w:cs="宋体" w:hint="eastAsia"/>
                <w:bCs/>
                <w:kern w:val="2"/>
                <w:sz w:val="21"/>
                <w:szCs w:val="21"/>
                <w:lang w:eastAsia="zh-CN"/>
              </w:rPr>
              <w:t>国家税务总局</w:t>
            </w:r>
            <w:r>
              <w:rPr>
                <w:rFonts w:ascii="宋体" w:eastAsia="宋体" w:hAnsi="宋体" w:cs="宋体" w:hint="eastAsia"/>
                <w:bCs/>
                <w:kern w:val="2"/>
                <w:sz w:val="21"/>
                <w:szCs w:val="21"/>
                <w:lang w:eastAsia="zh-CN"/>
              </w:rPr>
              <w:t>吉林市</w:t>
            </w:r>
            <w:r>
              <w:rPr>
                <w:rFonts w:ascii="宋体" w:eastAsia="宋体" w:hAnsi="宋体" w:cs="宋体" w:hint="eastAsia"/>
                <w:bCs/>
                <w:kern w:val="2"/>
                <w:sz w:val="21"/>
                <w:szCs w:val="21"/>
                <w:lang w:eastAsia="zh-CN"/>
              </w:rPr>
              <w:t>税务局</w:t>
            </w:r>
          </w:p>
        </w:tc>
      </w:tr>
      <w:tr>
        <w:tblPrEx>
          <w:tblW w:w="8841" w:type="dxa"/>
          <w:tblInd w:w="96" w:type="dxa"/>
          <w:tblLayout w:type="fixed"/>
          <w:tblCellMar>
            <w:top w:w="0" w:type="dxa"/>
            <w:left w:w="108" w:type="dxa"/>
            <w:bottom w:w="0" w:type="dxa"/>
            <w:right w:w="108" w:type="dxa"/>
          </w:tblCellMar>
        </w:tblPrEx>
        <w:trPr>
          <w:gridAfter w:val="1"/>
          <w:wAfter w:w="13" w:type="dxa"/>
          <w:trHeight w:hRule="exact" w:val="1250"/>
        </w:trPr>
        <w:tc>
          <w:tcPr>
            <w:tcW w:w="520" w:type="dxa"/>
            <w:vMerge/>
            <w:tcBorders>
              <w:left w:val="single" w:sz="4" w:space="0" w:color="auto"/>
              <w:right w:val="single" w:sz="4" w:space="0" w:color="auto"/>
            </w:tcBorders>
            <w:vAlign w:val="center"/>
          </w:tcPr>
          <w:p>
            <w:pPr>
              <w:widowControl/>
              <w:adjustRightInd w:val="0"/>
              <w:snapToGrid w:val="0"/>
              <w:spacing w:before="0" w:beforeAutospacing="0" w:after="0" w:afterAutospacing="0" w:line="259" w:lineRule="auto"/>
              <w:jc w:val="both"/>
              <w:rPr>
                <w:rFonts w:ascii="宋体" w:eastAsia="宋体" w:hAnsi="宋体" w:cs="宋体" w:hint="eastAsia"/>
                <w:kern w:val="2"/>
                <w:sz w:val="21"/>
                <w:szCs w:val="21"/>
                <w:lang w:eastAsia="zh-CN"/>
              </w:rPr>
            </w:pPr>
          </w:p>
        </w:tc>
        <w:tc>
          <w:tcPr>
            <w:tcW w:w="1920" w:type="dxa"/>
            <w:gridSpan w:val="2"/>
            <w:tcBorders>
              <w:top w:val="single" w:sz="6" w:space="0" w:color="auto"/>
              <w:left w:val="single" w:sz="4" w:space="0" w:color="auto"/>
              <w:bottom w:val="single" w:sz="6" w:space="0" w:color="auto"/>
              <w:right w:val="single" w:sz="6"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宋体" w:eastAsia="宋体" w:hAnsi="宋体" w:cs="宋体" w:hint="eastAsia"/>
                <w:kern w:val="2"/>
                <w:sz w:val="21"/>
                <w:szCs w:val="21"/>
                <w:lang w:eastAsia="zh-CN"/>
              </w:rPr>
            </w:pPr>
            <w:r>
              <w:rPr>
                <w:rFonts w:ascii="宋体" w:eastAsia="宋体" w:hAnsi="宋体" w:cs="宋体" w:hint="eastAsia"/>
                <w:kern w:val="2"/>
                <w:sz w:val="21"/>
                <w:szCs w:val="21"/>
                <w:lang w:eastAsia="zh-CN"/>
              </w:rPr>
              <w:t>甲方地址</w:t>
            </w:r>
          </w:p>
        </w:tc>
        <w:tc>
          <w:tcPr>
            <w:tcW w:w="6388" w:type="dxa"/>
            <w:tcBorders>
              <w:top w:val="single" w:sz="6" w:space="0" w:color="auto"/>
              <w:left w:val="single" w:sz="6" w:space="0" w:color="auto"/>
              <w:bottom w:val="single" w:sz="6" w:space="0" w:color="auto"/>
              <w:right w:val="single" w:sz="4" w:space="0" w:color="auto"/>
            </w:tcBorders>
            <w:vAlign w:val="center"/>
          </w:tcPr>
          <w:p>
            <w:pPr>
              <w:widowControl/>
              <w:shd w:val="clear" w:color="auto" w:fill="FFFFFF"/>
              <w:adjustRightInd w:val="0"/>
              <w:snapToGrid w:val="0"/>
              <w:spacing w:before="0" w:beforeAutospacing="0" w:after="0" w:afterAutospacing="0" w:line="360" w:lineRule="auto"/>
              <w:jc w:val="left"/>
              <w:rPr>
                <w:rFonts w:ascii="Calibri" w:eastAsia="宋体" w:hAnsi="Calibri" w:hint="eastAsia"/>
                <w:kern w:val="2"/>
                <w:sz w:val="21"/>
                <w:lang w:eastAsia="zh-CN"/>
              </w:rPr>
            </w:pPr>
            <w:r>
              <w:rPr>
                <w:rFonts w:ascii="Calibri" w:eastAsia="宋体" w:hAnsi="Calibri" w:hint="eastAsia"/>
                <w:kern w:val="2"/>
                <w:sz w:val="21"/>
                <w:lang w:eastAsia="zh-CN"/>
              </w:rPr>
              <w:t>吉林市丰满区三亚路</w:t>
            </w:r>
            <w:r>
              <w:rPr>
                <w:rFonts w:ascii="Calibri" w:eastAsia="宋体" w:hAnsi="Calibri" w:hint="eastAsia"/>
                <w:kern w:val="2"/>
                <w:sz w:val="21"/>
                <w:lang w:eastAsia="zh-CN"/>
              </w:rPr>
              <w:t>33号</w:t>
            </w:r>
          </w:p>
        </w:tc>
      </w:tr>
      <w:tr>
        <w:tblPrEx>
          <w:tblW w:w="8841" w:type="dxa"/>
          <w:tblInd w:w="96" w:type="dxa"/>
          <w:tblLayout w:type="fixed"/>
          <w:tblCellMar>
            <w:top w:w="0" w:type="dxa"/>
            <w:left w:w="108" w:type="dxa"/>
            <w:bottom w:w="0" w:type="dxa"/>
            <w:right w:w="108" w:type="dxa"/>
          </w:tblCellMar>
        </w:tblPrEx>
        <w:trPr>
          <w:gridAfter w:val="1"/>
          <w:wAfter w:w="13" w:type="dxa"/>
          <w:trHeight w:val="460"/>
        </w:trPr>
        <w:tc>
          <w:tcPr>
            <w:tcW w:w="520" w:type="dxa"/>
            <w:vMerge/>
            <w:tcBorders>
              <w:left w:val="single" w:sz="4" w:space="0" w:color="auto"/>
              <w:right w:val="single" w:sz="4" w:space="0" w:color="auto"/>
            </w:tcBorders>
            <w:vAlign w:val="center"/>
          </w:tcPr>
          <w:p>
            <w:pPr>
              <w:widowControl/>
              <w:adjustRightInd w:val="0"/>
              <w:snapToGrid w:val="0"/>
              <w:spacing w:before="0" w:beforeAutospacing="0" w:after="0" w:afterAutospacing="0" w:line="259" w:lineRule="auto"/>
              <w:jc w:val="both"/>
              <w:rPr>
                <w:rFonts w:ascii="宋体" w:eastAsia="宋体" w:hAnsi="宋体" w:cs="宋体" w:hint="eastAsia"/>
                <w:kern w:val="2"/>
                <w:sz w:val="21"/>
                <w:szCs w:val="21"/>
                <w:lang w:eastAsia="zh-CN"/>
              </w:rPr>
            </w:pPr>
          </w:p>
        </w:tc>
        <w:tc>
          <w:tcPr>
            <w:tcW w:w="544" w:type="dxa"/>
            <w:vMerge w:val="restart"/>
            <w:tcBorders>
              <w:top w:val="single" w:sz="6" w:space="0" w:color="auto"/>
              <w:left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宋体" w:eastAsia="宋体" w:hAnsi="宋体" w:cs="宋体" w:hint="eastAsia"/>
                <w:kern w:val="2"/>
                <w:sz w:val="21"/>
                <w:szCs w:val="21"/>
                <w:lang w:eastAsia="zh-CN"/>
              </w:rPr>
            </w:pPr>
            <w:r>
              <w:rPr>
                <w:rFonts w:ascii="宋体" w:eastAsia="宋体" w:hAnsi="宋体" w:cs="宋体" w:hint="eastAsia"/>
                <w:kern w:val="2"/>
                <w:sz w:val="21"/>
                <w:szCs w:val="21"/>
                <w:lang w:eastAsia="zh-CN"/>
              </w:rPr>
              <w:t>甲方相关部门</w:t>
            </w:r>
          </w:p>
        </w:tc>
        <w:tc>
          <w:tcPr>
            <w:tcW w:w="1376" w:type="dxa"/>
            <w:tcBorders>
              <w:top w:val="single" w:sz="6" w:space="0" w:color="auto"/>
              <w:left w:val="single" w:sz="4" w:space="0" w:color="auto"/>
              <w:bottom w:val="single" w:sz="6" w:space="0" w:color="auto"/>
              <w:right w:val="single" w:sz="6"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宋体" w:eastAsia="宋体" w:hAnsi="宋体" w:cs="宋体" w:hint="eastAsia"/>
                <w:kern w:val="2"/>
                <w:sz w:val="21"/>
                <w:szCs w:val="21"/>
                <w:lang w:eastAsia="zh-CN"/>
              </w:rPr>
            </w:pPr>
            <w:r>
              <w:rPr>
                <w:rFonts w:ascii="宋体" w:eastAsia="宋体" w:hAnsi="宋体" w:cs="宋体" w:hint="eastAsia"/>
                <w:kern w:val="2"/>
                <w:sz w:val="21"/>
                <w:szCs w:val="21"/>
                <w:lang w:eastAsia="zh-CN"/>
              </w:rPr>
              <w:t>甲方采购部门/</w:t>
            </w:r>
            <w:r>
              <w:rPr>
                <w:rFonts w:ascii="FangSong_GB2312" w:eastAsia="FangSong_GB2312" w:hAnsi="FangSong_GB2312" w:cs="FangSong_GB2312" w:hint="eastAsia"/>
                <w:kern w:val="2"/>
                <w:lang w:eastAsia="zh-CN"/>
              </w:rPr>
              <w:t>甲方验收牵头部门</w:t>
            </w:r>
          </w:p>
        </w:tc>
        <w:tc>
          <w:tcPr>
            <w:tcW w:w="6388" w:type="dxa"/>
            <w:tcBorders>
              <w:top w:val="single" w:sz="6" w:space="0" w:color="auto"/>
              <w:left w:val="single" w:sz="6" w:space="0" w:color="auto"/>
              <w:bottom w:val="single" w:sz="6" w:space="0" w:color="auto"/>
              <w:right w:val="single" w:sz="4" w:space="0" w:color="auto"/>
            </w:tcBorders>
            <w:vAlign w:val="center"/>
          </w:tcPr>
          <w:p>
            <w:pPr>
              <w:widowControl/>
              <w:shd w:val="clear" w:color="auto" w:fill="FFFFFF"/>
              <w:adjustRightInd w:val="0"/>
              <w:snapToGrid w:val="0"/>
              <w:spacing w:before="0" w:beforeAutospacing="0" w:after="0" w:afterAutospacing="0" w:line="360" w:lineRule="auto"/>
              <w:jc w:val="left"/>
              <w:rPr>
                <w:rFonts w:ascii="Calibri" w:eastAsia="宋体" w:hAnsi="Calibri" w:hint="eastAsia"/>
                <w:kern w:val="2"/>
                <w:sz w:val="21"/>
                <w:lang w:eastAsia="zh-CN"/>
              </w:rPr>
            </w:pPr>
          </w:p>
        </w:tc>
      </w:tr>
      <w:tr>
        <w:tblPrEx>
          <w:tblW w:w="8841" w:type="dxa"/>
          <w:tblInd w:w="96" w:type="dxa"/>
          <w:tblLayout w:type="fixed"/>
          <w:tblCellMar>
            <w:top w:w="0" w:type="dxa"/>
            <w:left w:w="108" w:type="dxa"/>
            <w:bottom w:w="0" w:type="dxa"/>
            <w:right w:w="108" w:type="dxa"/>
          </w:tblCellMar>
        </w:tblPrEx>
        <w:trPr>
          <w:gridAfter w:val="1"/>
          <w:wAfter w:w="13" w:type="dxa"/>
          <w:trHeight w:hRule="exact" w:val="454"/>
        </w:trPr>
        <w:tc>
          <w:tcPr>
            <w:tcW w:w="520" w:type="dxa"/>
            <w:vMerge/>
            <w:tcBorders>
              <w:left w:val="single" w:sz="4" w:space="0" w:color="auto"/>
              <w:right w:val="single" w:sz="4" w:space="0" w:color="auto"/>
            </w:tcBorders>
            <w:vAlign w:val="center"/>
          </w:tcPr>
          <w:p>
            <w:pPr>
              <w:widowControl/>
              <w:adjustRightInd w:val="0"/>
              <w:snapToGrid w:val="0"/>
              <w:spacing w:before="0" w:beforeAutospacing="0" w:after="0" w:afterAutospacing="0" w:line="259" w:lineRule="auto"/>
              <w:jc w:val="both"/>
              <w:rPr>
                <w:rFonts w:ascii="宋体" w:eastAsia="宋体" w:hAnsi="宋体" w:cs="宋体" w:hint="eastAsia"/>
                <w:kern w:val="2"/>
                <w:sz w:val="21"/>
                <w:szCs w:val="21"/>
                <w:lang w:eastAsia="zh-CN"/>
              </w:rPr>
            </w:pPr>
          </w:p>
        </w:tc>
        <w:tc>
          <w:tcPr>
            <w:tcW w:w="544" w:type="dxa"/>
            <w:vMerge/>
            <w:tcBorders>
              <w:left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宋体" w:eastAsia="宋体" w:hAnsi="宋体" w:cs="宋体" w:hint="eastAsia"/>
                <w:kern w:val="2"/>
                <w:sz w:val="21"/>
                <w:szCs w:val="21"/>
                <w:lang w:eastAsia="zh-CN"/>
              </w:rPr>
            </w:pPr>
          </w:p>
        </w:tc>
        <w:tc>
          <w:tcPr>
            <w:tcW w:w="1376" w:type="dxa"/>
            <w:tcBorders>
              <w:top w:val="single" w:sz="6" w:space="0" w:color="auto"/>
              <w:left w:val="single" w:sz="4" w:space="0" w:color="auto"/>
              <w:bottom w:val="single" w:sz="6" w:space="0" w:color="auto"/>
              <w:right w:val="single" w:sz="6"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宋体" w:eastAsia="宋体" w:hAnsi="宋体" w:cs="宋体" w:hint="eastAsia"/>
                <w:kern w:val="2"/>
                <w:sz w:val="21"/>
                <w:szCs w:val="21"/>
                <w:lang w:eastAsia="zh-CN"/>
              </w:rPr>
            </w:pPr>
            <w:r>
              <w:rPr>
                <w:rFonts w:ascii="宋体" w:eastAsia="宋体" w:hAnsi="宋体" w:cs="宋体" w:hint="eastAsia"/>
                <w:kern w:val="2"/>
                <w:sz w:val="21"/>
                <w:szCs w:val="21"/>
                <w:lang w:eastAsia="zh-CN"/>
              </w:rPr>
              <w:t>联系人</w:t>
            </w:r>
          </w:p>
        </w:tc>
        <w:tc>
          <w:tcPr>
            <w:tcW w:w="6388" w:type="dxa"/>
            <w:tcBorders>
              <w:top w:val="single" w:sz="6" w:space="0" w:color="auto"/>
              <w:left w:val="single" w:sz="6" w:space="0" w:color="auto"/>
              <w:bottom w:val="single" w:sz="6" w:space="0" w:color="auto"/>
              <w:right w:val="single" w:sz="4" w:space="0" w:color="auto"/>
            </w:tcBorders>
            <w:vAlign w:val="center"/>
          </w:tcPr>
          <w:p>
            <w:pPr>
              <w:widowControl/>
              <w:shd w:val="clear" w:color="auto" w:fill="FFFFFF"/>
              <w:adjustRightInd w:val="0"/>
              <w:snapToGrid w:val="0"/>
              <w:spacing w:before="0" w:beforeAutospacing="0" w:after="0" w:afterAutospacing="0" w:line="360" w:lineRule="auto"/>
              <w:jc w:val="left"/>
              <w:rPr>
                <w:rFonts w:ascii="Calibri" w:eastAsia="宋体" w:hAnsi="Calibri" w:hint="eastAsia"/>
                <w:kern w:val="2"/>
                <w:sz w:val="21"/>
                <w:lang w:eastAsia="zh-CN"/>
              </w:rPr>
            </w:pPr>
          </w:p>
        </w:tc>
      </w:tr>
      <w:tr>
        <w:tblPrEx>
          <w:tblW w:w="8841" w:type="dxa"/>
          <w:tblInd w:w="96" w:type="dxa"/>
          <w:tblLayout w:type="fixed"/>
          <w:tblCellMar>
            <w:top w:w="0" w:type="dxa"/>
            <w:left w:w="108" w:type="dxa"/>
            <w:bottom w:w="0" w:type="dxa"/>
            <w:right w:w="108" w:type="dxa"/>
          </w:tblCellMar>
        </w:tblPrEx>
        <w:trPr>
          <w:gridAfter w:val="1"/>
          <w:wAfter w:w="13" w:type="dxa"/>
          <w:trHeight w:hRule="exact" w:val="454"/>
        </w:trPr>
        <w:tc>
          <w:tcPr>
            <w:tcW w:w="520" w:type="dxa"/>
            <w:vMerge/>
            <w:tcBorders>
              <w:left w:val="single" w:sz="4" w:space="0" w:color="auto"/>
              <w:right w:val="single" w:sz="4" w:space="0" w:color="auto"/>
            </w:tcBorders>
            <w:vAlign w:val="center"/>
          </w:tcPr>
          <w:p>
            <w:pPr>
              <w:widowControl/>
              <w:adjustRightInd w:val="0"/>
              <w:snapToGrid w:val="0"/>
              <w:spacing w:before="0" w:beforeAutospacing="0" w:after="0" w:afterAutospacing="0" w:line="259" w:lineRule="auto"/>
              <w:jc w:val="both"/>
              <w:rPr>
                <w:rFonts w:ascii="宋体" w:eastAsia="宋体" w:hAnsi="宋体" w:cs="宋体" w:hint="eastAsia"/>
                <w:kern w:val="2"/>
                <w:sz w:val="21"/>
                <w:szCs w:val="21"/>
                <w:lang w:eastAsia="zh-CN"/>
              </w:rPr>
            </w:pPr>
          </w:p>
        </w:tc>
        <w:tc>
          <w:tcPr>
            <w:tcW w:w="544" w:type="dxa"/>
            <w:vMerge/>
            <w:tcBorders>
              <w:left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宋体" w:eastAsia="宋体" w:hAnsi="宋体" w:cs="宋体" w:hint="eastAsia"/>
                <w:kern w:val="2"/>
                <w:sz w:val="21"/>
                <w:szCs w:val="21"/>
                <w:lang w:eastAsia="zh-CN"/>
              </w:rPr>
            </w:pPr>
          </w:p>
        </w:tc>
        <w:tc>
          <w:tcPr>
            <w:tcW w:w="1376" w:type="dxa"/>
            <w:tcBorders>
              <w:top w:val="single" w:sz="6" w:space="0" w:color="auto"/>
              <w:left w:val="single" w:sz="4" w:space="0" w:color="auto"/>
              <w:bottom w:val="single" w:sz="4" w:space="0" w:color="auto"/>
              <w:right w:val="single" w:sz="6"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宋体" w:eastAsia="宋体" w:hAnsi="宋体" w:cs="宋体" w:hint="eastAsia"/>
                <w:kern w:val="2"/>
                <w:sz w:val="21"/>
                <w:szCs w:val="21"/>
                <w:lang w:eastAsia="zh-CN"/>
              </w:rPr>
            </w:pPr>
            <w:r>
              <w:rPr>
                <w:rFonts w:ascii="宋体" w:eastAsia="宋体" w:hAnsi="宋体" w:cs="宋体" w:hint="eastAsia"/>
                <w:kern w:val="2"/>
                <w:sz w:val="21"/>
                <w:szCs w:val="21"/>
                <w:lang w:eastAsia="zh-CN"/>
              </w:rPr>
              <w:t>联系电话</w:t>
            </w:r>
          </w:p>
        </w:tc>
        <w:tc>
          <w:tcPr>
            <w:tcW w:w="6388" w:type="dxa"/>
            <w:tcBorders>
              <w:top w:val="single" w:sz="6" w:space="0" w:color="auto"/>
              <w:left w:val="single" w:sz="6" w:space="0" w:color="auto"/>
              <w:bottom w:val="single" w:sz="4" w:space="0" w:color="auto"/>
              <w:right w:val="single" w:sz="4" w:space="0" w:color="auto"/>
            </w:tcBorders>
            <w:vAlign w:val="center"/>
          </w:tcPr>
          <w:p>
            <w:pPr>
              <w:widowControl/>
              <w:shd w:val="clear" w:color="auto" w:fill="FFFFFF"/>
              <w:adjustRightInd w:val="0"/>
              <w:snapToGrid w:val="0"/>
              <w:spacing w:before="0" w:beforeAutospacing="0" w:after="0" w:afterAutospacing="0" w:line="360" w:lineRule="auto"/>
              <w:jc w:val="left"/>
              <w:rPr>
                <w:rFonts w:ascii="Calibri" w:eastAsia="宋体" w:hAnsi="Calibri" w:hint="eastAsia"/>
                <w:kern w:val="2"/>
                <w:sz w:val="21"/>
                <w:lang w:eastAsia="zh-CN"/>
              </w:rPr>
            </w:pPr>
          </w:p>
        </w:tc>
      </w:tr>
      <w:tr>
        <w:tblPrEx>
          <w:tblW w:w="8841" w:type="dxa"/>
          <w:tblInd w:w="96" w:type="dxa"/>
          <w:tblLayout w:type="fixed"/>
          <w:tblCellMar>
            <w:top w:w="0" w:type="dxa"/>
            <w:left w:w="108" w:type="dxa"/>
            <w:bottom w:w="0" w:type="dxa"/>
            <w:right w:w="108" w:type="dxa"/>
          </w:tblCellMar>
        </w:tblPrEx>
        <w:trPr>
          <w:gridAfter w:val="1"/>
          <w:wAfter w:w="13" w:type="dxa"/>
          <w:trHeight w:hRule="exact" w:val="2643"/>
        </w:trPr>
        <w:tc>
          <w:tcPr>
            <w:tcW w:w="520" w:type="dxa"/>
            <w:vMerge/>
            <w:tcBorders>
              <w:left w:val="single" w:sz="4" w:space="0" w:color="auto"/>
              <w:right w:val="single" w:sz="4" w:space="0" w:color="auto"/>
            </w:tcBorders>
            <w:vAlign w:val="center"/>
          </w:tcPr>
          <w:p>
            <w:pPr>
              <w:widowControl/>
              <w:adjustRightInd w:val="0"/>
              <w:snapToGrid w:val="0"/>
              <w:spacing w:before="0" w:beforeAutospacing="0" w:after="0" w:afterAutospacing="0" w:line="259" w:lineRule="auto"/>
              <w:jc w:val="both"/>
              <w:rPr>
                <w:rFonts w:ascii="宋体" w:eastAsia="宋体" w:hAnsi="宋体" w:cs="宋体" w:hint="eastAsia"/>
                <w:kern w:val="2"/>
                <w:sz w:val="21"/>
                <w:szCs w:val="21"/>
                <w:lang w:eastAsia="zh-CN"/>
              </w:rPr>
            </w:pPr>
          </w:p>
        </w:tc>
        <w:tc>
          <w:tcPr>
            <w:tcW w:w="544" w:type="dxa"/>
            <w:vMerge/>
            <w:tcBorders>
              <w:left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宋体" w:eastAsia="宋体" w:hAnsi="宋体" w:cs="宋体" w:hint="eastAsia"/>
                <w:kern w:val="2"/>
                <w:sz w:val="21"/>
                <w:szCs w:val="21"/>
                <w:lang w:eastAsia="zh-CN"/>
              </w:rPr>
            </w:pPr>
          </w:p>
        </w:tc>
        <w:tc>
          <w:tcPr>
            <w:tcW w:w="1376" w:type="dxa"/>
            <w:tcBorders>
              <w:top w:val="single" w:sz="6" w:space="0" w:color="auto"/>
              <w:left w:val="single" w:sz="4" w:space="0" w:color="auto"/>
              <w:bottom w:val="single" w:sz="4" w:space="0" w:color="auto"/>
              <w:right w:val="single" w:sz="6"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宋体" w:eastAsia="宋体" w:hAnsi="宋体" w:cs="宋体" w:hint="eastAsia"/>
                <w:kern w:val="2"/>
                <w:sz w:val="18"/>
                <w:szCs w:val="18"/>
                <w:lang w:eastAsia="zh-CN"/>
              </w:rPr>
            </w:pPr>
            <w:r>
              <w:rPr>
                <w:rFonts w:ascii="FangSong_GB2312" w:eastAsia="FangSong_GB2312" w:hAnsi="FangSong_GB2312" w:cs="FangSong_GB2312" w:hint="eastAsia"/>
                <w:kern w:val="2"/>
                <w:lang w:eastAsia="zh-CN"/>
              </w:rPr>
              <w:t>甲方需求部门/甲方验收牵头部门</w:t>
            </w:r>
          </w:p>
        </w:tc>
        <w:tc>
          <w:tcPr>
            <w:tcW w:w="6388" w:type="dxa"/>
            <w:tcBorders>
              <w:top w:val="single" w:sz="6" w:space="0" w:color="auto"/>
              <w:left w:val="single" w:sz="6" w:space="0" w:color="auto"/>
              <w:bottom w:val="single" w:sz="4" w:space="0" w:color="auto"/>
              <w:right w:val="single" w:sz="4" w:space="0" w:color="auto"/>
            </w:tcBorders>
            <w:vAlign w:val="center"/>
          </w:tcPr>
          <w:p>
            <w:pPr>
              <w:widowControl/>
              <w:shd w:val="clear" w:color="auto" w:fill="FFFFFF"/>
              <w:adjustRightInd w:val="0"/>
              <w:snapToGrid w:val="0"/>
              <w:spacing w:before="0" w:beforeAutospacing="0" w:after="0" w:afterAutospacing="0" w:line="360" w:lineRule="auto"/>
              <w:jc w:val="left"/>
              <w:rPr>
                <w:rFonts w:ascii="Calibri" w:eastAsia="宋体" w:hAnsi="Calibri" w:hint="eastAsia"/>
                <w:kern w:val="2"/>
                <w:sz w:val="21"/>
                <w:lang w:eastAsia="zh-CN"/>
              </w:rPr>
            </w:pPr>
          </w:p>
        </w:tc>
      </w:tr>
      <w:tr>
        <w:tblPrEx>
          <w:tblW w:w="8841" w:type="dxa"/>
          <w:tblInd w:w="96" w:type="dxa"/>
          <w:tblLayout w:type="fixed"/>
          <w:tblCellMar>
            <w:top w:w="0" w:type="dxa"/>
            <w:left w:w="108" w:type="dxa"/>
            <w:bottom w:w="0" w:type="dxa"/>
            <w:right w:w="108" w:type="dxa"/>
          </w:tblCellMar>
        </w:tblPrEx>
        <w:trPr>
          <w:gridAfter w:val="1"/>
          <w:wAfter w:w="13" w:type="dxa"/>
          <w:trHeight w:hRule="exact" w:val="454"/>
        </w:trPr>
        <w:tc>
          <w:tcPr>
            <w:tcW w:w="520" w:type="dxa"/>
            <w:vMerge/>
            <w:tcBorders>
              <w:left w:val="single" w:sz="4" w:space="0" w:color="auto"/>
              <w:right w:val="single" w:sz="4" w:space="0" w:color="auto"/>
            </w:tcBorders>
            <w:vAlign w:val="center"/>
          </w:tcPr>
          <w:p>
            <w:pPr>
              <w:widowControl/>
              <w:adjustRightInd w:val="0"/>
              <w:snapToGrid w:val="0"/>
              <w:spacing w:before="0" w:beforeAutospacing="0" w:after="0" w:afterAutospacing="0" w:line="259" w:lineRule="auto"/>
              <w:jc w:val="both"/>
              <w:rPr>
                <w:rFonts w:ascii="宋体" w:eastAsia="宋体" w:hAnsi="宋体" w:cs="宋体" w:hint="eastAsia"/>
                <w:kern w:val="2"/>
                <w:sz w:val="21"/>
                <w:szCs w:val="21"/>
                <w:lang w:eastAsia="zh-CN"/>
              </w:rPr>
            </w:pPr>
          </w:p>
        </w:tc>
        <w:tc>
          <w:tcPr>
            <w:tcW w:w="544" w:type="dxa"/>
            <w:vMerge/>
            <w:tcBorders>
              <w:left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宋体" w:eastAsia="宋体" w:hAnsi="宋体" w:cs="宋体" w:hint="eastAsia"/>
                <w:kern w:val="2"/>
                <w:sz w:val="21"/>
                <w:szCs w:val="21"/>
                <w:lang w:eastAsia="zh-CN"/>
              </w:rPr>
            </w:pPr>
          </w:p>
        </w:tc>
        <w:tc>
          <w:tcPr>
            <w:tcW w:w="1376" w:type="dxa"/>
            <w:tcBorders>
              <w:top w:val="single" w:sz="6" w:space="0" w:color="auto"/>
              <w:left w:val="single" w:sz="4" w:space="0" w:color="auto"/>
              <w:bottom w:val="single" w:sz="4" w:space="0" w:color="auto"/>
              <w:right w:val="single" w:sz="6"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宋体" w:eastAsia="宋体" w:hAnsi="宋体" w:cs="宋体" w:hint="eastAsia"/>
                <w:kern w:val="2"/>
                <w:sz w:val="21"/>
                <w:szCs w:val="21"/>
                <w:lang w:eastAsia="zh-CN"/>
              </w:rPr>
            </w:pPr>
            <w:r>
              <w:rPr>
                <w:rFonts w:ascii="宋体" w:eastAsia="宋体" w:hAnsi="宋体" w:cs="宋体" w:hint="eastAsia"/>
                <w:kern w:val="2"/>
                <w:sz w:val="21"/>
                <w:szCs w:val="21"/>
                <w:lang w:eastAsia="zh-CN"/>
              </w:rPr>
              <w:t>联系人</w:t>
            </w:r>
          </w:p>
        </w:tc>
        <w:tc>
          <w:tcPr>
            <w:tcW w:w="6388" w:type="dxa"/>
            <w:tcBorders>
              <w:top w:val="single" w:sz="6" w:space="0" w:color="auto"/>
              <w:left w:val="single" w:sz="6" w:space="0" w:color="auto"/>
              <w:bottom w:val="single" w:sz="4" w:space="0" w:color="auto"/>
              <w:right w:val="single" w:sz="4" w:space="0" w:color="auto"/>
            </w:tcBorders>
            <w:vAlign w:val="center"/>
          </w:tcPr>
          <w:p>
            <w:pPr>
              <w:widowControl/>
              <w:shd w:val="clear" w:color="auto" w:fill="FFFFFF"/>
              <w:adjustRightInd w:val="0"/>
              <w:snapToGrid w:val="0"/>
              <w:spacing w:before="0" w:beforeAutospacing="0" w:after="0" w:afterAutospacing="0" w:line="360" w:lineRule="auto"/>
              <w:jc w:val="left"/>
              <w:rPr>
                <w:rFonts w:ascii="Calibri" w:eastAsia="宋体" w:hAnsi="Calibri" w:hint="eastAsia"/>
                <w:kern w:val="2"/>
                <w:sz w:val="21"/>
                <w:lang w:eastAsia="zh-CN"/>
              </w:rPr>
            </w:pPr>
          </w:p>
        </w:tc>
      </w:tr>
      <w:tr>
        <w:tblPrEx>
          <w:tblW w:w="8841" w:type="dxa"/>
          <w:tblInd w:w="96" w:type="dxa"/>
          <w:tblLayout w:type="fixed"/>
          <w:tblCellMar>
            <w:top w:w="0" w:type="dxa"/>
            <w:left w:w="108" w:type="dxa"/>
            <w:bottom w:w="0" w:type="dxa"/>
            <w:right w:w="108" w:type="dxa"/>
          </w:tblCellMar>
        </w:tblPrEx>
        <w:trPr>
          <w:gridAfter w:val="1"/>
          <w:wAfter w:w="13" w:type="dxa"/>
          <w:trHeight w:hRule="exact" w:val="454"/>
        </w:trPr>
        <w:tc>
          <w:tcPr>
            <w:tcW w:w="520" w:type="dxa"/>
            <w:vMerge/>
            <w:tcBorders>
              <w:left w:val="single" w:sz="4" w:space="0" w:color="auto"/>
              <w:bottom w:val="single" w:sz="4" w:space="0" w:color="auto"/>
              <w:right w:val="single" w:sz="4" w:space="0" w:color="auto"/>
            </w:tcBorders>
            <w:vAlign w:val="center"/>
          </w:tcPr>
          <w:p>
            <w:pPr>
              <w:widowControl/>
              <w:adjustRightInd w:val="0"/>
              <w:snapToGrid w:val="0"/>
              <w:spacing w:before="0" w:beforeAutospacing="0" w:after="0" w:afterAutospacing="0" w:line="259" w:lineRule="auto"/>
              <w:jc w:val="both"/>
              <w:rPr>
                <w:rFonts w:ascii="宋体" w:eastAsia="宋体" w:hAnsi="宋体" w:cs="宋体" w:hint="eastAsia"/>
                <w:kern w:val="2"/>
                <w:sz w:val="21"/>
                <w:szCs w:val="21"/>
                <w:lang w:eastAsia="zh-CN"/>
              </w:rPr>
            </w:pPr>
          </w:p>
        </w:tc>
        <w:tc>
          <w:tcPr>
            <w:tcW w:w="544" w:type="dxa"/>
            <w:vMerge/>
            <w:tcBorders>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宋体" w:eastAsia="宋体" w:hAnsi="宋体" w:cs="宋体" w:hint="eastAsia"/>
                <w:kern w:val="2"/>
                <w:sz w:val="21"/>
                <w:szCs w:val="21"/>
                <w:lang w:eastAsia="zh-CN"/>
              </w:rPr>
            </w:pPr>
          </w:p>
        </w:tc>
        <w:tc>
          <w:tcPr>
            <w:tcW w:w="1376" w:type="dxa"/>
            <w:tcBorders>
              <w:top w:val="single" w:sz="6" w:space="0" w:color="auto"/>
              <w:left w:val="single" w:sz="4" w:space="0" w:color="auto"/>
              <w:bottom w:val="single" w:sz="4" w:space="0" w:color="auto"/>
              <w:right w:val="single" w:sz="6"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宋体" w:eastAsia="宋体" w:hAnsi="宋体" w:cs="宋体" w:hint="eastAsia"/>
                <w:kern w:val="2"/>
                <w:sz w:val="21"/>
                <w:szCs w:val="21"/>
                <w:lang w:eastAsia="zh-CN"/>
              </w:rPr>
            </w:pPr>
            <w:r>
              <w:rPr>
                <w:rFonts w:ascii="宋体" w:eastAsia="宋体" w:hAnsi="宋体" w:cs="宋体" w:hint="eastAsia"/>
                <w:kern w:val="2"/>
                <w:sz w:val="21"/>
                <w:szCs w:val="21"/>
                <w:lang w:eastAsia="zh-CN"/>
              </w:rPr>
              <w:t>联系电话</w:t>
            </w:r>
          </w:p>
        </w:tc>
        <w:tc>
          <w:tcPr>
            <w:tcW w:w="6388" w:type="dxa"/>
            <w:tcBorders>
              <w:top w:val="single" w:sz="6" w:space="0" w:color="auto"/>
              <w:left w:val="single" w:sz="6" w:space="0" w:color="auto"/>
              <w:bottom w:val="single" w:sz="4" w:space="0" w:color="auto"/>
              <w:right w:val="single" w:sz="4" w:space="0" w:color="auto"/>
            </w:tcBorders>
            <w:vAlign w:val="center"/>
          </w:tcPr>
          <w:p>
            <w:pPr>
              <w:widowControl/>
              <w:shd w:val="clear" w:color="auto" w:fill="FFFFFF"/>
              <w:adjustRightInd w:val="0"/>
              <w:snapToGrid w:val="0"/>
              <w:spacing w:before="0" w:beforeAutospacing="0" w:after="0" w:afterAutospacing="0" w:line="360" w:lineRule="auto"/>
              <w:jc w:val="left"/>
              <w:rPr>
                <w:rFonts w:ascii="Calibri" w:eastAsia="宋体" w:hAnsi="Calibri" w:hint="eastAsia"/>
                <w:kern w:val="2"/>
                <w:sz w:val="21"/>
                <w:lang w:eastAsia="zh-CN"/>
              </w:rPr>
            </w:pPr>
          </w:p>
        </w:tc>
      </w:tr>
      <w:tr>
        <w:tblPrEx>
          <w:tblW w:w="8841" w:type="dxa"/>
          <w:tblInd w:w="96" w:type="dxa"/>
          <w:tblLayout w:type="fixed"/>
          <w:tblCellMar>
            <w:top w:w="0" w:type="dxa"/>
            <w:left w:w="108" w:type="dxa"/>
            <w:bottom w:w="0" w:type="dxa"/>
            <w:right w:w="108" w:type="dxa"/>
          </w:tblCellMar>
        </w:tblPrEx>
        <w:trPr>
          <w:gridAfter w:val="1"/>
          <w:wAfter w:w="13" w:type="dxa"/>
          <w:trHeight w:hRule="exact" w:val="896"/>
        </w:trPr>
        <w:tc>
          <w:tcPr>
            <w:tcW w:w="520" w:type="dxa"/>
            <w:vMerge w:val="restart"/>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宋体" w:eastAsia="宋体" w:hAnsi="宋体" w:cs="宋体" w:hint="eastAsia"/>
                <w:kern w:val="2"/>
                <w:sz w:val="21"/>
                <w:szCs w:val="21"/>
                <w:lang w:eastAsia="zh-CN"/>
              </w:rPr>
            </w:pPr>
            <w:r>
              <w:rPr>
                <w:rFonts w:ascii="宋体" w:eastAsia="宋体" w:hAnsi="宋体" w:cs="宋体"/>
                <w:kern w:val="2"/>
                <w:sz w:val="21"/>
                <w:szCs w:val="21"/>
                <w:lang w:eastAsia="zh-CN"/>
              </w:rPr>
              <w:t>7</w:t>
            </w:r>
          </w:p>
        </w:tc>
        <w:tc>
          <w:tcPr>
            <w:tcW w:w="1920" w:type="dxa"/>
            <w:gridSpan w:val="2"/>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宋体" w:eastAsia="宋体" w:hAnsi="宋体" w:cs="宋体" w:hint="eastAsia"/>
                <w:kern w:val="2"/>
                <w:sz w:val="21"/>
                <w:szCs w:val="21"/>
                <w:lang w:eastAsia="zh-CN"/>
              </w:rPr>
            </w:pPr>
            <w:r>
              <w:rPr>
                <w:rFonts w:ascii="宋体" w:eastAsia="宋体" w:hAnsi="宋体" w:cs="宋体" w:hint="eastAsia"/>
                <w:kern w:val="2"/>
                <w:sz w:val="21"/>
                <w:szCs w:val="21"/>
                <w:lang w:eastAsia="zh-CN"/>
              </w:rPr>
              <w:t>乙方名称</w:t>
            </w:r>
          </w:p>
        </w:tc>
        <w:tc>
          <w:tcPr>
            <w:tcW w:w="6388" w:type="dxa"/>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both"/>
              <w:rPr>
                <w:rFonts w:ascii="宋体" w:eastAsia="宋体" w:hAnsi="宋体" w:cs="宋体" w:hint="eastAsia"/>
                <w:kern w:val="2"/>
                <w:sz w:val="21"/>
                <w:szCs w:val="21"/>
                <w:lang w:eastAsia="zh-CN"/>
              </w:rPr>
            </w:pPr>
          </w:p>
        </w:tc>
      </w:tr>
      <w:tr>
        <w:tblPrEx>
          <w:tblW w:w="8841" w:type="dxa"/>
          <w:tblInd w:w="96" w:type="dxa"/>
          <w:tblLayout w:type="fixed"/>
          <w:tblCellMar>
            <w:top w:w="0" w:type="dxa"/>
            <w:left w:w="108" w:type="dxa"/>
            <w:bottom w:w="0" w:type="dxa"/>
            <w:right w:w="108" w:type="dxa"/>
          </w:tblCellMar>
        </w:tblPrEx>
        <w:trPr>
          <w:gridAfter w:val="1"/>
          <w:wAfter w:w="13" w:type="dxa"/>
          <w:trHeight w:hRule="exact" w:val="1145"/>
        </w:trPr>
        <w:tc>
          <w:tcPr>
            <w:tcW w:w="520" w:type="dxa"/>
            <w:vMerge/>
            <w:tcBorders>
              <w:top w:val="single" w:sz="4" w:space="0" w:color="auto"/>
              <w:left w:val="single" w:sz="4" w:space="0" w:color="auto"/>
              <w:bottom w:val="single" w:sz="4" w:space="0" w:color="auto"/>
              <w:right w:val="single" w:sz="4" w:space="0" w:color="auto"/>
            </w:tcBorders>
            <w:vAlign w:val="center"/>
          </w:tcPr>
          <w:p>
            <w:pPr>
              <w:widowControl/>
              <w:adjustRightInd w:val="0"/>
              <w:snapToGrid w:val="0"/>
              <w:spacing w:before="0" w:beforeAutospacing="0" w:after="0" w:afterAutospacing="0" w:line="259" w:lineRule="auto"/>
              <w:jc w:val="both"/>
              <w:rPr>
                <w:rFonts w:ascii="宋体" w:eastAsia="宋体" w:hAnsi="宋体" w:cs="宋体" w:hint="eastAsia"/>
                <w:kern w:val="2"/>
                <w:sz w:val="21"/>
                <w:szCs w:val="21"/>
                <w:lang w:eastAsia="zh-CN"/>
              </w:rPr>
            </w:pPr>
          </w:p>
        </w:tc>
        <w:tc>
          <w:tcPr>
            <w:tcW w:w="1920" w:type="dxa"/>
            <w:gridSpan w:val="2"/>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宋体" w:eastAsia="宋体" w:hAnsi="宋体" w:cs="宋体" w:hint="eastAsia"/>
                <w:kern w:val="2"/>
                <w:sz w:val="21"/>
                <w:szCs w:val="21"/>
                <w:lang w:eastAsia="zh-CN"/>
              </w:rPr>
            </w:pPr>
            <w:r>
              <w:rPr>
                <w:rFonts w:ascii="宋体" w:eastAsia="宋体" w:hAnsi="宋体" w:cs="宋体" w:hint="eastAsia"/>
                <w:kern w:val="2"/>
                <w:sz w:val="21"/>
                <w:szCs w:val="21"/>
                <w:lang w:eastAsia="zh-CN"/>
              </w:rPr>
              <w:t>乙方企业性质</w:t>
            </w:r>
          </w:p>
        </w:tc>
        <w:tc>
          <w:tcPr>
            <w:tcW w:w="6388" w:type="dxa"/>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both"/>
              <w:rPr>
                <w:rFonts w:ascii="宋体" w:eastAsia="宋体" w:hAnsi="宋体" w:cs="宋体" w:hint="eastAsia"/>
                <w:kern w:val="2"/>
                <w:sz w:val="21"/>
                <w:lang w:eastAsia="zh-CN"/>
              </w:rPr>
            </w:pPr>
            <w:r>
              <w:rPr>
                <w:rFonts w:ascii="宋体" w:eastAsia="宋体" w:hAnsi="宋体" w:cs="宋体" w:hint="eastAsia"/>
                <w:kern w:val="2"/>
                <w:sz w:val="21"/>
                <w:lang w:eastAsia="zh-CN"/>
              </w:rPr>
              <w:t xml:space="preserve">□ 中型企业     □ 小型企业            □ 微型企业    </w:t>
            </w:r>
          </w:p>
          <w:p>
            <w:pPr>
              <w:widowControl w:val="0"/>
              <w:tabs>
                <w:tab w:val="left" w:pos="700"/>
              </w:tabs>
              <w:adjustRightInd w:val="0"/>
              <w:snapToGrid w:val="0"/>
              <w:spacing w:before="0" w:beforeAutospacing="0" w:after="0" w:afterAutospacing="0" w:line="259" w:lineRule="auto"/>
              <w:jc w:val="both"/>
              <w:rPr>
                <w:rFonts w:ascii="宋体" w:eastAsia="宋体" w:hAnsi="宋体" w:cs="宋体" w:hint="eastAsia"/>
                <w:kern w:val="2"/>
                <w:sz w:val="21"/>
                <w:lang w:eastAsia="zh-CN"/>
              </w:rPr>
            </w:pPr>
            <w:r>
              <w:rPr>
                <w:rFonts w:ascii="宋体" w:eastAsia="宋体" w:hAnsi="宋体" w:cs="宋体" w:hint="eastAsia"/>
                <w:kern w:val="2"/>
                <w:sz w:val="21"/>
                <w:lang w:eastAsia="zh-CN"/>
              </w:rPr>
              <w:t xml:space="preserve">□ 监狱企业     □ 残疾人福利性单位    </w:t>
            </w:r>
            <w:r>
              <w:rPr>
                <w:rFonts w:ascii="Wingdings 2" w:eastAsia="宋体" w:hAnsi="Wingdings 2" w:cs="宋体"/>
                <w:kern w:val="2"/>
                <w:sz w:val="21"/>
                <w:lang w:eastAsia="zh-CN"/>
              </w:rPr>
              <w:sym w:font="Wingdings 2" w:char="F0A3"/>
            </w:r>
            <w:r>
              <w:rPr>
                <w:rFonts w:ascii="宋体" w:eastAsia="宋体" w:hAnsi="宋体" w:cs="宋体" w:hint="eastAsia"/>
                <w:kern w:val="2"/>
                <w:sz w:val="21"/>
                <w:lang w:eastAsia="zh-CN"/>
              </w:rPr>
              <w:t xml:space="preserve"> 其他</w:t>
            </w:r>
          </w:p>
        </w:tc>
      </w:tr>
      <w:tr>
        <w:tblPrEx>
          <w:tblW w:w="8841" w:type="dxa"/>
          <w:tblInd w:w="96" w:type="dxa"/>
          <w:tblLayout w:type="fixed"/>
          <w:tblCellMar>
            <w:top w:w="0" w:type="dxa"/>
            <w:left w:w="108" w:type="dxa"/>
            <w:bottom w:w="0" w:type="dxa"/>
            <w:right w:w="108" w:type="dxa"/>
          </w:tblCellMar>
        </w:tblPrEx>
        <w:trPr>
          <w:gridAfter w:val="1"/>
          <w:wAfter w:w="13" w:type="dxa"/>
          <w:trHeight w:hRule="exact" w:val="454"/>
        </w:trPr>
        <w:tc>
          <w:tcPr>
            <w:tcW w:w="520" w:type="dxa"/>
            <w:vMerge/>
            <w:tcBorders>
              <w:top w:val="single" w:sz="4" w:space="0" w:color="auto"/>
              <w:left w:val="single" w:sz="4" w:space="0" w:color="auto"/>
              <w:bottom w:val="single" w:sz="4" w:space="0" w:color="auto"/>
              <w:right w:val="single" w:sz="4" w:space="0" w:color="auto"/>
            </w:tcBorders>
            <w:vAlign w:val="center"/>
          </w:tcPr>
          <w:p>
            <w:pPr>
              <w:widowControl/>
              <w:adjustRightInd w:val="0"/>
              <w:snapToGrid w:val="0"/>
              <w:spacing w:before="0" w:beforeAutospacing="0" w:after="0" w:afterAutospacing="0" w:line="259" w:lineRule="auto"/>
              <w:jc w:val="both"/>
              <w:rPr>
                <w:rFonts w:ascii="宋体" w:eastAsia="宋体" w:hAnsi="宋体" w:cs="宋体" w:hint="eastAsia"/>
                <w:kern w:val="2"/>
                <w:sz w:val="21"/>
                <w:szCs w:val="21"/>
                <w:lang w:eastAsia="zh-CN"/>
              </w:rPr>
            </w:pPr>
          </w:p>
        </w:tc>
        <w:tc>
          <w:tcPr>
            <w:tcW w:w="1920" w:type="dxa"/>
            <w:gridSpan w:val="2"/>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宋体" w:eastAsia="宋体" w:hAnsi="宋体" w:cs="宋体" w:hint="eastAsia"/>
                <w:kern w:val="2"/>
                <w:sz w:val="21"/>
                <w:szCs w:val="21"/>
                <w:lang w:eastAsia="zh-CN"/>
              </w:rPr>
            </w:pPr>
            <w:r>
              <w:rPr>
                <w:rFonts w:ascii="宋体" w:eastAsia="宋体" w:hAnsi="宋体" w:cs="宋体" w:hint="eastAsia"/>
                <w:kern w:val="2"/>
                <w:sz w:val="21"/>
                <w:szCs w:val="21"/>
                <w:lang w:eastAsia="zh-CN"/>
              </w:rPr>
              <w:t>乙方地址</w:t>
            </w:r>
          </w:p>
        </w:tc>
        <w:tc>
          <w:tcPr>
            <w:tcW w:w="6388" w:type="dxa"/>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both"/>
              <w:rPr>
                <w:rFonts w:ascii="宋体" w:eastAsia="宋体" w:hAnsi="宋体" w:cs="宋体" w:hint="eastAsia"/>
                <w:kern w:val="2"/>
                <w:sz w:val="21"/>
                <w:szCs w:val="21"/>
                <w:lang w:eastAsia="zh-CN"/>
              </w:rPr>
            </w:pPr>
          </w:p>
        </w:tc>
      </w:tr>
      <w:tr>
        <w:tblPrEx>
          <w:tblW w:w="8841" w:type="dxa"/>
          <w:tblInd w:w="96" w:type="dxa"/>
          <w:tblLayout w:type="fixed"/>
          <w:tblCellMar>
            <w:top w:w="0" w:type="dxa"/>
            <w:left w:w="108" w:type="dxa"/>
            <w:bottom w:w="0" w:type="dxa"/>
            <w:right w:w="108" w:type="dxa"/>
          </w:tblCellMar>
        </w:tblPrEx>
        <w:trPr>
          <w:gridAfter w:val="1"/>
          <w:wAfter w:w="13" w:type="dxa"/>
          <w:trHeight w:hRule="exact" w:val="454"/>
        </w:trPr>
        <w:tc>
          <w:tcPr>
            <w:tcW w:w="520" w:type="dxa"/>
            <w:vMerge/>
            <w:tcBorders>
              <w:top w:val="single" w:sz="4" w:space="0" w:color="auto"/>
              <w:left w:val="single" w:sz="4" w:space="0" w:color="auto"/>
              <w:bottom w:val="single" w:sz="4" w:space="0" w:color="auto"/>
              <w:right w:val="single" w:sz="4" w:space="0" w:color="auto"/>
            </w:tcBorders>
            <w:vAlign w:val="center"/>
          </w:tcPr>
          <w:p>
            <w:pPr>
              <w:widowControl/>
              <w:adjustRightInd w:val="0"/>
              <w:snapToGrid w:val="0"/>
              <w:spacing w:before="0" w:beforeAutospacing="0" w:after="0" w:afterAutospacing="0" w:line="259" w:lineRule="auto"/>
              <w:jc w:val="both"/>
              <w:rPr>
                <w:rFonts w:ascii="宋体" w:eastAsia="宋体" w:hAnsi="宋体" w:cs="宋体" w:hint="eastAsia"/>
                <w:kern w:val="2"/>
                <w:sz w:val="21"/>
                <w:szCs w:val="21"/>
                <w:lang w:eastAsia="zh-CN"/>
              </w:rPr>
            </w:pPr>
          </w:p>
        </w:tc>
        <w:tc>
          <w:tcPr>
            <w:tcW w:w="1920" w:type="dxa"/>
            <w:gridSpan w:val="2"/>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宋体" w:eastAsia="宋体" w:hAnsi="宋体" w:cs="宋体" w:hint="eastAsia"/>
                <w:kern w:val="2"/>
                <w:sz w:val="21"/>
                <w:szCs w:val="21"/>
                <w:lang w:eastAsia="zh-CN"/>
              </w:rPr>
            </w:pPr>
            <w:r>
              <w:rPr>
                <w:rFonts w:ascii="宋体" w:eastAsia="宋体" w:hAnsi="宋体" w:cs="宋体" w:hint="eastAsia"/>
                <w:kern w:val="2"/>
                <w:sz w:val="21"/>
                <w:szCs w:val="21"/>
                <w:lang w:eastAsia="zh-CN"/>
              </w:rPr>
              <w:t>乙方联系人</w:t>
            </w:r>
          </w:p>
        </w:tc>
        <w:tc>
          <w:tcPr>
            <w:tcW w:w="6388" w:type="dxa"/>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both"/>
              <w:rPr>
                <w:rFonts w:ascii="宋体" w:eastAsia="宋体" w:hAnsi="宋体" w:cs="宋体" w:hint="eastAsia"/>
                <w:kern w:val="2"/>
                <w:sz w:val="21"/>
                <w:szCs w:val="21"/>
                <w:lang w:eastAsia="zh-CN"/>
              </w:rPr>
            </w:pPr>
          </w:p>
        </w:tc>
      </w:tr>
      <w:tr>
        <w:tblPrEx>
          <w:tblW w:w="8841" w:type="dxa"/>
          <w:tblInd w:w="96" w:type="dxa"/>
          <w:tblLayout w:type="fixed"/>
          <w:tblCellMar>
            <w:top w:w="0" w:type="dxa"/>
            <w:left w:w="108" w:type="dxa"/>
            <w:bottom w:w="0" w:type="dxa"/>
            <w:right w:w="108" w:type="dxa"/>
          </w:tblCellMar>
        </w:tblPrEx>
        <w:trPr>
          <w:gridAfter w:val="1"/>
          <w:wAfter w:w="13" w:type="dxa"/>
          <w:trHeight w:hRule="exact" w:val="454"/>
        </w:trPr>
        <w:tc>
          <w:tcPr>
            <w:tcW w:w="520" w:type="dxa"/>
            <w:vMerge/>
            <w:tcBorders>
              <w:top w:val="single" w:sz="4" w:space="0" w:color="auto"/>
              <w:left w:val="single" w:sz="4" w:space="0" w:color="auto"/>
              <w:bottom w:val="single" w:sz="4" w:space="0" w:color="auto"/>
              <w:right w:val="single" w:sz="4" w:space="0" w:color="auto"/>
            </w:tcBorders>
            <w:vAlign w:val="center"/>
          </w:tcPr>
          <w:p>
            <w:pPr>
              <w:widowControl/>
              <w:adjustRightInd w:val="0"/>
              <w:snapToGrid w:val="0"/>
              <w:spacing w:before="0" w:beforeAutospacing="0" w:after="0" w:afterAutospacing="0" w:line="259" w:lineRule="auto"/>
              <w:jc w:val="both"/>
              <w:rPr>
                <w:rFonts w:ascii="宋体" w:eastAsia="宋体" w:hAnsi="宋体" w:cs="宋体" w:hint="eastAsia"/>
                <w:kern w:val="2"/>
                <w:sz w:val="21"/>
                <w:szCs w:val="21"/>
                <w:lang w:eastAsia="zh-CN"/>
              </w:rPr>
            </w:pPr>
          </w:p>
        </w:tc>
        <w:tc>
          <w:tcPr>
            <w:tcW w:w="1920" w:type="dxa"/>
            <w:gridSpan w:val="2"/>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宋体" w:eastAsia="宋体" w:hAnsi="宋体" w:cs="宋体" w:hint="eastAsia"/>
                <w:kern w:val="2"/>
                <w:sz w:val="21"/>
                <w:szCs w:val="21"/>
                <w:lang w:eastAsia="zh-CN"/>
              </w:rPr>
            </w:pPr>
            <w:r>
              <w:rPr>
                <w:rFonts w:ascii="宋体" w:eastAsia="宋体" w:hAnsi="宋体" w:cs="宋体" w:hint="eastAsia"/>
                <w:kern w:val="2"/>
                <w:sz w:val="21"/>
                <w:szCs w:val="21"/>
                <w:lang w:eastAsia="zh-CN"/>
              </w:rPr>
              <w:t>联系电话</w:t>
            </w:r>
          </w:p>
        </w:tc>
        <w:tc>
          <w:tcPr>
            <w:tcW w:w="6388" w:type="dxa"/>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both"/>
              <w:rPr>
                <w:rFonts w:ascii="宋体" w:eastAsia="宋体" w:hAnsi="宋体" w:cs="宋体" w:hint="eastAsia"/>
                <w:kern w:val="2"/>
                <w:sz w:val="21"/>
                <w:szCs w:val="21"/>
                <w:lang w:eastAsia="zh-CN"/>
              </w:rPr>
            </w:pPr>
          </w:p>
        </w:tc>
      </w:tr>
      <w:tr>
        <w:tblPrEx>
          <w:tblW w:w="8841" w:type="dxa"/>
          <w:tblInd w:w="96" w:type="dxa"/>
          <w:tblLayout w:type="fixed"/>
          <w:tblCellMar>
            <w:top w:w="0" w:type="dxa"/>
            <w:left w:w="108" w:type="dxa"/>
            <w:bottom w:w="0" w:type="dxa"/>
            <w:right w:w="108" w:type="dxa"/>
          </w:tblCellMar>
        </w:tblPrEx>
        <w:trPr>
          <w:gridAfter w:val="1"/>
          <w:wAfter w:w="13" w:type="dxa"/>
          <w:trHeight w:hRule="exact" w:val="454"/>
        </w:trPr>
        <w:tc>
          <w:tcPr>
            <w:tcW w:w="520" w:type="dxa"/>
            <w:vMerge/>
            <w:tcBorders>
              <w:top w:val="single" w:sz="4" w:space="0" w:color="auto"/>
              <w:left w:val="single" w:sz="4" w:space="0" w:color="auto"/>
              <w:bottom w:val="single" w:sz="4" w:space="0" w:color="auto"/>
              <w:right w:val="single" w:sz="4" w:space="0" w:color="auto"/>
            </w:tcBorders>
            <w:vAlign w:val="center"/>
          </w:tcPr>
          <w:p>
            <w:pPr>
              <w:widowControl/>
              <w:adjustRightInd w:val="0"/>
              <w:snapToGrid w:val="0"/>
              <w:spacing w:before="0" w:beforeAutospacing="0" w:after="0" w:afterAutospacing="0" w:line="259" w:lineRule="auto"/>
              <w:jc w:val="both"/>
              <w:rPr>
                <w:rFonts w:ascii="宋体" w:eastAsia="宋体" w:hAnsi="宋体" w:cs="宋体" w:hint="eastAsia"/>
                <w:kern w:val="2"/>
                <w:sz w:val="21"/>
                <w:szCs w:val="21"/>
                <w:lang w:eastAsia="zh-CN"/>
              </w:rPr>
            </w:pPr>
          </w:p>
        </w:tc>
        <w:tc>
          <w:tcPr>
            <w:tcW w:w="1920" w:type="dxa"/>
            <w:gridSpan w:val="2"/>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宋体" w:eastAsia="宋体" w:hAnsi="宋体" w:cs="宋体" w:hint="eastAsia"/>
                <w:kern w:val="2"/>
                <w:sz w:val="21"/>
                <w:szCs w:val="21"/>
                <w:lang w:eastAsia="zh-CN"/>
              </w:rPr>
            </w:pPr>
            <w:r>
              <w:rPr>
                <w:rFonts w:ascii="宋体" w:eastAsia="宋体" w:hAnsi="宋体" w:cs="宋体" w:hint="eastAsia"/>
                <w:kern w:val="2"/>
                <w:sz w:val="21"/>
                <w:szCs w:val="21"/>
                <w:lang w:eastAsia="zh-CN"/>
              </w:rPr>
              <w:t>传真</w:t>
            </w:r>
          </w:p>
        </w:tc>
        <w:tc>
          <w:tcPr>
            <w:tcW w:w="6388" w:type="dxa"/>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both"/>
              <w:rPr>
                <w:rFonts w:ascii="宋体" w:eastAsia="宋体" w:hAnsi="宋体" w:cs="宋体" w:hint="eastAsia"/>
                <w:kern w:val="2"/>
                <w:sz w:val="21"/>
                <w:szCs w:val="21"/>
                <w:lang w:eastAsia="zh-CN"/>
              </w:rPr>
            </w:pPr>
          </w:p>
        </w:tc>
      </w:tr>
      <w:tr>
        <w:tblPrEx>
          <w:tblW w:w="8841" w:type="dxa"/>
          <w:tblInd w:w="96" w:type="dxa"/>
          <w:tblLayout w:type="fixed"/>
          <w:tblCellMar>
            <w:top w:w="0" w:type="dxa"/>
            <w:left w:w="108" w:type="dxa"/>
            <w:bottom w:w="0" w:type="dxa"/>
            <w:right w:w="108" w:type="dxa"/>
          </w:tblCellMar>
        </w:tblPrEx>
        <w:trPr>
          <w:gridAfter w:val="1"/>
          <w:wAfter w:w="13" w:type="dxa"/>
          <w:trHeight w:val="730"/>
        </w:trPr>
        <w:tc>
          <w:tcPr>
            <w:tcW w:w="520" w:type="dxa"/>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宋体" w:eastAsia="宋体" w:hAnsi="宋体" w:cs="宋体" w:hint="eastAsia"/>
                <w:kern w:val="2"/>
                <w:sz w:val="21"/>
                <w:szCs w:val="21"/>
                <w:lang w:eastAsia="zh-CN"/>
              </w:rPr>
            </w:pPr>
            <w:r>
              <w:rPr>
                <w:rFonts w:ascii="宋体" w:eastAsia="宋体" w:hAnsi="宋体" w:cs="宋体"/>
                <w:kern w:val="2"/>
                <w:sz w:val="21"/>
                <w:szCs w:val="21"/>
                <w:lang w:eastAsia="zh-CN"/>
              </w:rPr>
              <w:t>8</w:t>
            </w:r>
          </w:p>
        </w:tc>
        <w:tc>
          <w:tcPr>
            <w:tcW w:w="1920" w:type="dxa"/>
            <w:gridSpan w:val="2"/>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宋体" w:eastAsia="宋体" w:hAnsi="宋体" w:cs="宋体" w:hint="eastAsia"/>
                <w:kern w:val="2"/>
                <w:sz w:val="21"/>
                <w:szCs w:val="21"/>
                <w:lang w:eastAsia="zh-CN"/>
              </w:rPr>
            </w:pPr>
            <w:r>
              <w:rPr>
                <w:rFonts w:ascii="宋体" w:eastAsia="宋体" w:hAnsi="宋体" w:cs="宋体" w:hint="eastAsia"/>
                <w:kern w:val="2"/>
                <w:sz w:val="21"/>
                <w:szCs w:val="21"/>
                <w:lang w:eastAsia="zh-CN"/>
              </w:rPr>
              <w:t>合同金额</w:t>
            </w:r>
          </w:p>
        </w:tc>
        <w:tc>
          <w:tcPr>
            <w:tcW w:w="6388" w:type="dxa"/>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both"/>
              <w:rPr>
                <w:rFonts w:ascii="宋体" w:eastAsia="宋体" w:hAnsi="宋体" w:cs="宋体" w:hint="eastAsia"/>
                <w:kern w:val="2"/>
                <w:sz w:val="21"/>
                <w:szCs w:val="21"/>
                <w:lang w:eastAsia="zh-CN"/>
              </w:rPr>
            </w:pPr>
            <w:r>
              <w:rPr>
                <w:rFonts w:ascii="宋体" w:eastAsia="宋体" w:hAnsi="宋体" w:cs="宋体" w:hint="eastAsia"/>
                <w:kern w:val="2"/>
                <w:sz w:val="21"/>
                <w:szCs w:val="21"/>
                <w:lang w:eastAsia="zh-CN"/>
              </w:rPr>
              <w:t>人民币</w:t>
            </w:r>
            <w:r>
              <w:rPr>
                <w:rFonts w:ascii="宋体" w:eastAsia="宋体" w:hAnsi="宋体" w:cs="宋体" w:hint="eastAsia"/>
                <w:kern w:val="2"/>
                <w:sz w:val="21"/>
                <w:szCs w:val="21"/>
                <w:u w:val="single"/>
                <w:lang w:eastAsia="zh-CN"/>
              </w:rPr>
              <w:t xml:space="preserve">        </w:t>
            </w:r>
            <w:r>
              <w:rPr>
                <w:rFonts w:ascii="宋体" w:eastAsia="宋体" w:hAnsi="宋体" w:cs="宋体" w:hint="eastAsia"/>
                <w:kern w:val="2"/>
                <w:sz w:val="21"/>
                <w:szCs w:val="21"/>
                <w:lang w:eastAsia="zh-CN"/>
              </w:rPr>
              <w:t>元整（¥</w:t>
            </w:r>
            <w:r>
              <w:rPr>
                <w:rFonts w:ascii="宋体" w:eastAsia="宋体" w:hAnsi="宋体" w:cs="宋体" w:hint="eastAsia"/>
                <w:kern w:val="2"/>
                <w:sz w:val="21"/>
                <w:szCs w:val="21"/>
                <w:u w:val="single"/>
                <w:lang w:eastAsia="zh-CN"/>
              </w:rPr>
              <w:t xml:space="preserve"> </w:t>
            </w:r>
            <w:r>
              <w:rPr>
                <w:rFonts w:ascii="宋体" w:eastAsia="宋体" w:hAnsi="宋体" w:cs="宋体" w:hint="eastAsia"/>
                <w:kern w:val="2"/>
                <w:sz w:val="21"/>
                <w:szCs w:val="21"/>
                <w:u w:val="single"/>
                <w:lang w:eastAsia="zh-CN"/>
              </w:rPr>
              <w:t xml:space="preserve">          </w:t>
            </w:r>
            <w:r>
              <w:rPr>
                <w:rFonts w:ascii="宋体" w:eastAsia="宋体" w:hAnsi="宋体" w:cs="宋体" w:hint="eastAsia"/>
                <w:kern w:val="2"/>
                <w:sz w:val="21"/>
                <w:szCs w:val="21"/>
                <w:lang w:eastAsia="zh-CN"/>
              </w:rPr>
              <w:t>）</w:t>
            </w:r>
          </w:p>
        </w:tc>
      </w:tr>
      <w:tr>
        <w:tblPrEx>
          <w:tblW w:w="8841" w:type="dxa"/>
          <w:tblInd w:w="96" w:type="dxa"/>
          <w:tblLayout w:type="fixed"/>
          <w:tblCellMar>
            <w:top w:w="0" w:type="dxa"/>
            <w:left w:w="108" w:type="dxa"/>
            <w:bottom w:w="0" w:type="dxa"/>
            <w:right w:w="108" w:type="dxa"/>
          </w:tblCellMar>
        </w:tblPrEx>
        <w:trPr>
          <w:gridAfter w:val="1"/>
          <w:wAfter w:w="13" w:type="dxa"/>
          <w:trHeight w:val="1318"/>
        </w:trPr>
        <w:tc>
          <w:tcPr>
            <w:tcW w:w="520" w:type="dxa"/>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宋体" w:eastAsia="宋体" w:hAnsi="宋体" w:cs="宋体" w:hint="eastAsia"/>
                <w:kern w:val="2"/>
                <w:sz w:val="21"/>
                <w:szCs w:val="21"/>
                <w:lang w:eastAsia="zh-CN"/>
              </w:rPr>
            </w:pPr>
            <w:r>
              <w:rPr>
                <w:rFonts w:ascii="宋体" w:eastAsia="宋体" w:hAnsi="宋体" w:cs="宋体"/>
                <w:kern w:val="2"/>
                <w:sz w:val="21"/>
                <w:szCs w:val="21"/>
                <w:lang w:eastAsia="zh-CN"/>
              </w:rPr>
              <w:t>9</w:t>
            </w:r>
          </w:p>
        </w:tc>
        <w:tc>
          <w:tcPr>
            <w:tcW w:w="1920" w:type="dxa"/>
            <w:gridSpan w:val="2"/>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宋体" w:eastAsia="宋体" w:hAnsi="宋体" w:cs="宋体" w:hint="eastAsia"/>
                <w:kern w:val="2"/>
                <w:sz w:val="21"/>
                <w:szCs w:val="21"/>
                <w:lang w:eastAsia="zh-CN"/>
              </w:rPr>
            </w:pPr>
            <w:r>
              <w:rPr>
                <w:rFonts w:ascii="宋体" w:eastAsia="宋体" w:hAnsi="宋体" w:cs="宋体" w:hint="eastAsia"/>
                <w:kern w:val="2"/>
                <w:sz w:val="21"/>
                <w:szCs w:val="21"/>
                <w:lang w:eastAsia="zh-CN"/>
              </w:rPr>
              <w:t>服务内容</w:t>
            </w:r>
          </w:p>
        </w:tc>
        <w:tc>
          <w:tcPr>
            <w:tcW w:w="6388" w:type="dxa"/>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both"/>
              <w:rPr>
                <w:rFonts w:ascii="宋体" w:eastAsia="宋体" w:hAnsi="宋体" w:cs="宋体" w:hint="eastAsia"/>
                <w:kern w:val="2"/>
                <w:sz w:val="21"/>
                <w:szCs w:val="21"/>
                <w:lang w:eastAsia="zh-CN"/>
              </w:rPr>
            </w:pPr>
            <w:r>
              <w:rPr>
                <w:rFonts w:ascii="宋体" w:eastAsia="宋体" w:hAnsi="宋体" w:cs="宋体" w:hint="eastAsia"/>
                <w:kern w:val="2"/>
                <w:sz w:val="21"/>
                <w:szCs w:val="21"/>
                <w:lang w:eastAsia="zh-CN"/>
              </w:rPr>
              <w:t>国家税务总局吉林市税务局2026年物业管理服务项目预算总额为464.3万元/年。本项目分为2个包采购，其中，第一包预算金额为262万元，提供国家税务总局吉林市税务局办公楼（三亚路33号）、员工食堂（三亚路33号）、老干部活动中心（丰满区江南街道72号）、江湾馨城办公区（</w:t>
            </w:r>
            <w:r>
              <w:rPr>
                <w:rFonts w:ascii="宋体" w:eastAsia="宋体" w:hAnsi="宋体" w:cs="宋体" w:hint="eastAsia"/>
                <w:kern w:val="2"/>
                <w:sz w:val="21"/>
                <w:szCs w:val="21"/>
                <w:lang w:eastAsia="zh-CN"/>
              </w:rPr>
              <w:t>昌邑区江湾路56号）的综合服务、共用设施设备管理、公共秩序维护、环境保洁、会议服务、特约服务（餐饮服务、清雪服务、地毯清洗等）、突发事件应急管理、绿色物业以及标准化建设等工作。第二包预算金额为202.3万元，提供国家税务总局吉林市税务局第一稽查局办公楼（吉林大街73号）、国家税务总局吉林市税务局第二稽查局办公楼（吉林大街73号）、国家税务总局吉林市税务局第三稽查局办公楼（徐州路9号）的综合服务、共用设施设备管理、公共秩序维护、环境保洁、会议服务、特约服务（餐饮服务、清雪服务、地毯清洗等）、突发事件应急管理、绿色物业以及标准化建设等工作。</w:t>
            </w:r>
          </w:p>
        </w:tc>
      </w:tr>
      <w:tr>
        <w:tblPrEx>
          <w:tblW w:w="8841" w:type="dxa"/>
          <w:tblInd w:w="96" w:type="dxa"/>
          <w:tblLayout w:type="fixed"/>
          <w:tblCellMar>
            <w:top w:w="0" w:type="dxa"/>
            <w:left w:w="108" w:type="dxa"/>
            <w:bottom w:w="0" w:type="dxa"/>
            <w:right w:w="108" w:type="dxa"/>
          </w:tblCellMar>
        </w:tblPrEx>
        <w:trPr>
          <w:gridAfter w:val="1"/>
          <w:wAfter w:w="13" w:type="dxa"/>
          <w:trHeight w:val="3406"/>
        </w:trPr>
        <w:tc>
          <w:tcPr>
            <w:tcW w:w="520" w:type="dxa"/>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宋体" w:eastAsia="宋体" w:hAnsi="宋体" w:cs="宋体" w:hint="eastAsia"/>
                <w:kern w:val="2"/>
                <w:sz w:val="21"/>
                <w:szCs w:val="21"/>
                <w:lang w:eastAsia="zh-CN"/>
              </w:rPr>
            </w:pPr>
            <w:r>
              <w:rPr>
                <w:rFonts w:ascii="宋体" w:eastAsia="宋体" w:hAnsi="宋体" w:cs="宋体"/>
                <w:kern w:val="2"/>
                <w:sz w:val="21"/>
                <w:szCs w:val="21"/>
                <w:lang w:eastAsia="zh-CN"/>
              </w:rPr>
              <w:t>10</w:t>
            </w:r>
          </w:p>
        </w:tc>
        <w:tc>
          <w:tcPr>
            <w:tcW w:w="1920" w:type="dxa"/>
            <w:gridSpan w:val="2"/>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宋体" w:eastAsia="宋体" w:hAnsi="宋体" w:cs="宋体" w:hint="eastAsia"/>
                <w:kern w:val="2"/>
                <w:sz w:val="21"/>
                <w:szCs w:val="21"/>
                <w:lang w:eastAsia="zh-CN"/>
              </w:rPr>
            </w:pPr>
            <w:r>
              <w:rPr>
                <w:rFonts w:ascii="宋体" w:eastAsia="宋体" w:hAnsi="宋体" w:cs="宋体" w:hint="eastAsia"/>
                <w:kern w:val="2"/>
                <w:sz w:val="21"/>
                <w:szCs w:val="21"/>
                <w:lang w:eastAsia="zh-CN"/>
              </w:rPr>
              <w:t>合同付款</w:t>
            </w:r>
          </w:p>
        </w:tc>
        <w:tc>
          <w:tcPr>
            <w:tcW w:w="6388" w:type="dxa"/>
            <w:tcBorders>
              <w:top w:val="single" w:sz="4" w:space="0" w:color="auto"/>
              <w:left w:val="single" w:sz="4" w:space="0" w:color="auto"/>
              <w:bottom w:val="single" w:sz="4" w:space="0" w:color="auto"/>
              <w:right w:val="single" w:sz="4" w:space="0" w:color="auto"/>
            </w:tcBorders>
            <w:vAlign w:val="center"/>
          </w:tcPr>
          <w:p>
            <w:pPr>
              <w:widowControl w:val="0"/>
              <w:numPr>
                <w:ilvl w:val="0"/>
                <w:numId w:val="0"/>
              </w:numPr>
              <w:tabs>
                <w:tab w:val="left" w:pos="709"/>
                <w:tab w:val="left" w:pos="840"/>
              </w:tabs>
              <w:adjustRightInd w:val="0"/>
              <w:snapToGrid w:val="0"/>
              <w:spacing w:before="0" w:beforeAutospacing="0" w:after="0" w:afterAutospacing="0" w:line="259" w:lineRule="auto"/>
              <w:ind w:left="0" w:firstLine="0"/>
              <w:jc w:val="both"/>
              <w:textAlignment w:val="auto"/>
              <w:rPr>
                <w:rFonts w:ascii="宋体" w:eastAsia="宋体" w:hAnsi="宋体" w:cs="宋体" w:hint="eastAsia"/>
                <w:sz w:val="21"/>
                <w:szCs w:val="21"/>
                <w:u w:val="single"/>
                <w:lang w:eastAsia="zh-CN"/>
              </w:rPr>
            </w:pPr>
            <w:r>
              <w:rPr>
                <w:rFonts w:ascii="宋体" w:eastAsia="宋体" w:hAnsi="宋体" w:cs="宋体" w:hint="eastAsia"/>
                <w:sz w:val="21"/>
                <w:szCs w:val="21"/>
                <w:lang w:eastAsia="zh-CN"/>
              </w:rPr>
              <w:t>合同以人民币结算，付款方式如下：</w:t>
            </w:r>
            <w:r>
              <w:rPr>
                <w:rFonts w:ascii="宋体" w:eastAsia="宋体" w:hAnsi="宋体" w:cs="宋体" w:hint="eastAsia"/>
                <w:sz w:val="21"/>
                <w:szCs w:val="21"/>
                <w:u w:val="single"/>
                <w:lang w:eastAsia="zh-CN"/>
              </w:rPr>
              <w:t xml:space="preserve">                  </w:t>
            </w:r>
          </w:p>
          <w:p>
            <w:pPr>
              <w:widowControl w:val="0"/>
              <w:numPr>
                <w:ilvl w:val="0"/>
                <w:numId w:val="0"/>
              </w:numPr>
              <w:tabs>
                <w:tab w:val="left" w:pos="709"/>
                <w:tab w:val="left" w:pos="840"/>
              </w:tabs>
              <w:adjustRightInd w:val="0"/>
              <w:snapToGrid w:val="0"/>
              <w:spacing w:before="0" w:beforeAutospacing="0" w:after="0" w:afterAutospacing="0" w:line="259" w:lineRule="auto"/>
              <w:ind w:left="0" w:firstLine="0"/>
              <w:jc w:val="both"/>
              <w:textAlignment w:val="auto"/>
              <w:rPr>
                <w:rFonts w:ascii="宋体" w:eastAsia="宋体" w:hAnsi="宋体" w:cs="宋体" w:hint="eastAsia"/>
                <w:sz w:val="21"/>
                <w:szCs w:val="21"/>
                <w:lang w:eastAsia="zh-CN"/>
              </w:rPr>
            </w:pPr>
            <w:r>
              <w:rPr>
                <w:rFonts w:ascii="宋体" w:eastAsia="宋体" w:hAnsi="宋体" w:cs="宋体" w:hint="eastAsia"/>
                <w:sz w:val="21"/>
                <w:szCs w:val="21"/>
                <w:lang w:eastAsia="zh-CN"/>
              </w:rPr>
              <w:t>第1次付款,自项目实施开始之日起次月，采购人根据考核验收结果，按月支付物业服务费用，甲方支付乙方合同金额8.33%的款项;第2次付款,自项目实施开始之日起第3个月，根据考核验收结果，支付第2个月的物业服务费用，甲方支付乙方合同金额8.33%的款项;第3次付款,自项目实施开始之日起第4个月，根据考核验收结果，支付第3个月的物业服务费用，甲方支付乙方合同金额8.33%的款项;第4次付款,自项目实施开始之日起第5个月，根据考核验收结果，支付第4个月的物业服务费用，甲方支付乙方合同金额8.33%的款项;第5次付款,自项目实施开始之日起第6个月，根据考核验收结果，支付第5个月的物业服务费用，甲方支付乙方合同金额8.33%的款项;第6次付款,自项目实施开始之日起第7个月，根据考核验收结果，支付第6个月的物业服务费用，甲方支付乙方合同金额8.33%的款项;第7次付款,自项目实施开始之日起第8个月，根据考核验收结果，支付第7个月的物业服务费用，甲方支付乙方合同金额8.33%的款项;第8次付款,自项目实施开始之日起第9个月，根据考核验收结果，支付第8个月的物业服务费用，甲方支付乙方合同金额8.33%的款项;第9次付款,自项目实施开始之日起第10个月，根据考核验收结果，支付第9个月的物业服务费用，甲方支付乙方合同金额8.33%的款项;第10次付款,自项目实施开始之日起第11个月，根据考核验收结果，支付第10个月的物业服务费用，甲方支付乙方合同金额8.33%的款项;第11次付款,自项目实施开始之日起第12个月，根据考核验收结果，支付第11个月的物业服务费用，甲方支付乙方合同金额8.33%的款项;第12次付款,自项目实施开始之日起第13个月，根据考核验收结果，支付第12个月的物业服务费用，甲方支付乙方合同金额8.37%的款项。采购人付款前，供应商应出具等额合法有效发票。每次办理付款时，乙方应提供发票、付款申请、付款明细、合同关键页复印件、中标或成交通知书复印件、合同约定的其他资料。涉及验收的，应同时提交</w:t>
            </w:r>
            <w:r>
              <w:rPr>
                <w:rFonts w:ascii="宋体" w:eastAsia="宋体" w:hAnsi="宋体" w:cs="宋体" w:hint="eastAsia"/>
                <w:sz w:val="21"/>
                <w:szCs w:val="21"/>
                <w:u w:val="single"/>
                <w:lang w:eastAsia="zh-CN"/>
              </w:rPr>
              <w:t xml:space="preserve">      </w:t>
            </w:r>
            <w:r>
              <w:rPr>
                <w:rFonts w:ascii="宋体" w:eastAsia="宋体" w:hAnsi="宋体" w:cs="宋体" w:hint="eastAsia"/>
                <w:sz w:val="21"/>
                <w:szCs w:val="21"/>
                <w:lang w:eastAsia="zh-CN"/>
              </w:rPr>
              <w:t>出具的验收意见。</w:t>
            </w:r>
          </w:p>
          <w:p>
            <w:pPr>
              <w:widowControl w:val="0"/>
              <w:numPr>
                <w:ilvl w:val="0"/>
                <w:numId w:val="0"/>
              </w:numPr>
              <w:tabs>
                <w:tab w:val="left" w:pos="709"/>
                <w:tab w:val="left" w:pos="840"/>
              </w:tabs>
              <w:adjustRightInd w:val="0"/>
              <w:snapToGrid w:val="0"/>
              <w:spacing w:before="0" w:beforeAutospacing="0" w:after="0" w:afterAutospacing="0" w:line="259" w:lineRule="auto"/>
              <w:ind w:left="0" w:firstLine="0"/>
              <w:jc w:val="both"/>
              <w:textAlignment w:val="baseline"/>
              <w:rPr>
                <w:rFonts w:ascii="宋体" w:eastAsia="宋体" w:hAnsi="宋体" w:cs="宋体" w:hint="eastAsia"/>
                <w:sz w:val="21"/>
                <w:szCs w:val="21"/>
                <w:lang w:eastAsia="zh-CN"/>
              </w:rPr>
            </w:pPr>
            <w:r>
              <w:rPr>
                <w:rFonts w:ascii="宋体" w:eastAsia="宋体" w:hAnsi="宋体" w:cs="宋体" w:hint="eastAsia"/>
                <w:sz w:val="21"/>
                <w:szCs w:val="21"/>
                <w:lang w:eastAsia="zh-CN"/>
              </w:rPr>
              <w:t>甲方在收到发票等合同约定资料后，进行核实。满足合同约定支付条件的，甲方原则上应当自收到发票后10个工作日内将资金支付到合同约定的乙方账户，双方另有争议除外。因乙方怠于开具发票、开具发票无法通过甲方核验、开具发票不符合甲方要求的，或出现其他无法通过验收情形的，甲方有权拒绝支付相应合同价款直至乙方依约提供发票或其他验收材料，由此导致的甲方逾期付款不属于违反合同约定，无需承担任何责任。</w:t>
            </w:r>
          </w:p>
          <w:p>
            <w:pPr>
              <w:widowControl w:val="0"/>
              <w:numPr>
                <w:ilvl w:val="0"/>
                <w:numId w:val="0"/>
              </w:numPr>
              <w:tabs>
                <w:tab w:val="left" w:pos="709"/>
                <w:tab w:val="left" w:pos="840"/>
              </w:tabs>
              <w:adjustRightInd w:val="0"/>
              <w:snapToGrid w:val="0"/>
              <w:spacing w:before="0" w:beforeAutospacing="0" w:after="0" w:afterAutospacing="0" w:line="259" w:lineRule="auto"/>
              <w:ind w:left="0" w:firstLine="0"/>
              <w:jc w:val="both"/>
              <w:textAlignment w:val="auto"/>
              <w:rPr>
                <w:rFonts w:ascii="宋体" w:eastAsia="宋体" w:hAnsi="宋体" w:cs="宋体" w:hint="eastAsia"/>
                <w:sz w:val="21"/>
                <w:szCs w:val="21"/>
                <w:lang w:eastAsia="zh-CN"/>
              </w:rPr>
            </w:pPr>
          </w:p>
        </w:tc>
      </w:tr>
      <w:tr>
        <w:tblPrEx>
          <w:tblW w:w="8841" w:type="dxa"/>
          <w:tblInd w:w="96" w:type="dxa"/>
          <w:tblLayout w:type="fixed"/>
          <w:tblCellMar>
            <w:top w:w="0" w:type="dxa"/>
            <w:left w:w="108" w:type="dxa"/>
            <w:bottom w:w="0" w:type="dxa"/>
            <w:right w:w="108" w:type="dxa"/>
          </w:tblCellMar>
        </w:tblPrEx>
        <w:trPr>
          <w:trHeight w:val="2531"/>
        </w:trPr>
        <w:tc>
          <w:tcPr>
            <w:tcW w:w="520"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700"/>
              </w:tabs>
              <w:adjustRightInd w:val="0"/>
              <w:snapToGrid w:val="0"/>
              <w:spacing w:before="0" w:beforeAutospacing="0" w:after="0" w:afterAutospacing="0" w:line="259" w:lineRule="auto"/>
              <w:jc w:val="center"/>
              <w:rPr>
                <w:rFonts w:ascii="宋体" w:eastAsia="宋体" w:hAnsi="宋体" w:cs="宋体" w:hint="eastAsia"/>
                <w:kern w:val="2"/>
                <w:sz w:val="21"/>
                <w:szCs w:val="21"/>
                <w:lang w:eastAsia="zh-CN"/>
              </w:rPr>
            </w:pPr>
            <w:r>
              <w:rPr>
                <w:rFonts w:ascii="宋体" w:eastAsia="宋体" w:hAnsi="宋体" w:cs="宋体" w:hint="eastAsia"/>
                <w:kern w:val="2"/>
                <w:sz w:val="21"/>
                <w:szCs w:val="21"/>
                <w:lang w:eastAsia="zh-CN"/>
              </w:rPr>
              <w:t>1</w:t>
            </w:r>
            <w:r>
              <w:rPr>
                <w:rFonts w:ascii="宋体" w:eastAsia="宋体" w:hAnsi="宋体" w:cs="宋体"/>
                <w:kern w:val="2"/>
                <w:sz w:val="21"/>
                <w:szCs w:val="21"/>
                <w:lang w:eastAsia="zh-CN"/>
              </w:rPr>
              <w:t>1</w:t>
            </w:r>
          </w:p>
        </w:tc>
        <w:tc>
          <w:tcPr>
            <w:tcW w:w="1920" w:type="dxa"/>
            <w:gridSpan w:val="2"/>
            <w:tcBorders>
              <w:top w:val="single" w:sz="4" w:space="0" w:color="auto"/>
              <w:left w:val="single" w:sz="4" w:space="0" w:color="auto"/>
              <w:bottom w:val="single" w:sz="4" w:space="0" w:color="auto"/>
              <w:right w:val="single" w:sz="4" w:space="0" w:color="auto"/>
            </w:tcBorders>
            <w:noWrap/>
            <w:vAlign w:val="center"/>
          </w:tcPr>
          <w:p>
            <w:pPr>
              <w:widowControl w:val="0"/>
              <w:tabs>
                <w:tab w:val="left" w:pos="700"/>
              </w:tabs>
              <w:adjustRightInd w:val="0"/>
              <w:snapToGrid w:val="0"/>
              <w:spacing w:before="0" w:beforeAutospacing="0" w:after="0" w:afterAutospacing="0" w:line="259" w:lineRule="auto"/>
              <w:jc w:val="center"/>
              <w:rPr>
                <w:rFonts w:ascii="宋体" w:eastAsia="宋体" w:hAnsi="宋体" w:cs="宋体" w:hint="eastAsia"/>
                <w:kern w:val="2"/>
                <w:sz w:val="21"/>
                <w:szCs w:val="21"/>
                <w:lang w:eastAsia="zh-CN"/>
              </w:rPr>
            </w:pPr>
            <w:r>
              <w:rPr>
                <w:rFonts w:ascii="宋体" w:eastAsia="宋体" w:hAnsi="宋体" w:cs="宋体" w:hint="eastAsia"/>
                <w:kern w:val="2"/>
                <w:sz w:val="21"/>
                <w:szCs w:val="21"/>
                <w:lang w:eastAsia="zh-CN"/>
              </w:rPr>
              <w:t>履约保证金及返还</w:t>
            </w:r>
          </w:p>
        </w:tc>
        <w:tc>
          <w:tcPr>
            <w:tcW w:w="6401" w:type="dxa"/>
            <w:gridSpan w:val="2"/>
            <w:tcBorders>
              <w:top w:val="single" w:sz="4" w:space="0" w:color="auto"/>
              <w:left w:val="single" w:sz="4" w:space="0" w:color="auto"/>
              <w:bottom w:val="single" w:sz="4" w:space="0" w:color="auto"/>
              <w:right w:val="single" w:sz="4" w:space="0" w:color="auto"/>
            </w:tcBorders>
            <w:noWrap/>
            <w:vAlign w:val="center"/>
          </w:tcPr>
          <w:p>
            <w:pPr>
              <w:widowControl w:val="0"/>
              <w:tabs>
                <w:tab w:val="left" w:pos="700"/>
              </w:tabs>
              <w:adjustRightInd w:val="0"/>
              <w:snapToGrid w:val="0"/>
              <w:spacing w:before="0" w:beforeAutospacing="0" w:after="0" w:afterAutospacing="0" w:line="260" w:lineRule="auto"/>
              <w:jc w:val="both"/>
              <w:rPr>
                <w:rFonts w:ascii="宋体" w:eastAsia="宋体" w:hAnsi="宋体" w:cs="宋体" w:hint="eastAsia"/>
                <w:kern w:val="2"/>
                <w:sz w:val="21"/>
                <w:szCs w:val="21"/>
                <w:lang w:eastAsia="zh-CN"/>
              </w:rPr>
            </w:pPr>
            <w:r>
              <w:rPr>
                <w:rFonts w:ascii="Wingdings 2" w:eastAsia="宋体" w:hAnsi="Wingdings 2" w:cs="宋体"/>
                <w:kern w:val="2"/>
                <w:sz w:val="21"/>
                <w:szCs w:val="21"/>
                <w:lang w:eastAsia="zh-CN"/>
              </w:rPr>
              <w:sym w:font="Wingdings 2" w:char="F052"/>
            </w:r>
            <w:r>
              <w:rPr>
                <w:rFonts w:ascii="宋体" w:eastAsia="宋体" w:hAnsi="宋体" w:cs="宋体" w:hint="eastAsia"/>
                <w:kern w:val="2"/>
                <w:sz w:val="21"/>
                <w:szCs w:val="21"/>
                <w:lang w:eastAsia="zh-CN"/>
              </w:rPr>
              <w:t>本项目不要求提供履约保证金。</w:t>
            </w:r>
          </w:p>
          <w:p>
            <w:pPr>
              <w:widowControl w:val="0"/>
              <w:tabs>
                <w:tab w:val="left" w:pos="700"/>
              </w:tabs>
              <w:adjustRightInd w:val="0"/>
              <w:snapToGrid w:val="0"/>
              <w:spacing w:before="0" w:beforeAutospacing="0" w:after="0" w:afterAutospacing="0" w:line="259" w:lineRule="auto"/>
              <w:jc w:val="both"/>
              <w:rPr>
                <w:rFonts w:ascii="宋体" w:eastAsia="宋体" w:hAnsi="宋体" w:cs="宋体" w:hint="eastAsia"/>
                <w:kern w:val="2"/>
                <w:sz w:val="21"/>
                <w:szCs w:val="21"/>
                <w:lang w:eastAsia="zh-CN"/>
              </w:rPr>
            </w:pPr>
            <w:r>
              <w:rPr>
                <w:rFonts w:ascii="Wingdings 2" w:eastAsia="宋体" w:hAnsi="Wingdings 2" w:cs="宋体"/>
                <w:kern w:val="2"/>
                <w:sz w:val="21"/>
                <w:szCs w:val="21"/>
                <w:lang w:eastAsia="zh-CN"/>
              </w:rPr>
              <w:sym w:font="Wingdings 2" w:char="F0A3"/>
            </w:r>
            <w:r>
              <w:rPr>
                <w:rFonts w:ascii="宋体" w:eastAsia="宋体" w:hAnsi="宋体" w:cs="宋体" w:hint="eastAsia"/>
                <w:kern w:val="2"/>
                <w:sz w:val="21"/>
                <w:szCs w:val="21"/>
                <w:lang w:eastAsia="zh-CN"/>
              </w:rPr>
              <w:t>本项目要求提供履约保证金。履约保证金为合同总金额</w:t>
            </w:r>
            <w:r>
              <w:rPr>
                <w:rFonts w:ascii="宋体" w:eastAsia="宋体" w:hAnsi="宋体" w:cs="宋体" w:hint="eastAsia"/>
                <w:kern w:val="2"/>
                <w:sz w:val="21"/>
                <w:u w:val="single"/>
                <w:lang w:eastAsia="zh-CN"/>
              </w:rPr>
              <w:t xml:space="preserve">   </w:t>
            </w:r>
            <w:r>
              <w:rPr>
                <w:rFonts w:ascii="宋体" w:eastAsia="宋体" w:hAnsi="宋体" w:cs="宋体" w:hint="eastAsia"/>
                <w:kern w:val="2"/>
                <w:sz w:val="21"/>
                <w:szCs w:val="21"/>
                <w:lang w:eastAsia="zh-CN"/>
              </w:rPr>
              <w:t>%，即</w:t>
            </w:r>
            <w:r>
              <w:rPr>
                <w:rFonts w:ascii="宋体" w:eastAsia="宋体" w:hAnsi="宋体" w:cs="宋体" w:hint="eastAsia"/>
                <w:kern w:val="2"/>
                <w:sz w:val="21"/>
                <w:lang w:eastAsia="zh-CN"/>
              </w:rPr>
              <w:t>人民币</w:t>
            </w:r>
            <w:r>
              <w:rPr>
                <w:rFonts w:ascii="宋体" w:eastAsia="宋体" w:hAnsi="宋体" w:cs="宋体" w:hint="eastAsia"/>
                <w:kern w:val="2"/>
                <w:sz w:val="21"/>
                <w:u w:val="single"/>
                <w:lang w:eastAsia="zh-CN"/>
              </w:rPr>
              <w:t xml:space="preserve">        </w:t>
            </w:r>
            <w:r>
              <w:rPr>
                <w:rFonts w:ascii="宋体" w:eastAsia="宋体" w:hAnsi="宋体" w:cs="宋体" w:hint="eastAsia"/>
                <w:kern w:val="2"/>
                <w:sz w:val="21"/>
                <w:lang w:eastAsia="zh-CN"/>
              </w:rPr>
              <w:t>元整（¥</w:t>
            </w:r>
            <w:r>
              <w:rPr>
                <w:rFonts w:ascii="宋体" w:eastAsia="宋体" w:hAnsi="宋体" w:cs="宋体" w:hint="eastAsia"/>
                <w:kern w:val="2"/>
                <w:sz w:val="21"/>
                <w:u w:val="single"/>
                <w:lang w:eastAsia="zh-CN"/>
              </w:rPr>
              <w:t xml:space="preserve">    </w:t>
            </w:r>
            <w:r>
              <w:rPr>
                <w:rFonts w:ascii="宋体" w:eastAsia="宋体" w:hAnsi="宋体" w:cs="宋体" w:hint="eastAsia"/>
                <w:kern w:val="2"/>
                <w:sz w:val="21"/>
                <w:lang w:eastAsia="zh-CN"/>
              </w:rPr>
              <w:t>）</w:t>
            </w:r>
            <w:r>
              <w:rPr>
                <w:rFonts w:ascii="宋体" w:eastAsia="宋体" w:hAnsi="宋体" w:cs="宋体" w:hint="eastAsia"/>
                <w:kern w:val="2"/>
                <w:sz w:val="21"/>
                <w:szCs w:val="21"/>
                <w:lang w:eastAsia="zh-CN"/>
              </w:rPr>
              <w:t>，乙方应在合同签订之日起30日内提交甲方。提交方式为银行电汇、金融机构或担保机构出具的保函。在合同履行期满，扣除应扣除的款项（如有）且双方无争议后，无息返还。</w:t>
            </w:r>
          </w:p>
          <w:p>
            <w:pPr>
              <w:widowControl w:val="0"/>
              <w:tabs>
                <w:tab w:val="left" w:pos="700"/>
              </w:tabs>
              <w:adjustRightInd w:val="0"/>
              <w:snapToGrid w:val="0"/>
              <w:spacing w:before="0" w:beforeAutospacing="0" w:after="0" w:afterAutospacing="0" w:line="259" w:lineRule="auto"/>
              <w:jc w:val="both"/>
              <w:rPr>
                <w:rFonts w:ascii="宋体" w:eastAsia="宋体" w:hAnsi="宋体" w:cs="宋体" w:hint="eastAsia"/>
                <w:kern w:val="2"/>
                <w:sz w:val="21"/>
                <w:szCs w:val="21"/>
                <w:lang w:eastAsia="zh-CN"/>
              </w:rPr>
            </w:pPr>
            <w:r>
              <w:rPr>
                <w:rFonts w:ascii="宋体" w:eastAsia="宋体" w:hAnsi="宋体" w:cs="宋体" w:hint="eastAsia"/>
                <w:kern w:val="2"/>
                <w:sz w:val="21"/>
                <w:szCs w:val="21"/>
                <w:lang w:eastAsia="zh-CN"/>
              </w:rPr>
              <w:t>办理返还履约保证金时，乙方应提供履约保证金返还申请（格式另附）、合同关键页复印件、合同约定的其他资料。涉及验收的，应同时提交甲方需求部门</w:t>
            </w:r>
            <w:r>
              <w:rPr>
                <w:rFonts w:ascii="Calibri" w:eastAsia="宋体" w:hAnsi="Calibri" w:cs="宋体" w:hint="eastAsia"/>
                <w:kern w:val="2"/>
                <w:sz w:val="21"/>
                <w:u w:val="single"/>
                <w:lang w:eastAsia="zh-CN"/>
              </w:rPr>
              <w:t xml:space="preserve">       </w:t>
            </w:r>
            <w:r>
              <w:rPr>
                <w:rFonts w:ascii="宋体" w:eastAsia="宋体" w:hAnsi="宋体" w:cs="宋体" w:hint="eastAsia"/>
                <w:kern w:val="2"/>
                <w:sz w:val="21"/>
                <w:szCs w:val="21"/>
                <w:lang w:eastAsia="zh-CN"/>
              </w:rPr>
              <w:t>出具的项目终验意见或质量保障期（服务期）满验收意见。</w:t>
            </w:r>
          </w:p>
          <w:p>
            <w:pPr>
              <w:widowControl w:val="0"/>
              <w:tabs>
                <w:tab w:val="left" w:pos="700"/>
              </w:tabs>
              <w:adjustRightInd w:val="0"/>
              <w:snapToGrid w:val="0"/>
              <w:spacing w:before="0" w:beforeAutospacing="0" w:after="0" w:afterAutospacing="0" w:line="259" w:lineRule="auto"/>
              <w:jc w:val="both"/>
              <w:rPr>
                <w:rFonts w:ascii="宋体" w:eastAsia="宋体" w:hAnsi="宋体" w:cs="宋体" w:hint="eastAsia"/>
                <w:kern w:val="2"/>
                <w:sz w:val="21"/>
                <w:szCs w:val="21"/>
                <w:lang w:eastAsia="zh-CN"/>
              </w:rPr>
            </w:pPr>
            <w:r>
              <w:rPr>
                <w:rFonts w:ascii="宋体" w:eastAsia="宋体" w:hAnsi="宋体" w:cs="宋体" w:hint="eastAsia"/>
                <w:kern w:val="2"/>
                <w:sz w:val="21"/>
                <w:szCs w:val="21"/>
                <w:lang w:eastAsia="zh-CN"/>
              </w:rPr>
              <w:t>满足履约保证金返还条件的，甲方在收到返还相关信息等合同约定资料后，进行核实。对核实结果无异议的，自完成核实之日起30日内，以电汇方式返还履约保证金或退回保函。</w:t>
            </w:r>
          </w:p>
        </w:tc>
      </w:tr>
      <w:tr>
        <w:tblPrEx>
          <w:tblW w:w="8841" w:type="dxa"/>
          <w:tblInd w:w="96" w:type="dxa"/>
          <w:tblLayout w:type="fixed"/>
          <w:tblCellMar>
            <w:top w:w="0" w:type="dxa"/>
            <w:left w:w="108" w:type="dxa"/>
            <w:bottom w:w="0" w:type="dxa"/>
            <w:right w:w="108" w:type="dxa"/>
          </w:tblCellMar>
        </w:tblPrEx>
        <w:trPr>
          <w:gridAfter w:val="1"/>
          <w:wAfter w:w="13" w:type="dxa"/>
          <w:trHeight w:val="471"/>
        </w:trPr>
        <w:tc>
          <w:tcPr>
            <w:tcW w:w="520" w:type="dxa"/>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宋体" w:eastAsia="宋体" w:hAnsi="宋体" w:cs="宋体" w:hint="eastAsia"/>
                <w:kern w:val="2"/>
                <w:sz w:val="21"/>
                <w:szCs w:val="21"/>
                <w:lang w:eastAsia="zh-CN"/>
              </w:rPr>
            </w:pPr>
            <w:r>
              <w:rPr>
                <w:rFonts w:ascii="宋体" w:eastAsia="宋体" w:hAnsi="宋体" w:cs="宋体" w:hint="eastAsia"/>
                <w:kern w:val="2"/>
                <w:sz w:val="21"/>
                <w:szCs w:val="21"/>
                <w:lang w:eastAsia="zh-CN"/>
              </w:rPr>
              <w:t>1</w:t>
            </w:r>
            <w:r>
              <w:rPr>
                <w:rFonts w:ascii="宋体" w:eastAsia="宋体" w:hAnsi="宋体" w:cs="宋体"/>
                <w:kern w:val="2"/>
                <w:sz w:val="21"/>
                <w:szCs w:val="21"/>
                <w:lang w:eastAsia="zh-CN"/>
              </w:rPr>
              <w:t>2</w:t>
            </w:r>
          </w:p>
        </w:tc>
        <w:tc>
          <w:tcPr>
            <w:tcW w:w="1920" w:type="dxa"/>
            <w:gridSpan w:val="2"/>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宋体" w:eastAsia="宋体" w:hAnsi="宋体" w:cs="宋体" w:hint="eastAsia"/>
                <w:kern w:val="2"/>
                <w:sz w:val="21"/>
                <w:szCs w:val="21"/>
                <w:lang w:eastAsia="zh-CN"/>
              </w:rPr>
            </w:pPr>
            <w:r>
              <w:rPr>
                <w:rFonts w:ascii="宋体" w:eastAsia="宋体" w:hAnsi="宋体" w:cs="宋体" w:hint="eastAsia"/>
                <w:kern w:val="2"/>
                <w:sz w:val="21"/>
                <w:lang w:eastAsia="zh-CN"/>
              </w:rPr>
              <w:t>合同履行期限</w:t>
            </w:r>
          </w:p>
        </w:tc>
        <w:tc>
          <w:tcPr>
            <w:tcW w:w="6388" w:type="dxa"/>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both"/>
              <w:rPr>
                <w:rFonts w:ascii="宋体" w:eastAsia="宋体" w:hAnsi="宋体" w:cs="宋体" w:hint="eastAsia"/>
                <w:kern w:val="2"/>
                <w:sz w:val="21"/>
                <w:szCs w:val="21"/>
                <w:lang w:eastAsia="zh-CN"/>
              </w:rPr>
            </w:pPr>
          </w:p>
        </w:tc>
      </w:tr>
      <w:tr>
        <w:tblPrEx>
          <w:tblW w:w="8841" w:type="dxa"/>
          <w:tblInd w:w="96" w:type="dxa"/>
          <w:tblLayout w:type="fixed"/>
          <w:tblCellMar>
            <w:top w:w="0" w:type="dxa"/>
            <w:left w:w="108" w:type="dxa"/>
            <w:bottom w:w="0" w:type="dxa"/>
            <w:right w:w="108" w:type="dxa"/>
          </w:tblCellMar>
        </w:tblPrEx>
        <w:trPr>
          <w:gridAfter w:val="1"/>
          <w:wAfter w:w="13" w:type="dxa"/>
          <w:trHeight w:val="443"/>
        </w:trPr>
        <w:tc>
          <w:tcPr>
            <w:tcW w:w="520" w:type="dxa"/>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宋体" w:eastAsia="宋体" w:hAnsi="宋体" w:cs="宋体" w:hint="eastAsia"/>
                <w:kern w:val="2"/>
                <w:sz w:val="21"/>
                <w:szCs w:val="21"/>
                <w:lang w:eastAsia="zh-CN"/>
              </w:rPr>
            </w:pPr>
            <w:r>
              <w:rPr>
                <w:rFonts w:ascii="宋体" w:eastAsia="宋体" w:hAnsi="宋体" w:cs="宋体" w:hint="eastAsia"/>
                <w:kern w:val="2"/>
                <w:sz w:val="21"/>
                <w:szCs w:val="21"/>
                <w:lang w:eastAsia="zh-CN"/>
              </w:rPr>
              <w:t>1</w:t>
            </w:r>
            <w:r>
              <w:rPr>
                <w:rFonts w:ascii="宋体" w:eastAsia="宋体" w:hAnsi="宋体" w:cs="宋体"/>
                <w:kern w:val="2"/>
                <w:sz w:val="21"/>
                <w:szCs w:val="21"/>
                <w:lang w:eastAsia="zh-CN"/>
              </w:rPr>
              <w:t>3</w:t>
            </w:r>
          </w:p>
        </w:tc>
        <w:tc>
          <w:tcPr>
            <w:tcW w:w="1920" w:type="dxa"/>
            <w:gridSpan w:val="2"/>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宋体" w:eastAsia="宋体" w:hAnsi="宋体" w:cs="宋体" w:hint="eastAsia"/>
                <w:kern w:val="2"/>
                <w:sz w:val="21"/>
                <w:szCs w:val="21"/>
                <w:lang w:val="en" w:eastAsia="zh-CN"/>
              </w:rPr>
            </w:pPr>
            <w:r>
              <w:rPr>
                <w:rFonts w:ascii="宋体" w:eastAsia="宋体" w:hAnsi="宋体" w:cs="宋体" w:hint="eastAsia"/>
                <w:kern w:val="2"/>
                <w:sz w:val="21"/>
                <w:lang w:eastAsia="zh-CN"/>
              </w:rPr>
              <w:t>服务期</w:t>
            </w:r>
          </w:p>
        </w:tc>
        <w:tc>
          <w:tcPr>
            <w:tcW w:w="6388" w:type="dxa"/>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both"/>
              <w:rPr>
                <w:rFonts w:ascii="宋体" w:eastAsia="宋体" w:hAnsi="宋体" w:cs="宋体" w:hint="eastAsia"/>
                <w:kern w:val="2"/>
                <w:sz w:val="21"/>
                <w:szCs w:val="21"/>
                <w:lang w:eastAsia="zh-CN"/>
              </w:rPr>
            </w:pPr>
          </w:p>
        </w:tc>
      </w:tr>
      <w:tr>
        <w:tblPrEx>
          <w:tblW w:w="8841" w:type="dxa"/>
          <w:tblInd w:w="96" w:type="dxa"/>
          <w:tblLayout w:type="fixed"/>
          <w:tblCellMar>
            <w:top w:w="0" w:type="dxa"/>
            <w:left w:w="108" w:type="dxa"/>
            <w:bottom w:w="0" w:type="dxa"/>
            <w:right w:w="108" w:type="dxa"/>
          </w:tblCellMar>
        </w:tblPrEx>
        <w:trPr>
          <w:gridAfter w:val="1"/>
          <w:wAfter w:w="13" w:type="dxa"/>
          <w:trHeight w:val="450"/>
        </w:trPr>
        <w:tc>
          <w:tcPr>
            <w:tcW w:w="520" w:type="dxa"/>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宋体" w:eastAsia="宋体" w:hAnsi="宋体" w:cs="宋体" w:hint="eastAsia"/>
                <w:kern w:val="2"/>
                <w:sz w:val="21"/>
                <w:szCs w:val="21"/>
                <w:lang w:eastAsia="zh-CN"/>
              </w:rPr>
            </w:pPr>
            <w:r>
              <w:rPr>
                <w:rFonts w:ascii="宋体" w:eastAsia="宋体" w:hAnsi="宋体" w:cs="宋体" w:hint="eastAsia"/>
                <w:kern w:val="2"/>
                <w:sz w:val="21"/>
                <w:szCs w:val="21"/>
                <w:lang w:eastAsia="zh-CN"/>
              </w:rPr>
              <w:t>1</w:t>
            </w:r>
            <w:r>
              <w:rPr>
                <w:rFonts w:ascii="宋体" w:eastAsia="宋体" w:hAnsi="宋体" w:cs="宋体"/>
                <w:kern w:val="2"/>
                <w:sz w:val="21"/>
                <w:szCs w:val="21"/>
                <w:lang w:eastAsia="zh-CN"/>
              </w:rPr>
              <w:t>4</w:t>
            </w:r>
          </w:p>
        </w:tc>
        <w:tc>
          <w:tcPr>
            <w:tcW w:w="1920" w:type="dxa"/>
            <w:gridSpan w:val="2"/>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宋体" w:eastAsia="宋体" w:hAnsi="宋体" w:cs="宋体" w:hint="eastAsia"/>
                <w:kern w:val="2"/>
                <w:sz w:val="21"/>
                <w:lang w:eastAsia="zh-CN"/>
              </w:rPr>
            </w:pPr>
            <w:r>
              <w:rPr>
                <w:rFonts w:ascii="宋体" w:eastAsia="宋体" w:hAnsi="宋体" w:cs="宋体" w:hint="eastAsia"/>
                <w:kern w:val="2"/>
                <w:sz w:val="21"/>
                <w:lang w:eastAsia="zh-CN"/>
              </w:rPr>
              <w:t>合同履约地点</w:t>
            </w:r>
          </w:p>
        </w:tc>
        <w:tc>
          <w:tcPr>
            <w:tcW w:w="6388" w:type="dxa"/>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both"/>
              <w:rPr>
                <w:rFonts w:ascii="宋体" w:eastAsia="宋体" w:hAnsi="宋体" w:cs="宋体" w:hint="eastAsia"/>
                <w:kern w:val="2"/>
                <w:sz w:val="21"/>
                <w:szCs w:val="21"/>
                <w:lang w:eastAsia="zh-CN"/>
              </w:rPr>
            </w:pPr>
            <w:r>
              <w:rPr>
                <w:rFonts w:ascii="宋体" w:eastAsia="宋体" w:hAnsi="宋体" w:cs="宋体" w:hint="eastAsia"/>
                <w:kern w:val="2"/>
                <w:sz w:val="21"/>
                <w:szCs w:val="21"/>
                <w:lang w:eastAsia="zh-CN"/>
              </w:rPr>
              <w:t>合同约定地点或甲方指定地点</w:t>
            </w:r>
          </w:p>
        </w:tc>
      </w:tr>
      <w:tr>
        <w:tblPrEx>
          <w:tblW w:w="8841" w:type="dxa"/>
          <w:tblInd w:w="96" w:type="dxa"/>
          <w:tblLayout w:type="fixed"/>
          <w:tblCellMar>
            <w:top w:w="0" w:type="dxa"/>
            <w:left w:w="108" w:type="dxa"/>
            <w:bottom w:w="0" w:type="dxa"/>
            <w:right w:w="108" w:type="dxa"/>
          </w:tblCellMar>
        </w:tblPrEx>
        <w:trPr>
          <w:gridAfter w:val="1"/>
          <w:wAfter w:w="13" w:type="dxa"/>
          <w:trHeight w:val="450"/>
        </w:trPr>
        <w:tc>
          <w:tcPr>
            <w:tcW w:w="520" w:type="dxa"/>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宋体" w:eastAsia="宋体" w:hAnsi="宋体" w:cs="宋体" w:hint="eastAsia"/>
                <w:kern w:val="2"/>
                <w:sz w:val="21"/>
                <w:szCs w:val="21"/>
                <w:lang w:eastAsia="zh-CN"/>
              </w:rPr>
            </w:pPr>
            <w:r>
              <w:rPr>
                <w:rFonts w:ascii="宋体" w:eastAsia="宋体" w:hAnsi="宋体" w:cs="宋体" w:hint="eastAsia"/>
                <w:kern w:val="2"/>
                <w:sz w:val="21"/>
                <w:szCs w:val="21"/>
                <w:lang w:eastAsia="zh-CN"/>
              </w:rPr>
              <w:t>15</w:t>
            </w:r>
          </w:p>
        </w:tc>
        <w:tc>
          <w:tcPr>
            <w:tcW w:w="1920" w:type="dxa"/>
            <w:gridSpan w:val="2"/>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center"/>
              <w:rPr>
                <w:rFonts w:ascii="宋体" w:eastAsia="宋体" w:hAnsi="宋体" w:cs="宋体" w:hint="eastAsia"/>
                <w:kern w:val="2"/>
                <w:sz w:val="21"/>
                <w:lang w:eastAsia="zh-CN"/>
              </w:rPr>
            </w:pPr>
            <w:r>
              <w:rPr>
                <w:rFonts w:ascii="宋体" w:eastAsia="宋体" w:hAnsi="宋体" w:cs="宋体" w:hint="eastAsia"/>
                <w:kern w:val="2"/>
                <w:sz w:val="21"/>
                <w:highlight w:val="lightGray"/>
                <w:lang w:eastAsia="zh-CN"/>
              </w:rPr>
              <w:t>合同纠纷解决方式</w:t>
            </w:r>
          </w:p>
        </w:tc>
        <w:tc>
          <w:tcPr>
            <w:tcW w:w="6388" w:type="dxa"/>
            <w:tcBorders>
              <w:top w:val="single" w:sz="4" w:space="0" w:color="auto"/>
              <w:left w:val="single" w:sz="4" w:space="0" w:color="auto"/>
              <w:bottom w:val="single" w:sz="4" w:space="0" w:color="auto"/>
              <w:right w:val="single" w:sz="4" w:space="0" w:color="auto"/>
            </w:tcBorders>
            <w:vAlign w:val="center"/>
          </w:tcPr>
          <w:p>
            <w:pPr>
              <w:widowControl w:val="0"/>
              <w:tabs>
                <w:tab w:val="left" w:pos="700"/>
              </w:tabs>
              <w:adjustRightInd w:val="0"/>
              <w:snapToGrid w:val="0"/>
              <w:spacing w:before="0" w:beforeAutospacing="0" w:after="0" w:afterAutospacing="0" w:line="259" w:lineRule="auto"/>
              <w:jc w:val="both"/>
              <w:rPr>
                <w:rFonts w:ascii="宋体" w:eastAsia="宋体" w:hAnsi="宋体" w:cs="宋体" w:hint="eastAsia"/>
                <w:kern w:val="2"/>
                <w:sz w:val="21"/>
                <w:szCs w:val="21"/>
                <w:lang w:eastAsia="zh-CN"/>
              </w:rPr>
            </w:pPr>
            <w:r>
              <w:rPr>
                <w:rFonts w:ascii="宋体" w:eastAsia="宋体" w:hAnsi="宋体" w:cs="宋体" w:hint="eastAsia"/>
                <w:kern w:val="2"/>
                <w:sz w:val="21"/>
                <w:szCs w:val="21"/>
                <w:lang w:eastAsia="zh-CN"/>
              </w:rPr>
              <w:t>双方可协商解决，协调解决不成，则通过以下途径解决纠纷：</w:t>
            </w:r>
          </w:p>
          <w:p>
            <w:pPr>
              <w:widowControl w:val="0"/>
              <w:tabs>
                <w:tab w:val="left" w:pos="700"/>
              </w:tabs>
              <w:adjustRightInd w:val="0"/>
              <w:snapToGrid w:val="0"/>
              <w:spacing w:before="0" w:beforeAutospacing="0" w:after="0" w:afterAutospacing="0" w:line="259" w:lineRule="auto"/>
              <w:jc w:val="both"/>
              <w:rPr>
                <w:rFonts w:ascii="宋体" w:eastAsia="宋体" w:hAnsi="宋体" w:cs="宋体" w:hint="eastAsia"/>
                <w:kern w:val="2"/>
                <w:sz w:val="21"/>
                <w:szCs w:val="21"/>
                <w:lang w:eastAsia="zh-CN"/>
              </w:rPr>
            </w:pPr>
            <w:r>
              <w:rPr>
                <w:rFonts w:ascii="宋体" w:eastAsia="宋体" w:hAnsi="宋体" w:cs="宋体" w:hint="eastAsia"/>
                <w:kern w:val="2"/>
                <w:sz w:val="21"/>
                <w:szCs w:val="21"/>
                <w:lang w:eastAsia="zh-CN"/>
              </w:rPr>
              <w:t>向甲方住所地有管辖权的人民法院提起诉讼。</w:t>
            </w:r>
          </w:p>
        </w:tc>
      </w:tr>
    </w:tbl>
    <w:p>
      <w:pPr>
        <w:widowControl w:val="0"/>
        <w:tabs>
          <w:tab w:val="left" w:pos="700"/>
        </w:tabs>
        <w:topLinePunct/>
        <w:autoSpaceDE w:val="0"/>
        <w:autoSpaceDN w:val="0"/>
        <w:spacing w:before="0" w:beforeAutospacing="0" w:after="0" w:afterAutospacing="0" w:line="460" w:lineRule="exact"/>
        <w:jc w:val="both"/>
        <w:rPr>
          <w:rFonts w:ascii="宋体" w:eastAsia="宋体" w:hAnsi="宋体" w:cs="宋体" w:hint="eastAsia"/>
          <w:b/>
          <w:kern w:val="2"/>
          <w:sz w:val="28"/>
          <w:lang w:eastAsia="zh-CN"/>
        </w:rPr>
      </w:pPr>
    </w:p>
    <w:p>
      <w:pPr>
        <w:widowControl w:val="0"/>
        <w:tabs>
          <w:tab w:val="left" w:pos="700"/>
        </w:tabs>
        <w:topLinePunct/>
        <w:autoSpaceDE w:val="0"/>
        <w:autoSpaceDN w:val="0"/>
        <w:spacing w:before="0" w:beforeAutospacing="0" w:after="0" w:afterAutospacing="0" w:line="460" w:lineRule="exact"/>
        <w:jc w:val="both"/>
        <w:rPr>
          <w:rFonts w:ascii="宋体" w:eastAsia="宋体" w:hAnsi="宋体" w:cs="宋体" w:hint="eastAsia"/>
          <w:b/>
          <w:kern w:val="2"/>
          <w:sz w:val="28"/>
          <w:lang w:eastAsia="zh-CN"/>
        </w:rPr>
      </w:pPr>
    </w:p>
    <w:p>
      <w:pPr>
        <w:widowControl w:val="0"/>
        <w:tabs>
          <w:tab w:val="left" w:pos="700"/>
        </w:tabs>
        <w:topLinePunct/>
        <w:autoSpaceDE w:val="0"/>
        <w:autoSpaceDN w:val="0"/>
        <w:spacing w:before="0" w:beforeAutospacing="0" w:after="0" w:afterAutospacing="0" w:line="460" w:lineRule="exact"/>
        <w:jc w:val="both"/>
        <w:rPr>
          <w:rFonts w:ascii="宋体" w:eastAsia="宋体" w:hAnsi="宋体" w:cs="宋体" w:hint="eastAsia"/>
          <w:b/>
          <w:kern w:val="2"/>
          <w:lang w:eastAsia="zh-CN"/>
        </w:rPr>
      </w:pPr>
      <w:r>
        <w:rPr>
          <w:rFonts w:ascii="宋体" w:eastAsia="宋体" w:hAnsi="宋体" w:cs="宋体" w:hint="eastAsia"/>
          <w:b/>
          <w:kern w:val="2"/>
          <w:sz w:val="28"/>
          <w:lang w:eastAsia="zh-CN"/>
        </w:rPr>
        <w:br w:type="page"/>
      </w:r>
    </w:p>
    <w:p>
      <w:pPr>
        <w:widowControl w:val="0"/>
        <w:tabs>
          <w:tab w:val="left" w:pos="0"/>
        </w:tabs>
        <w:topLinePunct/>
        <w:autoSpaceDE w:val="0"/>
        <w:autoSpaceDN w:val="0"/>
        <w:snapToGrid w:val="0"/>
        <w:spacing w:before="0" w:beforeAutospacing="0" w:after="0" w:afterAutospacing="0" w:line="360" w:lineRule="auto"/>
        <w:jc w:val="center"/>
        <w:outlineLvl w:val="1"/>
        <w:rPr>
          <w:rFonts w:ascii="宋体" w:eastAsia="宋体" w:hAnsi="宋体" w:cs="宋体" w:hint="eastAsia"/>
          <w:b/>
          <w:kern w:val="2"/>
          <w:lang w:eastAsia="zh-CN"/>
        </w:rPr>
      </w:pPr>
      <w:r>
        <w:rPr>
          <w:rFonts w:ascii="宋体" w:eastAsia="宋体" w:hAnsi="宋体" w:cs="宋体" w:hint="eastAsia"/>
          <w:b/>
          <w:kern w:val="2"/>
          <w:lang w:eastAsia="zh-CN"/>
        </w:rPr>
        <w:t xml:space="preserve">一   合  同 </w:t>
      </w:r>
    </w:p>
    <w:p>
      <w:pPr>
        <w:widowControl w:val="0"/>
        <w:tabs>
          <w:tab w:val="left" w:pos="540"/>
        </w:tabs>
        <w:topLinePunct/>
        <w:autoSpaceDE w:val="0"/>
        <w:autoSpaceDN w:val="0"/>
        <w:snapToGrid w:val="0"/>
        <w:spacing w:before="0" w:beforeAutospacing="0" w:after="0" w:afterAutospacing="0" w:line="360" w:lineRule="auto"/>
        <w:jc w:val="both"/>
        <w:rPr>
          <w:rFonts w:ascii="宋体" w:eastAsia="宋体" w:hAnsi="宋体" w:cs="宋体" w:hint="eastAsia"/>
          <w:b/>
          <w:kern w:val="2"/>
          <w:lang w:eastAsia="zh-CN"/>
        </w:rPr>
      </w:pPr>
    </w:p>
    <w:p>
      <w:pPr>
        <w:widowControl w:val="0"/>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国家税务总局</w:t>
      </w:r>
      <w:r>
        <w:rPr>
          <w:rFonts w:ascii="宋体" w:eastAsia="宋体" w:hAnsi="宋体" w:cs="宋体" w:hint="eastAsia"/>
          <w:kern w:val="2"/>
          <w:lang w:eastAsia="zh-CN"/>
        </w:rPr>
        <w:t>吉林市</w:t>
      </w:r>
      <w:r>
        <w:rPr>
          <w:rFonts w:ascii="宋体" w:eastAsia="宋体" w:hAnsi="宋体" w:cs="宋体" w:hint="eastAsia"/>
          <w:kern w:val="2"/>
          <w:lang w:eastAsia="zh-CN"/>
        </w:rPr>
        <w:t>税务局（以下简称“甲方”）通过</w:t>
      </w:r>
      <w:r>
        <w:rPr>
          <w:rFonts w:ascii="宋体" w:eastAsia="宋体" w:hAnsi="宋体" w:cs="宋体" w:hint="eastAsia"/>
          <w:kern w:val="2"/>
          <w:u w:val="single"/>
          <w:lang w:eastAsia="zh-CN"/>
        </w:rPr>
        <w:t>公开招标</w:t>
      </w:r>
      <w:r>
        <w:rPr>
          <w:rFonts w:ascii="宋体" w:eastAsia="宋体" w:hAnsi="宋体" w:cs="宋体" w:hint="eastAsia"/>
          <w:kern w:val="2"/>
          <w:lang w:eastAsia="zh-CN"/>
        </w:rPr>
        <w:t>采购方式，确定______公司（以下简称“乙方”）为“国家税务总局</w:t>
      </w:r>
      <w:r>
        <w:rPr>
          <w:rFonts w:ascii="宋体" w:eastAsia="宋体" w:hAnsi="宋体" w:cs="宋体" w:hint="eastAsia"/>
          <w:kern w:val="2"/>
          <w:lang w:eastAsia="zh-CN"/>
        </w:rPr>
        <w:t>吉林市</w:t>
      </w:r>
      <w:r>
        <w:rPr>
          <w:rFonts w:ascii="宋体" w:eastAsia="宋体" w:hAnsi="宋体" w:cs="宋体" w:hint="eastAsia"/>
          <w:kern w:val="2"/>
          <w:lang w:eastAsia="zh-CN"/>
        </w:rPr>
        <w:t>税务局202</w:t>
      </w:r>
      <w:r>
        <w:rPr>
          <w:rFonts w:ascii="宋体" w:eastAsia="宋体" w:hAnsi="宋体" w:cs="宋体" w:hint="eastAsia"/>
          <w:kern w:val="2"/>
          <w:lang w:eastAsia="zh-CN"/>
        </w:rPr>
        <w:t>6</w:t>
      </w:r>
      <w:r>
        <w:rPr>
          <w:rFonts w:ascii="宋体" w:eastAsia="宋体" w:hAnsi="宋体" w:cs="宋体" w:hint="eastAsia"/>
          <w:kern w:val="2"/>
          <w:lang w:eastAsia="zh-CN"/>
        </w:rPr>
        <w:t>年物业管理服务项目”中标（成交）供应商。甲乙双方同意按照该项目招标（采购）文件约定的内容，签署《   合同书》（合同编号：    ，以下简称“合同”)。</w:t>
      </w:r>
    </w:p>
    <w:p>
      <w:pPr>
        <w:widowControl w:val="0"/>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b/>
          <w:kern w:val="2"/>
          <w:lang w:eastAsia="zh-CN"/>
        </w:rPr>
      </w:pPr>
      <w:r>
        <w:rPr>
          <w:rFonts w:ascii="宋体" w:eastAsia="宋体" w:hAnsi="宋体" w:cs="宋体" w:hint="eastAsia"/>
          <w:b/>
          <w:kern w:val="2"/>
          <w:lang w:eastAsia="zh-CN"/>
        </w:rPr>
        <w:t>1. 合同文件</w:t>
      </w:r>
    </w:p>
    <w:p>
      <w:pPr>
        <w:widowControl w:val="0"/>
        <w:tabs>
          <w:tab w:val="left" w:pos="700"/>
        </w:tabs>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本合同所附下列文件是构成本合同不可分割的部分：</w:t>
      </w:r>
    </w:p>
    <w:p>
      <w:pPr>
        <w:widowControl w:val="0"/>
        <w:tabs>
          <w:tab w:val="left" w:pos="700"/>
        </w:tabs>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（1）合同通用条款；</w:t>
      </w:r>
    </w:p>
    <w:p>
      <w:pPr>
        <w:widowControl w:val="0"/>
        <w:tabs>
          <w:tab w:val="left" w:pos="700"/>
        </w:tabs>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（2）报价表（总报价表和分项报价表）；</w:t>
      </w:r>
    </w:p>
    <w:p>
      <w:pPr>
        <w:widowControl w:val="0"/>
        <w:topLinePunct/>
        <w:autoSpaceDE w:val="0"/>
        <w:autoSpaceDN w:val="0"/>
        <w:adjustRightInd w:val="0"/>
        <w:spacing w:before="0" w:beforeAutospacing="0" w:after="0" w:afterAutospacing="0" w:line="460" w:lineRule="exact"/>
        <w:ind w:left="2"/>
        <w:jc w:val="center"/>
        <w:textAlignment w:val="baseline"/>
        <w:rPr>
          <w:rFonts w:ascii="宋体" w:eastAsia="宋体" w:hAnsi="宋体" w:cs="宋体" w:hint="eastAsia"/>
          <w:b/>
          <w:bCs/>
          <w:sz w:val="28"/>
          <w:szCs w:val="28"/>
          <w:lang w:eastAsia="zh-CN"/>
        </w:rPr>
      </w:pPr>
      <w:r>
        <w:rPr>
          <w:rFonts w:ascii="宋体" w:eastAsia="宋体" w:hAnsi="宋体" w:cs="宋体" w:hint="eastAsia"/>
          <w:b/>
          <w:bCs/>
          <w:sz w:val="28"/>
          <w:szCs w:val="28"/>
          <w:lang w:eastAsia="zh-CN"/>
        </w:rPr>
        <w:t>分项报价表</w:t>
      </w:r>
    </w:p>
    <w:tbl>
      <w:tblPr>
        <w:tblStyle w:val="TableNormal"/>
        <w:tblpPr w:leftFromText="180" w:rightFromText="180" w:vertAnchor="text" w:horzAnchor="page" w:tblpX="1837" w:tblpY="243"/>
        <w:tblOverlap w:val="never"/>
        <w:tblW w:w="9242" w:type="dxa"/>
        <w:tblInd w:w="0" w:type="dxa"/>
        <w:tblLayout w:type="fixed"/>
        <w:tblCellMar>
          <w:top w:w="0" w:type="dxa"/>
          <w:left w:w="108" w:type="dxa"/>
          <w:bottom w:w="0" w:type="dxa"/>
          <w:right w:w="108" w:type="dxa"/>
        </w:tblCellMar>
      </w:tblPr>
      <w:tblGrid>
        <w:gridCol w:w="452"/>
        <w:gridCol w:w="1485"/>
        <w:gridCol w:w="1545"/>
        <w:gridCol w:w="735"/>
        <w:gridCol w:w="763"/>
        <w:gridCol w:w="1157"/>
        <w:gridCol w:w="1335"/>
        <w:gridCol w:w="1050"/>
        <w:gridCol w:w="720"/>
      </w:tblGrid>
      <w:tr>
        <w:tblPrEx>
          <w:tblW w:w="9242" w:type="dxa"/>
          <w:tblInd w:w="0" w:type="dxa"/>
          <w:tblLayout w:type="fixed"/>
          <w:tblCellMar>
            <w:top w:w="0" w:type="dxa"/>
            <w:left w:w="108" w:type="dxa"/>
            <w:bottom w:w="0" w:type="dxa"/>
            <w:right w:w="108" w:type="dxa"/>
          </w:tblCellMar>
        </w:tblPrEx>
        <w:trPr>
          <w:trHeight w:val="409"/>
          <w:tblHeader/>
        </w:trPr>
        <w:tc>
          <w:tcPr>
            <w:tcW w:w="452" w:type="dxa"/>
            <w:tcBorders>
              <w:top w:val="single" w:sz="4" w:space="0" w:color="auto"/>
              <w:left w:val="single" w:sz="4" w:space="0" w:color="auto"/>
              <w:bottom w:val="single" w:sz="4" w:space="0" w:color="auto"/>
              <w:right w:val="single" w:sz="4" w:space="0" w:color="auto"/>
            </w:tcBorders>
            <w:noWrap/>
            <w:vAlign w:val="center"/>
          </w:tcPr>
          <w:p>
            <w:pPr>
              <w:widowControl/>
              <w:spacing w:before="0" w:beforeAutospacing="0" w:after="0" w:afterAutospacing="0" w:line="259" w:lineRule="auto"/>
              <w:jc w:val="center"/>
              <w:rPr>
                <w:rFonts w:ascii="宋体" w:eastAsia="宋体" w:hAnsi="宋体" w:cs="宋体" w:hint="eastAsia"/>
                <w:b/>
                <w:kern w:val="2"/>
                <w:sz w:val="21"/>
                <w:lang w:eastAsia="zh-CN"/>
              </w:rPr>
            </w:pPr>
            <w:r>
              <w:rPr>
                <w:rFonts w:ascii="宋体" w:eastAsia="宋体" w:hAnsi="宋体" w:cs="宋体" w:hint="eastAsia"/>
                <w:b/>
                <w:kern w:val="2"/>
                <w:sz w:val="21"/>
                <w:lang w:eastAsia="zh-CN"/>
              </w:rPr>
              <w:t>序号</w:t>
            </w:r>
          </w:p>
        </w:tc>
        <w:tc>
          <w:tcPr>
            <w:tcW w:w="1485" w:type="dxa"/>
            <w:tcBorders>
              <w:top w:val="single" w:sz="4" w:space="0" w:color="auto"/>
              <w:left w:val="nil"/>
              <w:bottom w:val="single" w:sz="4" w:space="0" w:color="auto"/>
              <w:right w:val="single" w:sz="4" w:space="0" w:color="auto"/>
            </w:tcBorders>
            <w:noWrap/>
            <w:vAlign w:val="center"/>
          </w:tcPr>
          <w:p>
            <w:pPr>
              <w:widowControl/>
              <w:spacing w:before="0" w:beforeAutospacing="0" w:after="0" w:afterAutospacing="0" w:line="259" w:lineRule="auto"/>
              <w:ind w:left="-84" w:firstLine="82" w:leftChars="-40" w:firstLineChars="39"/>
              <w:jc w:val="center"/>
              <w:rPr>
                <w:rFonts w:ascii="宋体" w:eastAsia="宋体" w:hAnsi="宋体" w:cs="宋体" w:hint="eastAsia"/>
                <w:b/>
                <w:kern w:val="2"/>
                <w:sz w:val="21"/>
                <w:lang w:eastAsia="zh-CN"/>
              </w:rPr>
            </w:pPr>
            <w:r>
              <w:rPr>
                <w:rFonts w:ascii="宋体" w:eastAsia="宋体" w:hAnsi="宋体" w:cs="宋体" w:hint="eastAsia"/>
                <w:b/>
                <w:kern w:val="2"/>
                <w:sz w:val="21"/>
                <w:lang w:eastAsia="zh-CN"/>
              </w:rPr>
              <w:t>具体工作名称</w:t>
            </w:r>
          </w:p>
        </w:tc>
        <w:tc>
          <w:tcPr>
            <w:tcW w:w="1545" w:type="dxa"/>
            <w:tcBorders>
              <w:top w:val="single" w:sz="4" w:space="0" w:color="auto"/>
              <w:left w:val="nil"/>
              <w:bottom w:val="single" w:sz="4" w:space="0" w:color="auto"/>
              <w:right w:val="single" w:sz="4" w:space="0" w:color="auto"/>
            </w:tcBorders>
            <w:noWrap/>
            <w:vAlign w:val="center"/>
          </w:tcPr>
          <w:p>
            <w:pPr>
              <w:widowControl/>
              <w:spacing w:before="0" w:beforeAutospacing="0" w:after="0" w:afterAutospacing="0" w:line="259" w:lineRule="auto"/>
              <w:jc w:val="center"/>
              <w:rPr>
                <w:rFonts w:ascii="宋体" w:eastAsia="宋体" w:hAnsi="宋体" w:cs="宋体" w:hint="eastAsia"/>
                <w:b/>
                <w:kern w:val="2"/>
                <w:sz w:val="21"/>
                <w:lang w:eastAsia="zh-CN"/>
              </w:rPr>
            </w:pPr>
            <w:r>
              <w:rPr>
                <w:rFonts w:ascii="宋体" w:eastAsia="宋体" w:hAnsi="宋体" w:cs="宋体" w:hint="eastAsia"/>
                <w:b/>
                <w:kern w:val="2"/>
                <w:sz w:val="21"/>
                <w:lang w:eastAsia="zh-CN"/>
              </w:rPr>
              <w:t>工作内容描述</w:t>
            </w:r>
          </w:p>
        </w:tc>
        <w:tc>
          <w:tcPr>
            <w:tcW w:w="735" w:type="dxa"/>
            <w:tcBorders>
              <w:top w:val="single" w:sz="4" w:space="0" w:color="auto"/>
              <w:left w:val="single" w:sz="4" w:space="0" w:color="auto"/>
              <w:bottom w:val="single" w:sz="4" w:space="0" w:color="auto"/>
              <w:right w:val="single" w:sz="4" w:space="0" w:color="auto"/>
            </w:tcBorders>
            <w:noWrap/>
            <w:vAlign w:val="center"/>
          </w:tcPr>
          <w:p>
            <w:pPr>
              <w:widowControl/>
              <w:spacing w:before="0" w:beforeAutospacing="0" w:after="0" w:afterAutospacing="0" w:line="259" w:lineRule="auto"/>
              <w:jc w:val="center"/>
              <w:rPr>
                <w:rFonts w:ascii="宋体" w:eastAsia="宋体" w:hAnsi="宋体" w:cs="宋体" w:hint="eastAsia"/>
                <w:b/>
                <w:kern w:val="2"/>
                <w:sz w:val="21"/>
                <w:lang w:eastAsia="zh-CN"/>
              </w:rPr>
            </w:pPr>
            <w:r>
              <w:rPr>
                <w:rFonts w:ascii="宋体" w:eastAsia="宋体" w:hAnsi="宋体" w:cs="宋体" w:hint="eastAsia"/>
                <w:b/>
                <w:kern w:val="2"/>
                <w:sz w:val="21"/>
                <w:lang w:eastAsia="zh-CN"/>
              </w:rPr>
              <w:t>人员级别</w:t>
            </w:r>
          </w:p>
        </w:tc>
        <w:tc>
          <w:tcPr>
            <w:tcW w:w="763" w:type="dxa"/>
            <w:tcBorders>
              <w:top w:val="single" w:sz="4" w:space="0" w:color="auto"/>
              <w:left w:val="single" w:sz="4" w:space="0" w:color="auto"/>
              <w:bottom w:val="single" w:sz="4" w:space="0" w:color="auto"/>
              <w:right w:val="single" w:sz="4" w:space="0" w:color="auto"/>
            </w:tcBorders>
            <w:noWrap/>
            <w:vAlign w:val="center"/>
          </w:tcPr>
          <w:p>
            <w:pPr>
              <w:widowControl/>
              <w:spacing w:before="0" w:beforeAutospacing="0" w:after="0" w:afterAutospacing="0" w:line="259" w:lineRule="auto"/>
              <w:jc w:val="center"/>
              <w:rPr>
                <w:rFonts w:ascii="宋体" w:eastAsia="宋体" w:hAnsi="宋体" w:cs="宋体" w:hint="eastAsia"/>
                <w:b/>
                <w:kern w:val="2"/>
                <w:sz w:val="21"/>
                <w:lang w:eastAsia="zh-CN"/>
              </w:rPr>
            </w:pPr>
            <w:r>
              <w:rPr>
                <w:rFonts w:ascii="宋体" w:eastAsia="宋体" w:hAnsi="宋体" w:cs="宋体" w:hint="eastAsia"/>
                <w:b/>
                <w:kern w:val="2"/>
                <w:sz w:val="21"/>
                <w:lang w:eastAsia="zh-CN"/>
              </w:rPr>
              <w:t>人员</w:t>
            </w:r>
          </w:p>
          <w:p>
            <w:pPr>
              <w:widowControl/>
              <w:spacing w:before="0" w:beforeAutospacing="0" w:after="0" w:afterAutospacing="0" w:line="259" w:lineRule="auto"/>
              <w:jc w:val="center"/>
              <w:rPr>
                <w:rFonts w:ascii="宋体" w:eastAsia="宋体" w:hAnsi="宋体" w:cs="宋体" w:hint="eastAsia"/>
                <w:b/>
                <w:kern w:val="2"/>
                <w:sz w:val="21"/>
                <w:lang w:eastAsia="zh-CN"/>
              </w:rPr>
            </w:pPr>
            <w:r>
              <w:rPr>
                <w:rFonts w:ascii="宋体" w:eastAsia="宋体" w:hAnsi="宋体" w:cs="宋体" w:hint="eastAsia"/>
                <w:b/>
                <w:kern w:val="2"/>
                <w:sz w:val="21"/>
                <w:lang w:eastAsia="zh-CN"/>
              </w:rPr>
              <w:t>数量</w:t>
            </w:r>
          </w:p>
        </w:tc>
        <w:tc>
          <w:tcPr>
            <w:tcW w:w="1157" w:type="dxa"/>
            <w:tcBorders>
              <w:top w:val="single" w:sz="4" w:space="0" w:color="auto"/>
              <w:left w:val="single" w:sz="4" w:space="0" w:color="auto"/>
              <w:bottom w:val="single" w:sz="4" w:space="0" w:color="auto"/>
              <w:right w:val="single" w:sz="4" w:space="0" w:color="auto"/>
            </w:tcBorders>
            <w:noWrap/>
            <w:vAlign w:val="center"/>
          </w:tcPr>
          <w:p>
            <w:pPr>
              <w:widowControl/>
              <w:spacing w:before="0" w:beforeAutospacing="0" w:after="0" w:afterAutospacing="0" w:line="259" w:lineRule="auto"/>
              <w:jc w:val="center"/>
              <w:rPr>
                <w:rFonts w:ascii="宋体" w:eastAsia="宋体" w:hAnsi="宋体" w:cs="宋体" w:hint="eastAsia"/>
                <w:b/>
                <w:kern w:val="2"/>
                <w:sz w:val="21"/>
                <w:lang w:eastAsia="zh-CN"/>
              </w:rPr>
            </w:pPr>
            <w:r>
              <w:rPr>
                <w:rFonts w:ascii="宋体" w:eastAsia="宋体" w:hAnsi="宋体" w:cs="宋体" w:hint="eastAsia"/>
                <w:b/>
                <w:kern w:val="2"/>
                <w:sz w:val="21"/>
                <w:lang w:eastAsia="zh-CN"/>
              </w:rPr>
              <w:t>工作时间（月）</w:t>
            </w:r>
          </w:p>
        </w:tc>
        <w:tc>
          <w:tcPr>
            <w:tcW w:w="1335" w:type="dxa"/>
            <w:tcBorders>
              <w:top w:val="single" w:sz="4" w:space="0" w:color="auto"/>
              <w:left w:val="single" w:sz="4" w:space="0" w:color="auto"/>
              <w:bottom w:val="single" w:sz="4" w:space="0" w:color="auto"/>
              <w:right w:val="single" w:sz="4" w:space="0" w:color="auto"/>
            </w:tcBorders>
            <w:noWrap/>
            <w:vAlign w:val="center"/>
          </w:tcPr>
          <w:p>
            <w:pPr>
              <w:widowControl/>
              <w:spacing w:before="0" w:beforeAutospacing="0" w:after="0" w:afterAutospacing="0" w:line="259" w:lineRule="auto"/>
              <w:jc w:val="center"/>
              <w:rPr>
                <w:rFonts w:ascii="宋体" w:eastAsia="宋体" w:hAnsi="宋体" w:cs="宋体" w:hint="eastAsia"/>
                <w:b/>
                <w:kern w:val="2"/>
                <w:sz w:val="21"/>
                <w:lang w:eastAsia="zh-CN"/>
              </w:rPr>
            </w:pPr>
            <w:r>
              <w:rPr>
                <w:rFonts w:ascii="宋体" w:eastAsia="宋体" w:hAnsi="宋体" w:cs="宋体" w:hint="eastAsia"/>
                <w:b/>
                <w:kern w:val="2"/>
                <w:sz w:val="21"/>
                <w:lang w:eastAsia="zh-CN"/>
              </w:rPr>
              <w:t>单价</w:t>
            </w:r>
          </w:p>
          <w:p>
            <w:pPr>
              <w:widowControl/>
              <w:spacing w:before="0" w:beforeAutospacing="0" w:after="0" w:afterAutospacing="0" w:line="259" w:lineRule="auto"/>
              <w:jc w:val="center"/>
              <w:rPr>
                <w:rFonts w:ascii="宋体" w:eastAsia="宋体" w:hAnsi="宋体" w:cs="宋体" w:hint="eastAsia"/>
                <w:b/>
                <w:kern w:val="2"/>
                <w:sz w:val="21"/>
                <w:lang w:eastAsia="zh-CN"/>
              </w:rPr>
            </w:pPr>
            <w:r>
              <w:rPr>
                <w:rFonts w:ascii="宋体" w:eastAsia="宋体" w:hAnsi="宋体" w:cs="宋体" w:hint="eastAsia"/>
                <w:b/>
                <w:kern w:val="2"/>
                <w:sz w:val="21"/>
                <w:lang w:eastAsia="zh-CN"/>
              </w:rPr>
              <w:t>（元/人月）</w:t>
            </w:r>
          </w:p>
        </w:tc>
        <w:tc>
          <w:tcPr>
            <w:tcW w:w="1050" w:type="dxa"/>
            <w:tcBorders>
              <w:top w:val="single" w:sz="4" w:space="0" w:color="auto"/>
              <w:left w:val="single" w:sz="4" w:space="0" w:color="auto"/>
              <w:bottom w:val="single" w:sz="4" w:space="0" w:color="auto"/>
              <w:right w:val="single" w:sz="4" w:space="0" w:color="auto"/>
            </w:tcBorders>
            <w:noWrap/>
            <w:vAlign w:val="center"/>
          </w:tcPr>
          <w:p>
            <w:pPr>
              <w:widowControl/>
              <w:spacing w:before="0" w:beforeAutospacing="0" w:after="0" w:afterAutospacing="0" w:line="259" w:lineRule="auto"/>
              <w:jc w:val="center"/>
              <w:rPr>
                <w:rFonts w:ascii="宋体" w:eastAsia="宋体" w:hAnsi="宋体" w:cs="宋体" w:hint="eastAsia"/>
                <w:b/>
                <w:kern w:val="2"/>
                <w:sz w:val="21"/>
                <w:lang w:eastAsia="zh-CN"/>
              </w:rPr>
            </w:pPr>
            <w:r>
              <w:rPr>
                <w:rFonts w:ascii="宋体" w:eastAsia="宋体" w:hAnsi="宋体" w:cs="宋体" w:hint="eastAsia"/>
                <w:b/>
                <w:kern w:val="2"/>
                <w:sz w:val="21"/>
                <w:lang w:eastAsia="zh-CN"/>
              </w:rPr>
              <w:t>小计</w:t>
            </w:r>
          </w:p>
          <w:p>
            <w:pPr>
              <w:widowControl/>
              <w:spacing w:before="0" w:beforeAutospacing="0" w:after="0" w:afterAutospacing="0" w:line="259" w:lineRule="auto"/>
              <w:jc w:val="center"/>
              <w:rPr>
                <w:rFonts w:ascii="宋体" w:eastAsia="宋体" w:hAnsi="宋体" w:cs="宋体" w:hint="eastAsia"/>
                <w:b/>
                <w:kern w:val="2"/>
                <w:sz w:val="21"/>
                <w:lang w:eastAsia="zh-CN"/>
              </w:rPr>
            </w:pPr>
            <w:r>
              <w:rPr>
                <w:rFonts w:ascii="宋体" w:eastAsia="宋体" w:hAnsi="宋体" w:cs="宋体" w:hint="eastAsia"/>
                <w:b/>
                <w:kern w:val="2"/>
                <w:sz w:val="21"/>
                <w:lang w:eastAsia="zh-CN"/>
              </w:rPr>
              <w:t>（元）</w:t>
            </w:r>
          </w:p>
        </w:tc>
        <w:tc>
          <w:tcPr>
            <w:tcW w:w="720" w:type="dxa"/>
            <w:tcBorders>
              <w:top w:val="single" w:sz="4" w:space="0" w:color="auto"/>
              <w:left w:val="nil"/>
              <w:bottom w:val="single" w:sz="4" w:space="0" w:color="auto"/>
              <w:right w:val="single" w:sz="4" w:space="0" w:color="auto"/>
            </w:tcBorders>
            <w:noWrap/>
            <w:vAlign w:val="center"/>
          </w:tcPr>
          <w:p>
            <w:pPr>
              <w:widowControl w:val="0"/>
              <w:spacing w:before="0" w:beforeAutospacing="0" w:after="0" w:afterAutospacing="0" w:line="259" w:lineRule="auto"/>
              <w:jc w:val="center"/>
              <w:rPr>
                <w:rFonts w:ascii="宋体" w:eastAsia="宋体" w:hAnsi="宋体" w:cs="宋体" w:hint="eastAsia"/>
                <w:b/>
                <w:kern w:val="2"/>
                <w:sz w:val="21"/>
                <w:lang w:eastAsia="zh-CN"/>
              </w:rPr>
            </w:pPr>
            <w:r>
              <w:rPr>
                <w:rFonts w:ascii="宋体" w:eastAsia="宋体" w:hAnsi="宋体" w:cs="宋体" w:hint="eastAsia"/>
                <w:b/>
                <w:kern w:val="2"/>
                <w:sz w:val="21"/>
                <w:lang w:eastAsia="zh-CN"/>
              </w:rPr>
              <w:t>备注</w:t>
            </w:r>
          </w:p>
        </w:tc>
      </w:tr>
      <w:tr>
        <w:tblPrEx>
          <w:tblW w:w="9242" w:type="dxa"/>
          <w:tblInd w:w="0" w:type="dxa"/>
          <w:tblLayout w:type="fixed"/>
          <w:tblCellMar>
            <w:top w:w="0" w:type="dxa"/>
            <w:left w:w="108" w:type="dxa"/>
            <w:bottom w:w="0" w:type="dxa"/>
            <w:right w:w="108" w:type="dxa"/>
          </w:tblCellMar>
        </w:tblPrEx>
        <w:trPr>
          <w:trHeight w:val="671"/>
          <w:tblHeader/>
        </w:trPr>
        <w:tc>
          <w:tcPr>
            <w:tcW w:w="452"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r>
              <w:rPr>
                <w:rFonts w:ascii="宋体" w:eastAsia="宋体" w:hAnsi="宋体" w:cs="宋体" w:hint="eastAsia"/>
                <w:kern w:val="2"/>
                <w:sz w:val="21"/>
                <w:lang w:eastAsia="zh-CN"/>
              </w:rPr>
              <w:t>1</w:t>
            </w:r>
          </w:p>
        </w:tc>
        <w:tc>
          <w:tcPr>
            <w:tcW w:w="1485" w:type="dxa"/>
            <w:tcBorders>
              <w:top w:val="single" w:sz="4" w:space="0" w:color="auto"/>
              <w:left w:val="nil"/>
              <w:bottom w:val="single" w:sz="4" w:space="0" w:color="auto"/>
              <w:right w:val="single" w:sz="4" w:space="0" w:color="auto"/>
            </w:tcBorders>
            <w:noWrap/>
            <w:vAlign w:val="center"/>
          </w:tcPr>
          <w:p>
            <w:pPr>
              <w:widowControl w:val="0"/>
              <w:spacing w:before="0" w:beforeAutospacing="0" w:after="0" w:afterAutospacing="0" w:line="259" w:lineRule="auto"/>
              <w:jc w:val="center"/>
              <w:rPr>
                <w:rFonts w:ascii="宋体" w:eastAsia="宋体" w:hAnsi="宋体" w:cs="宋体" w:hint="eastAsia"/>
                <w:kern w:val="2"/>
                <w:sz w:val="21"/>
                <w:lang w:eastAsia="zh-CN"/>
              </w:rPr>
            </w:pPr>
          </w:p>
        </w:tc>
        <w:tc>
          <w:tcPr>
            <w:tcW w:w="1545" w:type="dxa"/>
            <w:tcBorders>
              <w:top w:val="single" w:sz="4" w:space="0" w:color="auto"/>
              <w:left w:val="nil"/>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p>
        </w:tc>
        <w:tc>
          <w:tcPr>
            <w:tcW w:w="735"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p>
        </w:tc>
        <w:tc>
          <w:tcPr>
            <w:tcW w:w="763"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p>
        </w:tc>
        <w:tc>
          <w:tcPr>
            <w:tcW w:w="1157"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p>
        </w:tc>
        <w:tc>
          <w:tcPr>
            <w:tcW w:w="1335"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p>
        </w:tc>
        <w:tc>
          <w:tcPr>
            <w:tcW w:w="1050"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p>
        </w:tc>
        <w:tc>
          <w:tcPr>
            <w:tcW w:w="720"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p>
        </w:tc>
      </w:tr>
      <w:tr>
        <w:tblPrEx>
          <w:tblW w:w="9242" w:type="dxa"/>
          <w:tblInd w:w="0" w:type="dxa"/>
          <w:tblLayout w:type="fixed"/>
          <w:tblCellMar>
            <w:top w:w="0" w:type="dxa"/>
            <w:left w:w="108" w:type="dxa"/>
            <w:bottom w:w="0" w:type="dxa"/>
            <w:right w:w="108" w:type="dxa"/>
          </w:tblCellMar>
        </w:tblPrEx>
        <w:trPr>
          <w:trHeight w:val="671"/>
          <w:tblHeader/>
        </w:trPr>
        <w:tc>
          <w:tcPr>
            <w:tcW w:w="452"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r>
              <w:rPr>
                <w:rFonts w:ascii="宋体" w:eastAsia="宋体" w:hAnsi="宋体" w:cs="宋体" w:hint="eastAsia"/>
                <w:kern w:val="2"/>
                <w:sz w:val="21"/>
                <w:lang w:eastAsia="zh-CN"/>
              </w:rPr>
              <w:t>2</w:t>
            </w:r>
          </w:p>
        </w:tc>
        <w:tc>
          <w:tcPr>
            <w:tcW w:w="1485" w:type="dxa"/>
            <w:tcBorders>
              <w:top w:val="single" w:sz="4" w:space="0" w:color="auto"/>
              <w:left w:val="nil"/>
              <w:bottom w:val="single" w:sz="4" w:space="0" w:color="auto"/>
              <w:right w:val="single" w:sz="4" w:space="0" w:color="auto"/>
            </w:tcBorders>
            <w:noWrap/>
            <w:vAlign w:val="center"/>
          </w:tcPr>
          <w:p>
            <w:pPr>
              <w:widowControl w:val="0"/>
              <w:spacing w:before="0" w:beforeAutospacing="0" w:after="0" w:afterAutospacing="0" w:line="259" w:lineRule="auto"/>
              <w:jc w:val="center"/>
              <w:rPr>
                <w:rFonts w:ascii="宋体" w:eastAsia="宋体" w:hAnsi="宋体" w:cs="宋体" w:hint="eastAsia"/>
                <w:kern w:val="2"/>
                <w:sz w:val="21"/>
                <w:lang w:eastAsia="zh-CN"/>
              </w:rPr>
            </w:pPr>
          </w:p>
        </w:tc>
        <w:tc>
          <w:tcPr>
            <w:tcW w:w="1545" w:type="dxa"/>
            <w:tcBorders>
              <w:top w:val="single" w:sz="4" w:space="0" w:color="auto"/>
              <w:left w:val="nil"/>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p>
        </w:tc>
        <w:tc>
          <w:tcPr>
            <w:tcW w:w="735"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p>
        </w:tc>
        <w:tc>
          <w:tcPr>
            <w:tcW w:w="763"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p>
        </w:tc>
        <w:tc>
          <w:tcPr>
            <w:tcW w:w="1157"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p>
        </w:tc>
        <w:tc>
          <w:tcPr>
            <w:tcW w:w="1335"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p>
        </w:tc>
        <w:tc>
          <w:tcPr>
            <w:tcW w:w="1050"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p>
        </w:tc>
        <w:tc>
          <w:tcPr>
            <w:tcW w:w="720"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p>
        </w:tc>
      </w:tr>
      <w:tr>
        <w:tblPrEx>
          <w:tblW w:w="9242" w:type="dxa"/>
          <w:tblInd w:w="0" w:type="dxa"/>
          <w:tblLayout w:type="fixed"/>
          <w:tblCellMar>
            <w:top w:w="0" w:type="dxa"/>
            <w:left w:w="108" w:type="dxa"/>
            <w:bottom w:w="0" w:type="dxa"/>
            <w:right w:w="108" w:type="dxa"/>
          </w:tblCellMar>
        </w:tblPrEx>
        <w:trPr>
          <w:trHeight w:val="671"/>
          <w:tblHeader/>
        </w:trPr>
        <w:tc>
          <w:tcPr>
            <w:tcW w:w="452"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r>
              <w:rPr>
                <w:rFonts w:ascii="宋体" w:eastAsia="宋体" w:hAnsi="宋体" w:cs="宋体" w:hint="eastAsia"/>
                <w:kern w:val="2"/>
                <w:sz w:val="21"/>
                <w:lang w:eastAsia="zh-CN"/>
              </w:rPr>
              <w:t>3</w:t>
            </w:r>
          </w:p>
        </w:tc>
        <w:tc>
          <w:tcPr>
            <w:tcW w:w="1485" w:type="dxa"/>
            <w:tcBorders>
              <w:top w:val="single" w:sz="4" w:space="0" w:color="auto"/>
              <w:left w:val="nil"/>
              <w:bottom w:val="single" w:sz="4" w:space="0" w:color="auto"/>
              <w:right w:val="single" w:sz="4" w:space="0" w:color="auto"/>
            </w:tcBorders>
            <w:noWrap/>
            <w:vAlign w:val="center"/>
          </w:tcPr>
          <w:p>
            <w:pPr>
              <w:widowControl w:val="0"/>
              <w:spacing w:before="0" w:beforeAutospacing="0" w:after="0" w:afterAutospacing="0" w:line="259" w:lineRule="auto"/>
              <w:jc w:val="center"/>
              <w:rPr>
                <w:rFonts w:ascii="宋体" w:eastAsia="宋体" w:hAnsi="宋体" w:cs="宋体" w:hint="eastAsia"/>
                <w:kern w:val="2"/>
                <w:sz w:val="21"/>
                <w:lang w:eastAsia="zh-CN"/>
              </w:rPr>
            </w:pPr>
          </w:p>
        </w:tc>
        <w:tc>
          <w:tcPr>
            <w:tcW w:w="1545" w:type="dxa"/>
            <w:tcBorders>
              <w:top w:val="single" w:sz="4" w:space="0" w:color="auto"/>
              <w:left w:val="nil"/>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p>
        </w:tc>
        <w:tc>
          <w:tcPr>
            <w:tcW w:w="735"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p>
        </w:tc>
        <w:tc>
          <w:tcPr>
            <w:tcW w:w="763"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p>
        </w:tc>
        <w:tc>
          <w:tcPr>
            <w:tcW w:w="1157"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p>
        </w:tc>
        <w:tc>
          <w:tcPr>
            <w:tcW w:w="1335"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p>
        </w:tc>
        <w:tc>
          <w:tcPr>
            <w:tcW w:w="1050"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p>
        </w:tc>
        <w:tc>
          <w:tcPr>
            <w:tcW w:w="720"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p>
        </w:tc>
      </w:tr>
      <w:tr>
        <w:tblPrEx>
          <w:tblW w:w="9242" w:type="dxa"/>
          <w:tblInd w:w="0" w:type="dxa"/>
          <w:tblLayout w:type="fixed"/>
          <w:tblCellMar>
            <w:top w:w="0" w:type="dxa"/>
            <w:left w:w="108" w:type="dxa"/>
            <w:bottom w:w="0" w:type="dxa"/>
            <w:right w:w="108" w:type="dxa"/>
          </w:tblCellMar>
        </w:tblPrEx>
        <w:trPr>
          <w:trHeight w:val="608"/>
          <w:tblHeader/>
        </w:trPr>
        <w:tc>
          <w:tcPr>
            <w:tcW w:w="452" w:type="dxa"/>
            <w:tcBorders>
              <w:top w:val="nil"/>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r>
              <w:rPr>
                <w:rFonts w:ascii="宋体" w:eastAsia="宋体" w:hAnsi="宋体" w:cs="宋体" w:hint="eastAsia"/>
                <w:kern w:val="2"/>
                <w:sz w:val="21"/>
                <w:lang w:eastAsia="zh-CN"/>
              </w:rPr>
              <w:t>4</w:t>
            </w:r>
          </w:p>
        </w:tc>
        <w:tc>
          <w:tcPr>
            <w:tcW w:w="1485" w:type="dxa"/>
            <w:tcBorders>
              <w:top w:val="nil"/>
              <w:left w:val="nil"/>
              <w:bottom w:val="single" w:sz="4" w:space="0" w:color="auto"/>
              <w:right w:val="single" w:sz="4" w:space="0" w:color="auto"/>
            </w:tcBorders>
            <w:noWrap/>
            <w:vAlign w:val="center"/>
          </w:tcPr>
          <w:p>
            <w:pPr>
              <w:widowControl w:val="0"/>
              <w:spacing w:before="0" w:beforeAutospacing="0" w:after="0" w:afterAutospacing="0" w:line="259" w:lineRule="auto"/>
              <w:jc w:val="center"/>
              <w:rPr>
                <w:rFonts w:ascii="宋体" w:eastAsia="宋体" w:hAnsi="宋体" w:cs="宋体" w:hint="eastAsia"/>
                <w:kern w:val="2"/>
                <w:sz w:val="21"/>
                <w:lang w:eastAsia="zh-CN"/>
              </w:rPr>
            </w:pPr>
          </w:p>
        </w:tc>
        <w:tc>
          <w:tcPr>
            <w:tcW w:w="1545" w:type="dxa"/>
            <w:tcBorders>
              <w:top w:val="nil"/>
              <w:left w:val="nil"/>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p>
        </w:tc>
        <w:tc>
          <w:tcPr>
            <w:tcW w:w="735" w:type="dxa"/>
            <w:tcBorders>
              <w:top w:val="nil"/>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p>
        </w:tc>
        <w:tc>
          <w:tcPr>
            <w:tcW w:w="763" w:type="dxa"/>
            <w:tcBorders>
              <w:top w:val="nil"/>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p>
        </w:tc>
        <w:tc>
          <w:tcPr>
            <w:tcW w:w="1157" w:type="dxa"/>
            <w:tcBorders>
              <w:top w:val="nil"/>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p>
        </w:tc>
        <w:tc>
          <w:tcPr>
            <w:tcW w:w="1335" w:type="dxa"/>
            <w:tcBorders>
              <w:top w:val="nil"/>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p>
        </w:tc>
        <w:tc>
          <w:tcPr>
            <w:tcW w:w="1050" w:type="dxa"/>
            <w:tcBorders>
              <w:top w:val="nil"/>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p>
        </w:tc>
        <w:tc>
          <w:tcPr>
            <w:tcW w:w="720" w:type="dxa"/>
            <w:tcBorders>
              <w:top w:val="nil"/>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p>
        </w:tc>
      </w:tr>
      <w:tr>
        <w:tblPrEx>
          <w:tblW w:w="9242" w:type="dxa"/>
          <w:tblInd w:w="0" w:type="dxa"/>
          <w:tblLayout w:type="fixed"/>
          <w:tblCellMar>
            <w:top w:w="0" w:type="dxa"/>
            <w:left w:w="108" w:type="dxa"/>
            <w:bottom w:w="0" w:type="dxa"/>
            <w:right w:w="108" w:type="dxa"/>
          </w:tblCellMar>
        </w:tblPrEx>
        <w:trPr>
          <w:trHeight w:val="616"/>
          <w:tblHeader/>
        </w:trPr>
        <w:tc>
          <w:tcPr>
            <w:tcW w:w="452"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r>
              <w:rPr>
                <w:rFonts w:ascii="宋体" w:eastAsia="宋体" w:hAnsi="宋体" w:cs="宋体" w:hint="eastAsia"/>
                <w:kern w:val="2"/>
                <w:sz w:val="21"/>
                <w:lang w:eastAsia="zh-CN"/>
              </w:rPr>
              <w:t>5</w:t>
            </w:r>
          </w:p>
        </w:tc>
        <w:tc>
          <w:tcPr>
            <w:tcW w:w="1485" w:type="dxa"/>
            <w:tcBorders>
              <w:top w:val="single" w:sz="4" w:space="0" w:color="auto"/>
              <w:left w:val="nil"/>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p>
        </w:tc>
        <w:tc>
          <w:tcPr>
            <w:tcW w:w="1545" w:type="dxa"/>
            <w:tcBorders>
              <w:top w:val="single" w:sz="4" w:space="0" w:color="auto"/>
              <w:left w:val="nil"/>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p>
        </w:tc>
        <w:tc>
          <w:tcPr>
            <w:tcW w:w="735"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p>
        </w:tc>
        <w:tc>
          <w:tcPr>
            <w:tcW w:w="763"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p>
        </w:tc>
        <w:tc>
          <w:tcPr>
            <w:tcW w:w="1157"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p>
        </w:tc>
        <w:tc>
          <w:tcPr>
            <w:tcW w:w="1335"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p>
        </w:tc>
        <w:tc>
          <w:tcPr>
            <w:tcW w:w="1050"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p>
        </w:tc>
        <w:tc>
          <w:tcPr>
            <w:tcW w:w="720"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p>
        </w:tc>
      </w:tr>
      <w:tr>
        <w:tblPrEx>
          <w:tblW w:w="9242" w:type="dxa"/>
          <w:tblInd w:w="0" w:type="dxa"/>
          <w:tblLayout w:type="fixed"/>
          <w:tblCellMar>
            <w:top w:w="0" w:type="dxa"/>
            <w:left w:w="108" w:type="dxa"/>
            <w:bottom w:w="0" w:type="dxa"/>
            <w:right w:w="108" w:type="dxa"/>
          </w:tblCellMar>
        </w:tblPrEx>
        <w:trPr>
          <w:trHeight w:val="610"/>
          <w:tblHeader/>
        </w:trPr>
        <w:tc>
          <w:tcPr>
            <w:tcW w:w="452"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r>
              <w:rPr>
                <w:rFonts w:ascii="宋体" w:eastAsia="宋体" w:hAnsi="宋体" w:cs="宋体" w:hint="eastAsia"/>
                <w:kern w:val="2"/>
                <w:sz w:val="21"/>
                <w:lang w:eastAsia="zh-CN"/>
              </w:rPr>
              <w:t>……</w:t>
            </w:r>
          </w:p>
        </w:tc>
        <w:tc>
          <w:tcPr>
            <w:tcW w:w="1485" w:type="dxa"/>
            <w:tcBorders>
              <w:top w:val="single" w:sz="4" w:space="0" w:color="auto"/>
              <w:left w:val="nil"/>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p>
        </w:tc>
        <w:tc>
          <w:tcPr>
            <w:tcW w:w="1545" w:type="dxa"/>
            <w:tcBorders>
              <w:top w:val="single" w:sz="4" w:space="0" w:color="auto"/>
              <w:left w:val="nil"/>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p>
        </w:tc>
        <w:tc>
          <w:tcPr>
            <w:tcW w:w="735"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p>
        </w:tc>
        <w:tc>
          <w:tcPr>
            <w:tcW w:w="763"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p>
        </w:tc>
        <w:tc>
          <w:tcPr>
            <w:tcW w:w="1157"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p>
        </w:tc>
        <w:tc>
          <w:tcPr>
            <w:tcW w:w="1335"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p>
        </w:tc>
        <w:tc>
          <w:tcPr>
            <w:tcW w:w="1050"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p>
        </w:tc>
        <w:tc>
          <w:tcPr>
            <w:tcW w:w="720"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p>
        </w:tc>
      </w:tr>
      <w:tr>
        <w:tblPrEx>
          <w:tblW w:w="9242" w:type="dxa"/>
          <w:tblInd w:w="0" w:type="dxa"/>
          <w:tblLayout w:type="fixed"/>
          <w:tblCellMar>
            <w:top w:w="0" w:type="dxa"/>
            <w:left w:w="108" w:type="dxa"/>
            <w:bottom w:w="0" w:type="dxa"/>
            <w:right w:w="108" w:type="dxa"/>
          </w:tblCellMar>
        </w:tblPrEx>
        <w:trPr>
          <w:trHeight w:val="610"/>
          <w:tblHeader/>
        </w:trPr>
        <w:tc>
          <w:tcPr>
            <w:tcW w:w="4217" w:type="dxa"/>
            <w:gridSpan w:val="4"/>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b/>
                <w:kern w:val="2"/>
                <w:sz w:val="21"/>
                <w:lang w:eastAsia="zh-CN"/>
              </w:rPr>
            </w:pPr>
            <w:r>
              <w:rPr>
                <w:rFonts w:ascii="宋体" w:eastAsia="宋体" w:hAnsi="宋体" w:cs="宋体" w:hint="eastAsia"/>
                <w:b/>
                <w:kern w:val="2"/>
                <w:sz w:val="21"/>
                <w:lang w:eastAsia="zh-CN"/>
              </w:rPr>
              <w:t>合    计</w:t>
            </w:r>
          </w:p>
        </w:tc>
        <w:tc>
          <w:tcPr>
            <w:tcW w:w="1920" w:type="dxa"/>
            <w:gridSpan w:val="2"/>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r>
              <w:rPr>
                <w:rFonts w:ascii="宋体" w:eastAsia="宋体" w:hAnsi="宋体" w:cs="宋体" w:hint="eastAsia"/>
                <w:kern w:val="2"/>
                <w:sz w:val="21"/>
                <w:lang w:eastAsia="zh-CN"/>
              </w:rPr>
              <w:t>本栏填写上述各项工作量合计数</w:t>
            </w:r>
          </w:p>
        </w:tc>
        <w:tc>
          <w:tcPr>
            <w:tcW w:w="1335"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w w:val="90"/>
                <w:kern w:val="2"/>
                <w:sz w:val="21"/>
                <w:lang w:eastAsia="zh-CN"/>
              </w:rPr>
            </w:pPr>
            <w:r>
              <w:rPr>
                <w:rFonts w:ascii="宋体" w:eastAsia="宋体" w:hAnsi="宋体" w:cs="宋体" w:hint="eastAsia"/>
                <w:w w:val="90"/>
                <w:kern w:val="2"/>
                <w:sz w:val="21"/>
                <w:lang w:eastAsia="zh-CN"/>
              </w:rPr>
              <w:t>――――--</w:t>
            </w:r>
          </w:p>
        </w:tc>
        <w:tc>
          <w:tcPr>
            <w:tcW w:w="1050"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r>
              <w:rPr>
                <w:rFonts w:ascii="宋体" w:eastAsia="宋体" w:hAnsi="宋体" w:cs="宋体" w:hint="eastAsia"/>
                <w:kern w:val="2"/>
                <w:sz w:val="21"/>
                <w:lang w:eastAsia="zh-CN"/>
              </w:rPr>
              <w:t>本栏填写上述小计数额的合计数</w:t>
            </w:r>
          </w:p>
        </w:tc>
        <w:tc>
          <w:tcPr>
            <w:tcW w:w="720"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59" w:lineRule="auto"/>
              <w:jc w:val="center"/>
              <w:rPr>
                <w:rFonts w:ascii="宋体" w:eastAsia="宋体" w:hAnsi="宋体" w:cs="宋体" w:hint="eastAsia"/>
                <w:kern w:val="2"/>
                <w:sz w:val="21"/>
                <w:lang w:eastAsia="zh-CN"/>
              </w:rPr>
            </w:pPr>
          </w:p>
        </w:tc>
      </w:tr>
    </w:tbl>
    <w:p>
      <w:pPr>
        <w:widowControl w:val="0"/>
        <w:topLinePunct/>
        <w:autoSpaceDE w:val="0"/>
        <w:autoSpaceDN w:val="0"/>
        <w:adjustRightInd w:val="0"/>
        <w:snapToGrid w:val="0"/>
        <w:spacing w:before="0" w:beforeAutospacing="0" w:after="0" w:afterAutospacing="0" w:line="360" w:lineRule="auto"/>
        <w:jc w:val="left"/>
        <w:rPr>
          <w:rFonts w:ascii="Calibri" w:eastAsia="宋体" w:hAnsi="Calibri"/>
          <w:kern w:val="2"/>
          <w:sz w:val="21"/>
          <w:lang w:eastAsia="zh-CN"/>
        </w:rPr>
      </w:pPr>
      <w:r>
        <w:rPr>
          <w:rFonts w:ascii="宋体" w:eastAsia="宋体" w:hAnsi="宋体" w:cs="宋体" w:hint="eastAsia"/>
          <w:kern w:val="2"/>
          <w:sz w:val="21"/>
          <w:lang w:eastAsia="zh-CN"/>
        </w:rPr>
        <w:t>特别说明:</w:t>
      </w:r>
    </w:p>
    <w:p>
      <w:pPr>
        <w:widowControl w:val="0"/>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（3）招标（采购）文件（另附）；</w:t>
      </w:r>
    </w:p>
    <w:p>
      <w:pPr>
        <w:widowControl w:val="0"/>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（4）投标（响应）文件（另附）。</w:t>
      </w: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b/>
          <w:kern w:val="2"/>
          <w:lang w:eastAsia="zh-CN"/>
        </w:rPr>
      </w:pPr>
      <w:r>
        <w:rPr>
          <w:rFonts w:ascii="宋体" w:eastAsia="宋体" w:hAnsi="宋体" w:cs="宋体" w:hint="eastAsia"/>
          <w:b/>
          <w:kern w:val="2"/>
          <w:lang w:eastAsia="zh-CN"/>
        </w:rPr>
        <w:t>2. 合同范围和条件</w:t>
      </w:r>
    </w:p>
    <w:p>
      <w:pPr>
        <w:widowControl w:val="0"/>
        <w:tabs>
          <w:tab w:val="left" w:pos="700"/>
        </w:tabs>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本合同的范围和条件应与上述合同文件的规定相一致。</w:t>
      </w:r>
    </w:p>
    <w:p>
      <w:pPr>
        <w:widowControl w:val="0"/>
        <w:tabs>
          <w:tab w:val="left" w:pos="700"/>
        </w:tabs>
        <w:topLinePunct/>
        <w:autoSpaceDE w:val="0"/>
        <w:autoSpaceDN w:val="0"/>
        <w:snapToGrid w:val="0"/>
        <w:spacing w:before="0" w:beforeAutospacing="0" w:after="0" w:afterAutospacing="0" w:line="360" w:lineRule="auto"/>
        <w:ind w:firstLine="412" w:firstLineChars="196"/>
        <w:jc w:val="both"/>
        <w:rPr>
          <w:rFonts w:ascii="宋体" w:eastAsia="宋体" w:hAnsi="宋体" w:cs="宋体" w:hint="eastAsia"/>
          <w:kern w:val="2"/>
          <w:lang w:eastAsia="zh-CN"/>
        </w:rPr>
      </w:pP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b/>
          <w:kern w:val="2"/>
          <w:lang w:eastAsia="zh-CN"/>
        </w:rPr>
      </w:pPr>
      <w:r>
        <w:rPr>
          <w:rFonts w:ascii="宋体" w:eastAsia="宋体" w:hAnsi="宋体" w:cs="宋体" w:hint="eastAsia"/>
          <w:b/>
          <w:kern w:val="2"/>
          <w:lang w:eastAsia="zh-CN"/>
        </w:rPr>
        <w:t>3. 合同金额</w:t>
      </w:r>
    </w:p>
    <w:p>
      <w:pPr>
        <w:widowControl w:val="0"/>
        <w:tabs>
          <w:tab w:val="left" w:pos="700"/>
        </w:tabs>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本合同金额为人民币</w:t>
      </w:r>
      <w:r>
        <w:rPr>
          <w:rFonts w:ascii="宋体" w:eastAsia="宋体" w:hAnsi="宋体" w:cs="宋体" w:hint="eastAsia"/>
          <w:kern w:val="2"/>
          <w:u w:val="single"/>
          <w:lang w:eastAsia="zh-CN"/>
        </w:rPr>
        <w:t xml:space="preserve">        </w:t>
      </w:r>
      <w:r>
        <w:rPr>
          <w:rFonts w:ascii="宋体" w:eastAsia="宋体" w:hAnsi="宋体" w:cs="宋体" w:hint="eastAsia"/>
          <w:kern w:val="2"/>
          <w:lang w:eastAsia="zh-CN"/>
        </w:rPr>
        <w:t>元整（¥</w:t>
      </w:r>
      <w:r>
        <w:rPr>
          <w:rFonts w:ascii="宋体" w:eastAsia="宋体" w:hAnsi="宋体" w:cs="宋体" w:hint="eastAsia"/>
          <w:kern w:val="2"/>
          <w:u w:val="single"/>
          <w:lang w:eastAsia="zh-CN"/>
        </w:rPr>
        <w:t xml:space="preserve">          </w:t>
      </w:r>
      <w:r>
        <w:rPr>
          <w:rFonts w:ascii="宋体" w:eastAsia="宋体" w:hAnsi="宋体" w:cs="宋体" w:hint="eastAsia"/>
          <w:kern w:val="2"/>
          <w:lang w:eastAsia="zh-CN"/>
        </w:rPr>
        <w:t>）。本合同项下所有服务的全部成本及费用（包括但不限于税费、人工费等）均已包含于合同价中，甲方不再另行支付其他费用。</w:t>
      </w:r>
    </w:p>
    <w:p>
      <w:pPr>
        <w:widowControl w:val="0"/>
        <w:tabs>
          <w:tab w:val="left" w:pos="700"/>
        </w:tabs>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p>
    <w:p>
      <w:pPr>
        <w:widowControl w:val="0"/>
        <w:tabs>
          <w:tab w:val="left" w:pos="700"/>
        </w:tabs>
        <w:topLinePunct/>
        <w:autoSpaceDE w:val="0"/>
        <w:autoSpaceDN w:val="0"/>
        <w:snapToGrid w:val="0"/>
        <w:spacing w:before="0" w:beforeAutospacing="0" w:after="0" w:afterAutospacing="0" w:line="360" w:lineRule="auto"/>
        <w:ind w:firstLine="514" w:firstLineChars="245"/>
        <w:jc w:val="both"/>
        <w:rPr>
          <w:rFonts w:ascii="宋体" w:eastAsia="宋体" w:hAnsi="宋体" w:cs="宋体" w:hint="eastAsia"/>
          <w:kern w:val="2"/>
          <w:lang w:eastAsia="zh-CN"/>
        </w:rPr>
      </w:pP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b/>
          <w:kern w:val="2"/>
          <w:lang w:eastAsia="zh-CN"/>
        </w:rPr>
      </w:pPr>
      <w:r>
        <w:rPr>
          <w:rFonts w:ascii="宋体" w:eastAsia="宋体" w:hAnsi="宋体" w:cs="宋体" w:hint="eastAsia"/>
          <w:b/>
          <w:kern w:val="2"/>
          <w:lang w:eastAsia="zh-CN"/>
        </w:rPr>
        <w:t>4.付款条件</w:t>
      </w:r>
    </w:p>
    <w:p>
      <w:pPr>
        <w:widowControl w:val="0"/>
        <w:numPr>
          <w:ilvl w:val="0"/>
          <w:numId w:val="0"/>
        </w:numPr>
        <w:tabs>
          <w:tab w:val="left" w:pos="709"/>
          <w:tab w:val="left" w:pos="840"/>
        </w:tabs>
        <w:adjustRightInd w:val="0"/>
        <w:snapToGrid w:val="0"/>
        <w:spacing w:before="0" w:beforeAutospacing="0" w:after="0" w:afterAutospacing="0" w:line="360" w:lineRule="auto"/>
        <w:ind w:left="0" w:firstLine="420" w:firstLineChars="200"/>
        <w:jc w:val="both"/>
        <w:textAlignment w:val="baseline"/>
        <w:rPr>
          <w:rFonts w:ascii="宋体" w:eastAsia="宋体" w:hAnsi="宋体" w:cs="宋体" w:hint="eastAsia"/>
          <w:lang w:eastAsia="zh-CN"/>
        </w:rPr>
      </w:pPr>
      <w:r>
        <w:rPr>
          <w:rFonts w:ascii="宋体" w:eastAsia="宋体" w:hAnsi="宋体" w:cs="宋体" w:hint="eastAsia"/>
          <w:lang w:eastAsia="zh-CN"/>
        </w:rPr>
        <w:t>合同以人民币结算，付款方式如下：</w:t>
      </w:r>
    </w:p>
    <w:p>
      <w:pPr>
        <w:widowControl w:val="0"/>
        <w:numPr>
          <w:ilvl w:val="0"/>
          <w:numId w:val="0"/>
        </w:numPr>
        <w:tabs>
          <w:tab w:val="left" w:pos="709"/>
          <w:tab w:val="left" w:pos="840"/>
        </w:tabs>
        <w:adjustRightInd w:val="0"/>
        <w:snapToGrid w:val="0"/>
        <w:spacing w:before="0" w:beforeAutospacing="0" w:after="0" w:afterAutospacing="0" w:line="360" w:lineRule="auto"/>
        <w:ind w:left="0" w:firstLine="420" w:firstLineChars="200"/>
        <w:jc w:val="both"/>
        <w:textAlignment w:val="baseline"/>
        <w:rPr>
          <w:rFonts w:ascii="宋体" w:eastAsia="宋体" w:hAnsi="宋体" w:cs="宋体" w:hint="eastAsia"/>
          <w:lang w:eastAsia="zh-CN"/>
        </w:rPr>
      </w:pPr>
      <w:r>
        <w:rPr>
          <w:rFonts w:ascii="宋体" w:eastAsia="宋体" w:hAnsi="宋体" w:cs="宋体" w:hint="eastAsia"/>
          <w:lang w:eastAsia="zh-CN"/>
        </w:rPr>
        <w:t xml:space="preserve">                                                   </w:t>
      </w:r>
    </w:p>
    <w:p>
      <w:pPr>
        <w:widowControl w:val="0"/>
        <w:numPr>
          <w:ilvl w:val="0"/>
          <w:numId w:val="0"/>
        </w:numPr>
        <w:tabs>
          <w:tab w:val="left" w:pos="709"/>
          <w:tab w:val="left" w:pos="840"/>
        </w:tabs>
        <w:adjustRightInd w:val="0"/>
        <w:snapToGrid w:val="0"/>
        <w:spacing w:before="0" w:beforeAutospacing="0" w:after="0" w:afterAutospacing="0" w:line="360" w:lineRule="auto"/>
        <w:ind w:left="0" w:firstLine="420" w:firstLineChars="200"/>
        <w:jc w:val="both"/>
        <w:textAlignment w:val="baseline"/>
        <w:rPr>
          <w:rFonts w:ascii="宋体" w:eastAsia="宋体" w:hAnsi="宋体" w:cs="宋体" w:hint="eastAsia"/>
          <w:lang w:eastAsia="zh-CN"/>
        </w:rPr>
      </w:pPr>
      <w:r>
        <w:rPr>
          <w:rFonts w:ascii="宋体" w:eastAsia="宋体" w:hAnsi="宋体" w:cs="宋体" w:hint="eastAsia"/>
          <w:lang w:eastAsia="zh-CN"/>
        </w:rPr>
        <w:t>第1次付款,自项目实施开始之日起次月，采购人根据考核验收结果，按月支付物业服务费用，甲方支付乙方合同金额8.33%的款项;</w:t>
      </w:r>
    </w:p>
    <w:p>
      <w:pPr>
        <w:widowControl w:val="0"/>
        <w:numPr>
          <w:ilvl w:val="0"/>
          <w:numId w:val="0"/>
        </w:numPr>
        <w:tabs>
          <w:tab w:val="left" w:pos="709"/>
          <w:tab w:val="left" w:pos="840"/>
        </w:tabs>
        <w:adjustRightInd w:val="0"/>
        <w:snapToGrid w:val="0"/>
        <w:spacing w:before="0" w:beforeAutospacing="0" w:after="0" w:afterAutospacing="0" w:line="360" w:lineRule="auto"/>
        <w:ind w:left="0" w:firstLine="420" w:firstLineChars="200"/>
        <w:jc w:val="both"/>
        <w:textAlignment w:val="baseline"/>
        <w:rPr>
          <w:rFonts w:ascii="宋体" w:eastAsia="宋体" w:hAnsi="宋体" w:cs="宋体" w:hint="eastAsia"/>
          <w:lang w:eastAsia="zh-CN"/>
        </w:rPr>
      </w:pPr>
      <w:r>
        <w:rPr>
          <w:rFonts w:ascii="宋体" w:eastAsia="宋体" w:hAnsi="宋体" w:cs="宋体" w:hint="eastAsia"/>
          <w:lang w:eastAsia="zh-CN"/>
        </w:rPr>
        <w:t>第2次付款,自项目实施开始之日起第3个月，根据考核验收结果，支付第2个月的物业服务费用，甲方支付乙方合同金额8.33%的款项;</w:t>
      </w:r>
    </w:p>
    <w:p>
      <w:pPr>
        <w:widowControl w:val="0"/>
        <w:numPr>
          <w:ilvl w:val="0"/>
          <w:numId w:val="0"/>
        </w:numPr>
        <w:tabs>
          <w:tab w:val="left" w:pos="709"/>
          <w:tab w:val="left" w:pos="840"/>
        </w:tabs>
        <w:adjustRightInd w:val="0"/>
        <w:snapToGrid w:val="0"/>
        <w:spacing w:before="0" w:beforeAutospacing="0" w:after="0" w:afterAutospacing="0" w:line="360" w:lineRule="auto"/>
        <w:ind w:left="0" w:firstLine="420" w:firstLineChars="200"/>
        <w:jc w:val="both"/>
        <w:textAlignment w:val="baseline"/>
        <w:rPr>
          <w:rFonts w:ascii="宋体" w:eastAsia="宋体" w:hAnsi="宋体" w:cs="宋体" w:hint="eastAsia"/>
          <w:lang w:eastAsia="zh-CN"/>
        </w:rPr>
      </w:pPr>
      <w:r>
        <w:rPr>
          <w:rFonts w:ascii="宋体" w:eastAsia="宋体" w:hAnsi="宋体" w:cs="宋体" w:hint="eastAsia"/>
          <w:lang w:eastAsia="zh-CN"/>
        </w:rPr>
        <w:t>第3次付款,自项目实施开始之日起第4个月，根据考核验收结果，支付第3个月的物业服务费用，甲方支付乙方合同金额8.33%的款项;</w:t>
      </w:r>
    </w:p>
    <w:p>
      <w:pPr>
        <w:widowControl w:val="0"/>
        <w:numPr>
          <w:ilvl w:val="0"/>
          <w:numId w:val="0"/>
        </w:numPr>
        <w:tabs>
          <w:tab w:val="left" w:pos="709"/>
          <w:tab w:val="left" w:pos="840"/>
        </w:tabs>
        <w:adjustRightInd w:val="0"/>
        <w:snapToGrid w:val="0"/>
        <w:spacing w:before="0" w:beforeAutospacing="0" w:after="0" w:afterAutospacing="0" w:line="360" w:lineRule="auto"/>
        <w:ind w:left="0" w:firstLine="420" w:firstLineChars="200"/>
        <w:jc w:val="both"/>
        <w:textAlignment w:val="baseline"/>
        <w:rPr>
          <w:rFonts w:ascii="宋体" w:eastAsia="宋体" w:hAnsi="宋体" w:cs="宋体" w:hint="eastAsia"/>
          <w:lang w:eastAsia="zh-CN"/>
        </w:rPr>
      </w:pPr>
      <w:r>
        <w:rPr>
          <w:rFonts w:ascii="宋体" w:eastAsia="宋体" w:hAnsi="宋体" w:cs="宋体" w:hint="eastAsia"/>
          <w:lang w:eastAsia="zh-CN"/>
        </w:rPr>
        <w:t>第4次付款,自项目实施开始之日起第5个月，根据考核验收结果，支付第4个月的物业服务费用，甲方支付乙方合同金额8.33%的款项;</w:t>
      </w:r>
    </w:p>
    <w:p>
      <w:pPr>
        <w:widowControl w:val="0"/>
        <w:numPr>
          <w:ilvl w:val="0"/>
          <w:numId w:val="0"/>
        </w:numPr>
        <w:tabs>
          <w:tab w:val="left" w:pos="709"/>
          <w:tab w:val="left" w:pos="840"/>
        </w:tabs>
        <w:adjustRightInd w:val="0"/>
        <w:snapToGrid w:val="0"/>
        <w:spacing w:before="0" w:beforeAutospacing="0" w:after="0" w:afterAutospacing="0" w:line="360" w:lineRule="auto"/>
        <w:ind w:left="0" w:firstLine="420" w:firstLineChars="200"/>
        <w:jc w:val="both"/>
        <w:textAlignment w:val="baseline"/>
        <w:rPr>
          <w:rFonts w:ascii="宋体" w:eastAsia="宋体" w:hAnsi="宋体" w:cs="宋体" w:hint="eastAsia"/>
          <w:lang w:eastAsia="zh-CN"/>
        </w:rPr>
      </w:pPr>
      <w:r>
        <w:rPr>
          <w:rFonts w:ascii="宋体" w:eastAsia="宋体" w:hAnsi="宋体" w:cs="宋体" w:hint="eastAsia"/>
          <w:lang w:eastAsia="zh-CN"/>
        </w:rPr>
        <w:t>第5次付款,自项目实施开始之日起第6个月，根据考核验收结果，支付第5个月的物业服务费用，甲方支付乙方合同金额8.33%的款项;</w:t>
      </w:r>
    </w:p>
    <w:p>
      <w:pPr>
        <w:widowControl w:val="0"/>
        <w:numPr>
          <w:ilvl w:val="0"/>
          <w:numId w:val="0"/>
        </w:numPr>
        <w:tabs>
          <w:tab w:val="left" w:pos="709"/>
          <w:tab w:val="left" w:pos="840"/>
        </w:tabs>
        <w:adjustRightInd w:val="0"/>
        <w:snapToGrid w:val="0"/>
        <w:spacing w:before="0" w:beforeAutospacing="0" w:after="0" w:afterAutospacing="0" w:line="360" w:lineRule="auto"/>
        <w:ind w:left="0" w:firstLine="420" w:firstLineChars="200"/>
        <w:jc w:val="both"/>
        <w:textAlignment w:val="baseline"/>
        <w:rPr>
          <w:rFonts w:ascii="宋体" w:eastAsia="宋体" w:hAnsi="宋体" w:cs="宋体" w:hint="eastAsia"/>
          <w:lang w:eastAsia="zh-CN"/>
        </w:rPr>
      </w:pPr>
      <w:r>
        <w:rPr>
          <w:rFonts w:ascii="宋体" w:eastAsia="宋体" w:hAnsi="宋体" w:cs="宋体" w:hint="eastAsia"/>
          <w:lang w:eastAsia="zh-CN"/>
        </w:rPr>
        <w:t>第6次付款,自项目实施开始之日起第7个月，根据考核验收结果，支付第6个月的物业服务费用，甲方支付乙方合同金额8.33%的款项;</w:t>
      </w:r>
    </w:p>
    <w:p>
      <w:pPr>
        <w:widowControl w:val="0"/>
        <w:numPr>
          <w:ilvl w:val="0"/>
          <w:numId w:val="0"/>
        </w:numPr>
        <w:tabs>
          <w:tab w:val="left" w:pos="709"/>
          <w:tab w:val="left" w:pos="840"/>
        </w:tabs>
        <w:adjustRightInd w:val="0"/>
        <w:snapToGrid w:val="0"/>
        <w:spacing w:before="0" w:beforeAutospacing="0" w:after="0" w:afterAutospacing="0" w:line="360" w:lineRule="auto"/>
        <w:ind w:left="0" w:firstLine="420" w:firstLineChars="200"/>
        <w:jc w:val="both"/>
        <w:textAlignment w:val="baseline"/>
        <w:rPr>
          <w:rFonts w:ascii="宋体" w:eastAsia="宋体" w:hAnsi="宋体" w:cs="宋体" w:hint="eastAsia"/>
          <w:lang w:eastAsia="zh-CN"/>
        </w:rPr>
      </w:pPr>
      <w:r>
        <w:rPr>
          <w:rFonts w:ascii="宋体" w:eastAsia="宋体" w:hAnsi="宋体" w:cs="宋体" w:hint="eastAsia"/>
          <w:lang w:eastAsia="zh-CN"/>
        </w:rPr>
        <w:t>第7次付款,自项目实施开始之日起第8个月，根据考核验收结果，支付第7个月的物业服务费用，甲方支付乙方合同金额8.33%的款项;</w:t>
      </w:r>
    </w:p>
    <w:p>
      <w:pPr>
        <w:widowControl w:val="0"/>
        <w:numPr>
          <w:ilvl w:val="0"/>
          <w:numId w:val="0"/>
        </w:numPr>
        <w:tabs>
          <w:tab w:val="left" w:pos="709"/>
          <w:tab w:val="left" w:pos="840"/>
        </w:tabs>
        <w:adjustRightInd w:val="0"/>
        <w:snapToGrid w:val="0"/>
        <w:spacing w:before="0" w:beforeAutospacing="0" w:after="0" w:afterAutospacing="0" w:line="360" w:lineRule="auto"/>
        <w:ind w:left="0" w:firstLine="420" w:firstLineChars="200"/>
        <w:jc w:val="both"/>
        <w:textAlignment w:val="baseline"/>
        <w:rPr>
          <w:rFonts w:ascii="宋体" w:eastAsia="宋体" w:hAnsi="宋体" w:cs="宋体" w:hint="eastAsia"/>
          <w:lang w:eastAsia="zh-CN"/>
        </w:rPr>
      </w:pPr>
      <w:r>
        <w:rPr>
          <w:rFonts w:ascii="宋体" w:eastAsia="宋体" w:hAnsi="宋体" w:cs="宋体" w:hint="eastAsia"/>
          <w:lang w:eastAsia="zh-CN"/>
        </w:rPr>
        <w:t>第8次付款,自项目实施开始之日起第9个月，根据考核验收结果，支付第8个月的物业服务费用，甲方支付乙方合同金额8.33%的款项;</w:t>
      </w:r>
    </w:p>
    <w:p>
      <w:pPr>
        <w:widowControl w:val="0"/>
        <w:numPr>
          <w:ilvl w:val="0"/>
          <w:numId w:val="0"/>
        </w:numPr>
        <w:tabs>
          <w:tab w:val="left" w:pos="709"/>
          <w:tab w:val="left" w:pos="840"/>
        </w:tabs>
        <w:adjustRightInd w:val="0"/>
        <w:snapToGrid w:val="0"/>
        <w:spacing w:before="0" w:beforeAutospacing="0" w:after="0" w:afterAutospacing="0" w:line="360" w:lineRule="auto"/>
        <w:ind w:left="0" w:firstLine="420" w:firstLineChars="200"/>
        <w:jc w:val="both"/>
        <w:textAlignment w:val="baseline"/>
        <w:rPr>
          <w:rFonts w:ascii="宋体" w:eastAsia="宋体" w:hAnsi="宋体" w:cs="宋体" w:hint="eastAsia"/>
          <w:lang w:eastAsia="zh-CN"/>
        </w:rPr>
      </w:pPr>
      <w:r>
        <w:rPr>
          <w:rFonts w:ascii="宋体" w:eastAsia="宋体" w:hAnsi="宋体" w:cs="宋体" w:hint="eastAsia"/>
          <w:lang w:eastAsia="zh-CN"/>
        </w:rPr>
        <w:t>第9次付款,自项目实施开始之日起第10个月，根据考核验收结果，支付第9个月的物业服务费用，甲方支付乙方合同金额8.33%的款项;</w:t>
      </w:r>
    </w:p>
    <w:p>
      <w:pPr>
        <w:widowControl w:val="0"/>
        <w:numPr>
          <w:ilvl w:val="0"/>
          <w:numId w:val="0"/>
        </w:numPr>
        <w:tabs>
          <w:tab w:val="left" w:pos="709"/>
          <w:tab w:val="left" w:pos="840"/>
        </w:tabs>
        <w:adjustRightInd w:val="0"/>
        <w:snapToGrid w:val="0"/>
        <w:spacing w:before="0" w:beforeAutospacing="0" w:after="0" w:afterAutospacing="0" w:line="360" w:lineRule="auto"/>
        <w:ind w:left="0" w:firstLine="420" w:firstLineChars="200"/>
        <w:jc w:val="both"/>
        <w:textAlignment w:val="baseline"/>
        <w:rPr>
          <w:rFonts w:ascii="宋体" w:eastAsia="宋体" w:hAnsi="宋体" w:cs="宋体" w:hint="eastAsia"/>
          <w:lang w:eastAsia="zh-CN"/>
        </w:rPr>
      </w:pPr>
      <w:r>
        <w:rPr>
          <w:rFonts w:ascii="宋体" w:eastAsia="宋体" w:hAnsi="宋体" w:cs="宋体" w:hint="eastAsia"/>
          <w:lang w:eastAsia="zh-CN"/>
        </w:rPr>
        <w:t>第10次付款,自项目实施开始之日起第11个月，根据考核验收结果，支付第10个月的物业服务费用，甲方支付乙方合同金额8.33%的款项;</w:t>
      </w:r>
    </w:p>
    <w:p>
      <w:pPr>
        <w:widowControl w:val="0"/>
        <w:numPr>
          <w:ilvl w:val="0"/>
          <w:numId w:val="0"/>
        </w:numPr>
        <w:tabs>
          <w:tab w:val="left" w:pos="709"/>
          <w:tab w:val="left" w:pos="840"/>
        </w:tabs>
        <w:adjustRightInd w:val="0"/>
        <w:snapToGrid w:val="0"/>
        <w:spacing w:before="0" w:beforeAutospacing="0" w:after="0" w:afterAutospacing="0" w:line="360" w:lineRule="auto"/>
        <w:ind w:left="0" w:firstLine="420" w:firstLineChars="200"/>
        <w:jc w:val="both"/>
        <w:textAlignment w:val="baseline"/>
        <w:rPr>
          <w:rFonts w:ascii="宋体" w:eastAsia="宋体" w:hAnsi="宋体" w:cs="宋体" w:hint="eastAsia"/>
          <w:lang w:eastAsia="zh-CN"/>
        </w:rPr>
      </w:pPr>
      <w:r>
        <w:rPr>
          <w:rFonts w:ascii="宋体" w:eastAsia="宋体" w:hAnsi="宋体" w:cs="宋体" w:hint="eastAsia"/>
          <w:lang w:eastAsia="zh-CN"/>
        </w:rPr>
        <w:t>第11次付款,自项目实施开始之日起第12个月，根据考核验收结果，支付第11个月的物业服务费用，甲方支付乙方合同金额8.33%的款项;</w:t>
      </w:r>
    </w:p>
    <w:p>
      <w:pPr>
        <w:widowControl w:val="0"/>
        <w:numPr>
          <w:ilvl w:val="0"/>
          <w:numId w:val="0"/>
        </w:numPr>
        <w:tabs>
          <w:tab w:val="left" w:pos="709"/>
          <w:tab w:val="left" w:pos="840"/>
        </w:tabs>
        <w:adjustRightInd w:val="0"/>
        <w:snapToGrid w:val="0"/>
        <w:spacing w:before="0" w:beforeAutospacing="0" w:after="0" w:afterAutospacing="0" w:line="360" w:lineRule="auto"/>
        <w:ind w:left="0" w:firstLine="420" w:firstLineChars="200"/>
        <w:jc w:val="both"/>
        <w:textAlignment w:val="baseline"/>
        <w:rPr>
          <w:rFonts w:ascii="宋体" w:eastAsia="宋体" w:hAnsi="宋体" w:cs="宋体" w:hint="eastAsia"/>
          <w:lang w:eastAsia="zh-CN"/>
        </w:rPr>
      </w:pPr>
      <w:r>
        <w:rPr>
          <w:rFonts w:ascii="宋体" w:eastAsia="宋体" w:hAnsi="宋体" w:cs="宋体" w:hint="eastAsia"/>
          <w:lang w:eastAsia="zh-CN"/>
        </w:rPr>
        <w:t>第12次付款,自项目实施开始之日起第13个月，根据考核验收结果，支付第12个月的物业服务费用，甲方支付乙方合同金额8.37%的款项。</w:t>
      </w:r>
    </w:p>
    <w:p>
      <w:pPr>
        <w:widowControl w:val="0"/>
        <w:numPr>
          <w:ilvl w:val="0"/>
          <w:numId w:val="0"/>
        </w:numPr>
        <w:tabs>
          <w:tab w:val="left" w:pos="709"/>
          <w:tab w:val="left" w:pos="840"/>
        </w:tabs>
        <w:adjustRightInd w:val="0"/>
        <w:snapToGrid w:val="0"/>
        <w:spacing w:before="0" w:beforeAutospacing="0" w:after="0" w:afterAutospacing="0" w:line="360" w:lineRule="auto"/>
        <w:ind w:left="0" w:firstLine="420" w:firstLineChars="200"/>
        <w:jc w:val="both"/>
        <w:textAlignment w:val="baseline"/>
        <w:rPr>
          <w:rFonts w:ascii="宋体" w:eastAsia="宋体" w:hAnsi="宋体" w:cs="宋体" w:hint="eastAsia"/>
          <w:lang w:eastAsia="zh-CN"/>
        </w:rPr>
      </w:pPr>
      <w:r>
        <w:rPr>
          <w:rFonts w:ascii="宋体" w:eastAsia="宋体" w:hAnsi="宋体" w:cs="宋体" w:hint="eastAsia"/>
          <w:lang w:eastAsia="zh-CN"/>
        </w:rPr>
        <w:t>每次办理付款时，乙方应提供发票、付款申请、付款明细、合同关键页复印件、中标或成交通知书复印件、合同约定的其他资料。涉及验收的，应同时提交       出具的验收意见。</w:t>
      </w:r>
    </w:p>
    <w:p>
      <w:pPr>
        <w:widowControl w:val="0"/>
        <w:numPr>
          <w:ilvl w:val="0"/>
          <w:numId w:val="0"/>
        </w:numPr>
        <w:tabs>
          <w:tab w:val="left" w:pos="709"/>
          <w:tab w:val="left" w:pos="840"/>
        </w:tabs>
        <w:adjustRightInd w:val="0"/>
        <w:snapToGrid w:val="0"/>
        <w:spacing w:before="0" w:beforeAutospacing="0" w:after="0" w:afterAutospacing="0" w:line="360" w:lineRule="auto"/>
        <w:ind w:left="0" w:firstLine="420" w:firstLineChars="200"/>
        <w:jc w:val="both"/>
        <w:textAlignment w:val="baseline"/>
        <w:rPr>
          <w:rFonts w:ascii="宋体" w:eastAsia="宋体" w:hAnsi="宋体" w:cs="宋体" w:hint="eastAsia"/>
          <w:lang w:eastAsia="zh-CN"/>
        </w:rPr>
      </w:pPr>
      <w:r>
        <w:rPr>
          <w:rFonts w:ascii="宋体" w:eastAsia="宋体" w:hAnsi="宋体" w:cs="宋体" w:hint="eastAsia"/>
          <w:lang w:eastAsia="zh-CN"/>
        </w:rPr>
        <w:t>甲方在收到发票等合同约定资料后，进行核实。满足合同约定支付条件的，甲方原则上应当自收到发票后10个工作日内将资金支付到合同约定的乙方账户，双方另有争议除外。因乙方怠于开具发票、开具发票无法通过甲方核验、开具发票不符合甲方要求的，或出现其他无法通过验收情形的，甲方有权拒绝支付相应合同价款直至乙方依约提供发票或其他验收材料，由此导致的甲方逾期付款不属于违反合同约定，无需承担任何责任。</w:t>
      </w:r>
    </w:p>
    <w:p>
      <w:pPr>
        <w:widowControl w:val="0"/>
        <w:numPr>
          <w:ilvl w:val="0"/>
          <w:numId w:val="0"/>
        </w:numPr>
        <w:tabs>
          <w:tab w:val="left" w:pos="709"/>
          <w:tab w:val="left" w:pos="840"/>
        </w:tabs>
        <w:adjustRightInd w:val="0"/>
        <w:snapToGrid w:val="0"/>
        <w:spacing w:before="0" w:beforeAutospacing="0" w:after="0" w:afterAutospacing="0" w:line="360" w:lineRule="auto"/>
        <w:ind w:left="0" w:firstLine="420" w:firstLineChars="200"/>
        <w:jc w:val="both"/>
        <w:textAlignment w:val="baseline"/>
        <w:rPr>
          <w:rFonts w:ascii="宋体" w:eastAsia="宋体" w:hAnsi="宋体" w:cs="宋体" w:hint="eastAsia"/>
          <w:lang w:eastAsia="zh-CN"/>
        </w:rPr>
      </w:pPr>
    </w:p>
    <w:p>
      <w:pPr>
        <w:widowControl w:val="0"/>
        <w:numPr>
          <w:ilvl w:val="0"/>
          <w:numId w:val="0"/>
        </w:numPr>
        <w:tabs>
          <w:tab w:val="left" w:pos="709"/>
          <w:tab w:val="left" w:pos="840"/>
        </w:tabs>
        <w:adjustRightInd w:val="0"/>
        <w:snapToGrid w:val="0"/>
        <w:spacing w:before="0" w:beforeAutospacing="0" w:after="0" w:afterAutospacing="0" w:line="360" w:lineRule="auto"/>
        <w:ind w:left="0" w:firstLine="0"/>
        <w:jc w:val="both"/>
        <w:textAlignment w:val="baseline"/>
        <w:rPr>
          <w:rFonts w:ascii="宋体" w:eastAsia="宋体" w:hAnsi="宋体" w:cs="宋体" w:hint="eastAsia"/>
          <w:lang w:eastAsia="zh-CN"/>
        </w:rPr>
      </w:pP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lang w:eastAsia="zh-CN"/>
        </w:rPr>
      </w:pPr>
      <w:r>
        <w:rPr>
          <w:rFonts w:ascii="宋体" w:eastAsia="宋体" w:hAnsi="宋体" w:cs="宋体" w:hint="eastAsia"/>
          <w:lang w:eastAsia="zh-CN"/>
        </w:rPr>
        <w:t xml:space="preserve">5. 甲方和乙方权利与义务 </w:t>
      </w: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lang w:eastAsia="zh-CN"/>
        </w:rPr>
      </w:pPr>
      <w:r>
        <w:rPr>
          <w:rFonts w:ascii="宋体" w:eastAsia="宋体" w:hAnsi="宋体" w:cs="宋体" w:hint="eastAsia"/>
          <w:lang w:eastAsia="zh-CN"/>
        </w:rPr>
        <w:t>（1）根据采购文件、合同约定的服务范围，甲方有权要求乙方制订年度物业服务工作计划以及其他服务方案并进行审核，并有权检查监督乙方物业管理、服务工作的实施情况。</w:t>
      </w: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lang w:eastAsia="zh-CN"/>
        </w:rPr>
      </w:pPr>
      <w:r>
        <w:rPr>
          <w:rFonts w:ascii="宋体" w:eastAsia="宋体" w:hAnsi="宋体" w:cs="宋体" w:hint="eastAsia"/>
          <w:lang w:eastAsia="zh-CN"/>
        </w:rPr>
        <w:t>（2）甲方有权对乙方及其派驻本物业的工作人员的工作进行指导、监督，并对其工作提出批评或建议，乙方应采取相应措施予以整改。</w:t>
      </w: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lang w:eastAsia="zh-CN"/>
        </w:rPr>
      </w:pPr>
      <w:r>
        <w:rPr>
          <w:rFonts w:ascii="宋体" w:eastAsia="宋体" w:hAnsi="宋体" w:cs="宋体" w:hint="eastAsia"/>
          <w:lang w:eastAsia="zh-CN"/>
        </w:rPr>
        <w:t>（3）甲方有权要求乙方提供服务人员的相关资料，包括劳动合同、工资发放签领表及为从业人员缴纳的社会保险等相关资料，乙方不能及时提供的，甲方有权停付合同费用，乙方超过【5】个工作日仍不能提供的，甲方有权解除合同，同时甲方不承担因此造成的任何损失。</w:t>
      </w: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lang w:eastAsia="zh-CN"/>
        </w:rPr>
      </w:pPr>
      <w:r>
        <w:rPr>
          <w:rFonts w:ascii="宋体" w:eastAsia="宋体" w:hAnsi="宋体" w:cs="宋体" w:hint="eastAsia"/>
          <w:lang w:eastAsia="zh-CN"/>
        </w:rPr>
        <w:t>（4）乙方根据有关法律、法规及本合同的约定，制订物业管理方案、管理制度，开展物业管理服务活动；不得侵害甲方、物业使用人及他人的合法权益，不得利用提供物业管理服务的便利获取不当利益。</w:t>
      </w: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lang w:eastAsia="zh-CN"/>
        </w:rPr>
      </w:pPr>
      <w:r>
        <w:rPr>
          <w:rFonts w:ascii="宋体" w:eastAsia="宋体" w:hAnsi="宋体" w:cs="宋体" w:hint="eastAsia"/>
          <w:lang w:eastAsia="zh-CN"/>
        </w:rPr>
        <w:t>（5）乙方负责编制年度维修、养护计划和大、中修方案，由甲方审核。</w:t>
      </w:r>
    </w:p>
    <w:p>
      <w:pPr>
        <w:widowControl w:val="0"/>
        <w:topLinePunct/>
        <w:autoSpaceDE w:val="0"/>
        <w:autoSpaceDN w:val="0"/>
        <w:snapToGrid w:val="0"/>
        <w:spacing w:before="0" w:beforeAutospacing="0" w:after="0" w:afterAutospacing="0" w:line="360" w:lineRule="auto"/>
        <w:ind w:firstLine="420" w:firstLineChars="200"/>
        <w:jc w:val="both"/>
        <w:outlineLvl w:val="2"/>
        <w:rPr>
          <w:rFonts w:ascii="宋体" w:eastAsia="宋体" w:hAnsi="宋体" w:cs="宋体" w:hint="eastAsia"/>
          <w:lang w:eastAsia="zh-CN"/>
        </w:rPr>
      </w:pPr>
      <w:r>
        <w:rPr>
          <w:rFonts w:ascii="宋体" w:eastAsia="宋体" w:hAnsi="宋体" w:cs="宋体" w:hint="eastAsia"/>
          <w:lang w:eastAsia="zh-CN"/>
        </w:rPr>
        <w:t>（6）乙方按国家或行业管理标准规定与本合同的约定，完成本物业的服务工作。</w:t>
      </w: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lang w:eastAsia="zh-CN"/>
        </w:rPr>
      </w:pPr>
      <w:r>
        <w:rPr>
          <w:rFonts w:ascii="宋体" w:eastAsia="宋体" w:hAnsi="宋体" w:cs="宋体" w:hint="eastAsia"/>
          <w:lang w:eastAsia="zh-CN"/>
        </w:rPr>
        <w:t>（7）乙方不得擅自加价或降低服务质量。</w:t>
      </w: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lang w:eastAsia="zh-CN"/>
        </w:rPr>
      </w:pPr>
      <w:r>
        <w:rPr>
          <w:rFonts w:ascii="宋体" w:eastAsia="宋体" w:hAnsi="宋体" w:cs="宋体" w:hint="eastAsia"/>
          <w:lang w:eastAsia="zh-CN"/>
        </w:rPr>
        <w:t>（8）乙方提供用于物业管理的设施、设备、工具等，并有责任保证上述设施、设备、工具等可以正常使用。</w:t>
      </w: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lang w:eastAsia="zh-CN"/>
        </w:rPr>
      </w:pPr>
      <w:r>
        <w:rPr>
          <w:rFonts w:ascii="宋体" w:eastAsia="宋体" w:hAnsi="宋体" w:cs="宋体" w:hint="eastAsia"/>
          <w:lang w:eastAsia="zh-CN"/>
        </w:rPr>
        <w:t>（9）乙方不得将物业管理整体委托给第三方，需将物业服务区域内的专项服务业务委托给专业性服务企业的，需要事先取得甲方书面同意。</w:t>
      </w: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lang w:eastAsia="zh-CN"/>
        </w:rPr>
      </w:pPr>
      <w:r>
        <w:rPr>
          <w:rFonts w:ascii="宋体" w:eastAsia="宋体" w:hAnsi="宋体" w:cs="宋体" w:hint="eastAsia"/>
          <w:lang w:eastAsia="zh-CN"/>
        </w:rPr>
        <w:t>（10）乙方应当接受甲方的监督、检查和管理，不断完善管理服务，定期向甲方报告本合同的履行情况。</w:t>
      </w: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lang w:eastAsia="zh-CN"/>
        </w:rPr>
      </w:pPr>
      <w:r>
        <w:rPr>
          <w:rFonts w:ascii="宋体" w:eastAsia="宋体" w:hAnsi="宋体" w:cs="宋体" w:hint="eastAsia"/>
          <w:lang w:eastAsia="zh-CN"/>
        </w:rPr>
        <w:t>（11）对物业的公用设施乙方不得擅自占用或改变其使用功能，如需在本物业内改、扩建或完善配套项目，需以书面形式报请甲方许可，待有关部门批准后方可实施。</w:t>
      </w: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lang w:eastAsia="zh-CN"/>
        </w:rPr>
      </w:pPr>
      <w:r>
        <w:rPr>
          <w:rFonts w:ascii="宋体" w:eastAsia="宋体" w:hAnsi="宋体" w:cs="宋体" w:hint="eastAsia"/>
          <w:lang w:eastAsia="zh-CN"/>
        </w:rPr>
        <w:t>（12）乙方所派服务人员为乙方员工，应按照国家法律规定与其员工建立劳动合同关系，发生任何劳动纠纷的，乙方应及时按照法律规定处理相关纠纷，不得影响其向甲方提供的服务活动。</w:t>
      </w: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lang w:eastAsia="zh-CN"/>
        </w:rPr>
      </w:pPr>
      <w:r>
        <w:rPr>
          <w:rFonts w:ascii="宋体" w:eastAsia="宋体" w:hAnsi="宋体" w:cs="宋体" w:hint="eastAsia"/>
          <w:lang w:eastAsia="zh-CN"/>
        </w:rPr>
        <w:t>（13）乙方派遣到本物业的工作人员，应符合物业所在区域相关规定，证件应齐全，特殊岗位应持证上岗；乙方应为其工作人员办理相关保险手续并进行安全教育，对人员安全负责。</w:t>
      </w:r>
      <w:r>
        <w:rPr>
          <w:rFonts w:ascii="宋体" w:eastAsia="宋体" w:hAnsi="宋体" w:cs="宋体" w:hint="eastAsia"/>
          <w:lang w:eastAsia="zh-CN"/>
        </w:rPr>
        <w:t>如产生问题，甲方不承担任何责任。</w:t>
      </w: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lang w:eastAsia="zh-CN"/>
        </w:rPr>
      </w:pPr>
      <w:r>
        <w:rPr>
          <w:rFonts w:ascii="宋体" w:eastAsia="宋体" w:hAnsi="宋体" w:cs="宋体" w:hint="eastAsia"/>
          <w:lang w:eastAsia="zh-CN"/>
        </w:rPr>
        <w:t>（14）乙方建立、妥善保管和正确使用本物业的管理、维修档案，并负责及时记载有关变更情况。</w:t>
      </w: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lang w:eastAsia="zh-CN"/>
        </w:rPr>
      </w:pPr>
      <w:r>
        <w:rPr>
          <w:rFonts w:ascii="宋体" w:eastAsia="宋体" w:hAnsi="宋体" w:cs="宋体" w:hint="eastAsia"/>
          <w:lang w:eastAsia="zh-CN"/>
        </w:rPr>
        <w:t>（15）乙方开展对本物业的相关部位以及设施设备的年度安全检查工作，发现安全隐患应【2】日内予以整改。</w:t>
      </w: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lang w:eastAsia="zh-CN"/>
        </w:rPr>
      </w:pPr>
      <w:r>
        <w:rPr>
          <w:rFonts w:ascii="宋体" w:eastAsia="宋体" w:hAnsi="宋体" w:cs="宋体" w:hint="eastAsia"/>
          <w:lang w:eastAsia="zh-CN"/>
        </w:rPr>
        <w:t>（16）乙方应当协助做好物业管理区域内的安全防范工作。发生安全事故时，乙方在采取应急措施的同时，应当及时向甲方和有关行政管理部门报告，协助做好救助工作。</w:t>
      </w: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lang w:eastAsia="zh-CN"/>
        </w:rPr>
      </w:pPr>
      <w:r>
        <w:rPr>
          <w:rFonts w:ascii="宋体" w:eastAsia="宋体" w:hAnsi="宋体" w:cs="宋体" w:hint="eastAsia"/>
          <w:lang w:eastAsia="zh-CN"/>
        </w:rPr>
        <w:t>（17）本合同终止后甲乙双方不再续约的，按协商时间移交物业管理权，撤出本物业，协助甲方做好物业服务的交接和善后工作，移交或配合甲方移交管理用房和物业管理的全部档案资料等。</w:t>
      </w: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lang w:eastAsia="zh-CN"/>
        </w:rPr>
      </w:pPr>
      <w:r>
        <w:rPr>
          <w:rFonts w:ascii="宋体" w:eastAsia="宋体" w:hAnsi="宋体" w:cs="宋体" w:hint="eastAsia"/>
          <w:lang w:eastAsia="zh-CN"/>
        </w:rPr>
        <w:t>（18）其他：</w:t>
      </w:r>
      <w:r>
        <w:rPr>
          <w:rFonts w:ascii="宋体" w:eastAsia="宋体" w:hAnsi="宋体" w:cs="宋体" w:hint="eastAsia"/>
          <w:lang w:eastAsia="zh-CN"/>
        </w:rPr>
        <w:t>无</w:t>
      </w: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lang w:eastAsia="zh-CN"/>
        </w:rPr>
      </w:pPr>
      <w:r>
        <w:rPr>
          <w:rFonts w:ascii="宋体" w:eastAsia="宋体" w:hAnsi="宋体" w:cs="宋体" w:hint="eastAsia"/>
          <w:lang w:eastAsia="zh-CN"/>
        </w:rPr>
        <w:t>6.合同签订及生效</w:t>
      </w:r>
    </w:p>
    <w:p>
      <w:pPr>
        <w:widowControl w:val="0"/>
        <w:tabs>
          <w:tab w:val="left" w:pos="700"/>
        </w:tabs>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Calibri" w:eastAsia="宋体" w:hAnsi="Calibri" w:cs="宋体" w:hint="eastAsia"/>
          <w:kern w:val="2"/>
          <w:lang w:eastAsia="zh-CN"/>
        </w:rPr>
        <w:t>本合同一式__份，甲方持__份，乙方持__份，</w:t>
      </w:r>
      <w:r>
        <w:rPr>
          <w:rFonts w:ascii="Calibri" w:eastAsia="宋体" w:hAnsi="Calibri" w:cs="宋体" w:hint="eastAsia"/>
          <w:kern w:val="2"/>
          <w:highlight w:val="lightGray"/>
          <w:lang w:eastAsia="zh-CN"/>
        </w:rPr>
        <w:t>各份正本</w:t>
      </w:r>
      <w:r>
        <w:rPr>
          <w:rFonts w:ascii="Calibri" w:eastAsia="宋体" w:hAnsi="Calibri" w:cs="宋体" w:hint="eastAsia"/>
          <w:kern w:val="2"/>
          <w:lang w:eastAsia="zh-CN"/>
        </w:rPr>
        <w:t>均具有同等法律效力。经甲乙双方法定代表人或其授权代表签字且加盖公章（或加盖合同章）后生效。</w:t>
      </w:r>
    </w:p>
    <w:p>
      <w:pPr>
        <w:widowControl w:val="0"/>
        <w:tabs>
          <w:tab w:val="left" w:pos="700"/>
        </w:tabs>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u w:val="single"/>
          <w:lang w:eastAsia="zh-CN"/>
        </w:rPr>
      </w:pPr>
      <w:r>
        <w:rPr>
          <w:rFonts w:ascii="宋体" w:eastAsia="宋体" w:hAnsi="宋体" w:cs="宋体" w:hint="eastAsia"/>
          <w:kern w:val="2"/>
          <w:lang w:eastAsia="zh-CN"/>
        </w:rPr>
        <w:t>合同订立地点：</w:t>
      </w:r>
      <w:r>
        <w:rPr>
          <w:rFonts w:ascii="宋体" w:eastAsia="宋体" w:hAnsi="宋体" w:cs="宋体" w:hint="eastAsia"/>
          <w:kern w:val="2"/>
          <w:u w:val="single"/>
          <w:lang w:eastAsia="zh-CN"/>
        </w:rPr>
        <w:t xml:space="preserve"> </w:t>
      </w:r>
      <w:r>
        <w:rPr>
          <w:rFonts w:ascii="宋体" w:eastAsia="宋体" w:hAnsi="宋体" w:cs="宋体" w:hint="eastAsia"/>
          <w:kern w:val="2"/>
          <w:u w:val="single"/>
          <w:lang w:eastAsia="zh-CN"/>
        </w:rPr>
        <w:t>吉林市丰满区三亚路</w:t>
      </w:r>
      <w:r>
        <w:rPr>
          <w:rFonts w:ascii="宋体" w:eastAsia="宋体" w:hAnsi="宋体" w:cs="宋体" w:hint="eastAsia"/>
          <w:kern w:val="2"/>
          <w:u w:val="single"/>
          <w:lang w:eastAsia="zh-CN"/>
        </w:rPr>
        <w:t>33号</w:t>
      </w:r>
      <w:r>
        <w:rPr>
          <w:rFonts w:ascii="宋体" w:eastAsia="宋体" w:hAnsi="宋体" w:cs="宋体" w:hint="eastAsia"/>
          <w:kern w:val="2"/>
          <w:u w:val="single"/>
          <w:lang w:eastAsia="zh-CN"/>
        </w:rPr>
        <w:t xml:space="preserve">  </w:t>
      </w:r>
    </w:p>
    <w:p>
      <w:pPr>
        <w:widowControl w:val="0"/>
        <w:tabs>
          <w:tab w:val="left" w:pos="700"/>
        </w:tabs>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b/>
          <w:kern w:val="2"/>
          <w:highlight w:val="yellow"/>
          <w:lang w:eastAsia="zh-CN"/>
        </w:rPr>
      </w:pPr>
    </w:p>
    <w:p>
      <w:pPr>
        <w:widowControl w:val="0"/>
        <w:tabs>
          <w:tab w:val="left" w:pos="700"/>
        </w:tabs>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highlight w:val="magenta"/>
          <w:u w:val="single"/>
          <w:lang w:eastAsia="zh-CN"/>
        </w:rPr>
      </w:pPr>
    </w:p>
    <w:p>
      <w:pPr>
        <w:widowControl w:val="0"/>
        <w:tabs>
          <w:tab w:val="left" w:pos="700"/>
        </w:tabs>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p>
    <w:p>
      <w:pPr>
        <w:widowControl w:val="0"/>
        <w:tabs>
          <w:tab w:val="left" w:pos="700"/>
        </w:tabs>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p>
    <w:p>
      <w:pPr>
        <w:widowControl w:val="0"/>
        <w:tabs>
          <w:tab w:val="left" w:pos="700"/>
        </w:tabs>
        <w:topLinePunct/>
        <w:autoSpaceDE w:val="0"/>
        <w:autoSpaceDN w:val="0"/>
        <w:snapToGrid w:val="0"/>
        <w:spacing w:before="0" w:beforeAutospacing="0" w:after="0" w:afterAutospacing="0" w:line="360" w:lineRule="auto"/>
        <w:jc w:val="both"/>
        <w:rPr>
          <w:rFonts w:ascii="宋体" w:eastAsia="宋体" w:hAnsi="宋体" w:cs="宋体" w:hint="eastAsia"/>
          <w:kern w:val="2"/>
          <w:lang w:eastAsia="zh-CN"/>
        </w:rPr>
      </w:pPr>
    </w:p>
    <w:p>
      <w:pPr>
        <w:widowControl w:val="0"/>
        <w:tabs>
          <w:tab w:val="left" w:pos="700"/>
        </w:tabs>
        <w:topLinePunct/>
        <w:autoSpaceDE w:val="0"/>
        <w:autoSpaceDN w:val="0"/>
        <w:snapToGrid w:val="0"/>
        <w:spacing w:before="0" w:beforeAutospacing="0" w:after="0" w:afterAutospacing="0" w:line="360" w:lineRule="auto"/>
        <w:jc w:val="both"/>
        <w:rPr>
          <w:rFonts w:ascii="宋体" w:eastAsia="宋体" w:hAnsi="宋体" w:cs="宋体" w:hint="eastAsia"/>
          <w:kern w:val="2"/>
          <w:lang w:eastAsia="zh-CN"/>
        </w:rPr>
      </w:pPr>
    </w:p>
    <w:p>
      <w:pPr>
        <w:widowControl w:val="0"/>
        <w:tabs>
          <w:tab w:val="left" w:pos="700"/>
        </w:tabs>
        <w:topLinePunct/>
        <w:autoSpaceDE w:val="0"/>
        <w:autoSpaceDN w:val="0"/>
        <w:snapToGrid w:val="0"/>
        <w:spacing w:before="0" w:beforeAutospacing="0" w:after="0" w:afterAutospacing="0" w:line="360" w:lineRule="auto"/>
        <w:ind w:left="360"/>
        <w:jc w:val="both"/>
        <w:rPr>
          <w:rFonts w:ascii="宋体" w:eastAsia="宋体" w:hAnsi="宋体" w:cs="宋体" w:hint="eastAsia"/>
          <w:kern w:val="2"/>
          <w:lang w:eastAsia="zh-CN"/>
        </w:rPr>
      </w:pPr>
      <w:r>
        <w:rPr>
          <w:rFonts w:ascii="宋体" w:eastAsia="宋体" w:hAnsi="宋体" w:cs="宋体" w:hint="eastAsia"/>
          <w:kern w:val="2"/>
          <w:lang w:eastAsia="zh-CN"/>
        </w:rPr>
        <w:t xml:space="preserve">甲方： </w:t>
      </w:r>
      <w:r>
        <w:rPr>
          <w:rFonts w:ascii="FangSong_GB2312" w:eastAsia="FangSong_GB2312" w:hAnsi="FangSong_GB2312" w:cs="FangSong_GB2312" w:hint="eastAsia"/>
          <w:kern w:val="2"/>
          <w:sz w:val="32"/>
          <w:szCs w:val="32"/>
          <w:u w:val="single"/>
          <w:lang w:eastAsia="zh-CN"/>
        </w:rPr>
        <w:t xml:space="preserve">                     </w:t>
      </w:r>
      <w:r>
        <w:rPr>
          <w:rFonts w:ascii="宋体" w:eastAsia="宋体" w:hAnsi="宋体" w:cs="宋体" w:hint="eastAsia"/>
          <w:kern w:val="2"/>
          <w:lang w:eastAsia="zh-CN"/>
        </w:rPr>
        <w:t xml:space="preserve"> </w:t>
      </w:r>
    </w:p>
    <w:p>
      <w:pPr>
        <w:widowControl w:val="0"/>
        <w:tabs>
          <w:tab w:val="left" w:pos="700"/>
        </w:tabs>
        <w:topLinePunct/>
        <w:autoSpaceDE w:val="0"/>
        <w:autoSpaceDN w:val="0"/>
        <w:snapToGrid w:val="0"/>
        <w:spacing w:before="0" w:beforeAutospacing="0" w:after="0" w:afterAutospacing="0" w:line="360" w:lineRule="auto"/>
        <w:ind w:left="360"/>
        <w:jc w:val="both"/>
        <w:rPr>
          <w:rFonts w:ascii="宋体" w:eastAsia="宋体" w:hAnsi="宋体" w:cs="宋体" w:hint="eastAsia"/>
          <w:kern w:val="2"/>
          <w:highlight w:val="lightGray"/>
          <w:lang w:eastAsia="zh-CN"/>
        </w:rPr>
      </w:pPr>
      <w:r>
        <w:rPr>
          <w:rFonts w:ascii="宋体" w:eastAsia="宋体" w:hAnsi="宋体" w:cs="宋体" w:hint="eastAsia"/>
          <w:kern w:val="2"/>
          <w:lang w:eastAsia="zh-CN"/>
        </w:rPr>
        <w:t xml:space="preserve">法定代表人（授权代表人）：              </w:t>
      </w:r>
    </w:p>
    <w:p>
      <w:pPr>
        <w:widowControl w:val="0"/>
        <w:tabs>
          <w:tab w:val="left" w:pos="700"/>
        </w:tabs>
        <w:topLinePunct/>
        <w:autoSpaceDE w:val="0"/>
        <w:autoSpaceDN w:val="0"/>
        <w:snapToGrid w:val="0"/>
        <w:spacing w:before="0" w:beforeAutospacing="0" w:after="0" w:afterAutospacing="0" w:line="360" w:lineRule="auto"/>
        <w:ind w:left="360"/>
        <w:jc w:val="both"/>
        <w:rPr>
          <w:rFonts w:ascii="宋体" w:eastAsia="宋体" w:hAnsi="宋体" w:cs="宋体" w:hint="eastAsia"/>
          <w:kern w:val="2"/>
          <w:lang w:eastAsia="zh-CN"/>
        </w:rPr>
      </w:pPr>
    </w:p>
    <w:p>
      <w:pPr>
        <w:widowControl w:val="0"/>
        <w:tabs>
          <w:tab w:val="left" w:pos="700"/>
        </w:tabs>
        <w:topLinePunct/>
        <w:autoSpaceDE w:val="0"/>
        <w:autoSpaceDN w:val="0"/>
        <w:snapToGrid w:val="0"/>
        <w:spacing w:before="0" w:beforeAutospacing="0" w:after="0" w:afterAutospacing="0" w:line="360" w:lineRule="auto"/>
        <w:ind w:left="360"/>
        <w:jc w:val="both"/>
        <w:rPr>
          <w:rFonts w:ascii="FangSong_GB2312" w:eastAsia="FangSong_GB2312" w:hAnsi="FangSong_GB2312" w:cs="FangSong_GB2312" w:hint="eastAsia"/>
          <w:kern w:val="2"/>
          <w:sz w:val="32"/>
          <w:szCs w:val="32"/>
          <w:u w:val="single"/>
          <w:lang w:eastAsia="zh-CN"/>
        </w:rPr>
      </w:pPr>
      <w:r>
        <w:rPr>
          <w:rFonts w:ascii="宋体" w:eastAsia="宋体" w:hAnsi="宋体" w:cs="宋体" w:hint="eastAsia"/>
          <w:kern w:val="2"/>
          <w:lang w:eastAsia="zh-CN"/>
        </w:rPr>
        <w:t>乙方：</w:t>
      </w:r>
      <w:r>
        <w:rPr>
          <w:rFonts w:ascii="FangSong_GB2312" w:eastAsia="FangSong_GB2312" w:hAnsi="FangSong_GB2312" w:cs="FangSong_GB2312" w:hint="eastAsia"/>
          <w:kern w:val="2"/>
          <w:sz w:val="32"/>
          <w:szCs w:val="32"/>
          <w:u w:val="single"/>
          <w:lang w:eastAsia="zh-CN"/>
        </w:rPr>
        <w:t xml:space="preserve">                      </w:t>
      </w:r>
    </w:p>
    <w:p>
      <w:pPr>
        <w:widowControl w:val="0"/>
        <w:tabs>
          <w:tab w:val="left" w:pos="700"/>
        </w:tabs>
        <w:topLinePunct/>
        <w:autoSpaceDE w:val="0"/>
        <w:autoSpaceDN w:val="0"/>
        <w:snapToGrid w:val="0"/>
        <w:spacing w:before="0" w:beforeAutospacing="0" w:after="0" w:afterAutospacing="0" w:line="360" w:lineRule="auto"/>
        <w:ind w:left="360"/>
        <w:jc w:val="both"/>
        <w:rPr>
          <w:rFonts w:ascii="宋体" w:eastAsia="宋体" w:hAnsi="宋体" w:cs="宋体" w:hint="eastAsia"/>
          <w:kern w:val="2"/>
          <w:highlight w:val="lightGray"/>
          <w:lang w:eastAsia="zh-CN"/>
        </w:rPr>
      </w:pPr>
      <w:r>
        <w:rPr>
          <w:rFonts w:ascii="宋体" w:eastAsia="宋体" w:hAnsi="宋体" w:cs="宋体" w:hint="eastAsia"/>
          <w:kern w:val="2"/>
          <w:lang w:eastAsia="zh-CN"/>
        </w:rPr>
        <w:t>法定代表人（授权代表人）：</w:t>
      </w:r>
    </w:p>
    <w:p>
      <w:pPr>
        <w:widowControl w:val="0"/>
        <w:tabs>
          <w:tab w:val="left" w:pos="700"/>
        </w:tabs>
        <w:topLinePunct/>
        <w:autoSpaceDE w:val="0"/>
        <w:autoSpaceDN w:val="0"/>
        <w:snapToGrid w:val="0"/>
        <w:spacing w:before="0" w:beforeAutospacing="0" w:after="0" w:afterAutospacing="0" w:line="360" w:lineRule="auto"/>
        <w:ind w:left="360"/>
        <w:jc w:val="both"/>
        <w:rPr>
          <w:rFonts w:ascii="FangSong_GB2312" w:eastAsia="FangSong_GB2312" w:hAnsi="FangSong_GB2312" w:cs="FangSong_GB2312" w:hint="eastAsia"/>
          <w:kern w:val="2"/>
          <w:sz w:val="32"/>
          <w:szCs w:val="32"/>
          <w:u w:val="single"/>
          <w:lang w:eastAsia="zh-CN"/>
        </w:rPr>
      </w:pPr>
    </w:p>
    <w:p>
      <w:pPr>
        <w:widowControl w:val="0"/>
        <w:tabs>
          <w:tab w:val="left" w:pos="700"/>
        </w:tabs>
        <w:topLinePunct/>
        <w:autoSpaceDE w:val="0"/>
        <w:autoSpaceDN w:val="0"/>
        <w:snapToGrid w:val="0"/>
        <w:spacing w:before="0" w:beforeAutospacing="0" w:after="0" w:afterAutospacing="0" w:line="360" w:lineRule="auto"/>
        <w:ind w:left="360"/>
        <w:jc w:val="both"/>
        <w:rPr>
          <w:rFonts w:ascii="宋体" w:eastAsia="宋体" w:hAnsi="宋体" w:cs="宋体" w:hint="eastAsia"/>
          <w:kern w:val="2"/>
          <w:lang w:eastAsia="zh-CN"/>
        </w:rPr>
      </w:pPr>
      <w:r>
        <w:rPr>
          <w:rFonts w:ascii="宋体" w:eastAsia="宋体" w:hAnsi="宋体" w:cs="宋体" w:hint="eastAsia"/>
          <w:kern w:val="2"/>
          <w:lang w:eastAsia="zh-CN"/>
        </w:rPr>
        <w:t xml:space="preserve">盖章：                                  </w:t>
      </w:r>
    </w:p>
    <w:p>
      <w:pPr>
        <w:widowControl w:val="0"/>
        <w:tabs>
          <w:tab w:val="left" w:pos="700"/>
        </w:tabs>
        <w:topLinePunct/>
        <w:autoSpaceDE w:val="0"/>
        <w:autoSpaceDN w:val="0"/>
        <w:snapToGrid w:val="0"/>
        <w:spacing w:before="0" w:beforeAutospacing="0" w:after="0" w:afterAutospacing="0" w:line="360" w:lineRule="auto"/>
        <w:ind w:left="360"/>
        <w:jc w:val="both"/>
        <w:rPr>
          <w:rFonts w:ascii="宋体" w:eastAsia="宋体" w:hAnsi="宋体" w:cs="宋体" w:hint="eastAsia"/>
          <w:kern w:val="2"/>
          <w:lang w:eastAsia="zh-CN"/>
        </w:rPr>
      </w:pPr>
      <w:r>
        <w:rPr>
          <w:rFonts w:ascii="宋体" w:eastAsia="宋体" w:hAnsi="宋体" w:cs="宋体" w:hint="eastAsia"/>
          <w:kern w:val="2"/>
          <w:lang w:eastAsia="zh-CN"/>
        </w:rPr>
        <w:t xml:space="preserve">签署人：                               </w:t>
      </w:r>
    </w:p>
    <w:p>
      <w:pPr>
        <w:widowControl w:val="0"/>
        <w:tabs>
          <w:tab w:val="left" w:pos="700"/>
        </w:tabs>
        <w:topLinePunct/>
        <w:autoSpaceDE w:val="0"/>
        <w:autoSpaceDN w:val="0"/>
        <w:snapToGrid w:val="0"/>
        <w:spacing w:before="0" w:beforeAutospacing="0" w:after="0" w:afterAutospacing="0" w:line="360" w:lineRule="auto"/>
        <w:ind w:left="360"/>
        <w:jc w:val="both"/>
        <w:rPr>
          <w:rFonts w:ascii="宋体" w:eastAsia="宋体" w:hAnsi="宋体" w:cs="宋体" w:hint="eastAsia"/>
          <w:b/>
          <w:kern w:val="2"/>
          <w:lang w:eastAsia="zh-CN"/>
        </w:rPr>
      </w:pPr>
      <w:r>
        <w:rPr>
          <w:rFonts w:ascii="宋体" w:eastAsia="宋体" w:hAnsi="宋体" w:cs="宋体" w:hint="eastAsia"/>
          <w:kern w:val="2"/>
          <w:lang w:eastAsia="zh-CN"/>
        </w:rPr>
        <w:t>日期：    年    月    日</w:t>
      </w:r>
    </w:p>
    <w:p>
      <w:pPr>
        <w:widowControl w:val="0"/>
        <w:topLinePunct/>
        <w:autoSpaceDE w:val="0"/>
        <w:autoSpaceDN w:val="0"/>
        <w:snapToGrid w:val="0"/>
        <w:spacing w:before="0" w:beforeAutospacing="0" w:after="0" w:afterAutospacing="0" w:line="360" w:lineRule="auto"/>
        <w:jc w:val="center"/>
        <w:outlineLvl w:val="1"/>
        <w:rPr>
          <w:rFonts w:ascii="宋体" w:eastAsia="宋体" w:hAnsi="宋体" w:cs="宋体" w:hint="eastAsia"/>
          <w:b/>
          <w:kern w:val="2"/>
          <w:lang w:eastAsia="zh-CN"/>
        </w:rPr>
      </w:pPr>
      <w:r>
        <w:rPr>
          <w:rFonts w:ascii="宋体" w:eastAsia="宋体" w:hAnsi="宋体" w:cs="宋体" w:hint="eastAsia"/>
          <w:b/>
          <w:kern w:val="2"/>
          <w:lang w:eastAsia="zh-CN"/>
        </w:rPr>
        <w:br w:type="page"/>
      </w:r>
      <w:r>
        <w:rPr>
          <w:rFonts w:ascii="宋体" w:eastAsia="宋体" w:hAnsi="宋体" w:cs="宋体" w:hint="eastAsia"/>
          <w:b/>
          <w:kern w:val="2"/>
          <w:lang w:eastAsia="zh-CN"/>
        </w:rPr>
        <w:t>二   合 同 通 用 条 款</w:t>
      </w: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b/>
          <w:kern w:val="2"/>
          <w:lang w:eastAsia="zh-CN"/>
        </w:rPr>
      </w:pPr>
      <w:r>
        <w:rPr>
          <w:rFonts w:ascii="宋体" w:eastAsia="宋体" w:hAnsi="宋体" w:cs="宋体" w:hint="eastAsia"/>
          <w:b/>
          <w:kern w:val="2"/>
          <w:lang w:eastAsia="zh-CN"/>
        </w:rPr>
        <w:t>1. 定义</w:t>
      </w:r>
    </w:p>
    <w:p>
      <w:pPr>
        <w:widowControl w:val="0"/>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本合同下列术语应解释为：</w:t>
      </w:r>
    </w:p>
    <w:p>
      <w:pPr>
        <w:widowControl w:val="0"/>
        <w:tabs>
          <w:tab w:val="left" w:pos="700"/>
        </w:tabs>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1.1“甲方”是指</w:t>
      </w:r>
      <w:r>
        <w:rPr>
          <w:rFonts w:ascii="宋体" w:eastAsia="宋体" w:hAnsi="宋体" w:cs="宋体" w:hint="eastAsia"/>
          <w:kern w:val="2"/>
          <w:u w:val="single"/>
          <w:lang w:eastAsia="zh-CN"/>
        </w:rPr>
        <w:t>国家税务总局</w:t>
      </w:r>
      <w:r>
        <w:rPr>
          <w:rFonts w:ascii="宋体" w:eastAsia="宋体" w:hAnsi="宋体" w:cs="宋体" w:hint="eastAsia"/>
          <w:kern w:val="2"/>
          <w:u w:val="single"/>
          <w:lang w:eastAsia="zh-CN"/>
        </w:rPr>
        <w:t>吉林市</w:t>
      </w:r>
      <w:r>
        <w:rPr>
          <w:rFonts w:ascii="宋体" w:eastAsia="宋体" w:hAnsi="宋体" w:cs="宋体" w:hint="eastAsia"/>
          <w:kern w:val="2"/>
          <w:u w:val="single"/>
          <w:lang w:eastAsia="zh-CN"/>
        </w:rPr>
        <w:t>税务局</w:t>
      </w:r>
      <w:r>
        <w:rPr>
          <w:rFonts w:ascii="宋体" w:eastAsia="宋体" w:hAnsi="宋体" w:cs="宋体" w:hint="eastAsia"/>
          <w:kern w:val="2"/>
          <w:lang w:eastAsia="zh-CN"/>
        </w:rPr>
        <w:t>。</w:t>
      </w:r>
    </w:p>
    <w:p>
      <w:pPr>
        <w:widowControl w:val="0"/>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1.1.1“甲方采购部门”见“合同条款前附表”第6项“甲方采购部门”。</w:t>
      </w:r>
    </w:p>
    <w:p>
      <w:pPr>
        <w:widowControl w:val="0"/>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1.1.2“甲方需求部门（或验收牵头部门）”见“合同条款前附表”第6项“甲方需求部门（或验收牵头部门）”。</w:t>
      </w:r>
    </w:p>
    <w:p>
      <w:pPr>
        <w:widowControl w:val="0"/>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1.2“乙方”见“合同条款前附表”第7项“乙方名称”。</w:t>
      </w:r>
    </w:p>
    <w:p>
      <w:pPr>
        <w:widowControl w:val="0"/>
        <w:tabs>
          <w:tab w:val="left" w:pos="700"/>
        </w:tabs>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1.3 “合同”系指甲乙双方签订的、合同格式中载明的甲乙双方所达成的协议，包括所有的附件、附录和上述文件所提到的构成合同的所有文件。</w:t>
      </w:r>
    </w:p>
    <w:p>
      <w:pPr>
        <w:widowControl w:val="0"/>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1.4 “天”除非特别指出，“天”均为自然天。</w:t>
      </w:r>
    </w:p>
    <w:p>
      <w:pPr>
        <w:widowControl w:val="0"/>
        <w:topLinePunct/>
        <w:autoSpaceDE w:val="0"/>
        <w:autoSpaceDN w:val="0"/>
        <w:snapToGrid w:val="0"/>
        <w:spacing w:before="0" w:beforeAutospacing="0" w:after="0" w:afterAutospacing="0" w:line="360" w:lineRule="auto"/>
        <w:ind w:left="480"/>
        <w:jc w:val="both"/>
        <w:rPr>
          <w:rFonts w:ascii="宋体" w:eastAsia="宋体" w:hAnsi="宋体" w:cs="宋体" w:hint="eastAsia"/>
          <w:kern w:val="2"/>
          <w:lang w:eastAsia="zh-CN"/>
        </w:rPr>
      </w:pP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b/>
          <w:kern w:val="2"/>
          <w:lang w:eastAsia="zh-CN"/>
        </w:rPr>
      </w:pPr>
      <w:r>
        <w:rPr>
          <w:rFonts w:ascii="宋体" w:eastAsia="宋体" w:hAnsi="宋体" w:cs="宋体" w:hint="eastAsia"/>
          <w:b/>
          <w:kern w:val="2"/>
          <w:lang w:eastAsia="zh-CN"/>
        </w:rPr>
        <w:t>2. 标准</w:t>
      </w:r>
    </w:p>
    <w:p>
      <w:pPr>
        <w:widowControl w:val="0"/>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2.1 乙方为甲方交付或提供的服务应符合招标（采购）文件所述的标准，如果没有提及适用标准，则应符合相应的国家标准。这些标准必须是有关机构发布的最新版本的标准。</w:t>
      </w:r>
    </w:p>
    <w:p>
      <w:pPr>
        <w:widowControl w:val="0"/>
        <w:snapToGrid w:val="0"/>
        <w:spacing w:before="0" w:beforeAutospacing="0" w:after="0" w:afterAutospacing="0" w:line="360" w:lineRule="auto"/>
        <w:ind w:firstLine="420" w:firstLineChars="200"/>
        <w:jc w:val="both"/>
        <w:rPr>
          <w:rFonts w:ascii="宋体" w:eastAsia="宋体" w:hAnsi="宋体" w:cs="宋体" w:hint="eastAsia"/>
          <w:kern w:val="2"/>
          <w:sz w:val="21"/>
          <w:lang w:eastAsia="zh-CN"/>
        </w:rPr>
      </w:pPr>
      <w:r>
        <w:rPr>
          <w:rFonts w:ascii="宋体" w:eastAsia="宋体" w:hAnsi="宋体" w:cs="宋体" w:hint="eastAsia"/>
          <w:kern w:val="2"/>
          <w:lang w:eastAsia="zh-CN"/>
        </w:rPr>
        <w:t>2.2 除非技术要求中另有规定，计量单位均采用中华人民共和国法定计量单位。</w:t>
      </w:r>
    </w:p>
    <w:p>
      <w:pPr>
        <w:widowControl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b/>
          <w:kern w:val="2"/>
          <w:lang w:eastAsia="zh-CN"/>
        </w:rPr>
      </w:pPr>
      <w:r>
        <w:rPr>
          <w:rFonts w:ascii="宋体" w:eastAsia="宋体" w:hAnsi="宋体" w:cs="宋体" w:hint="eastAsia"/>
          <w:b/>
          <w:kern w:val="2"/>
          <w:lang w:eastAsia="zh-CN"/>
        </w:rPr>
        <w:t>3. 服务</w:t>
      </w:r>
    </w:p>
    <w:p>
      <w:pPr>
        <w:widowControl w:val="0"/>
        <w:tabs>
          <w:tab w:val="left" w:pos="700"/>
        </w:tabs>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3.1 本项目的“服务”见</w:t>
      </w:r>
      <w:r>
        <w:rPr>
          <w:rFonts w:ascii="宋体" w:eastAsia="宋体" w:hAnsi="宋体" w:cs="宋体" w:hint="eastAsia"/>
          <w:kern w:val="2"/>
          <w:lang w:eastAsia="zh-CN"/>
        </w:rPr>
        <w:t>“</w:t>
      </w:r>
      <w:r>
        <w:rPr>
          <w:rFonts w:ascii="宋体" w:eastAsia="宋体" w:hAnsi="宋体" w:cs="宋体" w:hint="eastAsia"/>
          <w:kern w:val="2"/>
          <w:lang w:eastAsia="zh-CN"/>
        </w:rPr>
        <w:t>合同条款前附表”第9项“服务内容”。具体要求详见采购文件项目采购需求</w:t>
      </w:r>
      <w:r>
        <w:rPr>
          <w:rFonts w:ascii="宋体" w:eastAsia="宋体" w:hAnsi="宋体" w:cs="宋体" w:hint="eastAsia"/>
          <w:kern w:val="2"/>
          <w:lang w:eastAsia="zh-CN"/>
        </w:rPr>
        <w:t>。</w:t>
      </w:r>
    </w:p>
    <w:p>
      <w:pPr>
        <w:widowControl w:val="0"/>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3.2 乙方应保证所提供的服务符合合同规定的技术要求。如不符时，乙方应负全责并在限期内尽快处理解决，由此造成的损失和相关费用由乙方承担，甲方保留解除合同及索赔的权利。</w:t>
      </w:r>
    </w:p>
    <w:p>
      <w:pPr>
        <w:widowControl w:val="0"/>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3.3 乙方应保证通过执行合同中全部方案后，可以取得本合同约定的结果，达到本合同约定的预期目标。对任何情况下出现的问题，应在甲方要求的限定期限内尽快提出解决方案。</w:t>
      </w:r>
    </w:p>
    <w:p>
      <w:pPr>
        <w:widowControl w:val="0"/>
        <w:tabs>
          <w:tab w:val="left" w:pos="0"/>
          <w:tab w:val="left" w:pos="540"/>
        </w:tabs>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3.4 如果乙方提供的服务和解决方案不符合甲方要求，或在规定的时间内没有弥补缺陷，甲方有权采取一切必要的补救措施，由此产生的费用和甲方的损失全部由乙方负责。</w:t>
      </w:r>
    </w:p>
    <w:p>
      <w:pPr>
        <w:widowControl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3.5 除合同条款另行规定外，伴随服务的费用已全部含在合同总金额中，不单独进行支付。</w:t>
      </w:r>
    </w:p>
    <w:p>
      <w:pPr>
        <w:widowControl w:val="0"/>
        <w:snapToGrid w:val="0"/>
        <w:spacing w:before="0" w:beforeAutospacing="0" w:after="0" w:afterAutospacing="0" w:line="360" w:lineRule="auto"/>
        <w:jc w:val="both"/>
        <w:rPr>
          <w:rFonts w:ascii="宋体" w:eastAsia="宋体" w:hAnsi="宋体" w:cs="宋体" w:hint="eastAsia"/>
          <w:kern w:val="2"/>
          <w:lang w:eastAsia="zh-CN"/>
        </w:rPr>
      </w:pP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b/>
          <w:kern w:val="2"/>
          <w:lang w:eastAsia="zh-CN"/>
        </w:rPr>
      </w:pPr>
      <w:r>
        <w:rPr>
          <w:rFonts w:ascii="宋体" w:eastAsia="宋体" w:hAnsi="宋体" w:cs="宋体" w:hint="eastAsia"/>
          <w:b/>
          <w:kern w:val="2"/>
          <w:lang w:eastAsia="zh-CN"/>
        </w:rPr>
        <w:t>4. 知识产权</w:t>
      </w:r>
    </w:p>
    <w:p>
      <w:pPr>
        <w:widowControl w:val="0"/>
        <w:snapToGrid w:val="0"/>
        <w:spacing w:before="0" w:beforeAutospacing="0" w:after="0" w:afterAutospacing="0" w:line="360" w:lineRule="auto"/>
        <w:ind w:firstLine="420" w:firstLineChars="200"/>
        <w:jc w:val="both"/>
        <w:rPr>
          <w:rFonts w:ascii="宋体" w:eastAsia="宋体" w:hAnsi="宋体" w:hint="eastAsia"/>
          <w:kern w:val="2"/>
          <w:lang w:eastAsia="zh-CN"/>
        </w:rPr>
      </w:pPr>
      <w:r>
        <w:rPr>
          <w:rFonts w:ascii="宋体" w:eastAsia="宋体" w:hAnsi="宋体" w:hint="eastAsia"/>
          <w:kern w:val="2"/>
          <w:lang w:eastAsia="zh-CN"/>
        </w:rPr>
        <w:t>4.1 乙方应保证所提供的服务免受第三方提出侵犯其知识产权（专利权、商标权、软件著作权、版权等）、所有权、担保物权等事宜的起诉。如果甲方在使用乙方货物或货物的任何一部分过程中，第三方提出货物侵犯其专利权、工业设计权、使用权等知识产权、所有权、担保物权等事宜的，乙方应当修正以避免侵权。如果甲方在使用乙方货物或货物的任何一部分过程中，第三方指控侵犯其专利权、工业设计权、使用权等知识产权、所有权、担保物权等事宜的，乙方应自费为甲方答辩，并支付法院最终判决的甲方应支付第三方的一切费用、赔偿甲方由此遭受的损失。</w:t>
      </w:r>
    </w:p>
    <w:p>
      <w:pPr>
        <w:widowControl w:val="0"/>
        <w:tabs>
          <w:tab w:val="left" w:pos="0"/>
          <w:tab w:val="left" w:pos="540"/>
        </w:tabs>
        <w:topLinePunct/>
        <w:autoSpaceDE w:val="0"/>
        <w:autoSpaceDN w:val="0"/>
        <w:snapToGrid w:val="0"/>
        <w:spacing w:before="0" w:beforeAutospacing="0" w:after="0" w:afterAutospacing="0" w:line="360" w:lineRule="auto"/>
        <w:ind w:firstLine="420" w:firstLineChars="200"/>
        <w:jc w:val="both"/>
        <w:rPr>
          <w:rFonts w:ascii="宋体" w:eastAsia="宋体" w:hAnsi="宋体" w:hint="eastAsia"/>
          <w:kern w:val="2"/>
          <w:lang w:eastAsia="zh-CN"/>
        </w:rPr>
      </w:pPr>
      <w:r>
        <w:rPr>
          <w:rFonts w:ascii="宋体" w:eastAsia="宋体" w:hAnsi="宋体" w:hint="eastAsia"/>
          <w:kern w:val="2"/>
          <w:lang w:eastAsia="zh-CN"/>
        </w:rPr>
        <w:t>4.2 甲方对项目实施过程中所产生的所有成果（包括发明、发现、可运行系统、源代码及相关技术资料、文档等）享有永久使用权、复制权和修改权，其专利申请权、专利权、软件著作权、技术秘密的所有权、使用权、转让权等知识产权归甲方所有。</w:t>
      </w:r>
    </w:p>
    <w:p>
      <w:pPr>
        <w:widowControl w:val="0"/>
        <w:tabs>
          <w:tab w:val="left" w:pos="0"/>
          <w:tab w:val="left" w:pos="540"/>
        </w:tabs>
        <w:topLinePunct/>
        <w:autoSpaceDE w:val="0"/>
        <w:autoSpaceDN w:val="0"/>
        <w:adjustRightInd w:val="0"/>
        <w:snapToGrid w:val="0"/>
        <w:spacing w:before="0" w:beforeAutospacing="0" w:after="0" w:afterAutospacing="0" w:line="360" w:lineRule="auto"/>
        <w:ind w:firstLine="420" w:firstLineChars="200"/>
        <w:jc w:val="both"/>
        <w:rPr>
          <w:rFonts w:ascii="宋体" w:eastAsia="宋体" w:hAnsi="宋体" w:hint="eastAsia"/>
          <w:kern w:val="2"/>
          <w:lang w:eastAsia="zh-CN"/>
        </w:rPr>
      </w:pPr>
      <w:r>
        <w:rPr>
          <w:rFonts w:ascii="宋体" w:eastAsia="宋体" w:hAnsi="宋体" w:cs="宋体" w:hint="eastAsia"/>
          <w:kern w:val="2"/>
          <w:lang w:eastAsia="zh-CN"/>
        </w:rPr>
        <w:t>4.3 乙方不得利用</w:t>
      </w:r>
      <w:r>
        <w:rPr>
          <w:rFonts w:ascii="宋体" w:eastAsia="宋体" w:hAnsi="宋体" w:cs="宋体" w:hint="eastAsia"/>
          <w:bCs/>
          <w:kern w:val="2"/>
          <w:lang w:eastAsia="zh-CN"/>
        </w:rPr>
        <w:t>本项目实施过程中</w:t>
      </w:r>
      <w:r>
        <w:rPr>
          <w:rFonts w:ascii="宋体" w:eastAsia="宋体" w:hAnsi="宋体" w:cs="宋体" w:hint="eastAsia"/>
          <w:kern w:val="2"/>
          <w:lang w:eastAsia="zh-CN"/>
        </w:rPr>
        <w:t>所产生的成果（包括发明、发现、可运行系统、源代码及相关技术资料、文档等），另行自行开发本合同业务范围内供纳税人缴费人使用的软件或产品，不得利用开发便利变相收费或搭车收费。</w:t>
      </w:r>
    </w:p>
    <w:p>
      <w:pPr>
        <w:widowControl w:val="0"/>
        <w:topLinePunct/>
        <w:autoSpaceDE w:val="0"/>
        <w:autoSpaceDN w:val="0"/>
        <w:snapToGrid w:val="0"/>
        <w:spacing w:before="0" w:beforeAutospacing="0" w:after="0" w:afterAutospacing="0" w:line="360" w:lineRule="auto"/>
        <w:jc w:val="both"/>
        <w:rPr>
          <w:rFonts w:ascii="宋体" w:eastAsia="宋体" w:hAnsi="宋体" w:cs="宋体" w:hint="eastAsia"/>
          <w:kern w:val="2"/>
          <w:lang w:eastAsia="zh-CN"/>
        </w:rPr>
      </w:pP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b/>
          <w:kern w:val="2"/>
          <w:lang w:eastAsia="zh-CN"/>
        </w:rPr>
      </w:pPr>
      <w:r>
        <w:rPr>
          <w:rFonts w:ascii="宋体" w:eastAsia="宋体" w:hAnsi="宋体" w:cs="宋体" w:hint="eastAsia"/>
          <w:b/>
          <w:kern w:val="2"/>
          <w:lang w:eastAsia="zh-CN"/>
        </w:rPr>
        <w:t>5. 保密条款</w:t>
      </w:r>
    </w:p>
    <w:p>
      <w:pPr>
        <w:widowControl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5.1 甲乙双方应对在本合同签订或履行过程中所接触的对方信息，包括但不限于知识产权、技术资料、技术诀窍、内部管理及其他相关信息，负有保密义务。</w:t>
      </w:r>
    </w:p>
    <w:p>
      <w:pPr>
        <w:widowControl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5.2 乙方在使用甲方为乙方及其工作人员提供的</w:t>
      </w:r>
      <w:r>
        <w:rPr>
          <w:rFonts w:ascii="宋体" w:eastAsia="宋体" w:hAnsi="宋体" w:cs="宋体" w:hint="eastAsia"/>
          <w:kern w:val="2"/>
          <w:lang w:eastAsia="zh-CN"/>
        </w:rPr>
        <w:t>全部信息（包括但不限于：</w:t>
      </w:r>
      <w:r>
        <w:rPr>
          <w:rFonts w:ascii="宋体" w:eastAsia="宋体" w:hAnsi="宋体" w:cs="宋体" w:hint="eastAsia"/>
          <w:kern w:val="2"/>
          <w:lang w:eastAsia="zh-CN"/>
        </w:rPr>
        <w:t>数据、程序、用户名、口令、资料及甲方相关的业务和技术文档，包括税收政策、方案设计细节、程序文件、数据结构，以及相关业务系统的软硬件、文档、测试和测试产生的数据等）时，应遵循以下规定：</w:t>
      </w:r>
    </w:p>
    <w:p>
      <w:pPr>
        <w:widowControl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（1） 应以审慎态度避免泄漏、公开或传播甲方的信息；</w:t>
      </w:r>
    </w:p>
    <w:p>
      <w:pPr>
        <w:widowControl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（2） 在开发过程中对数据的处理方式应事先得到甲方的许可；</w:t>
      </w:r>
    </w:p>
    <w:p>
      <w:pPr>
        <w:widowControl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（3） 未经甲方书面许可，不得对有关信息进行修改、补充、复制；</w:t>
      </w:r>
    </w:p>
    <w:p>
      <w:pPr>
        <w:widowControl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（4） 未经甲方书面许可，不得将信息以任何方式（如E-mail）携带出甲方场所；</w:t>
      </w:r>
    </w:p>
    <w:p>
      <w:pPr>
        <w:widowControl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 xml:space="preserve">（5） 未经甲方书面许可，不得将信息透露给任何其他人； </w:t>
      </w:r>
    </w:p>
    <w:p>
      <w:pPr>
        <w:widowControl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（6） 严禁在提交的软件产品中设置远程维护接口和后门程序；</w:t>
      </w:r>
    </w:p>
    <w:p>
      <w:pPr>
        <w:widowControl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（7） 不得进行系统软硬件设备的远程维护；</w:t>
      </w:r>
    </w:p>
    <w:p>
      <w:pPr>
        <w:widowControl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（8） 甲方以书面形式提出的其他保密措施。</w:t>
      </w:r>
    </w:p>
    <w:p>
      <w:pPr>
        <w:widowControl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5.3 保密期限不受合同有效期的限制，在合同有效期结束后，信息接受方仍应承担保密义务，直至该等信息成为公开信息。</w:t>
      </w:r>
    </w:p>
    <w:p>
      <w:pPr>
        <w:widowControl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5.4 甲乙双方如出现泄密行为，泄密方应承担相关的法律责任，包括但不限于对由此给对方造成的经济损失进行赔偿。</w:t>
      </w:r>
    </w:p>
    <w:p>
      <w:pPr>
        <w:widowControl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b/>
          <w:kern w:val="2"/>
          <w:lang w:eastAsia="zh-CN"/>
        </w:rPr>
      </w:pPr>
      <w:r>
        <w:rPr>
          <w:rFonts w:ascii="宋体" w:eastAsia="宋体" w:hAnsi="宋体" w:cs="宋体" w:hint="eastAsia"/>
          <w:b/>
          <w:kern w:val="2"/>
          <w:lang w:eastAsia="zh-CN"/>
        </w:rPr>
        <w:t>6.项目管理</w:t>
      </w:r>
    </w:p>
    <w:p>
      <w:pPr>
        <w:widowControl w:val="0"/>
        <w:adjustRightInd w:val="0"/>
        <w:snapToGrid w:val="0"/>
        <w:spacing w:before="0" w:beforeAutospacing="0" w:after="0" w:afterAutospacing="0" w:line="360" w:lineRule="auto"/>
        <w:jc w:val="both"/>
        <w:rPr>
          <w:rFonts w:ascii="宋体" w:eastAsia="宋体" w:hAnsi="宋体" w:cs="宋体" w:hint="eastAsia"/>
          <w:kern w:val="2"/>
          <w:lang w:eastAsia="zh-CN"/>
        </w:rPr>
      </w:pPr>
      <w:r>
        <w:rPr>
          <w:rFonts w:ascii="宋体" w:eastAsia="宋体" w:hAnsi="宋体" w:cs="宋体" w:hint="eastAsia"/>
          <w:kern w:val="2"/>
          <w:lang w:eastAsia="zh-CN"/>
        </w:rPr>
        <w:t xml:space="preserve">    6.1 乙方应按照甲方项目整编归档内容、整理标准质量、移交时间等档案管理要求，对项目相关文件进行收集、整理、归档并移交。</w:t>
      </w:r>
    </w:p>
    <w:p>
      <w:pPr>
        <w:widowControl w:val="0"/>
        <w:adjustRightInd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6.2 乙方应按甲方要求，配合做好政务信息系统安全检查、评测、审计、工程监理等监督管理工作及</w:t>
      </w:r>
      <w:r>
        <w:rPr>
          <w:rFonts w:ascii="宋体" w:eastAsia="宋体" w:hAnsi="宋体" w:cs="宋体"/>
          <w:kern w:val="2"/>
          <w:lang w:val="en" w:eastAsia="zh-CN"/>
        </w:rPr>
        <w:t>系统间数据交互和衔接</w:t>
      </w:r>
      <w:r>
        <w:rPr>
          <w:rFonts w:ascii="宋体" w:eastAsia="宋体" w:hAnsi="宋体" w:cs="宋体" w:hint="eastAsia"/>
          <w:kern w:val="2"/>
          <w:lang w:eastAsia="zh-CN"/>
        </w:rPr>
        <w:t>工作，如实、完整提供政务信息系统建设、运营、维护和政务数据安全管理相关情况，不得拒绝、隐匿、瞒报。</w:t>
      </w:r>
    </w:p>
    <w:p>
      <w:pPr>
        <w:widowControl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b/>
          <w:kern w:val="2"/>
          <w:lang w:eastAsia="zh-CN"/>
        </w:rPr>
      </w:pPr>
      <w:r>
        <w:rPr>
          <w:rFonts w:ascii="宋体" w:eastAsia="宋体" w:hAnsi="宋体" w:cs="宋体"/>
          <w:b/>
          <w:kern w:val="2"/>
          <w:lang w:val="en" w:eastAsia="zh-CN"/>
        </w:rPr>
        <w:t>7</w:t>
      </w:r>
      <w:r>
        <w:rPr>
          <w:rFonts w:ascii="宋体" w:eastAsia="宋体" w:hAnsi="宋体" w:cs="宋体" w:hint="eastAsia"/>
          <w:b/>
          <w:kern w:val="2"/>
          <w:lang w:eastAsia="zh-CN"/>
        </w:rPr>
        <w:t>. 履约验收</w:t>
      </w:r>
    </w:p>
    <w:p>
      <w:pPr>
        <w:widowControl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kern w:val="2"/>
          <w:lang w:val="en" w:eastAsia="zh-CN"/>
        </w:rPr>
        <w:t>7</w:t>
      </w:r>
      <w:r>
        <w:rPr>
          <w:rFonts w:ascii="宋体" w:eastAsia="宋体" w:hAnsi="宋体" w:cs="宋体" w:hint="eastAsia"/>
          <w:kern w:val="2"/>
          <w:lang w:eastAsia="zh-CN"/>
        </w:rPr>
        <w:t xml:space="preserve">.1 </w:t>
      </w:r>
      <w:r>
        <w:rPr>
          <w:rFonts w:ascii="宋体" w:eastAsia="宋体" w:hAnsi="宋体" w:cs="宋体" w:hint="eastAsia"/>
          <w:kern w:val="2"/>
          <w:u w:val="single"/>
          <w:lang w:eastAsia="zh-CN"/>
        </w:rPr>
        <w:t xml:space="preserve">        </w:t>
      </w:r>
      <w:r>
        <w:rPr>
          <w:rFonts w:ascii="宋体" w:eastAsia="宋体" w:hAnsi="宋体" w:cs="宋体" w:hint="eastAsia"/>
          <w:kern w:val="2"/>
          <w:lang w:eastAsia="zh-CN"/>
        </w:rPr>
        <w:t>应严格按照采购合同开展履约验收。验收时,应当按照本合同约定的技术、服务和安全标准，对乙方各项义务履行情况进行验收确认。未约定相关标准的，应当按照国家强制性规定、政策要求、安全标准和行业有关标准进行验收确认。验收结束后，应当出具验收意见，列明合同事项、验收标准及验收情况，由全体验收人员签字。</w:t>
      </w:r>
    </w:p>
    <w:p>
      <w:pPr>
        <w:widowControl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kern w:val="2"/>
          <w:lang w:val="en" w:eastAsia="zh-CN"/>
        </w:rPr>
        <w:t>7</w:t>
      </w:r>
      <w:r>
        <w:rPr>
          <w:rFonts w:ascii="宋体" w:eastAsia="宋体" w:hAnsi="宋体" w:cs="宋体" w:hint="eastAsia"/>
          <w:kern w:val="2"/>
          <w:lang w:eastAsia="zh-CN"/>
        </w:rPr>
        <w:t>.2 具体履约验收要求及验收方案详见招标（采购）文件。</w:t>
      </w:r>
    </w:p>
    <w:p>
      <w:pPr>
        <w:widowControl w:val="0"/>
        <w:spacing w:before="0" w:beforeAutospacing="0" w:after="0" w:afterAutospacing="0" w:line="259" w:lineRule="auto"/>
        <w:jc w:val="both"/>
        <w:rPr>
          <w:rFonts w:eastAsia="宋体"/>
          <w:kern w:val="2"/>
          <w:sz w:val="21"/>
          <w:lang w:eastAsia="zh-CN"/>
        </w:rPr>
      </w:pPr>
    </w:p>
    <w:p>
      <w:pPr>
        <w:widowControl w:val="0"/>
        <w:numPr>
          <w:ilvl w:val="0"/>
          <w:numId w:val="13"/>
        </w:numPr>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b/>
          <w:kern w:val="2"/>
          <w:lang w:eastAsia="zh-CN"/>
        </w:rPr>
      </w:pPr>
      <w:r>
        <w:rPr>
          <w:rFonts w:ascii="宋体" w:eastAsia="宋体" w:hAnsi="宋体" w:cs="宋体" w:hint="eastAsia"/>
          <w:b/>
          <w:kern w:val="2"/>
          <w:lang w:eastAsia="zh-CN"/>
        </w:rPr>
        <w:t>履约保证金（本项目不涉及此条款）</w:t>
      </w:r>
    </w:p>
    <w:p>
      <w:pPr>
        <w:widowControl w:val="0"/>
        <w:topLinePunct/>
        <w:autoSpaceDE w:val="0"/>
        <w:autoSpaceDN w:val="0"/>
        <w:snapToGrid w:val="0"/>
        <w:spacing w:before="0" w:beforeAutospacing="0" w:after="0" w:afterAutospacing="0" w:line="360" w:lineRule="auto"/>
        <w:ind w:firstLine="420" w:firstLineChars="200"/>
        <w:jc w:val="both"/>
        <w:outlineLvl w:val="2"/>
        <w:rPr>
          <w:rFonts w:ascii="宋体" w:eastAsia="宋体" w:hAnsi="宋体" w:cs="宋体" w:hint="eastAsia"/>
          <w:kern w:val="2"/>
          <w:lang w:eastAsia="zh-CN"/>
        </w:rPr>
      </w:pPr>
      <w:r>
        <w:rPr>
          <w:rFonts w:ascii="宋体" w:eastAsia="宋体" w:hAnsi="宋体" w:cs="宋体" w:hint="eastAsia"/>
          <w:kern w:val="2"/>
          <w:lang w:eastAsia="zh-CN"/>
        </w:rPr>
        <w:t>8.1 需提交履约保证金的项目，乙方应按照“合同条款前附表”第11项“履约保证金及返还”提交履约保证金。</w:t>
      </w:r>
    </w:p>
    <w:p>
      <w:pPr>
        <w:widowControl w:val="0"/>
        <w:tabs>
          <w:tab w:val="left" w:pos="700"/>
        </w:tabs>
        <w:adjustRightInd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8.2 履约保证金的金额可用于补偿甲方因乙方不能完成其合同义务而蒙受的损失。</w:t>
      </w:r>
    </w:p>
    <w:p>
      <w:pPr>
        <w:widowControl w:val="0"/>
        <w:tabs>
          <w:tab w:val="left" w:pos="700"/>
        </w:tabs>
        <w:adjustRightInd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8.3 如乙方未能按时支付合同约定的违约金、赔偿金、其他应付款项等的，甲方有权按照本合同的约定从履约保证金中扣除上述款项。乙方应在甲方扣除履约保证金后15天内，及时补充扣除部分金额。若逾期补充的，每日应按应补充金额的万分之五（0.05%）支付甲方违约金。</w:t>
      </w:r>
    </w:p>
    <w:p>
      <w:pPr>
        <w:widowControl w:val="0"/>
        <w:tabs>
          <w:tab w:val="left" w:pos="700"/>
        </w:tabs>
        <w:adjustRightInd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8.4 乙方不履行合同、或者履行合同义务不符合约定使得合同目的不能实现，履约保证金不予退还，并应按合同约定支付违约金、赔偿金等。</w:t>
      </w:r>
    </w:p>
    <w:p>
      <w:pPr>
        <w:widowControl w:val="0"/>
        <w:tabs>
          <w:tab w:val="left" w:pos="700"/>
        </w:tabs>
        <w:adjustRightInd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8.5 履约保证金在合同履行期满后，扣除相应款项（如有）且双方无争议后，凭返还申请等资料一次性无息返还，详见“合同条款前附表”第11项“履约保证金及返还”。</w:t>
      </w:r>
    </w:p>
    <w:p>
      <w:pPr>
        <w:widowControl w:val="0"/>
        <w:topLinePunct/>
        <w:autoSpaceDE w:val="0"/>
        <w:autoSpaceDN w:val="0"/>
        <w:snapToGrid w:val="0"/>
        <w:spacing w:before="0" w:beforeAutospacing="0" w:after="0" w:afterAutospacing="0" w:line="360" w:lineRule="auto"/>
        <w:jc w:val="both"/>
        <w:rPr>
          <w:rFonts w:ascii="宋体" w:eastAsia="宋体" w:hAnsi="宋体" w:cs="宋体" w:hint="eastAsia"/>
          <w:b/>
          <w:kern w:val="2"/>
          <w:lang w:eastAsia="zh-CN"/>
        </w:rPr>
      </w:pP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b/>
          <w:kern w:val="2"/>
          <w:lang w:eastAsia="zh-CN"/>
        </w:rPr>
      </w:pPr>
      <w:r>
        <w:rPr>
          <w:rFonts w:ascii="宋体" w:eastAsia="宋体" w:hAnsi="宋体" w:cs="宋体" w:hint="eastAsia"/>
          <w:b/>
          <w:kern w:val="2"/>
          <w:lang w:eastAsia="zh-CN"/>
        </w:rPr>
        <w:t>9．履约延误</w:t>
      </w:r>
    </w:p>
    <w:p>
      <w:pPr>
        <w:widowControl w:val="0"/>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9.1 乙方应按照本合同的规定提供服务。</w:t>
      </w:r>
    </w:p>
    <w:p>
      <w:pPr>
        <w:widowControl w:val="0"/>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9.2 如乙方迟延履行合同义务，甲方将从应付合同金额中扣除误期违约金，每延误一天误期违约金按合同总金额的万分之三（0.03%）计收。乙方支付的误期违约金不足以弥补甲方损失的，应继续承担赔偿责任。本合同约定的损失，包括但不限于：直接损失、调查取证费、诉讼费、律师费等</w:t>
      </w:r>
      <w:r>
        <w:rPr>
          <w:rFonts w:ascii="宋体" w:eastAsia="宋体" w:hAnsi="宋体" w:cs="宋体" w:hint="eastAsia"/>
          <w:kern w:val="2"/>
          <w:lang w:eastAsia="zh-CN"/>
        </w:rPr>
        <w:t>一切必要合理的费用</w:t>
      </w:r>
      <w:r>
        <w:rPr>
          <w:rFonts w:ascii="宋体" w:eastAsia="宋体" w:hAnsi="宋体" w:cs="宋体" w:hint="eastAsia"/>
          <w:kern w:val="2"/>
          <w:lang w:eastAsia="zh-CN"/>
        </w:rPr>
        <w:t>。</w:t>
      </w:r>
    </w:p>
    <w:p>
      <w:pPr>
        <w:widowControl w:val="0"/>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9.3 在履行合同过程中，如果乙方可能遇到妨碍按时提供服务的情况时，应及时以书面形式将拖延的事实、可能拖延的期限和理由通知甲方。甲方在收到乙方通知后，应尽快对情况进行评估，并确定是否酌情延长工期以及是否收取误期违约金。</w:t>
      </w:r>
    </w:p>
    <w:p>
      <w:pPr>
        <w:widowControl w:val="0"/>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9.4 除不可抗力和根据合同规定延期取得甲方同意而不收取误期违约金之外，乙方延误工期，将由甲方按合同规定收取误期违约金。</w:t>
      </w:r>
    </w:p>
    <w:p>
      <w:pPr>
        <w:widowControl w:val="0"/>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9.5 逾期退还履约保证金的违约责任。满足履约保证金返还条件的，甲方在收到返还相关信息等合同约定资料后，进行核实。对核实结果无异议的，应当自完成核实之日起30日内返还履约保证金。乙方可要求甲方按照合同订立时1年期贷款市场报价利率支付逾期利息。特殊原因逾期返还的，双方协商解决。</w:t>
      </w:r>
    </w:p>
    <w:p>
      <w:pPr>
        <w:widowControl w:val="0"/>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b/>
          <w:kern w:val="2"/>
          <w:lang w:eastAsia="zh-CN"/>
        </w:rPr>
      </w:pPr>
      <w:r>
        <w:rPr>
          <w:rFonts w:ascii="宋体" w:eastAsia="宋体" w:hAnsi="宋体" w:cs="宋体" w:hint="eastAsia"/>
          <w:b/>
          <w:kern w:val="2"/>
          <w:lang w:eastAsia="zh-CN"/>
        </w:rPr>
        <w:t>10 违约责任</w:t>
      </w:r>
    </w:p>
    <w:p>
      <w:pPr>
        <w:widowControl w:val="0"/>
        <w:topLinePunct/>
        <w:autoSpaceDE w:val="0"/>
        <w:autoSpaceDN w:val="0"/>
        <w:adjustRightInd w:val="0"/>
        <w:snapToGrid w:val="0"/>
        <w:spacing w:before="0" w:beforeAutospacing="0" w:after="0" w:afterAutospacing="0" w:line="360" w:lineRule="auto"/>
        <w:ind w:firstLine="420" w:firstLineChars="200"/>
        <w:jc w:val="both"/>
        <w:rPr>
          <w:rFonts w:ascii="宋体" w:eastAsia="宋体" w:hAnsi="宋体" w:hint="eastAsia"/>
          <w:kern w:val="2"/>
          <w:lang w:eastAsia="zh-CN"/>
        </w:rPr>
      </w:pPr>
    </w:p>
    <w:p>
      <w:pPr>
        <w:widowControl w:val="0"/>
        <w:adjustRightInd w:val="0"/>
        <w:snapToGrid w:val="0"/>
        <w:spacing w:before="0" w:beforeAutospacing="0" w:after="0" w:afterAutospacing="0" w:line="360" w:lineRule="auto"/>
        <w:ind w:firstLine="420" w:firstLineChars="200"/>
        <w:jc w:val="both"/>
        <w:rPr>
          <w:rFonts w:ascii="宋体" w:eastAsia="宋体" w:hAnsi="宋体" w:cs="宋体" w:hint="eastAsia"/>
          <w:bCs/>
          <w:kern w:val="2"/>
          <w:lang w:eastAsia="zh-CN"/>
        </w:rPr>
      </w:pPr>
      <w:r>
        <w:rPr>
          <w:rFonts w:ascii="宋体" w:eastAsia="宋体" w:hAnsi="宋体" w:cs="宋体" w:hint="eastAsia"/>
          <w:bCs/>
          <w:kern w:val="2"/>
          <w:lang w:eastAsia="zh-CN"/>
        </w:rPr>
        <w:t>10.1 乙方在合同履行中要按照本合同约定和甲方要求的数量和标准配备人员；如不能履约，甲方可要求乙方限期整改；逾期不整改或整改后仍不符合本合同约定和甲方要求的，甲方有权终止合同并不支付乙方当期任何费用。同时，甲方有权要求乙方支付当期费用的【20】%作为违约金，违约金不足以弥补甲方损失的，乙方应当予以补足。</w:t>
      </w:r>
    </w:p>
    <w:p>
      <w:pPr>
        <w:widowControl w:val="0"/>
        <w:adjustRightInd w:val="0"/>
        <w:snapToGrid w:val="0"/>
        <w:spacing w:before="0" w:beforeAutospacing="0" w:after="0" w:afterAutospacing="0" w:line="360" w:lineRule="auto"/>
        <w:ind w:firstLine="420" w:firstLineChars="200"/>
        <w:jc w:val="both"/>
        <w:rPr>
          <w:rFonts w:ascii="宋体" w:eastAsia="宋体" w:hAnsi="宋体" w:cs="宋体" w:hint="eastAsia"/>
          <w:bCs/>
          <w:kern w:val="2"/>
          <w:lang w:eastAsia="zh-CN"/>
        </w:rPr>
      </w:pPr>
      <w:r>
        <w:rPr>
          <w:rFonts w:ascii="宋体" w:eastAsia="宋体" w:hAnsi="宋体" w:cs="宋体" w:hint="eastAsia"/>
          <w:bCs/>
          <w:kern w:val="2"/>
          <w:lang w:eastAsia="zh-CN"/>
        </w:rPr>
        <w:t>10.2 甲方对乙方的服务标准和管理目标进行监督和考核，</w:t>
      </w:r>
      <w:r>
        <w:rPr>
          <w:rFonts w:ascii="宋体" w:eastAsia="宋体" w:hAnsi="宋体" w:cs="宋体" w:hint="eastAsia"/>
          <w:bCs/>
          <w:kern w:val="2"/>
          <w:lang w:eastAsia="zh-CN"/>
        </w:rPr>
        <w:t>考核采用百分制，其中:</w:t>
      </w:r>
    </w:p>
    <w:p>
      <w:pPr>
        <w:widowControl w:val="0"/>
        <w:adjustRightInd w:val="0"/>
        <w:snapToGrid w:val="0"/>
        <w:spacing w:before="0" w:beforeAutospacing="0" w:after="0" w:afterAutospacing="0" w:line="360" w:lineRule="auto"/>
        <w:ind w:firstLine="420" w:firstLineChars="200"/>
        <w:jc w:val="both"/>
        <w:rPr>
          <w:rFonts w:ascii="宋体" w:eastAsia="宋体" w:hAnsi="宋体" w:cs="宋体" w:hint="eastAsia"/>
          <w:bCs/>
          <w:kern w:val="2"/>
          <w:lang w:eastAsia="zh-CN"/>
        </w:rPr>
      </w:pPr>
      <w:r>
        <w:rPr>
          <w:rFonts w:ascii="宋体" w:eastAsia="宋体" w:hAnsi="宋体" w:cs="宋体" w:hint="eastAsia"/>
          <w:bCs/>
          <w:kern w:val="2"/>
          <w:lang w:eastAsia="zh-CN"/>
        </w:rPr>
        <w:t>    90分(含)以上为优秀，支付当期合同价款；</w:t>
      </w:r>
    </w:p>
    <w:p>
      <w:pPr>
        <w:widowControl w:val="0"/>
        <w:adjustRightInd w:val="0"/>
        <w:snapToGrid w:val="0"/>
        <w:spacing w:before="0" w:beforeAutospacing="0" w:after="0" w:afterAutospacing="0" w:line="360" w:lineRule="auto"/>
        <w:ind w:firstLine="420" w:firstLineChars="200"/>
        <w:jc w:val="both"/>
        <w:rPr>
          <w:rFonts w:ascii="宋体" w:eastAsia="宋体" w:hAnsi="宋体" w:cs="宋体" w:hint="eastAsia"/>
          <w:bCs/>
          <w:kern w:val="2"/>
          <w:lang w:eastAsia="zh-CN"/>
        </w:rPr>
      </w:pPr>
      <w:r>
        <w:rPr>
          <w:rFonts w:ascii="宋体" w:eastAsia="宋体" w:hAnsi="宋体" w:cs="宋体" w:hint="eastAsia"/>
          <w:bCs/>
          <w:kern w:val="2"/>
          <w:lang w:eastAsia="zh-CN"/>
        </w:rPr>
        <w:t>    90分以下至80分(含)为良，支付当期95%的合同价款；</w:t>
      </w:r>
    </w:p>
    <w:p>
      <w:pPr>
        <w:widowControl w:val="0"/>
        <w:adjustRightInd w:val="0"/>
        <w:snapToGrid w:val="0"/>
        <w:spacing w:before="0" w:beforeAutospacing="0" w:after="0" w:afterAutospacing="0" w:line="360" w:lineRule="auto"/>
        <w:ind w:firstLine="420" w:firstLineChars="200"/>
        <w:jc w:val="both"/>
        <w:rPr>
          <w:rFonts w:ascii="宋体" w:eastAsia="宋体" w:hAnsi="宋体" w:cs="宋体" w:hint="eastAsia"/>
          <w:bCs/>
          <w:kern w:val="2"/>
          <w:lang w:eastAsia="zh-CN"/>
        </w:rPr>
      </w:pPr>
      <w:r>
        <w:rPr>
          <w:rFonts w:ascii="宋体" w:eastAsia="宋体" w:hAnsi="宋体" w:cs="宋体" w:hint="eastAsia"/>
          <w:bCs/>
          <w:kern w:val="2"/>
          <w:lang w:eastAsia="zh-CN"/>
        </w:rPr>
        <w:t>    80分以下为差，支付当期</w:t>
      </w:r>
      <w:r>
        <w:rPr>
          <w:rFonts w:ascii="宋体" w:eastAsia="宋体" w:hAnsi="宋体" w:cs="宋体" w:hint="eastAsia"/>
          <w:bCs/>
          <w:kern w:val="2"/>
          <w:lang w:eastAsia="zh-CN"/>
        </w:rPr>
        <w:t>90</w:t>
      </w:r>
      <w:r>
        <w:rPr>
          <w:rFonts w:ascii="宋体" w:eastAsia="宋体" w:hAnsi="宋体" w:cs="宋体" w:hint="eastAsia"/>
          <w:bCs/>
          <w:kern w:val="2"/>
          <w:lang w:eastAsia="zh-CN"/>
        </w:rPr>
        <w:t>%的合同价款，一年内中标人有2次为 80分以下的，采购人有权不支付中标人当期任何费用并终止合同。同时，采购人有权要求中标人支付当期费用的5%作为违约金，违约金不足以弥补采购人损失的，中标人应当予以补足。因中标人工作人员的工作不认真造成的采购人物品、器具、设备、设施等的损坏由中标人按原价进行赔偿。</w:t>
      </w:r>
    </w:p>
    <w:p>
      <w:pPr>
        <w:widowControl w:val="0"/>
        <w:adjustRightInd w:val="0"/>
        <w:snapToGrid w:val="0"/>
        <w:spacing w:before="0" w:beforeAutospacing="0" w:after="0" w:afterAutospacing="0" w:line="360" w:lineRule="auto"/>
        <w:ind w:firstLine="420" w:firstLineChars="200"/>
        <w:jc w:val="both"/>
        <w:rPr>
          <w:rFonts w:ascii="宋体" w:eastAsia="宋体" w:hAnsi="宋体" w:cs="宋体" w:hint="eastAsia"/>
          <w:bCs/>
          <w:kern w:val="2"/>
          <w:lang w:eastAsia="zh-CN"/>
        </w:rPr>
      </w:pPr>
      <w:r>
        <w:rPr>
          <w:rFonts w:ascii="宋体" w:eastAsia="宋体" w:hAnsi="宋体" w:cs="宋体" w:hint="eastAsia"/>
          <w:bCs/>
          <w:kern w:val="2"/>
          <w:lang w:eastAsia="zh-CN"/>
        </w:rPr>
        <w:t>10.3 乙方因半个月内两天以上(含两天)人员配置不到位或者擅离工作岗位按缺岗计算，采购人有权扣减当季【5】%的物业管理费；</w:t>
      </w:r>
    </w:p>
    <w:p>
      <w:pPr>
        <w:widowControl w:val="0"/>
        <w:adjustRightInd w:val="0"/>
        <w:snapToGrid w:val="0"/>
        <w:spacing w:before="0" w:beforeAutospacing="0" w:after="0" w:afterAutospacing="0" w:line="360" w:lineRule="auto"/>
        <w:ind w:firstLine="420" w:firstLineChars="200"/>
        <w:jc w:val="both"/>
        <w:rPr>
          <w:rFonts w:ascii="宋体" w:eastAsia="宋体" w:hAnsi="宋体" w:cs="宋体" w:hint="eastAsia"/>
          <w:bCs/>
          <w:kern w:val="2"/>
          <w:lang w:eastAsia="zh-CN"/>
        </w:rPr>
      </w:pPr>
      <w:r>
        <w:rPr>
          <w:rFonts w:ascii="宋体" w:eastAsia="宋体" w:hAnsi="宋体" w:cs="宋体" w:hint="eastAsia"/>
          <w:bCs/>
          <w:kern w:val="2"/>
          <w:lang w:eastAsia="zh-CN"/>
        </w:rPr>
        <w:t>10.4 标的物业因乙方出现事故过错责任的，乙方除赔偿甲方或第三人损失外，甲方有权要求乙方按照下列标准支付违约金，其计算基数均为当月的物业管理费。一般事故过错的扣罚比例幅度为【5】%；较大事故过错的扣罚比例幅度为【15】%；重大事故过错的扣罚比例幅度为【25】%。</w:t>
      </w:r>
    </w:p>
    <w:p>
      <w:pPr>
        <w:widowControl/>
        <w:spacing w:before="0" w:beforeAutospacing="0" w:after="0" w:afterAutospacing="0" w:line="360" w:lineRule="auto"/>
        <w:ind w:firstLine="420" w:firstLineChars="200"/>
        <w:jc w:val="left"/>
        <w:rPr>
          <w:rFonts w:ascii="Calibri" w:hAnsi="Calibri"/>
        </w:rPr>
      </w:pPr>
      <w:r>
        <w:rPr>
          <w:rFonts w:ascii="宋体" w:eastAsia="宋体" w:hAnsi="宋体" w:cs="宋体" w:hint="eastAsia"/>
          <w:bCs/>
          <w:kern w:val="2"/>
          <w:lang w:eastAsia="zh-CN"/>
        </w:rPr>
        <w:t>事故过错责任。事故过错责任是指因乙方存在管理责任，导致标的物业发生事故造成财产损失或人身损害的。事故过错责任分三个等级:a、一般事故过错责任，指乙方存在管理责任，但没有发生人身损害，仅出现财产损失，且损失金额达人民币【</w:t>
      </w:r>
      <w:r>
        <w:rPr>
          <w:rFonts w:ascii="宋体" w:eastAsia="宋体" w:hAnsi="宋体" w:cs="宋体" w:hint="eastAsia"/>
          <w:bCs/>
          <w:kern w:val="2"/>
          <w:lang w:eastAsia="zh-CN"/>
        </w:rPr>
        <w:t>2</w:t>
      </w:r>
      <w:r>
        <w:rPr>
          <w:rFonts w:ascii="宋体" w:eastAsia="宋体" w:hAnsi="宋体" w:cs="宋体" w:hint="eastAsia"/>
          <w:bCs/>
          <w:kern w:val="2"/>
          <w:lang w:eastAsia="zh-CN"/>
        </w:rPr>
        <w:t>】万元的情形；b、较大事故过错责任，指乙方存在管理责任，出现人身伤害(低于10级伤残等级鉴定，即没有鉴定法定等级)或财产损失达人民币【</w:t>
      </w:r>
      <w:r>
        <w:rPr>
          <w:rFonts w:ascii="宋体" w:eastAsia="宋体" w:hAnsi="宋体" w:cs="宋体" w:hint="eastAsia"/>
          <w:bCs/>
          <w:kern w:val="2"/>
          <w:lang w:eastAsia="zh-CN"/>
        </w:rPr>
        <w:t>5</w:t>
      </w:r>
      <w:r>
        <w:rPr>
          <w:rFonts w:ascii="宋体" w:eastAsia="宋体" w:hAnsi="宋体" w:cs="宋体" w:hint="eastAsia"/>
          <w:bCs/>
          <w:kern w:val="2"/>
          <w:lang w:eastAsia="zh-CN"/>
        </w:rPr>
        <w:t>】万元的情形:c、重大事故过错责任，指乙方存在管理责任，出现人身伤害(伤残等级10级以上，含10级)或财产损失达人民币【</w:t>
      </w:r>
      <w:r>
        <w:rPr>
          <w:rFonts w:ascii="宋体" w:eastAsia="宋体" w:hAnsi="宋体" w:cs="宋体" w:hint="eastAsia"/>
          <w:bCs/>
          <w:kern w:val="2"/>
          <w:lang w:eastAsia="zh-CN"/>
        </w:rPr>
        <w:t>10</w:t>
      </w:r>
      <w:r>
        <w:rPr>
          <w:rFonts w:ascii="宋体" w:eastAsia="宋体" w:hAnsi="宋体" w:cs="宋体" w:hint="eastAsia"/>
          <w:bCs/>
          <w:kern w:val="2"/>
          <w:lang w:eastAsia="zh-CN"/>
        </w:rPr>
        <w:t>】万元的情形。</w:t>
      </w:r>
    </w:p>
    <w:p>
      <w:pPr>
        <w:widowControl w:val="0"/>
        <w:adjustRightInd w:val="0"/>
        <w:snapToGrid w:val="0"/>
        <w:spacing w:before="0" w:beforeAutospacing="0" w:after="0" w:afterAutospacing="0" w:line="360" w:lineRule="auto"/>
        <w:ind w:firstLine="420" w:firstLineChars="200"/>
        <w:jc w:val="both"/>
        <w:rPr>
          <w:rFonts w:ascii="宋体" w:eastAsia="宋体" w:hAnsi="宋体" w:cs="宋体" w:hint="eastAsia"/>
          <w:bCs/>
          <w:kern w:val="2"/>
          <w:lang w:eastAsia="zh-CN"/>
        </w:rPr>
      </w:pPr>
      <w:r>
        <w:rPr>
          <w:rFonts w:ascii="宋体" w:eastAsia="宋体" w:hAnsi="宋体" w:cs="宋体" w:hint="eastAsia"/>
          <w:bCs/>
          <w:kern w:val="2"/>
          <w:lang w:eastAsia="zh-CN"/>
        </w:rPr>
        <w:t>10.5 未经甲方书面同意，乙方不得将本合同项下权利义务转让给任何第三方。否则，甲方有权终止合同并不支付乙方当期任何费用。同时，甲方有权要求乙方支付</w:t>
      </w:r>
      <w:r>
        <w:rPr>
          <w:rFonts w:ascii="宋体" w:eastAsia="宋体" w:hAnsi="宋体" w:hint="eastAsia"/>
          <w:kern w:val="2"/>
          <w:lang w:eastAsia="zh-CN"/>
        </w:rPr>
        <w:t>甲方合同总金额</w:t>
      </w:r>
      <w:r>
        <w:rPr>
          <w:rFonts w:ascii="宋体" w:eastAsia="宋体" w:hAnsi="宋体" w:cs="宋体" w:hint="eastAsia"/>
          <w:bCs/>
          <w:kern w:val="2"/>
          <w:lang w:eastAsia="zh-CN"/>
        </w:rPr>
        <w:t>【20】%的违约金，违约金不足以弥补甲方损失的，乙方应当予以补足。</w:t>
      </w:r>
    </w:p>
    <w:p>
      <w:pPr>
        <w:widowControl w:val="0"/>
        <w:adjustRightInd w:val="0"/>
        <w:snapToGrid w:val="0"/>
        <w:spacing w:before="0" w:beforeAutospacing="0" w:after="0" w:afterAutospacing="0" w:line="360" w:lineRule="auto"/>
        <w:ind w:firstLine="420" w:firstLineChars="200"/>
        <w:jc w:val="both"/>
        <w:rPr>
          <w:rFonts w:ascii="宋体" w:eastAsia="宋体" w:hAnsi="宋体" w:cs="宋体" w:hint="eastAsia"/>
          <w:bCs/>
          <w:kern w:val="2"/>
          <w:lang w:eastAsia="zh-CN"/>
        </w:rPr>
      </w:pPr>
      <w:r>
        <w:rPr>
          <w:rFonts w:ascii="宋体" w:eastAsia="宋体" w:hAnsi="宋体" w:cs="宋体" w:hint="eastAsia"/>
          <w:bCs/>
          <w:kern w:val="2"/>
          <w:lang w:eastAsia="zh-CN"/>
        </w:rPr>
        <w:t>10.6 乙方人员在提供服务过程中有偷窃或故意破坏行为的，甲方有权终止合同并不支付乙方当期任何费用。同时，甲方有权要求乙方支付</w:t>
      </w:r>
      <w:r>
        <w:rPr>
          <w:rFonts w:ascii="宋体" w:eastAsia="宋体" w:hAnsi="宋体" w:hint="eastAsia"/>
          <w:kern w:val="2"/>
          <w:lang w:eastAsia="zh-CN"/>
        </w:rPr>
        <w:t>合同总金额</w:t>
      </w:r>
      <w:r>
        <w:rPr>
          <w:rFonts w:ascii="宋体" w:eastAsia="宋体" w:hAnsi="宋体" w:cs="宋体" w:hint="eastAsia"/>
          <w:bCs/>
          <w:kern w:val="2"/>
          <w:lang w:eastAsia="zh-CN"/>
        </w:rPr>
        <w:t>【20】%的违约金，违约金不足以弥补甲方损失的，乙方应当予以补足。</w:t>
      </w:r>
    </w:p>
    <w:p>
      <w:pPr>
        <w:widowControl w:val="0"/>
        <w:adjustRightInd w:val="0"/>
        <w:snapToGrid w:val="0"/>
        <w:spacing w:before="0" w:beforeAutospacing="0" w:after="0" w:afterAutospacing="0" w:line="360" w:lineRule="auto"/>
        <w:ind w:firstLine="420" w:firstLineChars="200"/>
        <w:jc w:val="both"/>
        <w:rPr>
          <w:rFonts w:ascii="宋体" w:eastAsia="宋体" w:hAnsi="宋体" w:cs="宋体" w:hint="eastAsia"/>
          <w:bCs/>
          <w:kern w:val="2"/>
          <w:lang w:eastAsia="zh-CN"/>
        </w:rPr>
      </w:pPr>
      <w:r>
        <w:rPr>
          <w:rFonts w:ascii="宋体" w:eastAsia="宋体" w:hAnsi="宋体" w:cs="宋体" w:hint="eastAsia"/>
          <w:bCs/>
          <w:kern w:val="2"/>
          <w:lang w:eastAsia="zh-CN"/>
        </w:rPr>
        <w:t>10.7 乙方违反本合同的约定擅自提高收费标准的，甲方有权终止合同并不支付乙方当期任何费用。同时，甲方有权要求乙方支付</w:t>
      </w:r>
      <w:r>
        <w:rPr>
          <w:rFonts w:ascii="宋体" w:eastAsia="宋体" w:hAnsi="宋体" w:hint="eastAsia"/>
          <w:kern w:val="2"/>
          <w:lang w:eastAsia="zh-CN"/>
        </w:rPr>
        <w:t>合同总金额</w:t>
      </w:r>
      <w:r>
        <w:rPr>
          <w:rFonts w:ascii="宋体" w:eastAsia="宋体" w:hAnsi="宋体" w:cs="宋体" w:hint="eastAsia"/>
          <w:bCs/>
          <w:kern w:val="2"/>
          <w:lang w:eastAsia="zh-CN"/>
        </w:rPr>
        <w:t>【20】%的违约金，违约金不足以弥补甲方损失的，乙方应当予以补足。</w:t>
      </w:r>
    </w:p>
    <w:p>
      <w:pPr>
        <w:widowControl w:val="0"/>
        <w:adjustRightInd w:val="0"/>
        <w:snapToGrid w:val="0"/>
        <w:spacing w:before="0" w:beforeAutospacing="0" w:after="0" w:afterAutospacing="0" w:line="360" w:lineRule="auto"/>
        <w:ind w:firstLine="420" w:firstLineChars="200"/>
        <w:jc w:val="both"/>
        <w:rPr>
          <w:rFonts w:ascii="宋体" w:eastAsia="宋体" w:hAnsi="宋体" w:cs="宋体" w:hint="eastAsia"/>
          <w:bCs/>
          <w:kern w:val="2"/>
          <w:lang w:eastAsia="zh-CN"/>
        </w:rPr>
      </w:pPr>
      <w:r>
        <w:rPr>
          <w:rFonts w:ascii="宋体" w:eastAsia="宋体" w:hAnsi="宋体" w:cs="宋体" w:hint="eastAsia"/>
          <w:bCs/>
          <w:kern w:val="2"/>
          <w:lang w:eastAsia="zh-CN"/>
        </w:rPr>
        <w:t>10.8 乙方在合同终止后，应当在甲方指定的期限内完成移交物业管理权，如不移交物业管理权，不撤出本物业和移交管理用房及有关档案资料等，每逾期一日应向甲方支付最后服务当月费用的【20】%作为违约金，且需要后续随时配合新物业单位工作。</w:t>
      </w:r>
    </w:p>
    <w:p>
      <w:pPr>
        <w:widowControl w:val="0"/>
        <w:adjustRightInd w:val="0"/>
        <w:snapToGrid w:val="0"/>
        <w:spacing w:before="0" w:beforeAutospacing="0" w:after="0" w:afterAutospacing="0" w:line="360" w:lineRule="auto"/>
        <w:ind w:firstLine="420" w:firstLineChars="200"/>
        <w:jc w:val="both"/>
        <w:rPr>
          <w:rFonts w:ascii="宋体" w:eastAsia="宋体" w:hAnsi="宋体" w:cs="宋体" w:hint="eastAsia"/>
          <w:bCs/>
          <w:kern w:val="2"/>
          <w:lang w:eastAsia="zh-CN"/>
        </w:rPr>
      </w:pPr>
      <w:r>
        <w:rPr>
          <w:rFonts w:ascii="宋体" w:eastAsia="宋体" w:hAnsi="宋体" w:cs="宋体" w:hint="eastAsia"/>
          <w:bCs/>
          <w:kern w:val="2"/>
          <w:lang w:eastAsia="zh-CN"/>
        </w:rPr>
        <w:t>10.9 除本合同另有约定外，乙方不履行合同义务或者履行合同义务不符合合同约定的，按每违反一次从应付款项中扣除合同总金额的百分之一（1%）作为违约金；此外，应当承担继续履行、采取补救措施或者赔偿损失等违约责任。</w:t>
      </w:r>
    </w:p>
    <w:p>
      <w:pPr>
        <w:widowControl w:val="0"/>
        <w:adjustRightInd w:val="0"/>
        <w:snapToGrid w:val="0"/>
        <w:spacing w:before="0" w:beforeAutospacing="0" w:after="0" w:afterAutospacing="0" w:line="360" w:lineRule="auto"/>
        <w:ind w:firstLine="420" w:firstLineChars="200"/>
        <w:jc w:val="both"/>
        <w:rPr>
          <w:rFonts w:ascii="宋体" w:eastAsia="宋体" w:hAnsi="宋体" w:cs="宋体" w:hint="eastAsia"/>
          <w:bCs/>
          <w:kern w:val="2"/>
          <w:lang w:eastAsia="zh-CN"/>
        </w:rPr>
      </w:pPr>
      <w:r>
        <w:rPr>
          <w:rFonts w:ascii="宋体" w:eastAsia="宋体" w:hAnsi="宋体" w:cs="宋体" w:hint="eastAsia"/>
          <w:bCs/>
          <w:kern w:val="2"/>
          <w:lang w:eastAsia="zh-CN"/>
        </w:rPr>
        <w:t>乙方支付的上述违约金、赔偿金等不足以弥补甲方损失的，应继续承担赔偿责任。本合同约定的损失，包括但不限于：直接损失、调查取证费、诉讼费、律师费等。</w:t>
      </w:r>
    </w:p>
    <w:p>
      <w:pPr>
        <w:widowControl w:val="0"/>
        <w:adjustRightInd w:val="0"/>
        <w:snapToGrid w:val="0"/>
        <w:spacing w:before="0" w:beforeAutospacing="0" w:after="0" w:afterAutospacing="0" w:line="360" w:lineRule="auto"/>
        <w:ind w:firstLine="420" w:firstLineChars="200"/>
        <w:jc w:val="both"/>
        <w:rPr>
          <w:rFonts w:ascii="宋体" w:eastAsia="宋体" w:hAnsi="宋体" w:hint="eastAsia"/>
          <w:kern w:val="2"/>
          <w:lang w:eastAsia="zh-CN"/>
        </w:rPr>
      </w:pPr>
      <w:r>
        <w:rPr>
          <w:rFonts w:ascii="宋体" w:eastAsia="宋体" w:hAnsi="宋体" w:cs="宋体" w:hint="eastAsia"/>
          <w:bCs/>
          <w:kern w:val="2"/>
          <w:lang w:eastAsia="zh-CN"/>
        </w:rPr>
        <w:t>10.10 乙方没有按照时限要求提供服务，且在甲方指定的延长期限内没有采取补救措施，甲方有权自行采取其他方式进行补救，乙方除按合同第9条</w:t>
      </w:r>
      <w:r>
        <w:rPr>
          <w:rFonts w:ascii="宋体" w:eastAsia="宋体" w:hAnsi="宋体" w:hint="eastAsia"/>
          <w:kern w:val="2"/>
          <w:lang w:eastAsia="zh-CN"/>
        </w:rPr>
        <w:t>约定向甲方支付误期违约金外，另外甲方所发生的一切费用和甲方损失，甲方有权从应付的乙方的合同款项中扣除，不足扣除的乙方应另行支付。</w:t>
      </w:r>
    </w:p>
    <w:p>
      <w:pPr>
        <w:widowControl w:val="0"/>
        <w:topLinePunct/>
        <w:autoSpaceDE w:val="0"/>
        <w:autoSpaceDN w:val="0"/>
        <w:adjustRightInd w:val="0"/>
        <w:snapToGrid w:val="0"/>
        <w:spacing w:before="0" w:beforeAutospacing="0" w:after="0" w:afterAutospacing="0" w:line="360" w:lineRule="auto"/>
        <w:ind w:firstLine="420" w:firstLineChars="200"/>
        <w:jc w:val="both"/>
        <w:rPr>
          <w:rFonts w:ascii="宋体" w:eastAsia="宋体" w:hAnsi="宋体" w:hint="eastAsia"/>
          <w:kern w:val="2"/>
          <w:lang w:eastAsia="zh-CN"/>
        </w:rPr>
      </w:pPr>
      <w:r>
        <w:rPr>
          <w:rFonts w:ascii="宋体" w:eastAsia="宋体" w:hAnsi="宋体" w:hint="eastAsia"/>
          <w:kern w:val="2"/>
          <w:lang w:eastAsia="zh-CN"/>
        </w:rPr>
        <w:t>10</w:t>
      </w:r>
      <w:r>
        <w:rPr>
          <w:rFonts w:ascii="宋体" w:eastAsia="宋体" w:hAnsi="宋体"/>
          <w:kern w:val="2"/>
          <w:lang w:eastAsia="zh-CN"/>
        </w:rPr>
        <w:t>.</w:t>
      </w:r>
      <w:r>
        <w:rPr>
          <w:rFonts w:ascii="宋体" w:eastAsia="宋体" w:hAnsi="宋体" w:hint="eastAsia"/>
          <w:kern w:val="2"/>
          <w:lang w:eastAsia="zh-CN"/>
        </w:rPr>
        <w:t>11</w:t>
      </w:r>
      <w:r>
        <w:rPr>
          <w:rFonts w:ascii="宋体" w:eastAsia="宋体" w:hAnsi="宋体"/>
          <w:kern w:val="2"/>
          <w:lang w:eastAsia="zh-CN"/>
        </w:rPr>
        <w:t xml:space="preserve"> </w:t>
      </w:r>
      <w:r>
        <w:rPr>
          <w:rFonts w:ascii="宋体" w:eastAsia="宋体" w:hAnsi="宋体" w:hint="eastAsia"/>
          <w:kern w:val="2"/>
          <w:lang w:eastAsia="zh-CN"/>
        </w:rPr>
        <w:t>除应支付甲方违约金等外，甲方有权根据合同或有关部门出具的检验证书向乙方提出索赔。</w:t>
      </w:r>
    </w:p>
    <w:p>
      <w:pPr>
        <w:widowControl w:val="0"/>
        <w:topLinePunct/>
        <w:autoSpaceDE w:val="0"/>
        <w:autoSpaceDN w:val="0"/>
        <w:adjustRightInd w:val="0"/>
        <w:snapToGrid w:val="0"/>
        <w:spacing w:before="0" w:beforeAutospacing="0" w:after="0" w:afterAutospacing="0" w:line="360" w:lineRule="auto"/>
        <w:ind w:firstLine="420" w:firstLineChars="200"/>
        <w:jc w:val="both"/>
        <w:rPr>
          <w:rFonts w:ascii="宋体" w:eastAsia="宋体" w:hAnsi="宋体" w:hint="eastAsia"/>
          <w:kern w:val="2"/>
          <w:lang w:eastAsia="zh-CN"/>
        </w:rPr>
      </w:pPr>
      <w:r>
        <w:rPr>
          <w:rFonts w:ascii="宋体" w:eastAsia="宋体" w:hAnsi="宋体" w:hint="eastAsia"/>
          <w:kern w:val="2"/>
          <w:lang w:eastAsia="zh-CN"/>
        </w:rPr>
        <w:t>10.12</w:t>
      </w:r>
      <w:r>
        <w:rPr>
          <w:rFonts w:ascii="宋体" w:eastAsia="宋体" w:hAnsi="宋体"/>
          <w:kern w:val="2"/>
          <w:lang w:eastAsia="zh-CN"/>
        </w:rPr>
        <w:t xml:space="preserve"> </w:t>
      </w:r>
      <w:r>
        <w:rPr>
          <w:rFonts w:ascii="宋体" w:eastAsia="宋体" w:hAnsi="宋体" w:hint="eastAsia"/>
          <w:kern w:val="2"/>
          <w:lang w:eastAsia="zh-CN"/>
        </w:rPr>
        <w:t>如果乙方对差异负有责任而甲方提出索赔，乙方同意按照下列方式解决索赔事宜：</w:t>
      </w:r>
    </w:p>
    <w:p>
      <w:pPr>
        <w:widowControl w:val="0"/>
        <w:topLinePunct/>
        <w:autoSpaceDE w:val="0"/>
        <w:autoSpaceDN w:val="0"/>
        <w:adjustRightInd w:val="0"/>
        <w:snapToGrid w:val="0"/>
        <w:spacing w:before="0" w:beforeAutospacing="0" w:after="0" w:afterAutospacing="0" w:line="360" w:lineRule="auto"/>
        <w:ind w:firstLine="420" w:firstLineChars="200"/>
        <w:jc w:val="both"/>
        <w:rPr>
          <w:rFonts w:ascii="宋体" w:eastAsia="宋体" w:hAnsi="宋体" w:hint="eastAsia"/>
          <w:kern w:val="2"/>
          <w:lang w:eastAsia="zh-CN"/>
        </w:rPr>
      </w:pPr>
      <w:r>
        <w:rPr>
          <w:rFonts w:ascii="宋体" w:eastAsia="宋体" w:hAnsi="宋体" w:hint="eastAsia"/>
          <w:kern w:val="2"/>
          <w:lang w:eastAsia="zh-CN"/>
        </w:rPr>
        <w:t>如果在甲方发出索赔通知后</w:t>
      </w:r>
      <w:r>
        <w:rPr>
          <w:rFonts w:ascii="宋体" w:eastAsia="宋体" w:hAnsi="宋体"/>
          <w:kern w:val="2"/>
          <w:lang w:eastAsia="zh-CN"/>
        </w:rPr>
        <w:t>5</w:t>
      </w:r>
      <w:r>
        <w:rPr>
          <w:rFonts w:ascii="宋体" w:eastAsia="宋体" w:hAnsi="宋体" w:hint="eastAsia"/>
          <w:kern w:val="2"/>
          <w:lang w:eastAsia="zh-CN"/>
        </w:rPr>
        <w:t>个工作日内，乙方未作书面答复，上述索赔应视为已被乙方接受。如乙方未能在甲方发出索赔通知后</w:t>
      </w:r>
      <w:r>
        <w:rPr>
          <w:rFonts w:ascii="宋体" w:eastAsia="宋体" w:hAnsi="宋体"/>
          <w:kern w:val="2"/>
          <w:lang w:eastAsia="zh-CN"/>
        </w:rPr>
        <w:t>5</w:t>
      </w:r>
      <w:r>
        <w:rPr>
          <w:rFonts w:ascii="宋体" w:eastAsia="宋体" w:hAnsi="宋体" w:hint="eastAsia"/>
          <w:kern w:val="2"/>
          <w:lang w:eastAsia="zh-CN"/>
        </w:rPr>
        <w:t>个工作日内或甲方同意的延长期限内</w:t>
      </w:r>
      <w:r>
        <w:rPr>
          <w:rFonts w:ascii="宋体" w:eastAsia="宋体" w:hAnsi="宋体" w:hint="eastAsia"/>
          <w:kern w:val="2"/>
          <w:lang w:eastAsia="zh-CN"/>
        </w:rPr>
        <w:t>采取有效措施</w:t>
      </w:r>
      <w:r>
        <w:rPr>
          <w:rFonts w:ascii="宋体" w:eastAsia="宋体" w:hAnsi="宋体" w:hint="eastAsia"/>
          <w:kern w:val="2"/>
          <w:lang w:eastAsia="zh-CN"/>
        </w:rPr>
        <w:t>解决索赔事宜，甲方有权从应付乙方的合同款项中扣除索赔金额。</w:t>
      </w:r>
    </w:p>
    <w:p>
      <w:pPr>
        <w:widowControl w:val="0"/>
        <w:topLinePunct/>
        <w:autoSpaceDE w:val="0"/>
        <w:autoSpaceDN w:val="0"/>
        <w:adjustRightInd w:val="0"/>
        <w:snapToGrid w:val="0"/>
        <w:spacing w:before="0" w:beforeAutospacing="0" w:after="0" w:afterAutospacing="0" w:line="360" w:lineRule="auto"/>
        <w:ind w:firstLine="420" w:firstLineChars="200"/>
        <w:jc w:val="both"/>
        <w:rPr>
          <w:rFonts w:ascii="宋体" w:eastAsia="宋体" w:hAnsi="宋体" w:hint="eastAsia"/>
          <w:kern w:val="2"/>
          <w:lang w:eastAsia="zh-CN"/>
        </w:rPr>
      </w:pPr>
      <w:r>
        <w:rPr>
          <w:rFonts w:ascii="宋体" w:eastAsia="宋体" w:hAnsi="宋体" w:cs="宋体" w:hint="eastAsia"/>
          <w:kern w:val="2"/>
          <w:lang w:eastAsia="zh-CN"/>
        </w:rPr>
        <w:t>10.13 乙方</w:t>
      </w:r>
      <w:r>
        <w:rPr>
          <w:rFonts w:ascii="宋体" w:eastAsia="宋体" w:hAnsi="宋体" w:hint="eastAsia"/>
          <w:kern w:val="2"/>
          <w:lang w:eastAsia="zh-CN"/>
        </w:rPr>
        <w:t>利用为税务机关提供信息化服务便利向纳税人缴费人搭车收费或变相收费的，以及存在国家税务总局发票电子化改革（金税四期）领导小组办公室认定的失信行为的，自认定之日起3年内，限制其参加税务系统各单位信息化项目政府采购活动。</w:t>
      </w:r>
    </w:p>
    <w:p>
      <w:pPr>
        <w:widowControl w:val="0"/>
        <w:topLinePunct/>
        <w:autoSpaceDE w:val="0"/>
        <w:autoSpaceDN w:val="0"/>
        <w:adjustRightInd w:val="0"/>
        <w:snapToGrid w:val="0"/>
        <w:spacing w:before="0" w:beforeAutospacing="0" w:after="0" w:afterAutospacing="0" w:line="360" w:lineRule="auto"/>
        <w:ind w:firstLine="420" w:firstLineChars="200"/>
        <w:jc w:val="both"/>
        <w:rPr>
          <w:rFonts w:ascii="宋体" w:eastAsia="宋体" w:hAnsi="宋体" w:hint="eastAsia"/>
          <w:kern w:val="2"/>
          <w:lang w:eastAsia="zh-CN"/>
        </w:rPr>
      </w:pPr>
      <w:r>
        <w:rPr>
          <w:rFonts w:ascii="宋体" w:eastAsia="宋体" w:hAnsi="宋体" w:cs="宋体" w:hint="eastAsia"/>
          <w:kern w:val="2"/>
          <w:lang w:eastAsia="zh-CN"/>
        </w:rPr>
        <w:t>10.14 乙方</w:t>
      </w:r>
      <w:r>
        <w:rPr>
          <w:rFonts w:ascii="宋体" w:eastAsia="宋体" w:hAnsi="宋体" w:hint="eastAsia"/>
          <w:kern w:val="2"/>
          <w:lang w:eastAsia="zh-CN"/>
        </w:rPr>
        <w:t>违反网络安全管理规定并造成不良后果的，攻击或侵入税务信息系统（包括CA等）的，以及存在“围猎”税务人员</w:t>
      </w:r>
      <w:r>
        <w:rPr>
          <w:rFonts w:ascii="宋体" w:eastAsia="宋体" w:hAnsi="宋体" w:cs="宋体" w:hint="eastAsia"/>
          <w:kern w:val="2"/>
          <w:lang w:eastAsia="zh-CN"/>
        </w:rPr>
        <w:t>（指以获取不正当利益为目的，采取馈赠礼品礼金、邀请娱乐旅游消费、提供便利条件等非正常交往手段“围猎”相关税务人员及亲属）</w:t>
      </w:r>
      <w:r>
        <w:rPr>
          <w:rFonts w:ascii="宋体" w:eastAsia="宋体" w:hAnsi="宋体" w:hint="eastAsia"/>
          <w:kern w:val="2"/>
          <w:lang w:eastAsia="zh-CN"/>
        </w:rPr>
        <w:t>失信行为的，自认定之日起3年内，限制其参加税务系统各单位政府采购活动。</w:t>
      </w:r>
    </w:p>
    <w:p>
      <w:pPr>
        <w:widowControl w:val="0"/>
        <w:topLinePunct/>
        <w:autoSpaceDE w:val="0"/>
        <w:autoSpaceDN w:val="0"/>
        <w:adjustRightInd w:val="0"/>
        <w:snapToGrid w:val="0"/>
        <w:spacing w:before="0" w:beforeAutospacing="0" w:after="0" w:afterAutospacing="0" w:line="360" w:lineRule="auto"/>
        <w:ind w:firstLine="420" w:firstLineChars="200"/>
        <w:jc w:val="both"/>
        <w:rPr>
          <w:rFonts w:ascii="宋体" w:eastAsia="宋体" w:hAnsi="宋体" w:hint="eastAsia"/>
          <w:kern w:val="2"/>
          <w:lang w:eastAsia="zh-CN"/>
        </w:rPr>
      </w:pPr>
      <w:r>
        <w:rPr>
          <w:rFonts w:ascii="宋体" w:eastAsia="宋体" w:hAnsi="宋体" w:cs="宋体" w:hint="eastAsia"/>
          <w:bCs/>
          <w:kern w:val="2"/>
          <w:lang w:eastAsia="zh-CN"/>
        </w:rPr>
        <w:t xml:space="preserve">10.15 </w:t>
      </w:r>
      <w:r>
        <w:rPr>
          <w:rFonts w:ascii="宋体" w:eastAsia="宋体" w:hAnsi="宋体" w:hint="eastAsia"/>
          <w:kern w:val="2"/>
          <w:lang w:eastAsia="zh-CN"/>
        </w:rPr>
        <w:t>信息化服务商违反合同约定内容且造成不良后果的，评审过程中被认定以明显低于成本的报价恶意竞标的，另行开发销售合同业务需求范围内软件供纳税人使用的，</w:t>
      </w:r>
      <w:r>
        <w:rPr>
          <w:rFonts w:ascii="宋体" w:eastAsia="宋体" w:hAnsi="宋体" w:hint="eastAsia"/>
          <w:kern w:val="2"/>
          <w:lang w:eastAsia="zh-CN"/>
        </w:rPr>
        <w:t>或者</w:t>
      </w:r>
      <w:r>
        <w:rPr>
          <w:rFonts w:ascii="宋体" w:eastAsia="宋体" w:hAnsi="宋体" w:hint="eastAsia"/>
          <w:kern w:val="2"/>
          <w:lang w:eastAsia="zh-CN"/>
        </w:rPr>
        <w:t>一年内发生2次及以上一般失信行为的，自认定之日起1年内，限制其参加税务系统各单位信息化项目政府采购活动。</w:t>
      </w:r>
    </w:p>
    <w:p>
      <w:pPr>
        <w:widowControl w:val="0"/>
        <w:tabs>
          <w:tab w:val="left" w:pos="0"/>
          <w:tab w:val="left" w:pos="540"/>
        </w:tabs>
        <w:adjustRightInd w:val="0"/>
        <w:snapToGrid w:val="0"/>
        <w:spacing w:before="0" w:beforeAutospacing="0" w:after="0" w:afterAutospacing="0" w:line="360" w:lineRule="auto"/>
        <w:ind w:firstLine="420" w:firstLineChars="200"/>
        <w:jc w:val="both"/>
        <w:rPr>
          <w:rFonts w:ascii="宋体" w:eastAsia="宋体" w:hAnsi="宋体" w:cs="宋体" w:hint="eastAsia"/>
          <w:bCs/>
          <w:kern w:val="2"/>
          <w:lang w:eastAsia="zh-CN"/>
        </w:rPr>
      </w:pPr>
      <w:r>
        <w:rPr>
          <w:rFonts w:ascii="宋体" w:eastAsia="宋体" w:hAnsi="宋体" w:cs="宋体" w:hint="eastAsia"/>
          <w:bCs/>
          <w:kern w:val="2"/>
          <w:lang w:eastAsia="zh-CN"/>
        </w:rPr>
        <w:t xml:space="preserve">10.16 </w:t>
      </w:r>
      <w:r>
        <w:rPr>
          <w:rFonts w:ascii="宋体" w:eastAsia="宋体" w:hAnsi="宋体" w:hint="eastAsia"/>
          <w:kern w:val="2"/>
          <w:lang w:eastAsia="zh-CN"/>
        </w:rPr>
        <w:t>信息化服务商存在其他严重失信行为的，自认定之日起1—3年内，限制其参加税务系统各单位相关项目政府采购活动。</w:t>
      </w:r>
    </w:p>
    <w:p>
      <w:pPr>
        <w:widowControl w:val="0"/>
        <w:tabs>
          <w:tab w:val="left" w:pos="0"/>
          <w:tab w:val="left" w:pos="540"/>
        </w:tabs>
        <w:adjustRightInd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bCs/>
          <w:kern w:val="2"/>
          <w:lang w:eastAsia="zh-CN"/>
        </w:rPr>
        <w:t xml:space="preserve">10.17 </w:t>
      </w:r>
      <w:r>
        <w:rPr>
          <w:rFonts w:ascii="宋体" w:eastAsia="宋体" w:hAnsi="宋体" w:cs="宋体" w:hint="eastAsia"/>
          <w:kern w:val="2"/>
          <w:lang w:eastAsia="zh-CN"/>
        </w:rPr>
        <w:t>对于影响恶劣的严重违法失信行为，推送财政部纳入政府采购严重违法失信行为记录名单。</w:t>
      </w:r>
    </w:p>
    <w:p>
      <w:pPr>
        <w:widowControl w:val="0"/>
        <w:adjustRightInd w:val="0"/>
        <w:snapToGrid w:val="0"/>
        <w:spacing w:before="0" w:beforeAutospacing="0" w:after="0" w:afterAutospacing="0" w:line="360" w:lineRule="auto"/>
        <w:ind w:firstLine="420" w:firstLineChars="200"/>
        <w:jc w:val="both"/>
        <w:rPr>
          <w:rFonts w:ascii="宋体" w:eastAsia="宋体" w:hAnsi="宋体" w:cs="宋体" w:hint="eastAsia"/>
          <w:bCs/>
          <w:kern w:val="2"/>
          <w:lang w:eastAsia="zh-CN"/>
        </w:rPr>
      </w:pPr>
      <w:r>
        <w:rPr>
          <w:rFonts w:ascii="宋体" w:eastAsia="宋体" w:hAnsi="宋体" w:cs="宋体" w:hint="eastAsia"/>
          <w:bCs/>
          <w:kern w:val="2"/>
          <w:lang w:eastAsia="zh-CN"/>
        </w:rPr>
        <w:t>10.18 对于本协议未约定的、招标（采购）文件（技术部分）中约定的违约处理条款，按招标（采购）文件（技术部分）相关约定执行；对本协议与招标（采购）文件（技术部分）约定不同的违约处理条款，以本协议约定为准。</w:t>
      </w:r>
    </w:p>
    <w:p>
      <w:pPr>
        <w:widowControl w:val="0"/>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b/>
          <w:kern w:val="2"/>
          <w:lang w:eastAsia="zh-CN"/>
        </w:rPr>
      </w:pP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b/>
          <w:kern w:val="2"/>
          <w:lang w:eastAsia="zh-CN"/>
        </w:rPr>
      </w:pPr>
      <w:r>
        <w:rPr>
          <w:rFonts w:ascii="宋体" w:eastAsia="宋体" w:hAnsi="宋体" w:cs="宋体" w:hint="eastAsia"/>
          <w:b/>
          <w:kern w:val="2"/>
          <w:lang w:eastAsia="zh-CN"/>
        </w:rPr>
        <w:t>11. 不可抗力及其他</w:t>
      </w:r>
    </w:p>
    <w:p>
      <w:pPr>
        <w:widowControl w:val="0"/>
        <w:snapToGrid w:val="0"/>
        <w:spacing w:before="0" w:beforeAutospacing="0" w:after="0" w:afterAutospacing="0" w:line="360" w:lineRule="auto"/>
        <w:ind w:firstLine="420" w:firstLineChars="200"/>
        <w:jc w:val="both"/>
        <w:rPr>
          <w:rFonts w:ascii="宋体" w:eastAsia="宋体" w:hAnsi="宋体" w:hint="eastAsia"/>
          <w:kern w:val="2"/>
          <w:lang w:eastAsia="zh-CN"/>
        </w:rPr>
      </w:pPr>
      <w:r>
        <w:rPr>
          <w:rFonts w:ascii="宋体" w:eastAsia="宋体" w:hAnsi="宋体" w:hint="eastAsia"/>
          <w:kern w:val="2"/>
          <w:lang w:eastAsia="zh-CN"/>
        </w:rPr>
        <w:t>11</w:t>
      </w:r>
      <w:r>
        <w:rPr>
          <w:rFonts w:ascii="宋体" w:eastAsia="宋体" w:hAnsi="宋体"/>
          <w:kern w:val="2"/>
          <w:lang w:eastAsia="zh-CN"/>
        </w:rPr>
        <w:t xml:space="preserve">.1 </w:t>
      </w:r>
      <w:r>
        <w:rPr>
          <w:rFonts w:ascii="宋体" w:eastAsia="宋体" w:hAnsi="宋体" w:hint="eastAsia"/>
          <w:kern w:val="2"/>
          <w:lang w:eastAsia="zh-CN"/>
        </w:rPr>
        <w:t>如果乙方因不可抗力而导致合同实施延误或不能履行合同义务，不应承担误期赔偿或终止合同的责任。</w:t>
      </w:r>
    </w:p>
    <w:p>
      <w:pPr>
        <w:widowControl w:val="0"/>
        <w:snapToGrid w:val="0"/>
        <w:spacing w:before="0" w:beforeAutospacing="0" w:after="0" w:afterAutospacing="0" w:line="360" w:lineRule="auto"/>
        <w:ind w:firstLine="420" w:firstLineChars="200"/>
        <w:jc w:val="both"/>
        <w:rPr>
          <w:rFonts w:ascii="宋体" w:eastAsia="宋体" w:hAnsi="宋体" w:hint="eastAsia"/>
          <w:kern w:val="2"/>
          <w:lang w:eastAsia="zh-CN"/>
        </w:rPr>
      </w:pPr>
      <w:r>
        <w:rPr>
          <w:rFonts w:ascii="宋体" w:eastAsia="宋体" w:hAnsi="宋体" w:hint="eastAsia"/>
          <w:kern w:val="2"/>
          <w:lang w:eastAsia="zh-CN"/>
        </w:rPr>
        <w:t>11</w:t>
      </w:r>
      <w:r>
        <w:rPr>
          <w:rFonts w:ascii="宋体" w:eastAsia="宋体" w:hAnsi="宋体"/>
          <w:kern w:val="2"/>
          <w:lang w:eastAsia="zh-CN"/>
        </w:rPr>
        <w:t>.2</w:t>
      </w:r>
      <w:r>
        <w:rPr>
          <w:rFonts w:ascii="宋体" w:eastAsia="宋体" w:hAnsi="宋体" w:hint="eastAsia"/>
          <w:kern w:val="2"/>
          <w:lang w:eastAsia="zh-CN"/>
        </w:rPr>
        <w:t xml:space="preserve"> 本条所述的“不可抗力”系指双方不可预见、不可避免、不可克服的客观情况，但不包括双方的违约或疏忽。这些事件包括但不限于：战争、严重火灾、洪水、台风、地震、疫情等。</w:t>
      </w:r>
    </w:p>
    <w:p>
      <w:pPr>
        <w:widowControl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hint="eastAsia"/>
          <w:kern w:val="2"/>
          <w:lang w:eastAsia="zh-CN"/>
        </w:rPr>
        <w:t>11</w:t>
      </w:r>
      <w:r>
        <w:rPr>
          <w:rFonts w:ascii="宋体" w:eastAsia="宋体" w:hAnsi="宋体"/>
          <w:kern w:val="2"/>
          <w:lang w:eastAsia="zh-CN"/>
        </w:rPr>
        <w:t>.3</w:t>
      </w:r>
      <w:r>
        <w:rPr>
          <w:rFonts w:ascii="宋体" w:eastAsia="宋体" w:hAnsi="宋体" w:hint="eastAsia"/>
          <w:kern w:val="2"/>
          <w:lang w:eastAsia="zh-CN"/>
        </w:rPr>
        <w:t xml:space="preserve"> 在不可抗力事件发生后，当事方应及时将不可抗力情况通知合同对方，在不可抗力事件结束后</w:t>
      </w:r>
      <w:r>
        <w:rPr>
          <w:rFonts w:ascii="宋体" w:eastAsia="宋体" w:hAnsi="宋体"/>
          <w:kern w:val="2"/>
          <w:lang w:eastAsia="zh-CN"/>
        </w:rPr>
        <w:t>3</w:t>
      </w:r>
      <w:r>
        <w:rPr>
          <w:rFonts w:ascii="宋体" w:eastAsia="宋体" w:hAnsi="宋体" w:hint="eastAsia"/>
          <w:kern w:val="2"/>
          <w:lang w:eastAsia="zh-CN"/>
        </w:rPr>
        <w:t>日内以书面形式将不可抗力的情况和原因通知合同对方，并提供相应的证明文件。合同各方应尽可能继续履行合同义务，并积极寻求采取合理的措施履行不受不可抗力影响的其他事项。合同各方应通过友好协商在合理的时间内达成进一步履行的协议。</w:t>
      </w:r>
    </w:p>
    <w:p>
      <w:pPr>
        <w:widowControl w:val="0"/>
        <w:snapToGrid w:val="0"/>
        <w:spacing w:before="0" w:beforeAutospacing="0" w:after="0" w:afterAutospacing="0" w:line="360" w:lineRule="auto"/>
        <w:ind w:firstLine="420" w:firstLineChars="200"/>
        <w:jc w:val="both"/>
        <w:rPr>
          <w:rFonts w:ascii="宋体" w:eastAsia="宋体" w:hAnsi="宋体" w:cs="宋体" w:hint="eastAsia"/>
          <w:b/>
          <w:kern w:val="2"/>
          <w:lang w:eastAsia="zh-CN"/>
        </w:rPr>
      </w:pPr>
      <w:r>
        <w:rPr>
          <w:rFonts w:ascii="宋体" w:eastAsia="宋体" w:hAnsi="宋体" w:cs="宋体" w:hint="eastAsia"/>
          <w:bCs/>
          <w:kern w:val="2"/>
          <w:lang w:eastAsia="zh-CN"/>
        </w:rPr>
        <w:t>11.</w:t>
      </w:r>
      <w:r>
        <w:rPr>
          <w:rFonts w:ascii="宋体" w:eastAsia="宋体" w:hAnsi="宋体" w:cs="宋体"/>
          <w:bCs/>
          <w:kern w:val="2"/>
          <w:lang w:eastAsia="zh-CN"/>
        </w:rPr>
        <w:t>4</w:t>
      </w:r>
      <w:r>
        <w:rPr>
          <w:rFonts w:ascii="宋体" w:eastAsia="宋体" w:hAnsi="宋体" w:cs="宋体" w:hint="eastAsia"/>
          <w:bCs/>
          <w:kern w:val="2"/>
          <w:lang w:eastAsia="zh-CN"/>
        </w:rPr>
        <w:t xml:space="preserve"> 如因</w:t>
      </w:r>
      <w:r>
        <w:rPr>
          <w:rFonts w:ascii="宋体" w:eastAsia="宋体" w:hAnsi="宋体" w:cs="宋体" w:hint="eastAsia"/>
          <w:kern w:val="2"/>
          <w:lang w:eastAsia="zh-CN"/>
        </w:rPr>
        <w:t>国家政策变化、技术实施所需的客观环境发生变化、重大技术变化、国家调减预算、</w:t>
      </w:r>
      <w:r>
        <w:rPr>
          <w:rFonts w:ascii="宋体" w:eastAsia="宋体" w:hAnsi="宋体" w:hint="eastAsia"/>
          <w:kern w:val="2"/>
          <w:lang w:eastAsia="zh-CN"/>
        </w:rPr>
        <w:t>乙方在执行合同的过程中发生对履行合同有直接影响的重大事故或变故、</w:t>
      </w:r>
      <w:r>
        <w:rPr>
          <w:rFonts w:ascii="宋体" w:eastAsia="宋体" w:hAnsi="宋体" w:cs="宋体" w:hint="eastAsia"/>
          <w:kern w:val="2"/>
          <w:lang w:eastAsia="zh-CN"/>
        </w:rPr>
        <w:t>甲方工作计划调整及推广使用新应用系统导致本项目相关服务停止等原因，本合同不能继续全部或部分履行，甲方有权通知乙方解除本合同的全部或部分，双方将按已经实际履行并验收合格的合同内容进行结算。</w:t>
      </w:r>
    </w:p>
    <w:p>
      <w:pPr>
        <w:widowControl w:val="0"/>
        <w:snapToGrid w:val="0"/>
        <w:spacing w:before="0" w:beforeAutospacing="0" w:after="0" w:afterAutospacing="0" w:line="360" w:lineRule="auto"/>
        <w:ind w:firstLine="420" w:firstLineChars="200"/>
        <w:jc w:val="both"/>
        <w:rPr>
          <w:rFonts w:ascii="宋体" w:eastAsia="宋体" w:hAnsi="宋体" w:cs="宋体" w:hint="eastAsia"/>
          <w:b/>
          <w:kern w:val="2"/>
          <w:lang w:eastAsia="zh-CN"/>
        </w:rPr>
      </w:pP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b/>
          <w:kern w:val="2"/>
          <w:lang w:eastAsia="zh-CN"/>
        </w:rPr>
      </w:pPr>
      <w:r>
        <w:rPr>
          <w:rFonts w:ascii="宋体" w:eastAsia="宋体" w:hAnsi="宋体" w:cs="宋体" w:hint="eastAsia"/>
          <w:b/>
          <w:kern w:val="2"/>
          <w:lang w:eastAsia="zh-CN"/>
        </w:rPr>
        <w:t>12. 争端的解决</w:t>
      </w:r>
    </w:p>
    <w:p>
      <w:pPr>
        <w:widowControl w:val="0"/>
        <w:snapToGrid w:val="0"/>
        <w:spacing w:before="0" w:beforeAutospacing="0" w:after="0" w:afterAutospacing="0" w:line="360" w:lineRule="auto"/>
        <w:ind w:firstLine="420" w:firstLineChars="200"/>
        <w:jc w:val="both"/>
        <w:rPr>
          <w:rFonts w:ascii="宋体" w:eastAsia="宋体" w:hAnsi="宋体" w:cs="宋体" w:hint="eastAsia"/>
          <w:bCs/>
          <w:kern w:val="2"/>
          <w:lang w:eastAsia="zh-CN"/>
        </w:rPr>
      </w:pPr>
      <w:r>
        <w:rPr>
          <w:rFonts w:ascii="宋体" w:eastAsia="宋体" w:hAnsi="宋体" w:cs="宋体"/>
          <w:bCs/>
          <w:kern w:val="2"/>
          <w:lang w:eastAsia="zh-CN"/>
        </w:rPr>
        <w:t>1</w:t>
      </w:r>
      <w:r>
        <w:rPr>
          <w:rFonts w:ascii="宋体" w:eastAsia="宋体" w:hAnsi="宋体" w:cs="宋体" w:hint="eastAsia"/>
          <w:bCs/>
          <w:kern w:val="2"/>
          <w:lang w:eastAsia="zh-CN"/>
        </w:rPr>
        <w:t>2</w:t>
      </w:r>
      <w:r>
        <w:rPr>
          <w:rFonts w:ascii="宋体" w:eastAsia="宋体" w:hAnsi="宋体" w:cs="宋体"/>
          <w:bCs/>
          <w:kern w:val="2"/>
          <w:lang w:eastAsia="zh-CN"/>
        </w:rPr>
        <w:t xml:space="preserve">.1 </w:t>
      </w:r>
      <w:r>
        <w:rPr>
          <w:rFonts w:ascii="宋体" w:eastAsia="宋体" w:hAnsi="宋体" w:cs="宋体" w:hint="eastAsia"/>
          <w:bCs/>
          <w:kern w:val="2"/>
          <w:lang w:eastAsia="zh-CN"/>
        </w:rPr>
        <w:t>甲乙双方可通过友好协商，解决在执行本合同中所发生的或与本合同有关的一切争端。如从协商开始</w:t>
      </w:r>
      <w:r>
        <w:rPr>
          <w:rFonts w:ascii="宋体" w:eastAsia="宋体" w:hAnsi="宋体" w:cs="宋体"/>
          <w:bCs/>
          <w:kern w:val="2"/>
          <w:lang w:eastAsia="zh-CN"/>
        </w:rPr>
        <w:t>30</w:t>
      </w:r>
      <w:r>
        <w:rPr>
          <w:rFonts w:ascii="宋体" w:eastAsia="宋体" w:hAnsi="宋体" w:cs="宋体" w:hint="eastAsia"/>
          <w:bCs/>
          <w:kern w:val="2"/>
          <w:lang w:eastAsia="zh-CN"/>
        </w:rPr>
        <w:t>天内仍不能解决，则任意一方可提请诉讼。</w:t>
      </w:r>
    </w:p>
    <w:p>
      <w:pPr>
        <w:widowControl w:val="0"/>
        <w:snapToGrid w:val="0"/>
        <w:spacing w:before="0" w:beforeAutospacing="0" w:after="0" w:afterAutospacing="0" w:line="360" w:lineRule="auto"/>
        <w:ind w:firstLine="420" w:firstLineChars="200"/>
        <w:jc w:val="both"/>
        <w:rPr>
          <w:rFonts w:ascii="宋体" w:eastAsia="宋体" w:hAnsi="宋体" w:cs="宋体" w:hint="eastAsia"/>
          <w:bCs/>
          <w:kern w:val="2"/>
          <w:lang w:eastAsia="zh-CN"/>
        </w:rPr>
      </w:pPr>
      <w:r>
        <w:rPr>
          <w:rFonts w:ascii="宋体" w:eastAsia="宋体" w:hAnsi="宋体" w:cs="宋体"/>
          <w:bCs/>
          <w:kern w:val="2"/>
          <w:lang w:eastAsia="zh-CN"/>
        </w:rPr>
        <w:t>1</w:t>
      </w:r>
      <w:r>
        <w:rPr>
          <w:rFonts w:ascii="宋体" w:eastAsia="宋体" w:hAnsi="宋体" w:cs="宋体" w:hint="eastAsia"/>
          <w:bCs/>
          <w:kern w:val="2"/>
          <w:lang w:eastAsia="zh-CN"/>
        </w:rPr>
        <w:t>2</w:t>
      </w:r>
      <w:r>
        <w:rPr>
          <w:rFonts w:ascii="宋体" w:eastAsia="宋体" w:hAnsi="宋体" w:cs="宋体"/>
          <w:bCs/>
          <w:kern w:val="2"/>
          <w:lang w:eastAsia="zh-CN"/>
        </w:rPr>
        <w:t>.2</w:t>
      </w:r>
      <w:r>
        <w:rPr>
          <w:rFonts w:ascii="宋体" w:eastAsia="宋体" w:hAnsi="宋体" w:cs="宋体" w:hint="eastAsia"/>
          <w:bCs/>
          <w:kern w:val="2"/>
          <w:lang w:eastAsia="zh-CN"/>
        </w:rPr>
        <w:t xml:space="preserve"> 诉讼应由合同任意一方向甲方住所地有管辖权的人民法院提起。</w:t>
      </w:r>
    </w:p>
    <w:p>
      <w:pPr>
        <w:widowControl w:val="0"/>
        <w:snapToGrid w:val="0"/>
        <w:spacing w:before="0" w:beforeAutospacing="0" w:after="0" w:afterAutospacing="0" w:line="360" w:lineRule="auto"/>
        <w:ind w:firstLine="420" w:firstLineChars="200"/>
        <w:jc w:val="both"/>
        <w:rPr>
          <w:rFonts w:ascii="宋体" w:eastAsia="宋体" w:hAnsi="宋体" w:cs="宋体" w:hint="eastAsia"/>
          <w:bCs/>
          <w:kern w:val="2"/>
          <w:lang w:eastAsia="zh-CN"/>
        </w:rPr>
      </w:pPr>
      <w:r>
        <w:rPr>
          <w:rFonts w:ascii="宋体" w:eastAsia="宋体" w:hAnsi="宋体" w:cs="宋体"/>
          <w:bCs/>
          <w:kern w:val="2"/>
          <w:lang w:eastAsia="zh-CN"/>
        </w:rPr>
        <w:t>1</w:t>
      </w:r>
      <w:r>
        <w:rPr>
          <w:rFonts w:ascii="宋体" w:eastAsia="宋体" w:hAnsi="宋体" w:cs="宋体" w:hint="eastAsia"/>
          <w:bCs/>
          <w:kern w:val="2"/>
          <w:lang w:eastAsia="zh-CN"/>
        </w:rPr>
        <w:t>2</w:t>
      </w:r>
      <w:r>
        <w:rPr>
          <w:rFonts w:ascii="宋体" w:eastAsia="宋体" w:hAnsi="宋体" w:cs="宋体"/>
          <w:bCs/>
          <w:kern w:val="2"/>
          <w:lang w:eastAsia="zh-CN"/>
        </w:rPr>
        <w:t xml:space="preserve">.3 </w:t>
      </w:r>
      <w:r>
        <w:rPr>
          <w:rFonts w:ascii="宋体" w:eastAsia="宋体" w:hAnsi="宋体" w:cs="宋体" w:hint="eastAsia"/>
          <w:bCs/>
          <w:kern w:val="2"/>
          <w:lang w:eastAsia="zh-CN"/>
        </w:rPr>
        <w:t>法院判决应为最终裁决，对双方均具有约束力。</w:t>
      </w:r>
    </w:p>
    <w:p>
      <w:pPr>
        <w:widowControl w:val="0"/>
        <w:snapToGrid w:val="0"/>
        <w:spacing w:before="0" w:beforeAutospacing="0" w:after="0" w:afterAutospacing="0" w:line="360" w:lineRule="auto"/>
        <w:ind w:firstLine="420" w:firstLineChars="200"/>
        <w:jc w:val="both"/>
        <w:rPr>
          <w:rFonts w:ascii="宋体" w:eastAsia="宋体" w:hAnsi="宋体" w:cs="宋体" w:hint="eastAsia"/>
          <w:bCs/>
          <w:kern w:val="2"/>
          <w:lang w:eastAsia="zh-CN"/>
        </w:rPr>
      </w:pPr>
      <w:r>
        <w:rPr>
          <w:rFonts w:ascii="宋体" w:eastAsia="宋体" w:hAnsi="宋体" w:cs="宋体"/>
          <w:bCs/>
          <w:kern w:val="2"/>
          <w:lang w:eastAsia="zh-CN"/>
        </w:rPr>
        <w:t>1</w:t>
      </w:r>
      <w:r>
        <w:rPr>
          <w:rFonts w:ascii="宋体" w:eastAsia="宋体" w:hAnsi="宋体" w:cs="宋体" w:hint="eastAsia"/>
          <w:bCs/>
          <w:kern w:val="2"/>
          <w:lang w:eastAsia="zh-CN"/>
        </w:rPr>
        <w:t>2</w:t>
      </w:r>
      <w:r>
        <w:rPr>
          <w:rFonts w:ascii="宋体" w:eastAsia="宋体" w:hAnsi="宋体" w:cs="宋体"/>
          <w:bCs/>
          <w:kern w:val="2"/>
          <w:lang w:eastAsia="zh-CN"/>
        </w:rPr>
        <w:t xml:space="preserve">.4 </w:t>
      </w:r>
      <w:r>
        <w:rPr>
          <w:rFonts w:ascii="宋体" w:eastAsia="宋体" w:hAnsi="宋体" w:cs="宋体" w:hint="eastAsia"/>
          <w:bCs/>
          <w:kern w:val="2"/>
          <w:lang w:eastAsia="zh-CN"/>
        </w:rPr>
        <w:t>诉讼费除司法机关另有裁决外应由败诉方负担。</w:t>
      </w:r>
    </w:p>
    <w:p>
      <w:pPr>
        <w:widowControl w:val="0"/>
        <w:snapToGrid w:val="0"/>
        <w:spacing w:before="0" w:beforeAutospacing="0" w:after="0" w:afterAutospacing="0" w:line="360" w:lineRule="auto"/>
        <w:ind w:firstLine="420" w:firstLineChars="200"/>
        <w:jc w:val="both"/>
        <w:rPr>
          <w:rFonts w:ascii="宋体" w:eastAsia="宋体" w:hAnsi="宋体" w:cs="宋体" w:hint="eastAsia"/>
          <w:bCs/>
          <w:kern w:val="2"/>
          <w:lang w:eastAsia="zh-CN"/>
        </w:rPr>
      </w:pPr>
      <w:r>
        <w:rPr>
          <w:rFonts w:ascii="宋体" w:eastAsia="宋体" w:hAnsi="宋体" w:cs="宋体"/>
          <w:bCs/>
          <w:kern w:val="2"/>
          <w:lang w:eastAsia="zh-CN"/>
        </w:rPr>
        <w:t>1</w:t>
      </w:r>
      <w:r>
        <w:rPr>
          <w:rFonts w:ascii="宋体" w:eastAsia="宋体" w:hAnsi="宋体" w:cs="宋体" w:hint="eastAsia"/>
          <w:bCs/>
          <w:kern w:val="2"/>
          <w:lang w:eastAsia="zh-CN"/>
        </w:rPr>
        <w:t>2</w:t>
      </w:r>
      <w:r>
        <w:rPr>
          <w:rFonts w:ascii="宋体" w:eastAsia="宋体" w:hAnsi="宋体" w:cs="宋体"/>
          <w:bCs/>
          <w:kern w:val="2"/>
          <w:lang w:eastAsia="zh-CN"/>
        </w:rPr>
        <w:t xml:space="preserve">.5 </w:t>
      </w:r>
      <w:r>
        <w:rPr>
          <w:rFonts w:ascii="宋体" w:eastAsia="宋体" w:hAnsi="宋体" w:cs="宋体" w:hint="eastAsia"/>
          <w:bCs/>
          <w:kern w:val="2"/>
          <w:lang w:eastAsia="zh-CN"/>
        </w:rPr>
        <w:t>在争议解决期间，除正在进行诉讼部分外，本合同的其它部分应继续执行。</w:t>
      </w:r>
    </w:p>
    <w:p>
      <w:pPr>
        <w:widowControl w:val="0"/>
        <w:snapToGrid w:val="0"/>
        <w:spacing w:before="0" w:beforeAutospacing="0" w:after="0" w:afterAutospacing="0" w:line="360" w:lineRule="auto"/>
        <w:ind w:firstLine="420" w:firstLineChars="200"/>
        <w:jc w:val="both"/>
        <w:rPr>
          <w:rFonts w:ascii="宋体" w:eastAsia="宋体" w:hAnsi="宋体" w:cs="宋体" w:hint="eastAsia"/>
          <w:b/>
          <w:kern w:val="2"/>
          <w:lang w:eastAsia="zh-CN"/>
        </w:rPr>
      </w:pP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b/>
          <w:kern w:val="2"/>
          <w:lang w:eastAsia="zh-CN"/>
        </w:rPr>
      </w:pPr>
      <w:r>
        <w:rPr>
          <w:rFonts w:ascii="宋体" w:eastAsia="宋体" w:hAnsi="宋体" w:cs="宋体" w:hint="eastAsia"/>
          <w:b/>
          <w:kern w:val="2"/>
          <w:lang w:eastAsia="zh-CN"/>
        </w:rPr>
        <w:t>13. 违约解除合同</w:t>
      </w:r>
    </w:p>
    <w:p>
      <w:pPr>
        <w:widowControl w:val="0"/>
        <w:topLinePunct/>
        <w:autoSpaceDE w:val="0"/>
        <w:autoSpaceDN w:val="0"/>
        <w:adjustRightInd w:val="0"/>
        <w:snapToGrid w:val="0"/>
        <w:spacing w:before="0" w:beforeAutospacing="0" w:after="0" w:afterAutospacing="0" w:line="360" w:lineRule="auto"/>
        <w:ind w:firstLine="420" w:firstLineChars="200"/>
        <w:jc w:val="both"/>
        <w:rPr>
          <w:rFonts w:ascii="宋体" w:eastAsia="宋体" w:hAnsi="宋体" w:hint="eastAsia"/>
          <w:kern w:val="2"/>
          <w:lang w:eastAsia="zh-CN"/>
        </w:rPr>
      </w:pPr>
      <w:r>
        <w:rPr>
          <w:rFonts w:ascii="宋体" w:eastAsia="宋体" w:hAnsi="宋体"/>
          <w:kern w:val="2"/>
          <w:lang w:eastAsia="zh-CN"/>
        </w:rPr>
        <w:t>1</w:t>
      </w:r>
      <w:r>
        <w:rPr>
          <w:rFonts w:ascii="宋体" w:eastAsia="宋体" w:hAnsi="宋体" w:hint="eastAsia"/>
          <w:kern w:val="2"/>
          <w:lang w:eastAsia="zh-CN"/>
        </w:rPr>
        <w:t>3</w:t>
      </w:r>
      <w:r>
        <w:rPr>
          <w:rFonts w:ascii="宋体" w:eastAsia="宋体" w:hAnsi="宋体"/>
          <w:kern w:val="2"/>
          <w:lang w:eastAsia="zh-CN"/>
        </w:rPr>
        <w:t xml:space="preserve">.1 </w:t>
      </w:r>
      <w:r>
        <w:rPr>
          <w:rFonts w:ascii="宋体" w:eastAsia="宋体" w:hAnsi="宋体" w:hint="eastAsia"/>
          <w:kern w:val="2"/>
          <w:lang w:eastAsia="zh-CN"/>
        </w:rPr>
        <w:t>若出现如下情况，在甲方对乙方违约行为而采取的任何补救措施不受影响的情况下，甲方可向乙方发出书面通知书，提出解除部分或全部合同。自甲方发出书面通知书之日起30日内，乙方应支付甲方合同总金额20%的违约金，并根据合同执行情况返还部分或全部已收取款项。乙方支付的违约金不足以弥补甲方损失的，应继续承担赔偿责任。本合同约定的损失，包括但不限于：直接损失、调查取证费、诉讼费、律师费等。</w:t>
      </w:r>
    </w:p>
    <w:p>
      <w:pPr>
        <w:widowControl w:val="0"/>
        <w:topLinePunct/>
        <w:autoSpaceDE w:val="0"/>
        <w:autoSpaceDN w:val="0"/>
        <w:adjustRightInd w:val="0"/>
        <w:snapToGrid w:val="0"/>
        <w:spacing w:before="0" w:beforeAutospacing="0" w:after="0" w:afterAutospacing="0" w:line="360" w:lineRule="auto"/>
        <w:ind w:firstLine="420" w:firstLineChars="200"/>
        <w:jc w:val="both"/>
        <w:rPr>
          <w:rFonts w:ascii="宋体" w:eastAsia="宋体" w:hAnsi="宋体" w:hint="eastAsia"/>
          <w:kern w:val="2"/>
          <w:lang w:eastAsia="zh-CN"/>
        </w:rPr>
      </w:pPr>
      <w:r>
        <w:rPr>
          <w:rFonts w:ascii="宋体" w:eastAsia="宋体" w:hAnsi="宋体" w:hint="eastAsia"/>
          <w:kern w:val="2"/>
          <w:lang w:eastAsia="zh-CN"/>
        </w:rPr>
        <w:t>13.1.1 乙方不履行合同义务或者履行合同义务不符合合同约定，累计达2次的；</w:t>
      </w:r>
    </w:p>
    <w:p>
      <w:pPr>
        <w:widowControl w:val="0"/>
        <w:topLinePunct/>
        <w:autoSpaceDE w:val="0"/>
        <w:autoSpaceDN w:val="0"/>
        <w:adjustRightInd w:val="0"/>
        <w:snapToGrid w:val="0"/>
        <w:spacing w:before="0" w:beforeAutospacing="0" w:after="0" w:afterAutospacing="0" w:line="360" w:lineRule="auto"/>
        <w:ind w:firstLine="420" w:firstLineChars="200"/>
        <w:jc w:val="both"/>
        <w:rPr>
          <w:rFonts w:ascii="宋体" w:eastAsia="宋体" w:hAnsi="宋体" w:hint="eastAsia"/>
          <w:kern w:val="2"/>
          <w:lang w:eastAsia="zh-CN"/>
        </w:rPr>
      </w:pPr>
      <w:r>
        <w:rPr>
          <w:rFonts w:ascii="宋体" w:eastAsia="宋体" w:hAnsi="宋体"/>
          <w:kern w:val="2"/>
          <w:lang w:eastAsia="zh-CN"/>
        </w:rPr>
        <w:t>1</w:t>
      </w:r>
      <w:r>
        <w:rPr>
          <w:rFonts w:ascii="宋体" w:eastAsia="宋体" w:hAnsi="宋体" w:hint="eastAsia"/>
          <w:kern w:val="2"/>
          <w:lang w:eastAsia="zh-CN"/>
        </w:rPr>
        <w:t>3</w:t>
      </w:r>
      <w:r>
        <w:rPr>
          <w:rFonts w:ascii="宋体" w:eastAsia="宋体" w:hAnsi="宋体"/>
          <w:kern w:val="2"/>
          <w:lang w:eastAsia="zh-CN"/>
        </w:rPr>
        <w:t>.1.</w:t>
      </w:r>
      <w:r>
        <w:rPr>
          <w:rFonts w:ascii="宋体" w:eastAsia="宋体" w:hAnsi="宋体" w:hint="eastAsia"/>
          <w:kern w:val="2"/>
          <w:lang w:eastAsia="zh-CN"/>
        </w:rPr>
        <w:t>2 如果乙方未能在合同规定的期限或甲方同意延长的期限内提供货物或服务，迟延累计达20日的；</w:t>
      </w:r>
    </w:p>
    <w:p>
      <w:pPr>
        <w:widowControl w:val="0"/>
        <w:topLinePunct/>
        <w:autoSpaceDE w:val="0"/>
        <w:autoSpaceDN w:val="0"/>
        <w:adjustRightInd w:val="0"/>
        <w:snapToGrid w:val="0"/>
        <w:spacing w:before="0" w:beforeAutospacing="0" w:after="0" w:afterAutospacing="0" w:line="360" w:lineRule="auto"/>
        <w:ind w:firstLine="420" w:firstLineChars="200"/>
        <w:jc w:val="both"/>
        <w:rPr>
          <w:rFonts w:ascii="宋体" w:eastAsia="宋体" w:hAnsi="宋体" w:hint="eastAsia"/>
          <w:kern w:val="2"/>
          <w:lang w:eastAsia="zh-CN"/>
        </w:rPr>
      </w:pPr>
      <w:r>
        <w:rPr>
          <w:rFonts w:ascii="宋体" w:eastAsia="宋体" w:hAnsi="宋体"/>
          <w:kern w:val="2"/>
          <w:lang w:eastAsia="zh-CN"/>
        </w:rPr>
        <w:t>1</w:t>
      </w:r>
      <w:r>
        <w:rPr>
          <w:rFonts w:ascii="宋体" w:eastAsia="宋体" w:hAnsi="宋体" w:hint="eastAsia"/>
          <w:kern w:val="2"/>
          <w:lang w:eastAsia="zh-CN"/>
        </w:rPr>
        <w:t>3</w:t>
      </w:r>
      <w:r>
        <w:rPr>
          <w:rFonts w:ascii="宋体" w:eastAsia="宋体" w:hAnsi="宋体"/>
          <w:kern w:val="2"/>
          <w:lang w:eastAsia="zh-CN"/>
        </w:rPr>
        <w:t>.1.</w:t>
      </w:r>
      <w:r>
        <w:rPr>
          <w:rFonts w:ascii="宋体" w:eastAsia="宋体" w:hAnsi="宋体" w:hint="eastAsia"/>
          <w:kern w:val="2"/>
          <w:lang w:eastAsia="zh-CN"/>
        </w:rPr>
        <w:t>3 因乙方人员自身技术能力、经验不足等问题造成甲方发生重大紧急故障，带来重大影响和损失的；</w:t>
      </w:r>
    </w:p>
    <w:p>
      <w:pPr>
        <w:widowControl w:val="0"/>
        <w:topLinePunct/>
        <w:autoSpaceDE w:val="0"/>
        <w:autoSpaceDN w:val="0"/>
        <w:adjustRightInd w:val="0"/>
        <w:snapToGrid w:val="0"/>
        <w:spacing w:before="0" w:beforeAutospacing="0" w:after="0" w:afterAutospacing="0" w:line="360" w:lineRule="auto"/>
        <w:ind w:firstLine="420" w:firstLineChars="200"/>
        <w:jc w:val="both"/>
        <w:rPr>
          <w:rFonts w:ascii="宋体" w:eastAsia="宋体" w:hAnsi="宋体" w:hint="eastAsia"/>
          <w:kern w:val="2"/>
          <w:lang w:eastAsia="zh-CN"/>
        </w:rPr>
      </w:pPr>
      <w:r>
        <w:rPr>
          <w:rFonts w:ascii="宋体" w:eastAsia="宋体" w:hAnsi="宋体"/>
          <w:kern w:val="2"/>
          <w:lang w:eastAsia="zh-CN"/>
        </w:rPr>
        <w:t>1</w:t>
      </w:r>
      <w:r>
        <w:rPr>
          <w:rFonts w:ascii="宋体" w:eastAsia="宋体" w:hAnsi="宋体" w:hint="eastAsia"/>
          <w:kern w:val="2"/>
          <w:lang w:eastAsia="zh-CN"/>
        </w:rPr>
        <w:t>3</w:t>
      </w:r>
      <w:r>
        <w:rPr>
          <w:rFonts w:ascii="宋体" w:eastAsia="宋体" w:hAnsi="宋体"/>
          <w:kern w:val="2"/>
          <w:lang w:eastAsia="zh-CN"/>
        </w:rPr>
        <w:t>.1.</w:t>
      </w:r>
      <w:r>
        <w:rPr>
          <w:rFonts w:ascii="宋体" w:eastAsia="宋体" w:hAnsi="宋体" w:hint="eastAsia"/>
          <w:kern w:val="2"/>
          <w:lang w:eastAsia="zh-CN"/>
        </w:rPr>
        <w:t>4 乙方对重大紧急故障没有及时响应，或不能在规定时间内解决处理故障、恢复正常运行的；</w:t>
      </w:r>
    </w:p>
    <w:p>
      <w:pPr>
        <w:widowControl w:val="0"/>
        <w:topLinePunct/>
        <w:autoSpaceDE w:val="0"/>
        <w:autoSpaceDN w:val="0"/>
        <w:adjustRightInd w:val="0"/>
        <w:snapToGrid w:val="0"/>
        <w:spacing w:before="0" w:beforeAutospacing="0" w:after="0" w:afterAutospacing="0" w:line="360" w:lineRule="auto"/>
        <w:ind w:firstLine="420" w:firstLineChars="200"/>
        <w:jc w:val="both"/>
        <w:rPr>
          <w:rFonts w:ascii="宋体" w:eastAsia="宋体" w:hAnsi="宋体" w:hint="eastAsia"/>
          <w:kern w:val="2"/>
          <w:lang w:eastAsia="zh-CN"/>
        </w:rPr>
      </w:pPr>
      <w:r>
        <w:rPr>
          <w:rFonts w:ascii="宋体" w:eastAsia="宋体" w:hAnsi="宋体"/>
          <w:kern w:val="2"/>
          <w:lang w:eastAsia="zh-CN"/>
        </w:rPr>
        <w:t>1</w:t>
      </w:r>
      <w:r>
        <w:rPr>
          <w:rFonts w:ascii="宋体" w:eastAsia="宋体" w:hAnsi="宋体" w:hint="eastAsia"/>
          <w:kern w:val="2"/>
          <w:lang w:eastAsia="zh-CN"/>
        </w:rPr>
        <w:t>3</w:t>
      </w:r>
      <w:r>
        <w:rPr>
          <w:rFonts w:ascii="宋体" w:eastAsia="宋体" w:hAnsi="宋体"/>
          <w:kern w:val="2"/>
          <w:lang w:eastAsia="zh-CN"/>
        </w:rPr>
        <w:t>.1.</w:t>
      </w:r>
      <w:r>
        <w:rPr>
          <w:rFonts w:ascii="宋体" w:eastAsia="宋体" w:hAnsi="宋体" w:hint="eastAsia"/>
          <w:kern w:val="2"/>
          <w:lang w:eastAsia="zh-CN"/>
        </w:rPr>
        <w:t>5 不能满足本项目技术需求的管理要求和规范，且经2次整改无明显改进的；</w:t>
      </w:r>
    </w:p>
    <w:p>
      <w:pPr>
        <w:widowControl w:val="0"/>
        <w:topLinePunct/>
        <w:autoSpaceDE w:val="0"/>
        <w:autoSpaceDN w:val="0"/>
        <w:adjustRightInd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13.1.6 在合同服务期内，同一个问题在应用系统在升级完善、运行维护支持服务过程中，出现5次经甲乙双方确认的用户投诉的；</w:t>
      </w:r>
    </w:p>
    <w:p>
      <w:pPr>
        <w:widowControl w:val="0"/>
        <w:topLinePunct/>
        <w:autoSpaceDE w:val="0"/>
        <w:autoSpaceDN w:val="0"/>
        <w:adjustRightInd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13.1.7 乙方利用本项目实施过程中所产生的成果（包括发明、发现、可运行系统、源代码及相关技术资料、文档等），另行自行开发本合同业务范围内供纳税人缴费人使用的软件或产品的，或利用为税务机关提供信息化服务的便利，向纳税人缴费人搭车收费或变相收费的，或有其他失信行为的；</w:t>
      </w:r>
    </w:p>
    <w:p>
      <w:pPr>
        <w:widowControl w:val="0"/>
        <w:topLinePunct/>
        <w:autoSpaceDE w:val="0"/>
        <w:autoSpaceDN w:val="0"/>
        <w:adjustRightInd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13.1.8 乙方在本项目实施过程中发生违反保密安全、网络安全、物业服务基本要求所规定行为造成不良后果的；</w:t>
      </w:r>
    </w:p>
    <w:p>
      <w:pPr>
        <w:widowControl w:val="0"/>
        <w:topLinePunct/>
        <w:autoSpaceDE w:val="0"/>
        <w:autoSpaceDN w:val="0"/>
        <w:adjustRightInd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13.1.9 乙方拒不修复或更换有缺陷的、损坏的货物、提高服务质量的；</w:t>
      </w:r>
    </w:p>
    <w:p>
      <w:pPr>
        <w:widowControl w:val="0"/>
        <w:topLinePunct/>
        <w:autoSpaceDE w:val="0"/>
        <w:autoSpaceDN w:val="0"/>
        <w:adjustRightInd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13.1.10 乙方提供的</w:t>
      </w:r>
      <w:r>
        <w:rPr>
          <w:rFonts w:ascii="宋体" w:eastAsia="宋体" w:hAnsi="宋体" w:cs="宋体"/>
          <w:kern w:val="2"/>
          <w:lang w:eastAsia="zh-CN"/>
        </w:rPr>
        <w:t>服务</w:t>
      </w:r>
      <w:r>
        <w:rPr>
          <w:rFonts w:ascii="宋体" w:eastAsia="宋体" w:hAnsi="宋体" w:cs="宋体" w:hint="eastAsia"/>
          <w:kern w:val="2"/>
          <w:lang w:eastAsia="zh-CN"/>
        </w:rPr>
        <w:t>侵犯甲方、第三方知识产权等合法权益的；</w:t>
      </w:r>
    </w:p>
    <w:p>
      <w:pPr>
        <w:widowControl w:val="0"/>
        <w:topLinePunct/>
        <w:autoSpaceDE w:val="0"/>
        <w:autoSpaceDN w:val="0"/>
        <w:adjustRightInd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13.1.11 乙方</w:t>
      </w:r>
      <w:r>
        <w:rPr>
          <w:rFonts w:ascii="宋体" w:eastAsia="宋体" w:hAnsi="宋体" w:cs="宋体"/>
          <w:kern w:val="2"/>
          <w:lang w:eastAsia="zh-CN"/>
        </w:rPr>
        <w:t>或乙方人员</w:t>
      </w:r>
      <w:r>
        <w:rPr>
          <w:rFonts w:ascii="宋体" w:eastAsia="宋体" w:hAnsi="宋体" w:cs="宋体" w:hint="eastAsia"/>
          <w:kern w:val="2"/>
          <w:lang w:eastAsia="zh-CN"/>
        </w:rPr>
        <w:t>造成甲方或第三方人身损害或财产经济损失而拒不赔偿的；</w:t>
      </w:r>
    </w:p>
    <w:p>
      <w:pPr>
        <w:widowControl w:val="0"/>
        <w:topLinePunct/>
        <w:autoSpaceDE w:val="0"/>
        <w:autoSpaceDN w:val="0"/>
        <w:adjustRightInd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13.1.12 乙方转让其应履行的合同义务，或未经甲方同意采取分包方式履行合同的；</w:t>
      </w:r>
    </w:p>
    <w:p>
      <w:pPr>
        <w:widowControl w:val="0"/>
        <w:topLinePunct/>
        <w:autoSpaceDE w:val="0"/>
        <w:autoSpaceDN w:val="0"/>
        <w:adjustRightInd w:val="0"/>
        <w:snapToGrid w:val="0"/>
        <w:spacing w:before="0" w:beforeAutospacing="0" w:after="0" w:afterAutospacing="0" w:line="360" w:lineRule="auto"/>
        <w:ind w:firstLine="420" w:firstLineChars="200"/>
        <w:jc w:val="both"/>
        <w:rPr>
          <w:rFonts w:ascii="Calibri" w:eastAsia="宋体" w:hAnsi="Calibri"/>
          <w:kern w:val="2"/>
          <w:sz w:val="21"/>
          <w:lang w:eastAsia="zh-CN"/>
        </w:rPr>
      </w:pPr>
      <w:r>
        <w:rPr>
          <w:rFonts w:ascii="宋体" w:eastAsia="宋体" w:hAnsi="宋体" w:cs="宋体" w:hint="eastAsia"/>
          <w:kern w:val="2"/>
          <w:lang w:eastAsia="zh-CN"/>
        </w:rPr>
        <w:t>13.1.13 乙方在本合同履行过程中存在“围猎”</w:t>
      </w:r>
      <w:r>
        <w:rPr>
          <w:rFonts w:ascii="宋体" w:eastAsia="宋体" w:hAnsi="宋体" w:cs="宋体"/>
          <w:kern w:val="2"/>
          <w:lang w:eastAsia="zh-CN"/>
        </w:rPr>
        <w:t>甲方</w:t>
      </w:r>
      <w:r>
        <w:rPr>
          <w:rFonts w:ascii="宋体" w:eastAsia="宋体" w:hAnsi="宋体" w:cs="宋体" w:hint="eastAsia"/>
          <w:kern w:val="2"/>
          <w:lang w:eastAsia="zh-CN"/>
        </w:rPr>
        <w:t>税务人员行为的。</w:t>
      </w:r>
    </w:p>
    <w:p>
      <w:pPr>
        <w:widowControl w:val="0"/>
        <w:topLinePunct/>
        <w:autoSpaceDE w:val="0"/>
        <w:autoSpaceDN w:val="0"/>
        <w:adjustRightInd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13.1.14 乙方有其他严重违约行为的。</w:t>
      </w:r>
    </w:p>
    <w:p>
      <w:pPr>
        <w:widowControl w:val="0"/>
        <w:adjustRightInd w:val="0"/>
        <w:snapToGrid w:val="0"/>
        <w:spacing w:before="0" w:beforeAutospacing="0" w:after="0" w:afterAutospacing="0" w:line="360" w:lineRule="auto"/>
        <w:ind w:firstLine="441" w:firstLineChars="210"/>
        <w:jc w:val="both"/>
        <w:rPr>
          <w:rFonts w:ascii="宋体" w:eastAsia="宋体" w:hAnsi="宋体" w:hint="eastAsia"/>
          <w:kern w:val="2"/>
          <w:lang w:eastAsia="zh-CN"/>
        </w:rPr>
      </w:pPr>
      <w:r>
        <w:rPr>
          <w:rFonts w:ascii="宋体" w:eastAsia="宋体" w:hAnsi="宋体"/>
          <w:kern w:val="2"/>
          <w:lang w:eastAsia="zh-CN"/>
        </w:rPr>
        <w:t>1</w:t>
      </w:r>
      <w:r>
        <w:rPr>
          <w:rFonts w:ascii="宋体" w:eastAsia="宋体" w:hAnsi="宋体" w:hint="eastAsia"/>
          <w:kern w:val="2"/>
          <w:lang w:eastAsia="zh-CN"/>
        </w:rPr>
        <w:t>3</w:t>
      </w:r>
      <w:r>
        <w:rPr>
          <w:rFonts w:ascii="宋体" w:eastAsia="宋体" w:hAnsi="宋体"/>
          <w:kern w:val="2"/>
          <w:lang w:eastAsia="zh-CN"/>
        </w:rPr>
        <w:t xml:space="preserve">.2 </w:t>
      </w:r>
      <w:r>
        <w:rPr>
          <w:rFonts w:ascii="宋体" w:eastAsia="宋体" w:hAnsi="宋体" w:hint="eastAsia"/>
          <w:kern w:val="2"/>
          <w:lang w:eastAsia="zh-CN"/>
        </w:rPr>
        <w:t>如果甲方根据上述第</w:t>
      </w:r>
      <w:r>
        <w:rPr>
          <w:rFonts w:ascii="宋体" w:eastAsia="宋体" w:hAnsi="宋体"/>
          <w:kern w:val="2"/>
          <w:lang w:eastAsia="zh-CN"/>
        </w:rPr>
        <w:t>1</w:t>
      </w:r>
      <w:r>
        <w:rPr>
          <w:rFonts w:ascii="宋体" w:eastAsia="宋体" w:hAnsi="宋体" w:hint="eastAsia"/>
          <w:kern w:val="2"/>
          <w:lang w:eastAsia="zh-CN"/>
        </w:rPr>
        <w:t>3</w:t>
      </w:r>
      <w:r>
        <w:rPr>
          <w:rFonts w:ascii="宋体" w:eastAsia="宋体" w:hAnsi="宋体"/>
          <w:kern w:val="2"/>
          <w:lang w:eastAsia="zh-CN"/>
        </w:rPr>
        <w:t>.1</w:t>
      </w:r>
      <w:r>
        <w:rPr>
          <w:rFonts w:ascii="宋体" w:eastAsia="宋体" w:hAnsi="宋体" w:hint="eastAsia"/>
          <w:kern w:val="2"/>
          <w:lang w:eastAsia="zh-CN"/>
        </w:rPr>
        <w:t>条的规定，解除了全部或部分合同，甲方可以适当的条件和方法购买乙方未能提供的货物及服务，乙方应对甲方购买类似货物及服务所超出的费用负责。同时，乙方应继续执行合同中未解除的部分。</w:t>
      </w:r>
    </w:p>
    <w:p>
      <w:pPr>
        <w:widowControl w:val="0"/>
        <w:snapToGrid w:val="0"/>
        <w:spacing w:before="0" w:beforeAutospacing="0" w:after="0" w:afterAutospacing="0" w:line="360" w:lineRule="auto"/>
        <w:ind w:firstLine="540"/>
        <w:jc w:val="both"/>
        <w:rPr>
          <w:rFonts w:ascii="宋体" w:eastAsia="宋体" w:hAnsi="宋体" w:cs="宋体" w:hint="eastAsia"/>
          <w:kern w:val="2"/>
          <w:lang w:eastAsia="zh-CN"/>
        </w:rPr>
      </w:pP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b/>
          <w:kern w:val="2"/>
          <w:lang w:eastAsia="zh-CN"/>
        </w:rPr>
      </w:pPr>
      <w:r>
        <w:rPr>
          <w:rFonts w:ascii="宋体" w:eastAsia="宋体" w:hAnsi="宋体" w:cs="宋体" w:hint="eastAsia"/>
          <w:b/>
          <w:kern w:val="2"/>
          <w:lang w:eastAsia="zh-CN"/>
        </w:rPr>
        <w:t>14. 破产终止合同</w:t>
      </w:r>
    </w:p>
    <w:p>
      <w:pPr>
        <w:widowControl w:val="0"/>
        <w:snapToGrid w:val="0"/>
        <w:spacing w:before="0" w:beforeAutospacing="0" w:after="0" w:afterAutospacing="0" w:line="360" w:lineRule="auto"/>
        <w:ind w:firstLine="420" w:firstLineChars="200"/>
        <w:jc w:val="both"/>
        <w:rPr>
          <w:rFonts w:ascii="宋体" w:eastAsia="宋体" w:hAnsi="宋体" w:hint="eastAsia"/>
          <w:kern w:val="2"/>
          <w:lang w:eastAsia="zh-CN"/>
        </w:rPr>
      </w:pPr>
      <w:r>
        <w:rPr>
          <w:rFonts w:ascii="宋体" w:eastAsia="宋体" w:hAnsi="宋体"/>
          <w:kern w:val="2"/>
          <w:lang w:eastAsia="zh-CN"/>
        </w:rPr>
        <w:t>1</w:t>
      </w:r>
      <w:r>
        <w:rPr>
          <w:rFonts w:ascii="宋体" w:eastAsia="宋体" w:hAnsi="宋体" w:hint="eastAsia"/>
          <w:kern w:val="2"/>
          <w:lang w:eastAsia="zh-CN"/>
        </w:rPr>
        <w:t>4</w:t>
      </w:r>
      <w:r>
        <w:rPr>
          <w:rFonts w:ascii="宋体" w:eastAsia="宋体" w:hAnsi="宋体"/>
          <w:kern w:val="2"/>
          <w:lang w:eastAsia="zh-CN"/>
        </w:rPr>
        <w:t xml:space="preserve">.1 </w:t>
      </w:r>
      <w:r>
        <w:rPr>
          <w:rFonts w:ascii="宋体" w:eastAsia="宋体" w:hAnsi="宋体" w:hint="eastAsia"/>
          <w:kern w:val="2"/>
          <w:lang w:eastAsia="zh-CN"/>
        </w:rPr>
        <w:t>如果乙方破产或无清偿能力，甲方可在任何时候以书面形式通知乙方终止合同而不给乙方补偿。</w:t>
      </w:r>
    </w:p>
    <w:p>
      <w:pPr>
        <w:widowControl w:val="0"/>
        <w:snapToGrid w:val="0"/>
        <w:spacing w:before="0" w:beforeAutospacing="0" w:after="0" w:afterAutospacing="0" w:line="360" w:lineRule="auto"/>
        <w:ind w:firstLine="420" w:firstLineChars="200"/>
        <w:jc w:val="both"/>
        <w:rPr>
          <w:rFonts w:ascii="宋体" w:eastAsia="宋体" w:hAnsi="宋体" w:hint="eastAsia"/>
          <w:kern w:val="2"/>
          <w:lang w:eastAsia="zh-CN"/>
        </w:rPr>
      </w:pPr>
      <w:r>
        <w:rPr>
          <w:rFonts w:ascii="宋体" w:eastAsia="宋体" w:hAnsi="宋体" w:hint="eastAsia"/>
          <w:kern w:val="2"/>
          <w:lang w:eastAsia="zh-CN"/>
        </w:rPr>
        <w:t>14.2 该终止合同将不损害或影响甲方已经采取或将要采取的任何行动或补救措施的权利。</w:t>
      </w:r>
    </w:p>
    <w:p>
      <w:pPr>
        <w:widowControl w:val="0"/>
        <w:topLinePunct/>
        <w:autoSpaceDE w:val="0"/>
        <w:autoSpaceDN w:val="0"/>
        <w:snapToGrid w:val="0"/>
        <w:spacing w:before="0" w:beforeAutospacing="0" w:after="0" w:afterAutospacing="0" w:line="360" w:lineRule="auto"/>
        <w:jc w:val="both"/>
        <w:rPr>
          <w:rFonts w:ascii="宋体" w:eastAsia="宋体" w:hAnsi="宋体" w:cs="宋体" w:hint="eastAsia"/>
          <w:kern w:val="2"/>
          <w:lang w:eastAsia="zh-CN"/>
        </w:rPr>
      </w:pP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b/>
          <w:kern w:val="2"/>
          <w:lang w:eastAsia="zh-CN"/>
        </w:rPr>
      </w:pPr>
      <w:r>
        <w:rPr>
          <w:rFonts w:ascii="宋体" w:eastAsia="宋体" w:hAnsi="宋体" w:cs="宋体" w:hint="eastAsia"/>
          <w:b/>
          <w:kern w:val="2"/>
          <w:lang w:eastAsia="zh-CN"/>
        </w:rPr>
        <w:t>15. 合同修改或变更</w:t>
      </w:r>
    </w:p>
    <w:p>
      <w:pPr>
        <w:widowControl w:val="0"/>
        <w:snapToGrid w:val="0"/>
        <w:spacing w:before="0" w:beforeAutospacing="0" w:after="0" w:afterAutospacing="0" w:line="360" w:lineRule="auto"/>
        <w:ind w:firstLine="482"/>
        <w:jc w:val="both"/>
        <w:rPr>
          <w:rFonts w:ascii="宋体" w:eastAsia="宋体" w:hAnsi="宋体" w:cs="宋体" w:hint="eastAsia"/>
          <w:kern w:val="2"/>
          <w:lang w:eastAsia="zh-CN"/>
        </w:rPr>
      </w:pPr>
      <w:r>
        <w:rPr>
          <w:rFonts w:ascii="宋体" w:eastAsia="宋体" w:hAnsi="宋体" w:cs="宋体" w:hint="eastAsia"/>
          <w:kern w:val="2"/>
          <w:lang w:eastAsia="zh-CN"/>
        </w:rPr>
        <w:t>15.1 合同如有未尽事宜，须经甲乙双方共同协商，做出补充约定，并签订书面补充合同或变更协议。补充合同或变更协议作为本合同的一部分，与本合同具有同等效力。</w:t>
      </w:r>
    </w:p>
    <w:p>
      <w:pPr>
        <w:widowControl w:val="0"/>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b/>
          <w:kern w:val="2"/>
          <w:lang w:eastAsia="zh-CN"/>
        </w:rPr>
      </w:pPr>
      <w:r>
        <w:rPr>
          <w:rFonts w:ascii="宋体" w:eastAsia="宋体" w:hAnsi="宋体" w:cs="宋体" w:hint="eastAsia"/>
          <w:kern w:val="2"/>
          <w:lang w:eastAsia="zh-CN"/>
        </w:rPr>
        <w:t>15.2 除了双方签署书面修改或变更协议，并成为本合同不可分割的一部分的情况之外，本合同的条款不得有任何变化或修改。</w:t>
      </w:r>
    </w:p>
    <w:p>
      <w:pPr>
        <w:widowControl w:val="0"/>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15.3 由于甲方项目统一规划等原因导致本项目停止部分服务的，甲方将与乙方协商处理。</w:t>
      </w:r>
    </w:p>
    <w:p>
      <w:pPr>
        <w:widowControl w:val="0"/>
        <w:snapToGrid w:val="0"/>
        <w:spacing w:before="0" w:beforeAutospacing="0" w:after="0" w:afterAutospacing="0" w:line="360" w:lineRule="auto"/>
        <w:jc w:val="both"/>
        <w:rPr>
          <w:rFonts w:ascii="宋体" w:eastAsia="宋体" w:hAnsi="宋体" w:cs="宋体" w:hint="eastAsia"/>
          <w:kern w:val="2"/>
          <w:lang w:eastAsia="zh-CN"/>
        </w:rPr>
      </w:pP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b/>
          <w:kern w:val="2"/>
          <w:lang w:eastAsia="zh-CN"/>
        </w:rPr>
      </w:pPr>
      <w:r>
        <w:rPr>
          <w:rFonts w:ascii="宋体" w:eastAsia="宋体" w:hAnsi="宋体" w:cs="宋体" w:hint="eastAsia"/>
          <w:b/>
          <w:kern w:val="2"/>
          <w:lang w:eastAsia="zh-CN"/>
        </w:rPr>
        <w:t>16. 转让和分包</w:t>
      </w:r>
    </w:p>
    <w:p>
      <w:pPr>
        <w:widowControl w:val="0"/>
        <w:snapToGrid w:val="0"/>
        <w:spacing w:before="0" w:beforeAutospacing="0" w:after="0" w:afterAutospacing="0" w:line="360" w:lineRule="auto"/>
        <w:ind w:firstLine="420" w:firstLineChars="200"/>
        <w:jc w:val="both"/>
        <w:rPr>
          <w:rFonts w:ascii="宋体" w:eastAsia="宋体" w:hAnsi="宋体" w:hint="eastAsia"/>
          <w:kern w:val="2"/>
          <w:lang w:eastAsia="zh-CN"/>
        </w:rPr>
      </w:pPr>
      <w:r>
        <w:rPr>
          <w:rFonts w:ascii="宋体" w:eastAsia="宋体" w:hAnsi="宋体"/>
          <w:kern w:val="2"/>
          <w:lang w:eastAsia="zh-CN"/>
        </w:rPr>
        <w:t>1</w:t>
      </w:r>
      <w:r>
        <w:rPr>
          <w:rFonts w:ascii="宋体" w:eastAsia="宋体" w:hAnsi="宋体" w:hint="eastAsia"/>
          <w:kern w:val="2"/>
          <w:lang w:eastAsia="zh-CN"/>
        </w:rPr>
        <w:t>6</w:t>
      </w:r>
      <w:r>
        <w:rPr>
          <w:rFonts w:ascii="宋体" w:eastAsia="宋体" w:hAnsi="宋体"/>
          <w:kern w:val="2"/>
          <w:lang w:eastAsia="zh-CN"/>
        </w:rPr>
        <w:t>.1</w:t>
      </w:r>
      <w:r>
        <w:rPr>
          <w:rFonts w:ascii="宋体" w:eastAsia="宋体" w:hAnsi="宋体" w:hint="eastAsia"/>
          <w:kern w:val="2"/>
          <w:lang w:eastAsia="zh-CN"/>
        </w:rPr>
        <w:t xml:space="preserve"> 乙方不得部分转让或全部转让其应履行的合同义务。</w:t>
      </w:r>
    </w:p>
    <w:p>
      <w:pPr>
        <w:widowControl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hint="eastAsia"/>
          <w:kern w:val="2"/>
          <w:lang w:eastAsia="zh-CN"/>
        </w:rPr>
        <w:t xml:space="preserve">16.2 </w:t>
      </w:r>
      <w:r>
        <w:rPr>
          <w:rFonts w:ascii="宋体" w:eastAsia="宋体" w:hAnsi="宋体" w:cs="宋体" w:hint="eastAsia"/>
          <w:kern w:val="2"/>
          <w:lang w:eastAsia="zh-CN"/>
        </w:rPr>
        <w:t>未经甲方同意，乙方不得采取分包方式履行合同。经甲方同意分包履行合同的，乙方就采购项目及分包项目向甲方负责，分包供应商就分包项目承担责任。</w:t>
      </w:r>
    </w:p>
    <w:p>
      <w:pPr>
        <w:widowControl w:val="0"/>
        <w:snapToGrid w:val="0"/>
        <w:spacing w:before="0" w:beforeAutospacing="0" w:after="0" w:afterAutospacing="0" w:line="360" w:lineRule="auto"/>
        <w:ind w:firstLine="480"/>
        <w:jc w:val="both"/>
        <w:rPr>
          <w:rFonts w:ascii="宋体" w:eastAsia="宋体" w:hAnsi="宋体" w:cs="宋体" w:hint="eastAsia"/>
          <w:kern w:val="2"/>
          <w:lang w:val="en" w:eastAsia="zh-CN"/>
        </w:rPr>
      </w:pPr>
      <w:r>
        <w:rPr>
          <w:rFonts w:ascii="宋体" w:eastAsia="宋体" w:hAnsi="宋体" w:cs="宋体"/>
          <w:kern w:val="2"/>
          <w:lang w:val="en" w:eastAsia="zh-CN"/>
        </w:rPr>
        <w:t>1</w:t>
      </w:r>
      <w:r>
        <w:rPr>
          <w:rFonts w:ascii="宋体" w:eastAsia="宋体" w:hAnsi="宋体" w:cs="宋体" w:hint="eastAsia"/>
          <w:kern w:val="2"/>
          <w:lang w:eastAsia="zh-CN"/>
        </w:rPr>
        <w:t>6</w:t>
      </w:r>
      <w:r>
        <w:rPr>
          <w:rFonts w:ascii="宋体" w:eastAsia="宋体" w:hAnsi="宋体" w:cs="宋体"/>
          <w:kern w:val="2"/>
          <w:lang w:val="en" w:eastAsia="zh-CN"/>
        </w:rPr>
        <w:t xml:space="preserve">.3 </w:t>
      </w:r>
      <w:r>
        <w:rPr>
          <w:rFonts w:ascii="宋体" w:eastAsia="宋体" w:hAnsi="宋体" w:cs="宋体" w:hint="eastAsia"/>
          <w:kern w:val="2"/>
          <w:lang w:val="en" w:eastAsia="zh-CN"/>
        </w:rPr>
        <w:t>乙方不得对政务信息系统建设、运营、维护项目的主体和关键部分采取分包方式履行合同。</w:t>
      </w:r>
    </w:p>
    <w:p>
      <w:pPr>
        <w:widowControl w:val="0"/>
        <w:snapToGrid w:val="0"/>
        <w:spacing w:before="0" w:beforeAutospacing="0" w:after="0" w:afterAutospacing="0" w:line="360" w:lineRule="auto"/>
        <w:ind w:firstLine="480"/>
        <w:jc w:val="both"/>
        <w:rPr>
          <w:rFonts w:ascii="宋体" w:eastAsia="宋体" w:hAnsi="宋体" w:cs="宋体" w:hint="eastAsia"/>
          <w:kern w:val="2"/>
          <w:lang w:val="en" w:eastAsia="zh-CN"/>
        </w:rPr>
      </w:pP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b/>
          <w:kern w:val="2"/>
          <w:lang w:eastAsia="zh-CN"/>
        </w:rPr>
      </w:pPr>
      <w:r>
        <w:rPr>
          <w:rFonts w:ascii="宋体" w:eastAsia="宋体" w:hAnsi="宋体" w:cs="宋体" w:hint="eastAsia"/>
          <w:b/>
          <w:kern w:val="2"/>
          <w:lang w:eastAsia="zh-CN"/>
        </w:rPr>
        <w:t>17. 合同语言</w:t>
      </w:r>
    </w:p>
    <w:p>
      <w:pPr>
        <w:widowControl w:val="0"/>
        <w:snapToGrid w:val="0"/>
        <w:spacing w:before="0" w:beforeAutospacing="0" w:after="0" w:afterAutospacing="0" w:line="360" w:lineRule="auto"/>
        <w:ind w:firstLine="480"/>
        <w:jc w:val="both"/>
        <w:rPr>
          <w:rFonts w:ascii="宋体" w:eastAsia="宋体" w:hAnsi="宋体" w:cs="宋体" w:hint="eastAsia"/>
          <w:kern w:val="2"/>
          <w:lang w:val="en" w:eastAsia="zh-CN"/>
        </w:rPr>
      </w:pPr>
      <w:r>
        <w:rPr>
          <w:rFonts w:ascii="宋体" w:eastAsia="宋体" w:hAnsi="宋体" w:cs="宋体"/>
          <w:kern w:val="2"/>
          <w:lang w:val="en" w:eastAsia="zh-CN"/>
        </w:rPr>
        <w:t>1</w:t>
      </w:r>
      <w:r>
        <w:rPr>
          <w:rFonts w:ascii="宋体" w:eastAsia="宋体" w:hAnsi="宋体" w:cs="宋体" w:hint="eastAsia"/>
          <w:kern w:val="2"/>
          <w:lang w:eastAsia="zh-CN"/>
        </w:rPr>
        <w:t>7</w:t>
      </w:r>
      <w:r>
        <w:rPr>
          <w:rFonts w:ascii="宋体" w:eastAsia="宋体" w:hAnsi="宋体" w:cs="宋体"/>
          <w:kern w:val="2"/>
          <w:lang w:val="en" w:eastAsia="zh-CN"/>
        </w:rPr>
        <w:t xml:space="preserve">.1 </w:t>
      </w:r>
      <w:r>
        <w:rPr>
          <w:rFonts w:ascii="宋体" w:eastAsia="宋体" w:hAnsi="宋体" w:cs="宋体" w:hint="eastAsia"/>
          <w:kern w:val="2"/>
          <w:lang w:val="en" w:eastAsia="zh-CN"/>
        </w:rPr>
        <w:t>本合同语言为中文。</w:t>
      </w:r>
    </w:p>
    <w:p>
      <w:pPr>
        <w:widowControl w:val="0"/>
        <w:snapToGrid w:val="0"/>
        <w:spacing w:before="0" w:beforeAutospacing="0" w:after="0" w:afterAutospacing="0" w:line="360" w:lineRule="auto"/>
        <w:ind w:firstLine="480"/>
        <w:jc w:val="both"/>
        <w:rPr>
          <w:rFonts w:ascii="宋体" w:eastAsia="宋体" w:hAnsi="宋体" w:cs="宋体" w:hint="eastAsia"/>
          <w:kern w:val="2"/>
          <w:lang w:val="en" w:eastAsia="zh-CN"/>
        </w:rPr>
      </w:pPr>
      <w:r>
        <w:rPr>
          <w:rFonts w:ascii="宋体" w:eastAsia="宋体" w:hAnsi="宋体" w:cs="宋体"/>
          <w:kern w:val="2"/>
          <w:lang w:val="en" w:eastAsia="zh-CN"/>
        </w:rPr>
        <w:t>1</w:t>
      </w:r>
      <w:r>
        <w:rPr>
          <w:rFonts w:ascii="宋体" w:eastAsia="宋体" w:hAnsi="宋体" w:cs="宋体" w:hint="eastAsia"/>
          <w:kern w:val="2"/>
          <w:lang w:eastAsia="zh-CN"/>
        </w:rPr>
        <w:t>7</w:t>
      </w:r>
      <w:r>
        <w:rPr>
          <w:rFonts w:ascii="宋体" w:eastAsia="宋体" w:hAnsi="宋体" w:cs="宋体"/>
          <w:kern w:val="2"/>
          <w:lang w:val="en" w:eastAsia="zh-CN"/>
        </w:rPr>
        <w:t xml:space="preserve">.2 </w:t>
      </w:r>
      <w:r>
        <w:rPr>
          <w:rFonts w:ascii="宋体" w:eastAsia="宋体" w:hAnsi="宋体" w:cs="宋体" w:hint="eastAsia"/>
          <w:kern w:val="2"/>
          <w:lang w:val="en" w:eastAsia="zh-CN"/>
        </w:rPr>
        <w:t>双方交换的与合同有关的信件和其他文件应用合同语言书写。</w:t>
      </w:r>
    </w:p>
    <w:p>
      <w:pPr>
        <w:widowControl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b/>
          <w:kern w:val="2"/>
          <w:lang w:eastAsia="zh-CN"/>
        </w:rPr>
      </w:pPr>
      <w:r>
        <w:rPr>
          <w:rFonts w:ascii="宋体" w:eastAsia="宋体" w:hAnsi="宋体" w:cs="宋体" w:hint="eastAsia"/>
          <w:b/>
          <w:kern w:val="2"/>
          <w:lang w:eastAsia="zh-CN"/>
        </w:rPr>
        <w:t>18. 适用法律</w:t>
      </w:r>
    </w:p>
    <w:p>
      <w:pPr>
        <w:widowControl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18.1 本合同按照中华人民共和国现行法律进行解释。</w:t>
      </w:r>
    </w:p>
    <w:p>
      <w:pPr>
        <w:widowControl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18.2 本合同的履行、违约责任和解决争议的方法等适用《中华人民共和国民法典（合同编）》。</w:t>
      </w:r>
    </w:p>
    <w:p>
      <w:pPr>
        <w:widowControl w:val="0"/>
        <w:snapToGrid w:val="0"/>
        <w:spacing w:before="0" w:beforeAutospacing="0" w:after="0" w:afterAutospacing="0" w:line="360" w:lineRule="auto"/>
        <w:ind w:firstLine="482"/>
        <w:jc w:val="both"/>
        <w:rPr>
          <w:rFonts w:ascii="宋体" w:eastAsia="宋体" w:hAnsi="宋体" w:cs="宋体" w:hint="eastAsia"/>
          <w:kern w:val="2"/>
          <w:lang w:eastAsia="zh-CN"/>
        </w:rPr>
      </w:pPr>
    </w:p>
    <w:p>
      <w:pPr>
        <w:widowControl w:val="0"/>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b/>
          <w:kern w:val="2"/>
          <w:lang w:eastAsia="zh-CN"/>
        </w:rPr>
      </w:pPr>
      <w:r>
        <w:rPr>
          <w:rFonts w:ascii="宋体" w:eastAsia="宋体" w:hAnsi="宋体" w:cs="宋体" w:hint="eastAsia"/>
          <w:b/>
          <w:kern w:val="2"/>
          <w:lang w:eastAsia="zh-CN"/>
        </w:rPr>
        <w:t>19. 税费</w:t>
      </w:r>
    </w:p>
    <w:p>
      <w:pPr>
        <w:widowControl w:val="0"/>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19.1 乙方应依法缴纳的合同货物及服务相关税费，均已包含于合同总金额中，甲方不再另行支付。</w:t>
      </w:r>
    </w:p>
    <w:p>
      <w:pPr>
        <w:widowControl w:val="0"/>
        <w:tabs>
          <w:tab w:val="left" w:pos="700"/>
        </w:tabs>
        <w:snapToGrid w:val="0"/>
        <w:spacing w:before="0" w:beforeAutospacing="0" w:after="0" w:afterAutospacing="0" w:line="360" w:lineRule="auto"/>
        <w:jc w:val="both"/>
        <w:rPr>
          <w:rFonts w:ascii="宋体" w:eastAsia="宋体" w:hAnsi="宋体" w:cs="宋体" w:hint="eastAsia"/>
          <w:b/>
          <w:kern w:val="2"/>
          <w:lang w:eastAsia="zh-CN"/>
        </w:rPr>
      </w:pPr>
    </w:p>
    <w:p>
      <w:pPr>
        <w:widowControl w:val="0"/>
        <w:numPr>
          <w:ilvl w:val="0"/>
          <w:numId w:val="9"/>
        </w:numPr>
        <w:topLinePunct/>
        <w:autoSpaceDE w:val="0"/>
        <w:autoSpaceDN w:val="0"/>
        <w:snapToGrid w:val="0"/>
        <w:spacing w:before="0" w:beforeAutospacing="0" w:after="0" w:afterAutospacing="0" w:line="360" w:lineRule="auto"/>
        <w:ind w:left="482"/>
        <w:jc w:val="both"/>
        <w:outlineLvl w:val="2"/>
        <w:rPr>
          <w:rFonts w:ascii="宋体" w:eastAsia="宋体" w:hAnsi="宋体" w:cs="宋体" w:hint="eastAsia"/>
          <w:b/>
          <w:kern w:val="2"/>
          <w:lang w:eastAsia="zh-CN"/>
        </w:rPr>
      </w:pPr>
      <w:r>
        <w:rPr>
          <w:rFonts w:ascii="宋体" w:eastAsia="宋体" w:hAnsi="宋体" w:cs="宋体" w:hint="eastAsia"/>
          <w:b/>
          <w:kern w:val="2"/>
          <w:lang w:eastAsia="zh-CN"/>
        </w:rPr>
        <w:t>合同生效</w:t>
      </w:r>
    </w:p>
    <w:p>
      <w:pPr>
        <w:widowControl w:val="0"/>
        <w:topLinePunct/>
        <w:autoSpaceDE w:val="0"/>
        <w:autoSpaceDN w:val="0"/>
        <w:snapToGrid w:val="0"/>
        <w:spacing w:before="0" w:beforeAutospacing="0" w:after="0" w:afterAutospacing="0" w:line="360" w:lineRule="auto"/>
        <w:ind w:firstLine="420" w:firstLineChars="200"/>
        <w:jc w:val="both"/>
        <w:rPr>
          <w:rFonts w:ascii="宋体" w:eastAsia="宋体" w:hAnsi="宋体" w:cs="宋体" w:hint="eastAsia"/>
          <w:kern w:val="2"/>
          <w:lang w:eastAsia="zh-CN"/>
        </w:rPr>
      </w:pPr>
      <w:r>
        <w:rPr>
          <w:rFonts w:ascii="宋体" w:eastAsia="宋体" w:hAnsi="宋体" w:cs="宋体" w:hint="eastAsia"/>
          <w:kern w:val="2"/>
          <w:lang w:eastAsia="zh-CN"/>
        </w:rPr>
        <w:t>20.1本合同经甲乙双方法定代表人或其授权代表签字加盖公章（或加盖合同章）后生效。</w:t>
      </w:r>
    </w:p>
    <w:p>
      <w:pPr>
        <w:widowControl w:val="0"/>
        <w:topLinePunct/>
        <w:autoSpaceDE w:val="0"/>
        <w:autoSpaceDN w:val="0"/>
        <w:adjustRightInd w:val="0"/>
        <w:snapToGrid w:val="0"/>
        <w:spacing w:before="0" w:beforeAutospacing="0" w:after="0" w:afterAutospacing="0" w:line="360" w:lineRule="auto"/>
        <w:ind w:firstLine="420" w:firstLineChars="200"/>
        <w:jc w:val="left"/>
        <w:rPr>
          <w:rFonts w:ascii="宋体" w:eastAsia="宋体" w:hAnsi="宋体" w:cs="宋体" w:hint="eastAsia"/>
          <w:b/>
          <w:kern w:val="2"/>
          <w:sz w:val="21"/>
          <w:lang w:eastAsia="zh-CN"/>
        </w:rPr>
      </w:pPr>
      <w:r>
        <w:rPr>
          <w:rFonts w:ascii="宋体" w:eastAsia="宋体" w:hAnsi="宋体" w:cs="宋体" w:hint="eastAsia"/>
          <w:b/>
          <w:kern w:val="2"/>
          <w:lang w:eastAsia="zh-CN"/>
        </w:rPr>
        <w:t>21. 通知送达</w:t>
      </w:r>
    </w:p>
    <w:p>
      <w:pPr>
        <w:widowControl w:val="0"/>
        <w:snapToGrid w:val="0"/>
        <w:spacing w:before="0" w:beforeAutospacing="0" w:after="0" w:afterAutospacing="0" w:line="360" w:lineRule="auto"/>
        <w:ind w:firstLine="420" w:firstLineChars="200"/>
        <w:jc w:val="left"/>
        <w:rPr>
          <w:rFonts w:ascii="宋体" w:eastAsia="宋体" w:hAnsi="宋体" w:cs="宋体" w:hint="eastAsia"/>
          <w:kern w:val="2"/>
          <w:sz w:val="21"/>
          <w:lang w:eastAsia="zh-CN"/>
        </w:rPr>
      </w:pPr>
      <w:r>
        <w:rPr>
          <w:rFonts w:ascii="宋体" w:eastAsia="宋体" w:hAnsi="宋体" w:cs="宋体" w:hint="eastAsia"/>
          <w:kern w:val="2"/>
          <w:lang w:eastAsia="zh-CN"/>
        </w:rPr>
        <w:t>21.1合同双方为履行本合同而相互发出的函件、通知等文件，除可即时由对方授权代表签收外，均应以EMS（或其他快递）或电子邮件方式向双方于本条第3款确定的收件地址发出。以EMS（或其他快递）方式发出的，自文件寄出之日起3日期满即视为送达，双方确认本条款约定的地址可作为发生争议时的司法送达地址（即作为仲裁或人民法院法律文书送达地址）；以电子邮件方式发出的，以发送方“邮件系统发送成功载明的时间”为送达时间。</w:t>
      </w:r>
    </w:p>
    <w:p>
      <w:pPr>
        <w:widowControl w:val="0"/>
        <w:snapToGrid w:val="0"/>
        <w:spacing w:before="0" w:beforeAutospacing="0" w:after="0" w:afterAutospacing="0" w:line="360" w:lineRule="auto"/>
        <w:ind w:firstLine="420" w:firstLineChars="200"/>
        <w:jc w:val="left"/>
        <w:rPr>
          <w:rFonts w:ascii="宋体" w:eastAsia="宋体" w:hAnsi="宋体" w:cs="宋体" w:hint="eastAsia"/>
          <w:kern w:val="2"/>
          <w:sz w:val="21"/>
          <w:lang w:eastAsia="zh-CN"/>
        </w:rPr>
      </w:pPr>
      <w:r>
        <w:rPr>
          <w:rFonts w:ascii="宋体" w:eastAsia="宋体" w:hAnsi="宋体" w:cs="宋体" w:hint="eastAsia"/>
          <w:kern w:val="2"/>
          <w:lang w:eastAsia="zh-CN"/>
        </w:rPr>
        <w:t>21.2任何一方变更地址、联系人、联系电话或电子邮箱的，应当及时向另一方通知变更事项，未及时通知的，另一方按原信息送达的通知视为有效送达。</w:t>
      </w:r>
    </w:p>
    <w:p>
      <w:pPr>
        <w:widowControl w:val="0"/>
        <w:snapToGrid w:val="0"/>
        <w:spacing w:before="0" w:beforeAutospacing="0" w:after="0" w:afterAutospacing="0" w:line="360" w:lineRule="auto"/>
        <w:ind w:firstLine="420" w:firstLineChars="200"/>
        <w:jc w:val="left"/>
        <w:rPr>
          <w:rFonts w:ascii="宋体" w:eastAsia="宋体" w:hAnsi="宋体" w:cs="宋体" w:hint="eastAsia"/>
          <w:kern w:val="2"/>
          <w:sz w:val="21"/>
          <w:lang w:eastAsia="zh-CN"/>
        </w:rPr>
      </w:pPr>
      <w:r>
        <w:rPr>
          <w:rFonts w:ascii="宋体" w:eastAsia="宋体" w:hAnsi="宋体" w:cs="宋体" w:hint="eastAsia"/>
          <w:kern w:val="2"/>
          <w:lang w:eastAsia="zh-CN"/>
        </w:rPr>
        <w:t>21.3通知与送达信息如下：</w:t>
      </w:r>
    </w:p>
    <w:p>
      <w:pPr>
        <w:widowControl w:val="0"/>
        <w:snapToGrid w:val="0"/>
        <w:spacing w:before="0" w:beforeAutospacing="0" w:after="0" w:afterAutospacing="0" w:line="360" w:lineRule="auto"/>
        <w:ind w:firstLine="420" w:firstLineChars="200"/>
        <w:jc w:val="left"/>
        <w:rPr>
          <w:rFonts w:ascii="宋体" w:eastAsia="宋体" w:hAnsi="宋体" w:cs="宋体" w:hint="eastAsia"/>
          <w:kern w:val="2"/>
          <w:sz w:val="21"/>
          <w:lang w:eastAsia="zh-CN"/>
        </w:rPr>
      </w:pPr>
      <w:r>
        <w:rPr>
          <w:rFonts w:ascii="宋体" w:eastAsia="宋体" w:hAnsi="宋体" w:cs="宋体" w:hint="eastAsia"/>
          <w:kern w:val="2"/>
          <w:lang w:eastAsia="zh-CN"/>
        </w:rPr>
        <w:t>甲方的收件地址为：                。</w:t>
      </w:r>
    </w:p>
    <w:p>
      <w:pPr>
        <w:widowControl w:val="0"/>
        <w:snapToGrid w:val="0"/>
        <w:spacing w:before="0" w:beforeAutospacing="0" w:after="0" w:afterAutospacing="0" w:line="360" w:lineRule="auto"/>
        <w:ind w:firstLine="420" w:firstLineChars="200"/>
        <w:jc w:val="left"/>
        <w:rPr>
          <w:rFonts w:ascii="宋体" w:eastAsia="宋体" w:hAnsi="宋体" w:cs="宋体" w:hint="eastAsia"/>
          <w:kern w:val="2"/>
          <w:sz w:val="21"/>
          <w:lang w:eastAsia="zh-CN"/>
        </w:rPr>
      </w:pPr>
      <w:r>
        <w:rPr>
          <w:rFonts w:ascii="宋体" w:eastAsia="宋体" w:hAnsi="宋体" w:cs="宋体" w:hint="eastAsia"/>
          <w:kern w:val="2"/>
          <w:lang w:eastAsia="zh-CN"/>
        </w:rPr>
        <w:t>联系人：      ；联系电话：  ；电子邮箱：              。</w:t>
      </w:r>
    </w:p>
    <w:p>
      <w:pPr>
        <w:widowControl w:val="0"/>
        <w:snapToGrid w:val="0"/>
        <w:spacing w:before="0" w:beforeAutospacing="0" w:after="0" w:afterAutospacing="0" w:line="360" w:lineRule="auto"/>
        <w:ind w:firstLine="420" w:firstLineChars="200"/>
        <w:jc w:val="left"/>
        <w:rPr>
          <w:rFonts w:ascii="宋体" w:eastAsia="宋体" w:hAnsi="宋体" w:cs="宋体" w:hint="eastAsia"/>
          <w:kern w:val="2"/>
          <w:sz w:val="21"/>
          <w:lang w:eastAsia="zh-CN"/>
        </w:rPr>
      </w:pPr>
      <w:r>
        <w:rPr>
          <w:rFonts w:ascii="宋体" w:eastAsia="宋体" w:hAnsi="宋体" w:cs="宋体" w:hint="eastAsia"/>
          <w:bCs/>
          <w:kern w:val="2"/>
          <w:lang w:eastAsia="zh-CN"/>
        </w:rPr>
        <w:t>乙方</w:t>
      </w:r>
      <w:r>
        <w:rPr>
          <w:rFonts w:ascii="宋体" w:eastAsia="宋体" w:hAnsi="宋体" w:cs="宋体" w:hint="eastAsia"/>
          <w:kern w:val="2"/>
          <w:lang w:eastAsia="zh-CN"/>
        </w:rPr>
        <w:t>的收件地址为：                。</w:t>
      </w:r>
    </w:p>
    <w:p>
      <w:pPr>
        <w:widowControl w:val="0"/>
        <w:snapToGrid w:val="0"/>
        <w:spacing w:before="0" w:beforeAutospacing="0" w:after="0" w:afterAutospacing="0" w:line="360" w:lineRule="auto"/>
        <w:ind w:firstLine="420" w:firstLineChars="200"/>
        <w:jc w:val="left"/>
        <w:rPr>
          <w:rFonts w:ascii="宋体" w:eastAsia="宋体" w:hAnsi="宋体" w:cs="宋体" w:hint="eastAsia"/>
          <w:kern w:val="2"/>
          <w:sz w:val="21"/>
          <w:lang w:eastAsia="zh-CN"/>
        </w:rPr>
      </w:pPr>
      <w:r>
        <w:rPr>
          <w:rFonts w:ascii="宋体" w:eastAsia="宋体" w:hAnsi="宋体" w:cs="宋体" w:hint="eastAsia"/>
          <w:kern w:val="2"/>
          <w:lang w:eastAsia="zh-CN"/>
        </w:rPr>
        <w:t>联系人：      ；联系电话：  ；电子邮箱：              。</w:t>
      </w:r>
    </w:p>
    <w:p>
      <w:pPr>
        <w:widowControl w:val="0"/>
        <w:adjustRightInd w:val="0"/>
        <w:spacing w:before="0" w:beforeAutospacing="0" w:after="0" w:afterAutospacing="0" w:line="360" w:lineRule="atLeast"/>
        <w:jc w:val="center"/>
        <w:textAlignment w:val="baseline"/>
        <w:rPr>
          <w:rFonts w:ascii="宋体" w:eastAsia="宋体" w:hAnsi="宋体" w:cs="宋体" w:hint="eastAsia"/>
          <w:b/>
          <w:sz w:val="96"/>
          <w:szCs w:val="96"/>
          <w:lang w:eastAsia="zh-CN"/>
        </w:rPr>
      </w:pPr>
      <w:bookmarkEnd w:id="62"/>
    </w:p>
    <w:p w14:paraId="75956D96">
      <w:pPr>
        <w:rPr>
          <w:rStyle w:val="1Char"/>
          <w:rFonts w:hint="eastAsia"/>
          <w:highlight w:val="none"/>
          <w:lang w:val="en-US" w:eastAsia="zh-CN"/>
        </w:rPr>
      </w:pPr>
      <w:r>
        <w:rPr>
          <w:rStyle w:val="1Char"/>
          <w:rFonts w:hint="eastAsia"/>
          <w:highlight w:val="none"/>
          <w:lang w:val="en-US" w:eastAsia="zh-CN"/>
        </w:rPr>
        <w:br w:type="page"/>
      </w:r>
    </w:p>
    <w:p w14:paraId="2E0943D2">
      <w:pPr>
        <w:keepNext w:val="0"/>
        <w:keepLines w:val="0"/>
        <w:pageBreakBefore w:val="0"/>
        <w:widowControl w:val="0"/>
        <w:kinsoku/>
        <w:wordWrap/>
        <w:overflowPunct/>
        <w:topLinePunct w:val="0"/>
        <w:autoSpaceDE/>
        <w:autoSpaceDN/>
        <w:bidi w:val="0"/>
        <w:adjustRightInd w:val="0"/>
        <w:snapToGrid w:val="0"/>
        <w:spacing w:before="62" w:beforeLines="20" w:after="4" w:line="360" w:lineRule="auto"/>
        <w:jc w:val="center"/>
        <w:textAlignment w:val="auto"/>
        <w:outlineLvl w:val="0"/>
        <w:rPr>
          <w:rFonts w:ascii="Times New Roman" w:eastAsia="宋体" w:hAnsi="Times New Roman" w:cs="Times New Roman" w:hint="eastAsia"/>
          <w:b/>
          <w:bCs/>
          <w:color w:val="auto"/>
          <w:kern w:val="44"/>
          <w:sz w:val="36"/>
          <w:szCs w:val="36"/>
          <w:highlight w:val="none"/>
          <w:lang w:val="en-US" w:eastAsia="zh-CN" w:bidi="ar-SA"/>
        </w:rPr>
      </w:pPr>
      <w:bookmarkStart w:id="63" w:name="_Toc219631499"/>
      <w:bookmarkStart w:id="64" w:name="_Toc960604221"/>
      <w:bookmarkStart w:id="65" w:name="_Toc525052848"/>
      <w:bookmarkStart w:id="66" w:name="_Toc163178877"/>
      <w:bookmarkStart w:id="67" w:name="_Toc81784984"/>
      <w:bookmarkStart w:id="68" w:name="_Toc457214350"/>
      <w:bookmarkStart w:id="69" w:name="_Toc16607152"/>
      <w:bookmarkStart w:id="70" w:name="_Toc38030151"/>
      <w:bookmarkStart w:id="71" w:name="_Toc256000004"/>
      <w:r>
        <w:rPr>
          <w:rStyle w:val="1Char"/>
          <w:rFonts w:hint="eastAsia"/>
          <w:color w:val="auto"/>
          <w:highlight w:val="none"/>
          <w:lang w:val="en-US" w:eastAsia="zh-CN"/>
        </w:rPr>
        <w:t>第五章　投标文件格式</w:t>
      </w:r>
      <w:bookmarkEnd w:id="71"/>
      <w:bookmarkEnd w:id="63"/>
      <w:bookmarkEnd w:id="64"/>
      <w:bookmarkEnd w:id="65"/>
      <w:bookmarkEnd w:id="66"/>
      <w:bookmarkEnd w:id="67"/>
      <w:bookmarkEnd w:id="68"/>
      <w:bookmarkEnd w:id="69"/>
      <w:bookmarkEnd w:id="70"/>
    </w:p>
    <w:p w14:paraId="63129044">
      <w:pPr>
        <w:topLinePunct/>
        <w:autoSpaceDE w:val="0"/>
        <w:autoSpaceDN w:val="0"/>
        <w:adjustRightInd w:val="0"/>
        <w:snapToGrid w:val="0"/>
        <w:spacing w:before="62" w:beforeLines="20" w:after="4" w:line="360" w:lineRule="auto"/>
        <w:ind w:firstLine="480" w:firstLineChars="200"/>
        <w:rPr>
          <w:rFonts w:ascii="宋体" w:hAnsi="宋体" w:cs="宋体" w:hint="eastAsia"/>
          <w:color w:val="auto"/>
          <w:sz w:val="24"/>
        </w:rPr>
      </w:pPr>
      <w:r>
        <w:rPr>
          <w:rFonts w:ascii="宋体" w:hAnsi="宋体" w:cs="宋体" w:hint="eastAsia"/>
          <w:color w:val="auto"/>
          <w:sz w:val="24"/>
        </w:rPr>
        <w:t>投标人必须按下列文本格式，如实提供具有法律效力的资格证明文件</w:t>
      </w:r>
      <w:r>
        <w:rPr>
          <w:rFonts w:ascii="宋体" w:hAnsi="宋体" w:cs="宋体" w:hint="eastAsia"/>
          <w:strike w:val="0"/>
          <w:dstrike w:val="0"/>
          <w:color w:val="auto"/>
          <w:sz w:val="24"/>
          <w:lang w:eastAsia="zh-CN"/>
        </w:rPr>
        <w:t>和真实有效的其他文件资料</w:t>
      </w:r>
      <w:r>
        <w:rPr>
          <w:rFonts w:ascii="宋体" w:hAnsi="宋体" w:cs="宋体" w:hint="eastAsia"/>
          <w:color w:val="auto"/>
          <w:sz w:val="24"/>
        </w:rPr>
        <w:t>，任何不按下列文本格式提供或有实质性变更将由投标人承担风险。</w:t>
      </w:r>
    </w:p>
    <w:p w14:paraId="07FE1172">
      <w:pPr>
        <w:topLinePunct/>
        <w:autoSpaceDE w:val="0"/>
        <w:autoSpaceDN w:val="0"/>
        <w:adjustRightInd w:val="0"/>
        <w:snapToGrid w:val="0"/>
        <w:spacing w:before="62" w:beforeLines="20" w:after="4" w:line="360" w:lineRule="auto"/>
        <w:ind w:firstLine="480" w:firstLineChars="200"/>
        <w:rPr>
          <w:rFonts w:ascii="宋体" w:hAnsi="宋体" w:cs="宋体" w:hint="eastAsia"/>
          <w:color w:val="auto"/>
          <w:sz w:val="24"/>
        </w:rPr>
      </w:pPr>
      <w:r>
        <w:rPr>
          <w:rFonts w:ascii="宋体" w:hAnsi="宋体" w:cs="宋体" w:hint="eastAsia"/>
          <w:color w:val="auto"/>
          <w:sz w:val="24"/>
        </w:rPr>
        <w:t>1.投标人应严格按照本章规定填写和提交全部格式文件以及其他有关资料，混乱的编排导致</w:t>
      </w:r>
      <w:r>
        <w:rPr>
          <w:rFonts w:ascii="宋体" w:hAnsi="宋体" w:cs="宋体" w:hint="eastAsia"/>
          <w:color w:val="auto"/>
          <w:sz w:val="24"/>
          <w:lang w:eastAsia="zh-CN"/>
        </w:rPr>
        <w:t>投标</w:t>
      </w:r>
      <w:r>
        <w:rPr>
          <w:rFonts w:ascii="宋体" w:hAnsi="宋体" w:cs="宋体" w:hint="eastAsia"/>
          <w:color w:val="auto"/>
          <w:sz w:val="24"/>
        </w:rPr>
        <w:t>文件被误读</w:t>
      </w:r>
      <w:r>
        <w:rPr>
          <w:rFonts w:ascii="宋体" w:hAnsi="宋体" w:cs="宋体" w:hint="eastAsia"/>
          <w:strike w:val="0"/>
          <w:dstrike w:val="0"/>
          <w:color w:val="auto"/>
          <w:sz w:val="24"/>
        </w:rPr>
        <w:t>或查找不到</w:t>
      </w:r>
      <w:r>
        <w:rPr>
          <w:rFonts w:ascii="宋体" w:hAnsi="宋体" w:cs="宋体" w:hint="eastAsia"/>
          <w:color w:val="auto"/>
          <w:sz w:val="24"/>
        </w:rPr>
        <w:t>，后果由投标人承担。</w:t>
      </w:r>
    </w:p>
    <w:p w14:paraId="48620609">
      <w:pPr>
        <w:topLinePunct/>
        <w:autoSpaceDE w:val="0"/>
        <w:autoSpaceDN w:val="0"/>
        <w:adjustRightInd w:val="0"/>
        <w:snapToGrid w:val="0"/>
        <w:spacing w:before="62" w:beforeLines="20" w:after="4" w:line="360" w:lineRule="auto"/>
        <w:ind w:firstLine="480" w:firstLineChars="200"/>
        <w:rPr>
          <w:rFonts w:ascii="宋体" w:hAnsi="宋体" w:cs="宋体" w:hint="eastAsia"/>
          <w:color w:val="auto"/>
          <w:sz w:val="24"/>
        </w:rPr>
      </w:pPr>
      <w:r>
        <w:rPr>
          <w:rFonts w:ascii="宋体" w:hAnsi="宋体" w:cs="宋体" w:hint="eastAsia"/>
          <w:color w:val="auto"/>
          <w:sz w:val="24"/>
        </w:rPr>
        <w:t>2.所附表格中要求回答的全部问题和信息都必须正面回答。</w:t>
      </w:r>
    </w:p>
    <w:p w14:paraId="6B860C05">
      <w:pPr>
        <w:topLinePunct/>
        <w:autoSpaceDE w:val="0"/>
        <w:autoSpaceDN w:val="0"/>
        <w:adjustRightInd w:val="0"/>
        <w:snapToGrid w:val="0"/>
        <w:spacing w:before="62" w:beforeLines="20" w:after="4" w:line="360" w:lineRule="auto"/>
        <w:ind w:firstLine="480" w:firstLineChars="200"/>
        <w:rPr>
          <w:rFonts w:ascii="宋体" w:hAnsi="宋体" w:cs="宋体" w:hint="eastAsia"/>
          <w:color w:val="auto"/>
          <w:sz w:val="24"/>
        </w:rPr>
      </w:pPr>
      <w:r>
        <w:rPr>
          <w:rFonts w:ascii="宋体" w:hAnsi="宋体" w:cs="宋体" w:hint="eastAsia"/>
          <w:color w:val="auto"/>
          <w:sz w:val="24"/>
        </w:rPr>
        <w:t>3.资格声明文件的签字人应保证全部声明和问题的回答是真实的和准确的。</w:t>
      </w:r>
    </w:p>
    <w:p w14:paraId="3FC030D4">
      <w:pPr>
        <w:topLinePunct/>
        <w:autoSpaceDE w:val="0"/>
        <w:autoSpaceDN w:val="0"/>
        <w:adjustRightInd w:val="0"/>
        <w:snapToGrid w:val="0"/>
        <w:spacing w:before="62" w:beforeLines="20" w:after="4" w:line="360" w:lineRule="auto"/>
        <w:ind w:firstLine="480" w:firstLineChars="200"/>
        <w:rPr>
          <w:rFonts w:ascii="宋体" w:hAnsi="宋体" w:cs="宋体" w:hint="eastAsia"/>
          <w:color w:val="auto"/>
          <w:sz w:val="24"/>
        </w:rPr>
      </w:pPr>
      <w:r>
        <w:rPr>
          <w:rFonts w:ascii="宋体" w:hAnsi="宋体" w:cs="宋体" w:hint="eastAsia"/>
          <w:color w:val="auto"/>
          <w:sz w:val="24"/>
        </w:rPr>
        <w:t>4.评标委员会将应用投标人提交的资料并根据自己的判断，决定投标人履行合同的合格性及能力。</w:t>
      </w:r>
    </w:p>
    <w:p w14:paraId="6839167C">
      <w:pPr>
        <w:topLinePunct/>
        <w:autoSpaceDE w:val="0"/>
        <w:autoSpaceDN w:val="0"/>
        <w:adjustRightInd w:val="0"/>
        <w:snapToGrid w:val="0"/>
        <w:spacing w:before="62" w:beforeLines="20" w:after="4" w:line="360" w:lineRule="auto"/>
        <w:ind w:firstLine="480" w:firstLineChars="200"/>
        <w:rPr>
          <w:rFonts w:ascii="宋体" w:hAnsi="宋体" w:cs="宋体" w:hint="eastAsia"/>
          <w:color w:val="auto"/>
          <w:sz w:val="24"/>
        </w:rPr>
      </w:pPr>
      <w:r>
        <w:rPr>
          <w:rFonts w:ascii="宋体" w:hAnsi="宋体" w:cs="宋体" w:hint="eastAsia"/>
          <w:color w:val="auto"/>
          <w:sz w:val="24"/>
        </w:rPr>
        <w:t>5.全部文件应按投标人须知中规定的语言提交。</w:t>
      </w:r>
    </w:p>
    <w:p w14:paraId="405D82DA">
      <w:pPr>
        <w:topLinePunct/>
        <w:autoSpaceDE w:val="0"/>
        <w:autoSpaceDN w:val="0"/>
        <w:adjustRightInd w:val="0"/>
        <w:snapToGrid w:val="0"/>
        <w:spacing w:before="62" w:beforeLines="20" w:after="4" w:line="360" w:lineRule="auto"/>
        <w:ind w:firstLine="480" w:firstLineChars="200"/>
        <w:rPr>
          <w:rFonts w:ascii="宋体" w:hAnsi="宋体" w:cs="宋体" w:hint="eastAsia"/>
          <w:color w:val="auto"/>
          <w:sz w:val="24"/>
        </w:rPr>
      </w:pPr>
      <w:r>
        <w:rPr>
          <w:rFonts w:ascii="宋体" w:hAnsi="宋体" w:cs="宋体" w:hint="eastAsia"/>
          <w:color w:val="auto"/>
          <w:sz w:val="24"/>
        </w:rPr>
        <w:t>6.以下格式文件为要求填写内容的固定格式，投标人不得擅自修改格式，其他未提供格式的文件和资料由</w:t>
      </w:r>
      <w:r>
        <w:rPr>
          <w:rFonts w:ascii="宋体" w:hAnsi="宋体" w:cs="宋体" w:hint="eastAsia"/>
          <w:color w:val="auto"/>
          <w:sz w:val="24"/>
          <w:lang w:eastAsia="zh-CN"/>
        </w:rPr>
        <w:t>投标人</w:t>
      </w:r>
      <w:r>
        <w:rPr>
          <w:rFonts w:ascii="宋体" w:hAnsi="宋体" w:cs="宋体" w:hint="eastAsia"/>
          <w:color w:val="auto"/>
          <w:sz w:val="24"/>
        </w:rPr>
        <w:t>自行设计编制格式填写。</w:t>
      </w:r>
    </w:p>
    <w:p w14:paraId="3293B963">
      <w:pPr>
        <w:adjustRightInd w:val="0"/>
        <w:snapToGrid w:val="0"/>
        <w:spacing w:before="62" w:beforeLines="20" w:after="4" w:line="360" w:lineRule="auto"/>
        <w:ind w:firstLine="420" w:firstLineChars="200"/>
        <w:jc w:val="center"/>
        <w:rPr>
          <w:b/>
          <w:bCs/>
          <w:color w:val="auto"/>
          <w:highlight w:val="none"/>
        </w:rPr>
      </w:pPr>
    </w:p>
    <w:p w14:paraId="3770E9CE">
      <w:pPr>
        <w:ind w:firstLine="420" w:firstLineChars="200"/>
        <w:jc w:val="center"/>
        <w:rPr>
          <w:b/>
          <w:bCs/>
          <w:color w:val="auto"/>
          <w:highlight w:val="none"/>
        </w:rPr>
      </w:pPr>
    </w:p>
    <w:p w14:paraId="22A5E4C8">
      <w:pPr>
        <w:ind w:firstLine="420" w:firstLineChars="200"/>
        <w:jc w:val="center"/>
        <w:rPr>
          <w:b/>
          <w:bCs/>
          <w:color w:val="auto"/>
          <w:highlight w:val="none"/>
        </w:rPr>
      </w:pPr>
    </w:p>
    <w:p w14:paraId="743FCA4E">
      <w:pPr>
        <w:rPr>
          <w:b/>
          <w:bCs/>
          <w:color w:val="auto"/>
          <w:highlight w:val="none"/>
        </w:rPr>
      </w:pPr>
    </w:p>
    <w:p w14:paraId="31C8B6D2">
      <w:pPr>
        <w:adjustRightInd w:val="0"/>
        <w:snapToGrid w:val="0"/>
        <w:spacing w:after="0" w:line="360" w:lineRule="auto"/>
        <w:jc w:val="both"/>
        <w:rPr>
          <w:rFonts w:hint="eastAsia"/>
          <w:b/>
          <w:bCs/>
          <w:color w:val="auto"/>
          <w:highlight w:val="none"/>
        </w:rPr>
      </w:pPr>
      <w:r>
        <w:rPr>
          <w:rFonts w:hint="eastAsia"/>
          <w:b/>
          <w:bCs/>
          <w:color w:val="auto"/>
          <w:highlight w:val="none"/>
        </w:rPr>
        <w:br w:type="page"/>
      </w:r>
    </w:p>
    <w:p w14:paraId="312C120A">
      <w:pPr>
        <w:adjustRightInd w:val="0"/>
        <w:snapToGrid w:val="0"/>
        <w:spacing w:after="0" w:line="360" w:lineRule="auto"/>
        <w:jc w:val="center"/>
        <w:rPr>
          <w:rFonts w:ascii="Times New Roman" w:eastAsia="宋体" w:hAnsi="Times New Roman" w:cs="Times New Roman" w:hint="eastAsia"/>
          <w:b/>
          <w:bCs/>
          <w:color w:val="auto"/>
          <w:sz w:val="36"/>
          <w:szCs w:val="36"/>
        </w:rPr>
      </w:pPr>
      <w:r>
        <w:rPr>
          <w:rFonts w:ascii="Times New Roman" w:eastAsia="宋体" w:hAnsi="Times New Roman" w:cs="Times New Roman" w:hint="eastAsia"/>
          <w:b/>
          <w:bCs/>
          <w:color w:val="auto"/>
          <w:sz w:val="36"/>
          <w:szCs w:val="36"/>
        </w:rPr>
        <w:t>投标文件商务部分文件格式</w:t>
      </w:r>
    </w:p>
    <w:p>
      <w:pPr>
        <w:snapToGrid w:val="0"/>
        <w:spacing w:before="0" w:beforeAutospacing="0" w:after="0" w:afterAutospacing="0" w:line="360" w:lineRule="auto"/>
        <w:jc w:val="center"/>
        <w:rPr>
          <w:rFonts w:ascii="宋体" w:hAnsi="宋体" w:cs="宋体"/>
          <w:b/>
          <w:bCs/>
          <w:sz w:val="36"/>
          <w:szCs w:val="36"/>
        </w:rPr>
      </w:pPr>
      <w:bookmarkStart w:id="72" w:name="投标文件格式_zxzbsw_TBWJGS"/>
      <w:r>
        <w:rPr>
          <w:rFonts w:ascii="宋体" w:hAnsi="宋体" w:cs="宋体" w:hint="eastAsia"/>
          <w:b/>
          <w:bCs/>
          <w:sz w:val="36"/>
          <w:szCs w:val="36"/>
        </w:rPr>
        <w:t xml:space="preserve">格式1 </w:t>
      </w:r>
      <w:r>
        <w:rPr>
          <w:rFonts w:ascii="宋体" w:hAnsi="宋体" w:cs="宋体" w:hint="eastAsia"/>
          <w:b/>
          <w:bCs/>
          <w:sz w:val="36"/>
          <w:szCs w:val="36"/>
        </w:rPr>
        <w:t>参加本次政府采购活动前三年内在经营活动中</w:t>
      </w:r>
    </w:p>
    <w:p>
      <w:pPr>
        <w:snapToGrid w:val="0"/>
        <w:spacing w:before="0" w:beforeAutospacing="0" w:after="0" w:afterAutospacing="0" w:line="360" w:lineRule="auto"/>
        <w:jc w:val="center"/>
        <w:rPr>
          <w:rFonts w:ascii="宋体" w:hAnsi="宋体" w:cs="宋体"/>
          <w:b/>
          <w:bCs/>
          <w:sz w:val="36"/>
          <w:szCs w:val="36"/>
        </w:rPr>
      </w:pPr>
      <w:r>
        <w:rPr>
          <w:rFonts w:ascii="宋体" w:hAnsi="宋体" w:cs="宋体" w:hint="eastAsia"/>
          <w:b/>
          <w:bCs/>
          <w:sz w:val="36"/>
          <w:szCs w:val="36"/>
        </w:rPr>
        <w:t>没有重大违法记录的书面声明</w:t>
      </w:r>
    </w:p>
    <w:p>
      <w:pPr>
        <w:pStyle w:val="PlainText"/>
        <w:topLinePunct/>
        <w:autoSpaceDE w:val="0"/>
        <w:autoSpaceDN w:val="0"/>
        <w:snapToGrid w:val="0"/>
        <w:spacing w:before="0" w:beforeAutospacing="0" w:after="0" w:afterAutospacing="0" w:line="360" w:lineRule="auto"/>
        <w:jc w:val="center"/>
        <w:rPr>
          <w:rFonts w:hAnsi="宋体" w:cs="宋体"/>
          <w:b/>
          <w:w w:val="150"/>
          <w:sz w:val="24"/>
        </w:rPr>
      </w:pPr>
    </w:p>
    <w:p>
      <w:pPr>
        <w:pStyle w:val="PlainText"/>
        <w:snapToGrid w:val="0"/>
        <w:spacing w:before="0" w:beforeAutospacing="0" w:after="0" w:afterAutospacing="0" w:line="360" w:lineRule="auto"/>
        <w:rPr>
          <w:rFonts w:hAnsi="宋体" w:cs="宋体"/>
          <w:sz w:val="24"/>
          <w:szCs w:val="24"/>
        </w:rPr>
      </w:pPr>
      <w:r>
        <w:rPr>
          <w:rFonts w:hAnsi="宋体" w:cs="宋体" w:hint="eastAsia"/>
          <w:sz w:val="24"/>
          <w:szCs w:val="24"/>
        </w:rPr>
        <w:t>致________（采购人）：</w:t>
      </w:r>
    </w:p>
    <w:p>
      <w:pPr>
        <w:pStyle w:val="PlainText"/>
        <w:snapToGrid w:val="0"/>
        <w:spacing w:before="0" w:beforeAutospacing="0" w:after="0" w:afterAutospacing="0" w:line="360" w:lineRule="auto"/>
        <w:ind w:firstLine="480" w:firstLineChars="200"/>
        <w:rPr>
          <w:rFonts w:hAnsi="宋体" w:cs="宋体"/>
          <w:sz w:val="24"/>
          <w:szCs w:val="24"/>
        </w:rPr>
      </w:pPr>
      <w:r>
        <w:rPr>
          <w:rFonts w:hAnsi="宋体" w:cs="宋体" w:hint="eastAsia"/>
          <w:sz w:val="24"/>
          <w:szCs w:val="24"/>
        </w:rPr>
        <w:t>我单位在参加本次采购活动前三年内在经营活动中没有《政府采购法》第二十二条第一款第（五）项所称重大违法记录，包括：</w:t>
      </w:r>
    </w:p>
    <w:p>
      <w:pPr>
        <w:pStyle w:val="PlainText"/>
        <w:snapToGrid w:val="0"/>
        <w:spacing w:before="0" w:beforeAutospacing="0" w:after="0" w:afterAutospacing="0" w:line="360" w:lineRule="auto"/>
        <w:ind w:firstLine="480" w:firstLineChars="200"/>
        <w:rPr>
          <w:rFonts w:hAnsi="宋体" w:cs="宋体"/>
          <w:sz w:val="24"/>
          <w:szCs w:val="24"/>
        </w:rPr>
      </w:pPr>
      <w:r>
        <w:rPr>
          <w:rFonts w:hAnsi="宋体" w:cs="宋体" w:hint="eastAsia"/>
          <w:sz w:val="24"/>
          <w:szCs w:val="24"/>
        </w:rPr>
        <w:t>我单位未因经营活动中的违法行为受到刑事处罚或者责令停产停业、吊销许可证或者执照、较大数额罚款等行政处罚。</w:t>
      </w:r>
    </w:p>
    <w:p>
      <w:pPr>
        <w:pStyle w:val="PlainText"/>
        <w:snapToGrid w:val="0"/>
        <w:spacing w:before="0" w:beforeAutospacing="0" w:after="0" w:afterAutospacing="0" w:line="360" w:lineRule="auto"/>
        <w:ind w:firstLine="480" w:firstLineChars="200"/>
        <w:rPr>
          <w:rFonts w:hAnsi="宋体" w:cs="宋体"/>
          <w:sz w:val="24"/>
          <w:szCs w:val="24"/>
        </w:rPr>
      </w:pPr>
      <w:r>
        <w:rPr>
          <w:rFonts w:hAnsi="宋体" w:cs="宋体" w:hint="eastAsia"/>
          <w:sz w:val="24"/>
          <w:szCs w:val="24"/>
        </w:rPr>
        <w:t>特此声明！</w:t>
      </w:r>
    </w:p>
    <w:p>
      <w:pPr>
        <w:snapToGrid w:val="0"/>
        <w:spacing w:before="0" w:beforeAutospacing="0" w:after="0" w:afterAutospacing="0" w:line="360" w:lineRule="auto"/>
        <w:ind w:firstLine="420" w:firstLineChars="200"/>
        <w:rPr>
          <w:rFonts w:hAnsi="宋体"/>
        </w:rPr>
      </w:pPr>
    </w:p>
    <w:p>
      <w:pPr>
        <w:snapToGrid w:val="0"/>
        <w:spacing w:before="0" w:beforeAutospacing="0" w:after="0" w:afterAutospacing="0" w:line="360" w:lineRule="auto"/>
        <w:ind w:firstLine="420" w:firstLineChars="200"/>
        <w:rPr>
          <w:rFonts w:hAnsi="宋体"/>
        </w:rPr>
      </w:pPr>
    </w:p>
    <w:p>
      <w:pPr>
        <w:snapToGrid w:val="0"/>
        <w:spacing w:before="0" w:beforeAutospacing="0" w:after="0" w:afterAutospacing="0" w:line="360" w:lineRule="auto"/>
        <w:ind w:firstLine="420" w:firstLineChars="200"/>
        <w:rPr>
          <w:rFonts w:hAnsi="宋体"/>
        </w:rPr>
      </w:pPr>
    </w:p>
    <w:p>
      <w:pPr>
        <w:snapToGrid w:val="0"/>
        <w:spacing w:before="0" w:beforeAutospacing="0" w:after="0" w:afterAutospacing="0" w:line="360" w:lineRule="auto"/>
        <w:ind w:firstLine="420" w:firstLineChars="200"/>
        <w:rPr>
          <w:rFonts w:hAnsi="宋体" w:cs="MingLiU_HKSCS"/>
        </w:rPr>
      </w:pPr>
    </w:p>
    <w:p>
      <w:pPr>
        <w:snapToGrid w:val="0"/>
        <w:spacing w:before="0" w:beforeAutospacing="0" w:after="0" w:afterAutospacing="0" w:line="360" w:lineRule="auto"/>
        <w:ind w:firstLine="4080" w:firstLineChars="1700"/>
        <w:rPr>
          <w:rFonts w:hAnsi="宋体" w:cs="宋体"/>
        </w:rPr>
      </w:pPr>
      <w:r>
        <w:rPr>
          <w:rFonts w:hAnsi="宋体" w:cs="宋体" w:hint="eastAsia"/>
          <w:sz w:val="24"/>
        </w:rPr>
        <w:t>单位名称（电子签章</w:t>
      </w:r>
      <w:r>
        <w:rPr>
          <w:rFonts w:hAnsi="宋体" w:cs="宋体" w:hint="eastAsia"/>
          <w:sz w:val="24"/>
          <w:lang w:eastAsia="zh-CN"/>
        </w:rPr>
        <w:t>）</w:t>
      </w:r>
      <w:r>
        <w:rPr>
          <w:rFonts w:hAnsi="宋体" w:cs="宋体" w:hint="eastAsia"/>
          <w:sz w:val="24"/>
        </w:rPr>
        <w:t>：</w:t>
      </w:r>
    </w:p>
    <w:p>
      <w:pPr>
        <w:snapToGrid w:val="0"/>
        <w:spacing w:before="0" w:beforeAutospacing="0" w:after="0" w:afterAutospacing="0" w:line="360" w:lineRule="auto"/>
        <w:ind w:firstLine="6000" w:firstLineChars="2500"/>
        <w:rPr>
          <w:rFonts w:hAnsi="宋体" w:cs="宋体"/>
        </w:rPr>
      </w:pPr>
      <w:r>
        <w:rPr>
          <w:rFonts w:hAnsi="宋体" w:cs="宋体" w:hint="eastAsia"/>
          <w:sz w:val="24"/>
        </w:rPr>
        <w:t>日期：</w:t>
      </w:r>
    </w:p>
    <w:p>
      <w:pPr>
        <w:spacing w:before="0" w:beforeAutospacing="0" w:after="0" w:afterAutospacing="0"/>
        <w:rPr>
          <w:rFonts w:hint="eastAsia"/>
        </w:rPr>
      </w:pPr>
    </w:p>
    <w:p w:rsidR="00A77B3E">
      <w:pPr>
        <w:spacing w:before="0" w:beforeAutospacing="0" w:after="0" w:afterAutospacing="0" w:line="360" w:lineRule="auto"/>
        <w:jc w:val="center"/>
        <w:rPr>
          <w:rFonts w:ascii="宋体" w:eastAsia="宋体" w:hAnsi="宋体" w:cs="宋体"/>
          <w:b/>
          <w:sz w:val="36"/>
        </w:rPr>
      </w:pPr>
      <w:r>
        <w:br w:type="page"/>
      </w:r>
      <w:r>
        <w:rPr>
          <w:rFonts w:ascii="宋体" w:eastAsia="宋体" w:hAnsi="宋体" w:cs="宋体"/>
          <w:b/>
          <w:sz w:val="36"/>
        </w:rPr>
        <w:t xml:space="preserve">格式2 </w:t>
      </w:r>
      <w:r>
        <w:rPr>
          <w:rFonts w:ascii="宋体" w:eastAsia="宋体" w:hAnsi="宋体" w:cs="宋体"/>
          <w:b/>
          <w:sz w:val="36"/>
        </w:rPr>
        <w:t>投标报价表</w:t>
      </w:r>
    </w:p>
    <w:p w:rsidR="00A77B3E">
      <w:pPr>
        <w:spacing w:before="0" w:beforeAutospacing="0" w:after="0" w:afterAutospacing="0" w:line="360" w:lineRule="auto"/>
        <w:jc w:val="center"/>
        <w:rPr>
          <w:rFonts w:ascii="宋体" w:eastAsia="宋体" w:hAnsi="宋体" w:cs="宋体"/>
          <w:b/>
        </w:rPr>
      </w:pPr>
    </w:p>
    <w:p w:rsidR="00A77B3E">
      <w:pPr>
        <w:spacing w:before="0" w:beforeAutospacing="0" w:after="0" w:afterAutospacing="0" w:line="360" w:lineRule="auto"/>
        <w:jc w:val="center"/>
        <w:rPr>
          <w:rFonts w:ascii="宋体" w:eastAsia="宋体" w:hAnsi="宋体" w:cs="宋体"/>
          <w:b/>
          <w:sz w:val="28"/>
        </w:rPr>
      </w:pPr>
      <w:r>
        <w:rPr>
          <w:rFonts w:ascii="宋体" w:eastAsia="宋体" w:hAnsi="宋体" w:cs="宋体"/>
          <w:b/>
          <w:sz w:val="28"/>
        </w:rPr>
        <w:t>1.开标一览表（总报价表）</w:t>
      </w:r>
    </w:p>
    <w:p w:rsidR="00A77B3E">
      <w:pPr>
        <w:spacing w:before="0" w:beforeAutospacing="0" w:after="0" w:afterAutospacing="0" w:line="360" w:lineRule="auto"/>
        <w:jc w:val="right"/>
        <w:rPr>
          <w:rFonts w:ascii="宋体" w:eastAsia="宋体" w:hAnsi="宋体" w:cs="宋体"/>
          <w:b w:val="0"/>
          <w:sz w:val="21"/>
        </w:rPr>
      </w:pPr>
      <w:r>
        <w:rPr>
          <w:rFonts w:ascii="宋体" w:eastAsia="宋体" w:hAnsi="宋体" w:cs="宋体"/>
          <w:b w:val="0"/>
          <w:sz w:val="21"/>
        </w:rPr>
        <w:t>价格单位：人民币元</w:t>
      </w:r>
    </w:p>
    <w:tbl>
      <w:tblPr>
        <w:tblStyle w:val="TableNorm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
      <w:tblGrid>
        <w:gridCol w:w="581"/>
        <w:gridCol w:w="4289"/>
        <w:gridCol w:w="1059"/>
        <w:gridCol w:w="996"/>
        <w:gridCol w:w="2101"/>
      </w:tblGrid>
      <w:tr>
        <w:tblPrEx>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PrEx>
        <w:tc>
          <w:tcPr/>
          <w:p w:rsidR="00A77B3E">
            <w:pPr>
              <w:spacing w:before="0" w:beforeAutospacing="0" w:after="0" w:afterAutospacing="0" w:line="360" w:lineRule="auto"/>
              <w:jc w:val="center"/>
              <w:rPr>
                <w:rFonts w:ascii="宋体" w:eastAsia="宋体" w:hAnsi="宋体" w:cs="宋体"/>
                <w:b/>
              </w:rPr>
            </w:pPr>
            <w:r>
              <w:rPr>
                <w:rFonts w:ascii="宋体" w:eastAsia="宋体" w:hAnsi="宋体" w:cs="宋体"/>
                <w:b/>
                <w:sz w:val="24"/>
              </w:rPr>
              <w:t>序号</w:t>
            </w:r>
          </w:p>
        </w:tc>
        <w:tc>
          <w:tcPr/>
          <w:p w:rsidR="00A77B3E">
            <w:pPr>
              <w:spacing w:before="0" w:beforeAutospacing="0" w:after="0" w:afterAutospacing="0" w:line="360" w:lineRule="auto"/>
              <w:jc w:val="center"/>
              <w:rPr>
                <w:rFonts w:ascii="宋体" w:eastAsia="宋体" w:hAnsi="宋体" w:cs="宋体"/>
                <w:b/>
              </w:rPr>
            </w:pPr>
            <w:r>
              <w:rPr>
                <w:rFonts w:ascii="宋体" w:eastAsia="宋体" w:hAnsi="宋体" w:cs="宋体"/>
                <w:b/>
                <w:sz w:val="24"/>
              </w:rPr>
              <w:t>内容</w:t>
            </w:r>
          </w:p>
        </w:tc>
        <w:tc>
          <w:tcPr/>
          <w:p w:rsidR="00A77B3E">
            <w:pPr>
              <w:spacing w:before="0" w:beforeAutospacing="0" w:after="0" w:afterAutospacing="0" w:line="360" w:lineRule="auto"/>
              <w:jc w:val="center"/>
              <w:rPr>
                <w:rFonts w:ascii="宋体" w:eastAsia="宋体" w:hAnsi="宋体" w:cs="宋体"/>
                <w:b/>
              </w:rPr>
            </w:pPr>
            <w:r>
              <w:rPr>
                <w:rFonts w:ascii="宋体" w:eastAsia="宋体" w:hAnsi="宋体" w:cs="宋体"/>
                <w:b/>
                <w:sz w:val="24"/>
              </w:rPr>
              <w:t>单价（元）</w:t>
            </w:r>
          </w:p>
        </w:tc>
        <w:tc>
          <w:tcPr/>
          <w:p w:rsidR="00A77B3E">
            <w:pPr>
              <w:spacing w:before="0" w:beforeAutospacing="0" w:after="0" w:afterAutospacing="0" w:line="360" w:lineRule="auto"/>
              <w:jc w:val="center"/>
              <w:rPr>
                <w:rFonts w:ascii="宋体" w:eastAsia="宋体" w:hAnsi="宋体" w:cs="宋体"/>
                <w:b/>
              </w:rPr>
            </w:pPr>
            <w:r>
              <w:rPr>
                <w:rFonts w:ascii="宋体" w:eastAsia="宋体" w:hAnsi="宋体" w:cs="宋体"/>
                <w:b/>
                <w:sz w:val="24"/>
              </w:rPr>
              <w:t>数量/权重</w:t>
            </w:r>
          </w:p>
        </w:tc>
        <w:tc>
          <w:tcPr/>
          <w:p w:rsidR="00A77B3E">
            <w:pPr>
              <w:spacing w:before="0" w:beforeAutospacing="0" w:after="0" w:afterAutospacing="0" w:line="360" w:lineRule="auto"/>
              <w:jc w:val="center"/>
              <w:rPr>
                <w:rFonts w:ascii="宋体" w:eastAsia="宋体" w:hAnsi="宋体" w:cs="宋体"/>
                <w:b w:val="0"/>
              </w:rPr>
            </w:pPr>
            <w:r>
              <w:rPr>
                <w:rFonts w:ascii="宋体" w:eastAsia="宋体" w:hAnsi="宋体" w:cs="宋体"/>
                <w:b/>
                <w:sz w:val="24"/>
              </w:rPr>
              <w:t>小计(单价×数量/权重)</w:t>
            </w:r>
          </w:p>
        </w:tc>
      </w:tr>
      <w:tr>
        <w:tblPrEx>
          <w:tblW w:w="5000" w:type="pct"/>
          <w:tblCellMar>
            <w:left w:w="108" w:type="dxa"/>
            <w:right w:w="108" w:type="dxa"/>
          </w:tblCellMar>
        </w:tblPrEx>
        <w:tc>
          <w:tcPr/>
          <w:p w:rsidR="00A77B3E">
            <w:pPr>
              <w:spacing w:before="0" w:beforeAutospacing="0" w:after="0" w:afterAutospacing="0" w:line="360" w:lineRule="auto"/>
              <w:jc w:val="center"/>
              <w:rPr>
                <w:rFonts w:ascii="宋体" w:eastAsia="宋体" w:hAnsi="宋体" w:cs="宋体"/>
                <w:b w:val="0"/>
              </w:rPr>
            </w:pPr>
            <w:r>
              <w:rPr>
                <w:rFonts w:ascii="宋体" w:eastAsia="宋体" w:hAnsi="宋体" w:cs="宋体"/>
                <w:b w:val="0"/>
                <w:sz w:val="24"/>
              </w:rPr>
              <w:t>1</w:t>
            </w:r>
          </w:p>
        </w:tc>
        <w:tc>
          <w:tcPr/>
          <w:p w:rsidR="00A77B3E">
            <w:pPr>
              <w:spacing w:before="0" w:beforeAutospacing="0" w:after="0" w:afterAutospacing="0" w:line="360" w:lineRule="auto"/>
              <w:jc w:val="left"/>
              <w:rPr>
                <w:rFonts w:ascii="宋体" w:eastAsia="宋体" w:hAnsi="宋体" w:cs="宋体"/>
                <w:b w:val="0"/>
              </w:rPr>
            </w:pPr>
            <w:r>
              <w:rPr>
                <w:rFonts w:ascii="宋体" w:eastAsia="宋体" w:hAnsi="宋体" w:cs="宋体"/>
                <w:b w:val="0"/>
                <w:sz w:val="24"/>
              </w:rPr>
              <w:t>国家税务总局吉林市税务局2026年物业管理服务项目</w:t>
            </w:r>
          </w:p>
        </w:tc>
        <w:tc>
          <w:tcPr/>
          <w:p w:rsidR="00A77B3E">
            <w:pPr>
              <w:spacing w:before="0" w:beforeAutospacing="0" w:after="0" w:afterAutospacing="0" w:line="360" w:lineRule="auto"/>
              <w:jc w:val="center"/>
              <w:rPr>
                <w:rFonts w:ascii="宋体" w:eastAsia="宋体" w:hAnsi="宋体" w:cs="宋体"/>
                <w:b w:val="0"/>
              </w:rPr>
            </w:pPr>
            <w:r>
              <w:rPr>
                <w:rFonts w:ascii="宋体" w:eastAsia="宋体" w:hAnsi="宋体" w:cs="宋体"/>
                <w:b w:val="0"/>
                <w:sz w:val="24"/>
              </w:rPr>
              <w:t>--</w:t>
            </w:r>
          </w:p>
        </w:tc>
        <w:tc>
          <w:tcPr/>
          <w:p w:rsidR="00A77B3E">
            <w:pPr>
              <w:spacing w:before="0" w:beforeAutospacing="0" w:after="0" w:afterAutospacing="0" w:line="360" w:lineRule="auto"/>
              <w:jc w:val="right"/>
              <w:rPr>
                <w:rFonts w:ascii="宋体" w:eastAsia="宋体" w:hAnsi="宋体" w:cs="宋体"/>
                <w:b w:val="0"/>
              </w:rPr>
            </w:pPr>
            <w:r>
              <w:rPr>
                <w:rFonts w:ascii="宋体" w:eastAsia="宋体" w:hAnsi="宋体" w:cs="宋体"/>
                <w:b w:val="0"/>
                <w:sz w:val="24"/>
              </w:rPr>
              <w:t>1</w:t>
            </w:r>
          </w:p>
        </w:tc>
        <w:tc>
          <w:tcPr/>
          <w:p w:rsidR="00A77B3E">
            <w:pPr>
              <w:spacing w:before="0" w:beforeAutospacing="0" w:after="0" w:afterAutospacing="0" w:line="360" w:lineRule="auto"/>
              <w:jc w:val="center"/>
              <w:rPr>
                <w:rFonts w:ascii="宋体" w:eastAsia="宋体" w:hAnsi="宋体" w:cs="宋体"/>
                <w:b w:val="0"/>
              </w:rPr>
            </w:pPr>
            <w:r>
              <w:rPr>
                <w:rFonts w:ascii="宋体" w:eastAsia="宋体" w:hAnsi="宋体" w:cs="宋体"/>
                <w:b w:val="0"/>
                <w:sz w:val="24"/>
              </w:rPr>
              <w:t>--</w:t>
            </w:r>
          </w:p>
        </w:tc>
      </w:tr>
      <w:tr>
        <w:tblPrEx>
          <w:tblW w:w="5000" w:type="pct"/>
          <w:tblCellMar>
            <w:left w:w="108" w:type="dxa"/>
            <w:right w:w="108" w:type="dxa"/>
          </w:tblCellMar>
        </w:tblPrEx>
        <w:tc>
          <w:tcPr>
            <w:gridSpan w:val="2"/>
          </w:tcPr>
          <w:p w:rsidR="00A77B3E">
            <w:pPr>
              <w:spacing w:before="0" w:beforeAutospacing="0" w:after="0" w:afterAutospacing="0" w:line="360" w:lineRule="auto"/>
              <w:jc w:val="center"/>
              <w:rPr>
                <w:rFonts w:ascii="宋体" w:eastAsia="宋体" w:hAnsi="宋体" w:cs="宋体"/>
                <w:b w:val="0"/>
              </w:rPr>
            </w:pPr>
            <w:r>
              <w:rPr>
                <w:rFonts w:ascii="宋体" w:eastAsia="宋体" w:hAnsi="宋体" w:cs="宋体"/>
                <w:b w:val="0"/>
                <w:sz w:val="24"/>
              </w:rPr>
              <w:t>报价合计（小写）</w:t>
            </w:r>
          </w:p>
        </w:tc>
        <w:tc>
          <w:tcPr>
            <w:gridSpan w:val="3"/>
          </w:tcPr>
          <w:p w:rsidR="00A77B3E">
            <w:pPr>
              <w:spacing w:before="0" w:beforeAutospacing="0" w:after="0" w:afterAutospacing="0" w:line="360" w:lineRule="auto"/>
              <w:jc w:val="center"/>
              <w:rPr>
                <w:rFonts w:ascii="宋体" w:eastAsia="宋体" w:hAnsi="宋体" w:cs="宋体"/>
                <w:b w:val="0"/>
              </w:rPr>
            </w:pPr>
            <w:r>
              <w:rPr>
                <w:rFonts w:ascii="宋体" w:eastAsia="宋体" w:hAnsi="宋体" w:cs="宋体"/>
                <w:b w:val="0"/>
                <w:sz w:val="24"/>
              </w:rPr>
              <w:t>供应商填报后自动计算</w:t>
            </w:r>
          </w:p>
        </w:tc>
      </w:tr>
      <w:tr>
        <w:tblPrEx>
          <w:tblW w:w="5000" w:type="pct"/>
          <w:tblCellMar>
            <w:left w:w="108" w:type="dxa"/>
            <w:right w:w="108" w:type="dxa"/>
          </w:tblCellMar>
        </w:tblPrEx>
        <w:tc>
          <w:tcPr>
            <w:gridSpan w:val="2"/>
          </w:tcPr>
          <w:p w:rsidR="00A77B3E">
            <w:pPr>
              <w:spacing w:before="0" w:beforeAutospacing="0" w:after="0" w:afterAutospacing="0" w:line="360" w:lineRule="auto"/>
              <w:jc w:val="center"/>
              <w:rPr>
                <w:rFonts w:ascii="宋体" w:eastAsia="宋体" w:hAnsi="宋体" w:cs="宋体"/>
                <w:b w:val="0"/>
              </w:rPr>
            </w:pPr>
            <w:r>
              <w:rPr>
                <w:rFonts w:ascii="宋体" w:eastAsia="宋体" w:hAnsi="宋体" w:cs="宋体"/>
                <w:b w:val="0"/>
                <w:sz w:val="24"/>
              </w:rPr>
              <w:t>报价合计（大写）</w:t>
            </w:r>
          </w:p>
        </w:tc>
        <w:tc>
          <w:tcPr>
            <w:gridSpan w:val="3"/>
          </w:tcPr>
          <w:p w:rsidR="00A77B3E">
            <w:pPr>
              <w:spacing w:before="0" w:beforeAutospacing="0" w:after="0" w:afterAutospacing="0" w:line="360" w:lineRule="auto"/>
              <w:jc w:val="center"/>
              <w:rPr>
                <w:rFonts w:ascii="宋体" w:eastAsia="宋体" w:hAnsi="宋体" w:cs="宋体"/>
                <w:b w:val="0"/>
              </w:rPr>
            </w:pPr>
            <w:r>
              <w:rPr>
                <w:rFonts w:ascii="宋体" w:eastAsia="宋体" w:hAnsi="宋体" w:cs="宋体"/>
                <w:b w:val="0"/>
                <w:sz w:val="24"/>
              </w:rPr>
              <w:t>供应商填报后自动生成中文</w:t>
            </w:r>
          </w:p>
        </w:tc>
      </w:tr>
    </w:tbl>
    <w:p w:rsidR="00A77B3E">
      <w:pPr>
        <w:spacing w:before="0" w:beforeAutospacing="0" w:after="0" w:afterAutospacing="0" w:line="360" w:lineRule="auto"/>
        <w:jc w:val="left"/>
        <w:rPr>
          <w:rFonts w:ascii="宋体" w:eastAsia="宋体" w:hAnsi="宋体" w:cs="宋体"/>
          <w:b w:val="0"/>
          <w:sz w:val="21"/>
        </w:rPr>
      </w:pPr>
    </w:p>
    <w:p w:rsidR="00A77B3E">
      <w:pPr>
        <w:spacing w:before="0" w:beforeAutospacing="0" w:after="0" w:afterAutospacing="0" w:line="360" w:lineRule="auto"/>
        <w:jc w:val="left"/>
        <w:rPr>
          <w:rFonts w:ascii="宋体" w:eastAsia="宋体" w:hAnsi="宋体" w:cs="宋体"/>
          <w:b w:val="0"/>
          <w:sz w:val="21"/>
        </w:rPr>
      </w:pPr>
    </w:p>
    <w:p w:rsidR="00A77B3E">
      <w:pPr>
        <w:spacing w:before="0" w:beforeAutospacing="0" w:after="0" w:afterAutospacing="0" w:line="360" w:lineRule="auto"/>
        <w:jc w:val="left"/>
        <w:rPr>
          <w:rFonts w:ascii="宋体" w:eastAsia="宋体" w:hAnsi="宋体" w:cs="宋体"/>
          <w:b w:val="0"/>
          <w:sz w:val="21"/>
        </w:rPr>
      </w:pPr>
      <w:r>
        <w:rPr>
          <w:rFonts w:ascii="宋体" w:eastAsia="宋体" w:hAnsi="宋体" w:cs="宋体"/>
          <w:b w:val="0"/>
          <w:sz w:val="21"/>
        </w:rPr>
        <w:t>特别说明：</w:t>
      </w:r>
    </w:p>
    <w:p w:rsidR="00A77B3E">
      <w:pPr>
        <w:spacing w:before="0" w:beforeAutospacing="0" w:after="0" w:afterAutospacing="0" w:line="360" w:lineRule="auto"/>
        <w:ind w:firstLine="420"/>
        <w:jc w:val="left"/>
        <w:rPr>
          <w:rFonts w:ascii="宋体" w:eastAsia="宋体" w:hAnsi="宋体" w:cs="宋体"/>
          <w:b w:val="0"/>
          <w:sz w:val="21"/>
        </w:rPr>
      </w:pPr>
      <w:r>
        <w:rPr>
          <w:rFonts w:ascii="宋体" w:eastAsia="宋体" w:hAnsi="宋体" w:cs="宋体"/>
          <w:b w:val="0"/>
          <w:sz w:val="21"/>
        </w:rPr>
        <w:t>无</w:t>
      </w:r>
    </w:p>
    <w:p w:rsidR="00A77B3E">
      <w:pPr>
        <w:spacing w:before="0" w:beforeAutospacing="0" w:after="0" w:afterAutospacing="0" w:line="360" w:lineRule="auto"/>
        <w:ind w:firstLine="420"/>
        <w:jc w:val="left"/>
        <w:rPr>
          <w:rFonts w:ascii="宋体" w:eastAsia="宋体" w:hAnsi="宋体" w:cs="宋体"/>
          <w:b w:val="0"/>
          <w:sz w:val="21"/>
        </w:rPr>
      </w:pPr>
    </w:p>
    <w:p w:rsidR="00A77B3E">
      <w:pPr>
        <w:spacing w:before="0" w:beforeAutospacing="0" w:after="0" w:afterAutospacing="0" w:line="360" w:lineRule="auto"/>
        <w:ind w:firstLine="480"/>
        <w:jc w:val="left"/>
        <w:rPr>
          <w:rFonts w:ascii="宋体" w:eastAsia="宋体" w:hAnsi="宋体" w:cs="宋体"/>
          <w:b w:val="0"/>
        </w:rPr>
      </w:pPr>
    </w:p>
    <w:p w:rsidR="00A77B3E">
      <w:pPr>
        <w:spacing w:before="0" w:beforeAutospacing="0" w:after="0" w:afterAutospacing="0" w:line="360" w:lineRule="auto"/>
        <w:ind w:firstLine="480"/>
        <w:jc w:val="left"/>
        <w:rPr>
          <w:rFonts w:ascii="宋体" w:eastAsia="宋体" w:hAnsi="宋体" w:cs="宋体"/>
          <w:b w:val="0"/>
        </w:rPr>
      </w:pPr>
      <w:r>
        <w:rPr>
          <w:rFonts w:ascii="宋体" w:eastAsia="宋体" w:hAnsi="宋体" w:cs="宋体"/>
          <w:b w:val="0"/>
          <w:sz w:val="24"/>
        </w:rPr>
        <w:t>供应商名称（电子签章）：</w:t>
      </w:r>
    </w:p>
    <w:p w:rsidR="00A77B3E">
      <w:pPr>
        <w:spacing w:before="0" w:beforeAutospacing="0" w:after="0" w:afterAutospacing="0" w:line="360" w:lineRule="auto"/>
        <w:ind w:firstLine="480"/>
        <w:jc w:val="left"/>
        <w:rPr>
          <w:rFonts w:ascii="宋体" w:eastAsia="宋体" w:hAnsi="宋体" w:cs="宋体"/>
          <w:b w:val="0"/>
        </w:rPr>
      </w:pPr>
      <w:r>
        <w:rPr>
          <w:rFonts w:ascii="宋体" w:eastAsia="宋体" w:hAnsi="宋体" w:cs="宋体"/>
          <w:b w:val="0"/>
          <w:sz w:val="24"/>
        </w:rPr>
        <w:t>日期：</w:t>
      </w:r>
    </w:p>
    <w:p w:rsidR="00A77B3E">
      <w:pPr>
        <w:spacing w:before="0" w:beforeAutospacing="0" w:after="0" w:afterAutospacing="0" w:line="360" w:lineRule="auto"/>
        <w:ind w:firstLine="480"/>
        <w:jc w:val="left"/>
        <w:rPr>
          <w:rFonts w:ascii="宋体" w:eastAsia="宋体" w:hAnsi="宋体" w:cs="宋体"/>
          <w:b w:val="0"/>
        </w:rPr>
      </w:pPr>
    </w:p>
    <w:p w:rsidR="00A77B3E">
      <w:pPr>
        <w:spacing w:before="0" w:beforeAutospacing="0" w:after="0" w:afterAutospacing="0" w:line="360" w:lineRule="auto"/>
        <w:ind w:firstLine="0"/>
        <w:jc w:val="center"/>
        <w:rPr>
          <w:rFonts w:ascii="宋体" w:eastAsia="宋体" w:hAnsi="宋体" w:cs="宋体"/>
          <w:b/>
          <w:sz w:val="28"/>
        </w:rPr>
      </w:pPr>
      <w:r>
        <w:rPr>
          <w:rFonts w:ascii="宋体" w:eastAsia="宋体" w:hAnsi="宋体" w:cs="宋体"/>
          <w:b w:val="0"/>
          <w:sz w:val="24"/>
        </w:rPr>
        <w:br w:type="page"/>
      </w:r>
      <w:r>
        <w:rPr>
          <w:rFonts w:ascii="宋体" w:eastAsia="宋体" w:hAnsi="宋体" w:cs="宋体"/>
          <w:b/>
          <w:sz w:val="28"/>
        </w:rPr>
        <w:t>2.分项报价表</w:t>
      </w:r>
    </w:p>
    <w:p>
      <w:pPr>
        <w:widowControl w:val="0"/>
        <w:topLinePunct/>
        <w:autoSpaceDE w:val="0"/>
        <w:autoSpaceDN w:val="0"/>
        <w:spacing w:before="0" w:beforeAutospacing="0" w:after="0" w:afterAutospacing="0" w:line="460" w:lineRule="exact"/>
        <w:ind w:left="2"/>
        <w:jc w:val="center"/>
        <w:rPr>
          <w:rFonts w:ascii="宋体" w:eastAsia="宋体" w:hAnsi="宋体" w:cs="宋体"/>
          <w:b/>
          <w:bCs/>
          <w:sz w:val="28"/>
          <w:szCs w:val="28"/>
          <w:lang w:eastAsia="zh-CN"/>
        </w:rPr>
      </w:pPr>
      <w:r>
        <w:rPr>
          <w:rFonts w:ascii="宋体" w:eastAsia="宋体" w:hAnsi="宋体" w:cs="宋体" w:hint="eastAsia"/>
          <w:b/>
          <w:bCs/>
          <w:sz w:val="28"/>
          <w:szCs w:val="28"/>
          <w:lang w:eastAsia="zh-CN"/>
        </w:rPr>
        <w:t>分项报价表</w:t>
      </w:r>
    </w:p>
    <w:tbl>
      <w:tblPr>
        <w:tblStyle w:val="TableNormal"/>
        <w:tblW w:w="10498" w:type="dxa"/>
        <w:jc w:val="center"/>
        <w:tblLayout w:type="fixed"/>
        <w:tblCellMar>
          <w:top w:w="0" w:type="dxa"/>
          <w:left w:w="108" w:type="dxa"/>
          <w:bottom w:w="0" w:type="dxa"/>
          <w:right w:w="108" w:type="dxa"/>
        </w:tblCellMar>
      </w:tblPr>
      <w:tblGrid>
        <w:gridCol w:w="644"/>
        <w:gridCol w:w="1692"/>
        <w:gridCol w:w="1528"/>
        <w:gridCol w:w="1134"/>
        <w:gridCol w:w="937"/>
        <w:gridCol w:w="1260"/>
        <w:gridCol w:w="1317"/>
        <w:gridCol w:w="1343"/>
        <w:gridCol w:w="643"/>
      </w:tblGrid>
      <w:tr>
        <w:tblPrEx>
          <w:tblW w:w="10498" w:type="dxa"/>
          <w:jc w:val="center"/>
          <w:tblLayout w:type="fixed"/>
          <w:tblCellMar>
            <w:top w:w="0" w:type="dxa"/>
            <w:left w:w="108" w:type="dxa"/>
            <w:bottom w:w="0" w:type="dxa"/>
            <w:right w:w="108" w:type="dxa"/>
          </w:tblCellMar>
        </w:tblPrEx>
        <w:trPr>
          <w:trHeight w:val="409"/>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pPr>
              <w:widowControl/>
              <w:spacing w:before="0" w:beforeAutospacing="0" w:after="0" w:afterAutospacing="0" w:line="240" w:lineRule="auto"/>
              <w:jc w:val="center"/>
              <w:rPr>
                <w:rFonts w:ascii="宋体" w:eastAsia="宋体" w:hAnsi="宋体" w:cs="宋体"/>
                <w:b/>
                <w:kern w:val="2"/>
                <w:sz w:val="21"/>
                <w:lang w:eastAsia="zh-CN"/>
              </w:rPr>
            </w:pPr>
            <w:r>
              <w:rPr>
                <w:rFonts w:ascii="宋体" w:eastAsia="宋体" w:hAnsi="宋体" w:cs="宋体" w:hint="eastAsia"/>
                <w:b/>
                <w:kern w:val="2"/>
                <w:sz w:val="21"/>
                <w:lang w:eastAsia="zh-CN"/>
              </w:rPr>
              <w:t>序号</w:t>
            </w:r>
          </w:p>
        </w:tc>
        <w:tc>
          <w:tcPr>
            <w:tcW w:w="1692" w:type="dxa"/>
            <w:tcBorders>
              <w:top w:val="single" w:sz="4" w:space="0" w:color="auto"/>
              <w:left w:val="nil"/>
              <w:bottom w:val="single" w:sz="4" w:space="0" w:color="auto"/>
              <w:right w:val="single" w:sz="4" w:space="0" w:color="auto"/>
            </w:tcBorders>
            <w:noWrap/>
            <w:vAlign w:val="center"/>
          </w:tcPr>
          <w:p>
            <w:pPr>
              <w:widowControl/>
              <w:spacing w:before="0" w:beforeAutospacing="0" w:after="0" w:afterAutospacing="0" w:line="240" w:lineRule="auto"/>
              <w:ind w:left="-84" w:firstLine="82" w:leftChars="-40" w:firstLineChars="39"/>
              <w:jc w:val="center"/>
              <w:rPr>
                <w:rFonts w:ascii="宋体" w:eastAsia="宋体" w:hAnsi="宋体" w:cs="宋体"/>
                <w:b/>
                <w:kern w:val="2"/>
                <w:sz w:val="21"/>
                <w:lang w:eastAsia="zh-CN"/>
              </w:rPr>
            </w:pPr>
            <w:r>
              <w:rPr>
                <w:rFonts w:ascii="宋体" w:eastAsia="宋体" w:hAnsi="宋体" w:cs="宋体" w:hint="eastAsia"/>
                <w:b/>
                <w:kern w:val="2"/>
                <w:sz w:val="21"/>
                <w:lang w:eastAsia="zh-CN"/>
              </w:rPr>
              <w:t>具体工作名称</w:t>
            </w:r>
          </w:p>
        </w:tc>
        <w:tc>
          <w:tcPr>
            <w:tcW w:w="1528" w:type="dxa"/>
            <w:tcBorders>
              <w:top w:val="single" w:sz="4" w:space="0" w:color="auto"/>
              <w:left w:val="nil"/>
              <w:bottom w:val="single" w:sz="4" w:space="0" w:color="auto"/>
              <w:right w:val="single" w:sz="4" w:space="0" w:color="auto"/>
            </w:tcBorders>
            <w:noWrap/>
            <w:vAlign w:val="center"/>
          </w:tcPr>
          <w:p>
            <w:pPr>
              <w:widowControl/>
              <w:spacing w:before="0" w:beforeAutospacing="0" w:after="0" w:afterAutospacing="0" w:line="240" w:lineRule="auto"/>
              <w:jc w:val="center"/>
              <w:rPr>
                <w:rFonts w:ascii="宋体" w:eastAsia="宋体" w:hAnsi="宋体" w:cs="宋体"/>
                <w:b/>
                <w:kern w:val="2"/>
                <w:sz w:val="21"/>
                <w:lang w:eastAsia="zh-CN"/>
              </w:rPr>
            </w:pPr>
            <w:r>
              <w:rPr>
                <w:rFonts w:ascii="宋体" w:eastAsia="宋体" w:hAnsi="宋体" w:cs="宋体" w:hint="eastAsia"/>
                <w:b/>
                <w:kern w:val="2"/>
                <w:sz w:val="21"/>
                <w:lang w:eastAsia="zh-CN"/>
              </w:rPr>
              <w:t>工作内容描述</w:t>
            </w:r>
          </w:p>
        </w:tc>
        <w:tc>
          <w:tcPr>
            <w:tcW w:w="1134" w:type="dxa"/>
            <w:tcBorders>
              <w:top w:val="single" w:sz="4" w:space="0" w:color="auto"/>
              <w:left w:val="single" w:sz="4" w:space="0" w:color="auto"/>
              <w:bottom w:val="single" w:sz="4" w:space="0" w:color="auto"/>
              <w:right w:val="single" w:sz="4" w:space="0" w:color="auto"/>
            </w:tcBorders>
            <w:noWrap/>
            <w:vAlign w:val="center"/>
          </w:tcPr>
          <w:p>
            <w:pPr>
              <w:widowControl/>
              <w:spacing w:before="0" w:beforeAutospacing="0" w:after="0" w:afterAutospacing="0" w:line="240" w:lineRule="auto"/>
              <w:jc w:val="center"/>
              <w:rPr>
                <w:rFonts w:ascii="宋体" w:eastAsia="宋体" w:hAnsi="宋体" w:cs="宋体"/>
                <w:b/>
                <w:kern w:val="2"/>
                <w:sz w:val="21"/>
                <w:lang w:eastAsia="zh-CN"/>
              </w:rPr>
            </w:pPr>
            <w:r>
              <w:rPr>
                <w:rFonts w:ascii="宋体" w:eastAsia="宋体" w:hAnsi="宋体" w:cs="宋体" w:hint="eastAsia"/>
                <w:b/>
                <w:kern w:val="2"/>
                <w:sz w:val="21"/>
                <w:lang w:eastAsia="zh-CN"/>
              </w:rPr>
              <w:t>人员级别</w:t>
            </w:r>
          </w:p>
        </w:tc>
        <w:tc>
          <w:tcPr>
            <w:tcW w:w="937" w:type="dxa"/>
            <w:tcBorders>
              <w:top w:val="single" w:sz="4" w:space="0" w:color="auto"/>
              <w:left w:val="single" w:sz="4" w:space="0" w:color="auto"/>
              <w:bottom w:val="single" w:sz="4" w:space="0" w:color="auto"/>
              <w:right w:val="single" w:sz="4" w:space="0" w:color="auto"/>
            </w:tcBorders>
            <w:noWrap/>
            <w:vAlign w:val="center"/>
          </w:tcPr>
          <w:p>
            <w:pPr>
              <w:widowControl/>
              <w:spacing w:before="0" w:beforeAutospacing="0" w:after="0" w:afterAutospacing="0" w:line="240" w:lineRule="auto"/>
              <w:jc w:val="center"/>
              <w:rPr>
                <w:rFonts w:ascii="宋体" w:eastAsia="宋体" w:hAnsi="宋体" w:cs="宋体"/>
                <w:b/>
                <w:kern w:val="2"/>
                <w:sz w:val="21"/>
                <w:lang w:eastAsia="zh-CN"/>
              </w:rPr>
            </w:pPr>
            <w:r>
              <w:rPr>
                <w:rFonts w:ascii="宋体" w:eastAsia="宋体" w:hAnsi="宋体" w:cs="宋体" w:hint="eastAsia"/>
                <w:b/>
                <w:kern w:val="2"/>
                <w:sz w:val="21"/>
                <w:lang w:eastAsia="zh-CN"/>
              </w:rPr>
              <w:t>人员</w:t>
            </w:r>
          </w:p>
          <w:p>
            <w:pPr>
              <w:widowControl/>
              <w:spacing w:before="0" w:beforeAutospacing="0" w:after="0" w:afterAutospacing="0" w:line="240" w:lineRule="auto"/>
              <w:jc w:val="center"/>
              <w:rPr>
                <w:rFonts w:ascii="宋体" w:eastAsia="宋体" w:hAnsi="宋体" w:cs="宋体"/>
                <w:b/>
                <w:kern w:val="2"/>
                <w:sz w:val="21"/>
                <w:lang w:eastAsia="zh-CN"/>
              </w:rPr>
            </w:pPr>
            <w:r>
              <w:rPr>
                <w:rFonts w:ascii="宋体" w:eastAsia="宋体" w:hAnsi="宋体" w:cs="宋体" w:hint="eastAsia"/>
                <w:b/>
                <w:kern w:val="2"/>
                <w:sz w:val="21"/>
                <w:lang w:eastAsia="zh-CN"/>
              </w:rPr>
              <w:t>数量</w:t>
            </w:r>
          </w:p>
        </w:tc>
        <w:tc>
          <w:tcPr>
            <w:tcW w:w="1260" w:type="dxa"/>
            <w:tcBorders>
              <w:top w:val="single" w:sz="4" w:space="0" w:color="auto"/>
              <w:left w:val="single" w:sz="4" w:space="0" w:color="auto"/>
              <w:bottom w:val="single" w:sz="4" w:space="0" w:color="auto"/>
              <w:right w:val="single" w:sz="4" w:space="0" w:color="auto"/>
            </w:tcBorders>
            <w:noWrap/>
            <w:vAlign w:val="center"/>
          </w:tcPr>
          <w:p>
            <w:pPr>
              <w:widowControl/>
              <w:spacing w:before="0" w:beforeAutospacing="0" w:after="0" w:afterAutospacing="0" w:line="240" w:lineRule="auto"/>
              <w:jc w:val="center"/>
              <w:rPr>
                <w:rFonts w:ascii="宋体" w:eastAsia="宋体" w:hAnsi="宋体" w:cs="宋体"/>
                <w:b/>
                <w:kern w:val="2"/>
                <w:sz w:val="21"/>
                <w:lang w:eastAsia="zh-CN"/>
              </w:rPr>
            </w:pPr>
            <w:r>
              <w:rPr>
                <w:rFonts w:ascii="宋体" w:eastAsia="宋体" w:hAnsi="宋体" w:cs="宋体" w:hint="eastAsia"/>
                <w:b/>
                <w:kern w:val="2"/>
                <w:sz w:val="21"/>
                <w:lang w:eastAsia="zh-CN"/>
              </w:rPr>
              <w:t>工作时间（月）</w:t>
            </w:r>
          </w:p>
        </w:tc>
        <w:tc>
          <w:tcPr>
            <w:tcW w:w="1317" w:type="dxa"/>
            <w:tcBorders>
              <w:top w:val="single" w:sz="4" w:space="0" w:color="auto"/>
              <w:left w:val="single" w:sz="4" w:space="0" w:color="auto"/>
              <w:bottom w:val="single" w:sz="4" w:space="0" w:color="auto"/>
              <w:right w:val="single" w:sz="4" w:space="0" w:color="auto"/>
            </w:tcBorders>
            <w:noWrap/>
            <w:vAlign w:val="center"/>
          </w:tcPr>
          <w:p>
            <w:pPr>
              <w:widowControl/>
              <w:spacing w:before="0" w:beforeAutospacing="0" w:after="0" w:afterAutospacing="0" w:line="240" w:lineRule="auto"/>
              <w:jc w:val="center"/>
              <w:rPr>
                <w:rFonts w:ascii="宋体" w:eastAsia="宋体" w:hAnsi="宋体" w:cs="宋体"/>
                <w:b/>
                <w:kern w:val="2"/>
                <w:sz w:val="21"/>
                <w:lang w:eastAsia="zh-CN"/>
              </w:rPr>
            </w:pPr>
            <w:r>
              <w:rPr>
                <w:rFonts w:ascii="宋体" w:eastAsia="宋体" w:hAnsi="宋体" w:cs="宋体" w:hint="eastAsia"/>
                <w:b/>
                <w:kern w:val="2"/>
                <w:sz w:val="21"/>
                <w:lang w:eastAsia="zh-CN"/>
              </w:rPr>
              <w:t>单价</w:t>
            </w:r>
          </w:p>
          <w:p>
            <w:pPr>
              <w:widowControl/>
              <w:spacing w:before="0" w:beforeAutospacing="0" w:after="0" w:afterAutospacing="0" w:line="240" w:lineRule="auto"/>
              <w:jc w:val="center"/>
              <w:rPr>
                <w:rFonts w:ascii="宋体" w:eastAsia="宋体" w:hAnsi="宋体" w:cs="宋体"/>
                <w:b/>
                <w:kern w:val="2"/>
                <w:sz w:val="21"/>
                <w:lang w:eastAsia="zh-CN"/>
              </w:rPr>
            </w:pPr>
            <w:r>
              <w:rPr>
                <w:rFonts w:ascii="宋体" w:eastAsia="宋体" w:hAnsi="宋体" w:cs="宋体" w:hint="eastAsia"/>
                <w:b/>
                <w:kern w:val="2"/>
                <w:sz w:val="21"/>
                <w:lang w:eastAsia="zh-CN"/>
              </w:rPr>
              <w:t>（元/人月）</w:t>
            </w:r>
          </w:p>
        </w:tc>
        <w:tc>
          <w:tcPr>
            <w:tcW w:w="1343" w:type="dxa"/>
            <w:tcBorders>
              <w:top w:val="single" w:sz="4" w:space="0" w:color="auto"/>
              <w:left w:val="single" w:sz="4" w:space="0" w:color="auto"/>
              <w:bottom w:val="single" w:sz="4" w:space="0" w:color="auto"/>
              <w:right w:val="single" w:sz="4" w:space="0" w:color="auto"/>
            </w:tcBorders>
            <w:noWrap/>
            <w:vAlign w:val="center"/>
          </w:tcPr>
          <w:p>
            <w:pPr>
              <w:widowControl/>
              <w:spacing w:before="0" w:beforeAutospacing="0" w:after="0" w:afterAutospacing="0" w:line="240" w:lineRule="auto"/>
              <w:jc w:val="center"/>
              <w:rPr>
                <w:rFonts w:ascii="宋体" w:eastAsia="宋体" w:hAnsi="宋体" w:cs="宋体"/>
                <w:b/>
                <w:kern w:val="2"/>
                <w:sz w:val="21"/>
                <w:lang w:eastAsia="zh-CN"/>
              </w:rPr>
            </w:pPr>
            <w:r>
              <w:rPr>
                <w:rFonts w:ascii="宋体" w:eastAsia="宋体" w:hAnsi="宋体" w:cs="宋体" w:hint="eastAsia"/>
                <w:b/>
                <w:kern w:val="2"/>
                <w:sz w:val="21"/>
                <w:lang w:eastAsia="zh-CN"/>
              </w:rPr>
              <w:t>小计</w:t>
            </w:r>
          </w:p>
          <w:p>
            <w:pPr>
              <w:widowControl/>
              <w:spacing w:before="0" w:beforeAutospacing="0" w:after="0" w:afterAutospacing="0" w:line="240" w:lineRule="auto"/>
              <w:jc w:val="center"/>
              <w:rPr>
                <w:rFonts w:ascii="宋体" w:eastAsia="宋体" w:hAnsi="宋体" w:cs="宋体"/>
                <w:b/>
                <w:kern w:val="2"/>
                <w:sz w:val="21"/>
                <w:lang w:eastAsia="zh-CN"/>
              </w:rPr>
            </w:pPr>
            <w:r>
              <w:rPr>
                <w:rFonts w:ascii="宋体" w:eastAsia="宋体" w:hAnsi="宋体" w:cs="宋体" w:hint="eastAsia"/>
                <w:b/>
                <w:kern w:val="2"/>
                <w:sz w:val="21"/>
                <w:lang w:eastAsia="zh-CN"/>
              </w:rPr>
              <w:t>（元）</w:t>
            </w:r>
          </w:p>
        </w:tc>
        <w:tc>
          <w:tcPr>
            <w:tcW w:w="643" w:type="dxa"/>
            <w:tcBorders>
              <w:top w:val="single" w:sz="4" w:space="0" w:color="auto"/>
              <w:left w:val="nil"/>
              <w:bottom w:val="single" w:sz="4" w:space="0" w:color="auto"/>
              <w:right w:val="single" w:sz="4" w:space="0" w:color="auto"/>
            </w:tcBorders>
            <w:noWrap/>
            <w:vAlign w:val="center"/>
          </w:tcPr>
          <w:p>
            <w:pPr>
              <w:widowControl w:val="0"/>
              <w:spacing w:before="0" w:beforeAutospacing="0" w:after="0" w:afterAutospacing="0" w:line="240" w:lineRule="auto"/>
              <w:jc w:val="center"/>
              <w:rPr>
                <w:rFonts w:ascii="宋体" w:eastAsia="宋体" w:hAnsi="宋体" w:cs="宋体"/>
                <w:b/>
                <w:kern w:val="2"/>
                <w:sz w:val="21"/>
                <w:lang w:eastAsia="zh-CN"/>
              </w:rPr>
            </w:pPr>
            <w:r>
              <w:rPr>
                <w:rFonts w:ascii="宋体" w:eastAsia="宋体" w:hAnsi="宋体" w:cs="宋体" w:hint="eastAsia"/>
                <w:b/>
                <w:kern w:val="2"/>
                <w:sz w:val="21"/>
                <w:lang w:eastAsia="zh-CN"/>
              </w:rPr>
              <w:t>备注</w:t>
            </w:r>
          </w:p>
        </w:tc>
      </w:tr>
      <w:tr>
        <w:tblPrEx>
          <w:tblW w:w="10498" w:type="dxa"/>
          <w:jc w:val="center"/>
          <w:tblLayout w:type="fixed"/>
          <w:tblCellMar>
            <w:top w:w="0" w:type="dxa"/>
            <w:left w:w="108" w:type="dxa"/>
            <w:bottom w:w="0" w:type="dxa"/>
            <w:right w:w="108" w:type="dxa"/>
          </w:tblCellMar>
        </w:tblPrEx>
        <w:trPr>
          <w:trHeight w:val="671"/>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r>
              <w:rPr>
                <w:rFonts w:ascii="宋体" w:eastAsia="宋体" w:hAnsi="宋体" w:cs="宋体" w:hint="eastAsia"/>
                <w:kern w:val="2"/>
                <w:sz w:val="21"/>
                <w:lang w:eastAsia="zh-CN"/>
              </w:rPr>
              <w:t>1</w:t>
            </w:r>
          </w:p>
        </w:tc>
        <w:tc>
          <w:tcPr>
            <w:tcW w:w="1692" w:type="dxa"/>
            <w:tcBorders>
              <w:top w:val="single" w:sz="4" w:space="0" w:color="auto"/>
              <w:left w:val="nil"/>
              <w:bottom w:val="single" w:sz="4" w:space="0" w:color="auto"/>
              <w:right w:val="single" w:sz="4" w:space="0" w:color="auto"/>
            </w:tcBorders>
            <w:noWrap/>
            <w:vAlign w:val="center"/>
          </w:tcPr>
          <w:p>
            <w:pPr>
              <w:widowControl w:val="0"/>
              <w:spacing w:before="0" w:beforeAutospacing="0" w:after="0" w:afterAutospacing="0" w:line="240" w:lineRule="auto"/>
              <w:jc w:val="center"/>
              <w:rPr>
                <w:rFonts w:ascii="宋体" w:eastAsia="宋体" w:hAnsi="宋体" w:cs="宋体"/>
                <w:kern w:val="2"/>
                <w:sz w:val="21"/>
                <w:lang w:eastAsia="zh-CN"/>
              </w:rPr>
            </w:pPr>
          </w:p>
        </w:tc>
        <w:tc>
          <w:tcPr>
            <w:tcW w:w="1528" w:type="dxa"/>
            <w:tcBorders>
              <w:top w:val="single" w:sz="4" w:space="0" w:color="auto"/>
              <w:left w:val="nil"/>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p>
        </w:tc>
        <w:tc>
          <w:tcPr>
            <w:tcW w:w="1134"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p>
        </w:tc>
        <w:tc>
          <w:tcPr>
            <w:tcW w:w="937"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p>
        </w:tc>
        <w:tc>
          <w:tcPr>
            <w:tcW w:w="1260"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p>
        </w:tc>
        <w:tc>
          <w:tcPr>
            <w:tcW w:w="1317"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p>
        </w:tc>
        <w:tc>
          <w:tcPr>
            <w:tcW w:w="1343"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p>
        </w:tc>
        <w:tc>
          <w:tcPr>
            <w:tcW w:w="643"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p>
        </w:tc>
      </w:tr>
      <w:tr>
        <w:tblPrEx>
          <w:tblW w:w="10498" w:type="dxa"/>
          <w:jc w:val="center"/>
          <w:tblLayout w:type="fixed"/>
          <w:tblCellMar>
            <w:top w:w="0" w:type="dxa"/>
            <w:left w:w="108" w:type="dxa"/>
            <w:bottom w:w="0" w:type="dxa"/>
            <w:right w:w="108" w:type="dxa"/>
          </w:tblCellMar>
        </w:tblPrEx>
        <w:trPr>
          <w:trHeight w:val="671"/>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r>
              <w:rPr>
                <w:rFonts w:ascii="宋体" w:eastAsia="宋体" w:hAnsi="宋体" w:cs="宋体" w:hint="eastAsia"/>
                <w:kern w:val="2"/>
                <w:sz w:val="21"/>
                <w:lang w:eastAsia="zh-CN"/>
              </w:rPr>
              <w:t>2</w:t>
            </w:r>
          </w:p>
        </w:tc>
        <w:tc>
          <w:tcPr>
            <w:tcW w:w="1692" w:type="dxa"/>
            <w:tcBorders>
              <w:top w:val="single" w:sz="4" w:space="0" w:color="auto"/>
              <w:left w:val="nil"/>
              <w:bottom w:val="single" w:sz="4" w:space="0" w:color="auto"/>
              <w:right w:val="single" w:sz="4" w:space="0" w:color="auto"/>
            </w:tcBorders>
            <w:noWrap/>
            <w:vAlign w:val="center"/>
          </w:tcPr>
          <w:p>
            <w:pPr>
              <w:widowControl w:val="0"/>
              <w:spacing w:before="0" w:beforeAutospacing="0" w:after="0" w:afterAutospacing="0" w:line="240" w:lineRule="auto"/>
              <w:jc w:val="center"/>
              <w:rPr>
                <w:rFonts w:ascii="宋体" w:eastAsia="宋体" w:hAnsi="宋体" w:cs="宋体"/>
                <w:kern w:val="2"/>
                <w:sz w:val="21"/>
                <w:lang w:eastAsia="zh-CN"/>
              </w:rPr>
            </w:pPr>
          </w:p>
        </w:tc>
        <w:tc>
          <w:tcPr>
            <w:tcW w:w="1528" w:type="dxa"/>
            <w:tcBorders>
              <w:top w:val="single" w:sz="4" w:space="0" w:color="auto"/>
              <w:left w:val="nil"/>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p>
        </w:tc>
        <w:tc>
          <w:tcPr>
            <w:tcW w:w="1134"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p>
        </w:tc>
        <w:tc>
          <w:tcPr>
            <w:tcW w:w="937"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p>
        </w:tc>
        <w:tc>
          <w:tcPr>
            <w:tcW w:w="1260"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p>
        </w:tc>
        <w:tc>
          <w:tcPr>
            <w:tcW w:w="1317"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p>
        </w:tc>
        <w:tc>
          <w:tcPr>
            <w:tcW w:w="1343"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p>
        </w:tc>
        <w:tc>
          <w:tcPr>
            <w:tcW w:w="643"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p>
        </w:tc>
      </w:tr>
      <w:tr>
        <w:tblPrEx>
          <w:tblW w:w="10498" w:type="dxa"/>
          <w:jc w:val="center"/>
          <w:tblLayout w:type="fixed"/>
          <w:tblCellMar>
            <w:top w:w="0" w:type="dxa"/>
            <w:left w:w="108" w:type="dxa"/>
            <w:bottom w:w="0" w:type="dxa"/>
            <w:right w:w="108" w:type="dxa"/>
          </w:tblCellMar>
        </w:tblPrEx>
        <w:trPr>
          <w:trHeight w:val="671"/>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r>
              <w:rPr>
                <w:rFonts w:ascii="宋体" w:eastAsia="宋体" w:hAnsi="宋体" w:cs="宋体" w:hint="eastAsia"/>
                <w:kern w:val="2"/>
                <w:sz w:val="21"/>
                <w:lang w:eastAsia="zh-CN"/>
              </w:rPr>
              <w:t>3</w:t>
            </w:r>
          </w:p>
        </w:tc>
        <w:tc>
          <w:tcPr>
            <w:tcW w:w="1692" w:type="dxa"/>
            <w:tcBorders>
              <w:top w:val="single" w:sz="4" w:space="0" w:color="auto"/>
              <w:left w:val="nil"/>
              <w:bottom w:val="single" w:sz="4" w:space="0" w:color="auto"/>
              <w:right w:val="single" w:sz="4" w:space="0" w:color="auto"/>
            </w:tcBorders>
            <w:noWrap/>
            <w:vAlign w:val="center"/>
          </w:tcPr>
          <w:p>
            <w:pPr>
              <w:widowControl w:val="0"/>
              <w:spacing w:before="0" w:beforeAutospacing="0" w:after="0" w:afterAutospacing="0" w:line="240" w:lineRule="auto"/>
              <w:jc w:val="center"/>
              <w:rPr>
                <w:rFonts w:ascii="宋体" w:eastAsia="宋体" w:hAnsi="宋体" w:cs="宋体"/>
                <w:kern w:val="2"/>
                <w:sz w:val="21"/>
                <w:lang w:eastAsia="zh-CN"/>
              </w:rPr>
            </w:pPr>
          </w:p>
        </w:tc>
        <w:tc>
          <w:tcPr>
            <w:tcW w:w="1528" w:type="dxa"/>
            <w:tcBorders>
              <w:top w:val="single" w:sz="4" w:space="0" w:color="auto"/>
              <w:left w:val="nil"/>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p>
        </w:tc>
        <w:tc>
          <w:tcPr>
            <w:tcW w:w="1134"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p>
        </w:tc>
        <w:tc>
          <w:tcPr>
            <w:tcW w:w="937"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p>
        </w:tc>
        <w:tc>
          <w:tcPr>
            <w:tcW w:w="1260"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p>
        </w:tc>
        <w:tc>
          <w:tcPr>
            <w:tcW w:w="1317"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p>
        </w:tc>
        <w:tc>
          <w:tcPr>
            <w:tcW w:w="1343"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p>
        </w:tc>
        <w:tc>
          <w:tcPr>
            <w:tcW w:w="643"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p>
        </w:tc>
      </w:tr>
      <w:tr>
        <w:tblPrEx>
          <w:tblW w:w="10498" w:type="dxa"/>
          <w:jc w:val="center"/>
          <w:tblLayout w:type="fixed"/>
          <w:tblCellMar>
            <w:top w:w="0" w:type="dxa"/>
            <w:left w:w="108" w:type="dxa"/>
            <w:bottom w:w="0" w:type="dxa"/>
            <w:right w:w="108" w:type="dxa"/>
          </w:tblCellMar>
        </w:tblPrEx>
        <w:trPr>
          <w:trHeight w:val="608"/>
          <w:tblHeader/>
          <w:jc w:val="center"/>
        </w:trPr>
        <w:tc>
          <w:tcPr>
            <w:tcW w:w="644" w:type="dxa"/>
            <w:tcBorders>
              <w:top w:val="nil"/>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r>
              <w:rPr>
                <w:rFonts w:ascii="宋体" w:eastAsia="宋体" w:hAnsi="宋体" w:cs="宋体" w:hint="eastAsia"/>
                <w:kern w:val="2"/>
                <w:sz w:val="21"/>
                <w:lang w:eastAsia="zh-CN"/>
              </w:rPr>
              <w:t>4</w:t>
            </w:r>
          </w:p>
        </w:tc>
        <w:tc>
          <w:tcPr>
            <w:tcW w:w="1692" w:type="dxa"/>
            <w:tcBorders>
              <w:top w:val="nil"/>
              <w:left w:val="nil"/>
              <w:bottom w:val="single" w:sz="4" w:space="0" w:color="auto"/>
              <w:right w:val="single" w:sz="4" w:space="0" w:color="auto"/>
            </w:tcBorders>
            <w:noWrap/>
            <w:vAlign w:val="center"/>
          </w:tcPr>
          <w:p>
            <w:pPr>
              <w:widowControl w:val="0"/>
              <w:spacing w:before="0" w:beforeAutospacing="0" w:after="0" w:afterAutospacing="0" w:line="240" w:lineRule="auto"/>
              <w:jc w:val="center"/>
              <w:rPr>
                <w:rFonts w:ascii="宋体" w:eastAsia="宋体" w:hAnsi="宋体" w:cs="宋体"/>
                <w:kern w:val="2"/>
                <w:sz w:val="21"/>
                <w:lang w:eastAsia="zh-CN"/>
              </w:rPr>
            </w:pPr>
          </w:p>
        </w:tc>
        <w:tc>
          <w:tcPr>
            <w:tcW w:w="1528" w:type="dxa"/>
            <w:tcBorders>
              <w:top w:val="nil"/>
              <w:left w:val="nil"/>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p>
        </w:tc>
        <w:tc>
          <w:tcPr>
            <w:tcW w:w="1134" w:type="dxa"/>
            <w:tcBorders>
              <w:top w:val="nil"/>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p>
        </w:tc>
        <w:tc>
          <w:tcPr>
            <w:tcW w:w="937" w:type="dxa"/>
            <w:tcBorders>
              <w:top w:val="nil"/>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p>
        </w:tc>
        <w:tc>
          <w:tcPr>
            <w:tcW w:w="1260" w:type="dxa"/>
            <w:tcBorders>
              <w:top w:val="nil"/>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p>
        </w:tc>
        <w:tc>
          <w:tcPr>
            <w:tcW w:w="1317" w:type="dxa"/>
            <w:tcBorders>
              <w:top w:val="nil"/>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p>
        </w:tc>
        <w:tc>
          <w:tcPr>
            <w:tcW w:w="1343" w:type="dxa"/>
            <w:tcBorders>
              <w:top w:val="nil"/>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p>
        </w:tc>
        <w:tc>
          <w:tcPr>
            <w:tcW w:w="643" w:type="dxa"/>
            <w:tcBorders>
              <w:top w:val="nil"/>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p>
        </w:tc>
      </w:tr>
      <w:tr>
        <w:tblPrEx>
          <w:tblW w:w="10498" w:type="dxa"/>
          <w:jc w:val="center"/>
          <w:tblLayout w:type="fixed"/>
          <w:tblCellMar>
            <w:top w:w="0" w:type="dxa"/>
            <w:left w:w="108" w:type="dxa"/>
            <w:bottom w:w="0" w:type="dxa"/>
            <w:right w:w="108" w:type="dxa"/>
          </w:tblCellMar>
        </w:tblPrEx>
        <w:trPr>
          <w:trHeight w:val="616"/>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r>
              <w:rPr>
                <w:rFonts w:ascii="宋体" w:eastAsia="宋体" w:hAnsi="宋体" w:cs="宋体" w:hint="eastAsia"/>
                <w:kern w:val="2"/>
                <w:sz w:val="21"/>
                <w:lang w:eastAsia="zh-CN"/>
              </w:rPr>
              <w:t>5</w:t>
            </w:r>
          </w:p>
        </w:tc>
        <w:tc>
          <w:tcPr>
            <w:tcW w:w="1692" w:type="dxa"/>
            <w:tcBorders>
              <w:top w:val="single" w:sz="4" w:space="0" w:color="auto"/>
              <w:left w:val="nil"/>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p>
        </w:tc>
        <w:tc>
          <w:tcPr>
            <w:tcW w:w="1528" w:type="dxa"/>
            <w:tcBorders>
              <w:top w:val="single" w:sz="4" w:space="0" w:color="auto"/>
              <w:left w:val="nil"/>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p>
        </w:tc>
        <w:tc>
          <w:tcPr>
            <w:tcW w:w="1134"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p>
        </w:tc>
        <w:tc>
          <w:tcPr>
            <w:tcW w:w="937"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p>
        </w:tc>
        <w:tc>
          <w:tcPr>
            <w:tcW w:w="1260"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p>
        </w:tc>
        <w:tc>
          <w:tcPr>
            <w:tcW w:w="1317"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p>
        </w:tc>
        <w:tc>
          <w:tcPr>
            <w:tcW w:w="1343"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p>
        </w:tc>
        <w:tc>
          <w:tcPr>
            <w:tcW w:w="643"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p>
        </w:tc>
      </w:tr>
      <w:tr>
        <w:tblPrEx>
          <w:tblW w:w="10498" w:type="dxa"/>
          <w:jc w:val="center"/>
          <w:tblLayout w:type="fixed"/>
          <w:tblCellMar>
            <w:top w:w="0" w:type="dxa"/>
            <w:left w:w="108" w:type="dxa"/>
            <w:bottom w:w="0" w:type="dxa"/>
            <w:right w:w="108" w:type="dxa"/>
          </w:tblCellMar>
        </w:tblPrEx>
        <w:trPr>
          <w:trHeight w:val="610"/>
          <w:tblHeader/>
          <w:jc w:val="center"/>
        </w:trPr>
        <w:tc>
          <w:tcPr>
            <w:tcW w:w="644"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r>
              <w:rPr>
                <w:rFonts w:ascii="宋体" w:eastAsia="宋体" w:hAnsi="宋体" w:cs="宋体" w:hint="eastAsia"/>
                <w:kern w:val="2"/>
                <w:sz w:val="21"/>
                <w:lang w:eastAsia="zh-CN"/>
              </w:rPr>
              <w:t>……</w:t>
            </w:r>
          </w:p>
        </w:tc>
        <w:tc>
          <w:tcPr>
            <w:tcW w:w="1692" w:type="dxa"/>
            <w:tcBorders>
              <w:top w:val="single" w:sz="4" w:space="0" w:color="auto"/>
              <w:left w:val="nil"/>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p>
        </w:tc>
        <w:tc>
          <w:tcPr>
            <w:tcW w:w="1528" w:type="dxa"/>
            <w:tcBorders>
              <w:top w:val="single" w:sz="4" w:space="0" w:color="auto"/>
              <w:left w:val="nil"/>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p>
        </w:tc>
        <w:tc>
          <w:tcPr>
            <w:tcW w:w="1134"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p>
        </w:tc>
        <w:tc>
          <w:tcPr>
            <w:tcW w:w="937"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p>
        </w:tc>
        <w:tc>
          <w:tcPr>
            <w:tcW w:w="1260"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p>
        </w:tc>
        <w:tc>
          <w:tcPr>
            <w:tcW w:w="1317"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p>
        </w:tc>
        <w:tc>
          <w:tcPr>
            <w:tcW w:w="1343"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p>
        </w:tc>
        <w:tc>
          <w:tcPr>
            <w:tcW w:w="643"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p>
        </w:tc>
      </w:tr>
      <w:tr>
        <w:tblPrEx>
          <w:tblW w:w="10498" w:type="dxa"/>
          <w:jc w:val="center"/>
          <w:tblLayout w:type="fixed"/>
          <w:tblCellMar>
            <w:top w:w="0" w:type="dxa"/>
            <w:left w:w="108" w:type="dxa"/>
            <w:bottom w:w="0" w:type="dxa"/>
            <w:right w:w="108" w:type="dxa"/>
          </w:tblCellMar>
        </w:tblPrEx>
        <w:trPr>
          <w:trHeight w:val="610"/>
          <w:tblHeader/>
          <w:jc w:val="center"/>
        </w:trPr>
        <w:tc>
          <w:tcPr>
            <w:tcW w:w="4998" w:type="dxa"/>
            <w:gridSpan w:val="4"/>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b/>
                <w:kern w:val="2"/>
                <w:sz w:val="21"/>
                <w:lang w:eastAsia="zh-CN"/>
              </w:rPr>
            </w:pPr>
            <w:r>
              <w:rPr>
                <w:rFonts w:ascii="宋体" w:eastAsia="宋体" w:hAnsi="宋体" w:cs="宋体" w:hint="eastAsia"/>
                <w:b/>
                <w:kern w:val="2"/>
                <w:sz w:val="21"/>
                <w:lang w:eastAsia="zh-CN"/>
              </w:rPr>
              <w:t>合    计</w:t>
            </w:r>
          </w:p>
        </w:tc>
        <w:tc>
          <w:tcPr>
            <w:tcW w:w="2197" w:type="dxa"/>
            <w:gridSpan w:val="2"/>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r>
              <w:rPr>
                <w:rFonts w:ascii="宋体" w:eastAsia="宋体" w:hAnsi="宋体" w:cs="宋体" w:hint="eastAsia"/>
                <w:kern w:val="2"/>
                <w:sz w:val="21"/>
                <w:lang w:eastAsia="zh-CN"/>
              </w:rPr>
              <w:t>本栏填写上述各项工作量合计数</w:t>
            </w:r>
          </w:p>
        </w:tc>
        <w:tc>
          <w:tcPr>
            <w:tcW w:w="1317"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w w:val="90"/>
                <w:kern w:val="2"/>
                <w:sz w:val="21"/>
                <w:lang w:eastAsia="zh-CN"/>
              </w:rPr>
            </w:pPr>
            <w:r>
              <w:rPr>
                <w:rFonts w:ascii="宋体" w:eastAsia="宋体" w:hAnsi="宋体" w:cs="宋体" w:hint="eastAsia"/>
                <w:w w:val="90"/>
                <w:kern w:val="2"/>
                <w:sz w:val="21"/>
                <w:lang w:eastAsia="zh-CN"/>
              </w:rPr>
              <w:t>――――--</w:t>
            </w:r>
          </w:p>
        </w:tc>
        <w:tc>
          <w:tcPr>
            <w:tcW w:w="1343"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r>
              <w:rPr>
                <w:rFonts w:ascii="宋体" w:eastAsia="宋体" w:hAnsi="宋体" w:cs="宋体" w:hint="eastAsia"/>
                <w:kern w:val="2"/>
                <w:sz w:val="21"/>
                <w:lang w:eastAsia="zh-CN"/>
              </w:rPr>
              <w:t>本栏填写上述小计数额的合计数</w:t>
            </w:r>
          </w:p>
        </w:tc>
        <w:tc>
          <w:tcPr>
            <w:tcW w:w="643" w:type="dxa"/>
            <w:tcBorders>
              <w:top w:val="single" w:sz="4" w:space="0" w:color="auto"/>
              <w:left w:val="single" w:sz="4" w:space="0" w:color="auto"/>
              <w:bottom w:val="single" w:sz="4" w:space="0" w:color="auto"/>
              <w:right w:val="single" w:sz="4" w:space="0" w:color="auto"/>
            </w:tcBorders>
            <w:noWrap/>
            <w:vAlign w:val="center"/>
          </w:tcPr>
          <w:p>
            <w:pPr>
              <w:widowControl w:val="0"/>
              <w:tabs>
                <w:tab w:val="left" w:pos="425"/>
              </w:tabs>
              <w:snapToGrid w:val="0"/>
              <w:spacing w:before="0" w:beforeAutospacing="0" w:after="0" w:afterAutospacing="0" w:line="240" w:lineRule="auto"/>
              <w:jc w:val="center"/>
              <w:rPr>
                <w:rFonts w:ascii="宋体" w:eastAsia="宋体" w:hAnsi="宋体" w:cs="宋体"/>
                <w:kern w:val="2"/>
                <w:sz w:val="21"/>
                <w:lang w:eastAsia="zh-CN"/>
              </w:rPr>
            </w:pPr>
          </w:p>
        </w:tc>
      </w:tr>
    </w:tbl>
    <w:p>
      <w:pPr>
        <w:widowControl w:val="0"/>
        <w:topLinePunct/>
        <w:autoSpaceDE w:val="0"/>
        <w:autoSpaceDN w:val="0"/>
        <w:adjustRightInd w:val="0"/>
        <w:snapToGrid w:val="0"/>
        <w:spacing w:before="0" w:beforeAutospacing="0" w:after="0" w:afterAutospacing="0" w:line="360" w:lineRule="auto"/>
        <w:jc w:val="left"/>
        <w:rPr>
          <w:rFonts w:ascii="宋体" w:eastAsia="宋体" w:hAnsi="宋体" w:cs="宋体"/>
          <w:kern w:val="2"/>
          <w:sz w:val="21"/>
          <w:lang w:eastAsia="zh-CN"/>
        </w:rPr>
      </w:pPr>
      <w:r>
        <w:rPr>
          <w:rFonts w:ascii="宋体" w:eastAsia="宋体" w:hAnsi="宋体" w:cs="宋体" w:hint="eastAsia"/>
          <w:kern w:val="2"/>
          <w:sz w:val="21"/>
          <w:lang w:eastAsia="zh-CN"/>
        </w:rPr>
        <w:t>特别说明:</w:t>
      </w:r>
    </w:p>
    <w:p>
      <w:pPr>
        <w:widowControl w:val="0"/>
        <w:numPr>
          <w:ilvl w:val="0"/>
          <w:numId w:val="12"/>
        </w:numPr>
        <w:tabs>
          <w:tab w:val="left" w:pos="640"/>
        </w:tabs>
        <w:adjustRightInd w:val="0"/>
        <w:snapToGrid w:val="0"/>
        <w:spacing w:before="0" w:beforeAutospacing="0" w:after="0" w:afterAutospacing="0" w:line="360" w:lineRule="auto"/>
        <w:ind w:left="425" w:hanging="5"/>
        <w:jc w:val="both"/>
        <w:rPr>
          <w:rFonts w:ascii="宋体" w:eastAsia="宋体" w:hAnsi="宋体" w:cs="宋体"/>
          <w:kern w:val="2"/>
          <w:sz w:val="21"/>
          <w:lang w:eastAsia="zh-CN"/>
        </w:rPr>
      </w:pPr>
      <w:r>
        <w:rPr>
          <w:rFonts w:ascii="宋体" w:eastAsia="宋体" w:hAnsi="宋体" w:cs="宋体" w:hint="eastAsia"/>
          <w:kern w:val="2"/>
          <w:sz w:val="21"/>
          <w:lang w:eastAsia="zh-CN"/>
        </w:rPr>
        <w:t>本项目总价及分项报价均不接受任何形式的赠送、“零”报价和折扣报价。</w:t>
      </w:r>
    </w:p>
    <w:p>
      <w:pPr>
        <w:widowControl w:val="0"/>
        <w:numPr>
          <w:ilvl w:val="0"/>
          <w:numId w:val="12"/>
        </w:numPr>
        <w:tabs>
          <w:tab w:val="left" w:pos="640"/>
        </w:tabs>
        <w:adjustRightInd w:val="0"/>
        <w:snapToGrid w:val="0"/>
        <w:spacing w:before="0" w:beforeAutospacing="0" w:after="0" w:afterAutospacing="0" w:line="360" w:lineRule="auto"/>
        <w:ind w:left="425" w:hanging="5"/>
        <w:jc w:val="both"/>
        <w:rPr>
          <w:rFonts w:ascii="宋体" w:eastAsia="宋体" w:hAnsi="宋体" w:cs="宋体"/>
          <w:kern w:val="2"/>
          <w:sz w:val="21"/>
          <w:lang w:eastAsia="zh-CN"/>
        </w:rPr>
      </w:pPr>
      <w:r>
        <w:rPr>
          <w:rFonts w:ascii="宋体" w:eastAsia="宋体" w:hAnsi="宋体" w:cs="宋体" w:hint="eastAsia"/>
          <w:kern w:val="2"/>
          <w:sz w:val="21"/>
          <w:lang w:eastAsia="zh-CN"/>
        </w:rPr>
        <w:t>如报价不一致，按照投标人须知“19.核价原则”进行修正。</w:t>
      </w:r>
    </w:p>
    <w:p>
      <w:pPr>
        <w:widowControl w:val="0"/>
        <w:numPr>
          <w:ilvl w:val="0"/>
          <w:numId w:val="12"/>
        </w:numPr>
        <w:tabs>
          <w:tab w:val="left" w:pos="640"/>
        </w:tabs>
        <w:adjustRightInd w:val="0"/>
        <w:snapToGrid w:val="0"/>
        <w:spacing w:before="0" w:beforeAutospacing="0" w:after="0" w:afterAutospacing="0" w:line="360" w:lineRule="auto"/>
        <w:ind w:left="425" w:hanging="5"/>
        <w:jc w:val="both"/>
        <w:rPr>
          <w:rFonts w:ascii="宋体" w:eastAsia="宋体" w:hAnsi="宋体" w:cs="宋体"/>
          <w:kern w:val="2"/>
          <w:sz w:val="21"/>
          <w:lang w:eastAsia="zh-CN"/>
        </w:rPr>
      </w:pPr>
      <w:r>
        <w:rPr>
          <w:rFonts w:ascii="宋体" w:eastAsia="宋体" w:hAnsi="宋体" w:cs="宋体" w:hint="eastAsia"/>
          <w:kern w:val="2"/>
          <w:sz w:val="21"/>
          <w:lang w:eastAsia="zh-CN"/>
        </w:rPr>
        <w:t>本表中小计=人员数量×工作时间×单价。</w:t>
      </w:r>
    </w:p>
    <w:p>
      <w:pPr>
        <w:widowControl w:val="0"/>
        <w:numPr>
          <w:ilvl w:val="0"/>
          <w:numId w:val="12"/>
        </w:numPr>
        <w:tabs>
          <w:tab w:val="left" w:pos="640"/>
        </w:tabs>
        <w:adjustRightInd w:val="0"/>
        <w:snapToGrid w:val="0"/>
        <w:spacing w:before="0" w:beforeAutospacing="0" w:after="0" w:afterAutospacing="0" w:line="360" w:lineRule="auto"/>
        <w:ind w:left="425" w:hanging="5"/>
        <w:jc w:val="both"/>
        <w:rPr>
          <w:rFonts w:ascii="宋体" w:eastAsia="宋体" w:hAnsi="宋体" w:cs="宋体"/>
          <w:kern w:val="2"/>
          <w:sz w:val="21"/>
          <w:lang w:eastAsia="zh-CN"/>
        </w:rPr>
      </w:pPr>
      <w:r>
        <w:rPr>
          <w:rFonts w:ascii="宋体" w:eastAsia="宋体" w:hAnsi="宋体" w:cs="宋体" w:hint="eastAsia"/>
          <w:kern w:val="2"/>
          <w:sz w:val="21"/>
          <w:lang w:eastAsia="zh-CN"/>
        </w:rPr>
        <w:t>本表中“小计数额的合计数”应等于《总报价表》中的价格小计数。</w:t>
      </w:r>
    </w:p>
    <w:p>
      <w:pPr>
        <w:widowControl w:val="0"/>
        <w:numPr>
          <w:ilvl w:val="0"/>
          <w:numId w:val="12"/>
        </w:numPr>
        <w:tabs>
          <w:tab w:val="left" w:pos="640"/>
        </w:tabs>
        <w:adjustRightInd w:val="0"/>
        <w:snapToGrid w:val="0"/>
        <w:spacing w:before="0" w:beforeAutospacing="0" w:after="0" w:afterAutospacing="0" w:line="360" w:lineRule="auto"/>
        <w:ind w:left="425" w:hanging="5"/>
        <w:jc w:val="both"/>
        <w:rPr>
          <w:rFonts w:ascii="宋体" w:eastAsia="宋体" w:hAnsi="宋体" w:cs="宋体"/>
          <w:kern w:val="2"/>
          <w:sz w:val="21"/>
          <w:lang w:eastAsia="zh-CN"/>
        </w:rPr>
      </w:pPr>
      <w:r>
        <w:rPr>
          <w:rFonts w:ascii="宋体" w:eastAsia="宋体" w:hAnsi="宋体" w:cs="宋体" w:hint="eastAsia"/>
          <w:kern w:val="2"/>
          <w:sz w:val="21"/>
          <w:lang w:eastAsia="zh-CN"/>
        </w:rPr>
        <w:t>工作量＝人员数量×工作时间，本表中的“各项工作量合计数”应为各项工作量的合计数。</w:t>
      </w:r>
    </w:p>
    <w:p>
      <w:pPr>
        <w:widowControl w:val="0"/>
        <w:numPr>
          <w:ilvl w:val="0"/>
          <w:numId w:val="12"/>
        </w:numPr>
        <w:tabs>
          <w:tab w:val="left" w:pos="640"/>
        </w:tabs>
        <w:adjustRightInd w:val="0"/>
        <w:snapToGrid w:val="0"/>
        <w:spacing w:before="0" w:beforeAutospacing="0" w:after="0" w:afterAutospacing="0" w:line="360" w:lineRule="auto"/>
        <w:ind w:left="425" w:hanging="5"/>
        <w:jc w:val="both"/>
        <w:rPr>
          <w:rFonts w:ascii="宋体" w:eastAsia="宋体" w:hAnsi="宋体" w:cs="宋体"/>
          <w:kern w:val="2"/>
          <w:sz w:val="21"/>
          <w:lang w:eastAsia="zh-CN"/>
        </w:rPr>
      </w:pPr>
      <w:r>
        <w:rPr>
          <w:rFonts w:ascii="宋体" w:eastAsia="宋体" w:hAnsi="宋体" w:cs="宋体" w:hint="eastAsia"/>
          <w:kern w:val="2"/>
          <w:sz w:val="21"/>
          <w:lang w:eastAsia="zh-CN"/>
        </w:rPr>
        <w:t>本表可扩展。</w:t>
      </w:r>
    </w:p>
    <w:p>
      <w:pPr>
        <w:widowControl w:val="0"/>
        <w:adjustRightInd w:val="0"/>
        <w:snapToGrid w:val="0"/>
        <w:spacing w:before="0" w:beforeAutospacing="0" w:after="0" w:afterAutospacing="0" w:line="360" w:lineRule="auto"/>
        <w:jc w:val="both"/>
        <w:rPr>
          <w:rFonts w:ascii="宋体" w:eastAsia="宋体" w:hAnsi="宋体" w:cs="宋体"/>
          <w:kern w:val="2"/>
          <w:sz w:val="21"/>
          <w:lang w:eastAsia="zh-CN"/>
        </w:rPr>
      </w:pPr>
    </w:p>
    <w:p>
      <w:pPr>
        <w:widowControl w:val="0"/>
        <w:spacing w:before="0" w:beforeAutospacing="0" w:after="0" w:afterAutospacing="0" w:line="259" w:lineRule="auto"/>
        <w:jc w:val="both"/>
        <w:rPr>
          <w:rFonts w:eastAsia="宋体"/>
          <w:kern w:val="2"/>
          <w:sz w:val="21"/>
          <w:lang w:eastAsia="zh-CN"/>
        </w:rPr>
      </w:pPr>
    </w:p>
    <w:p w:rsidR="00A77B3E">
      <w:pPr>
        <w:spacing w:before="0" w:beforeAutospacing="0" w:after="0" w:afterAutospacing="0" w:line="360" w:lineRule="auto"/>
        <w:ind w:firstLine="0"/>
        <w:jc w:val="center"/>
        <w:rPr>
          <w:rFonts w:ascii="宋体" w:eastAsia="宋体" w:hAnsi="宋体" w:cs="宋体"/>
          <w:b/>
          <w:sz w:val="28"/>
        </w:rPr>
      </w:pPr>
    </w:p>
    <w:p>
      <w:pPr>
        <w:adjustRightInd w:val="0"/>
        <w:snapToGrid w:val="0"/>
        <w:spacing w:before="0" w:beforeAutospacing="0" w:after="0" w:afterAutospacing="0" w:line="360" w:lineRule="auto"/>
        <w:jc w:val="center"/>
        <w:rPr>
          <w:rFonts w:ascii="宋体" w:hAnsi="宋体" w:cs="宋体"/>
        </w:rPr>
      </w:pPr>
      <w:r w:rsidR="00A77B3E">
        <w:br w:type="page"/>
      </w:r>
      <w:r>
        <w:rPr>
          <w:rFonts w:ascii="宋体" w:hAnsi="宋体" w:cs="宋体"/>
          <w:b/>
          <w:bCs/>
          <w:sz w:val="36"/>
          <w:szCs w:val="36"/>
        </w:rPr>
        <w:t xml:space="preserve">格式3 </w:t>
      </w:r>
      <w:r>
        <w:rPr>
          <w:rFonts w:ascii="宋体" w:hAnsi="宋体" w:cs="宋体"/>
          <w:b/>
          <w:bCs/>
          <w:sz w:val="36"/>
          <w:szCs w:val="36"/>
        </w:rPr>
        <w:t>法定代表人授权委托书</w:t>
      </w:r>
    </w:p>
    <w:p>
      <w:pPr>
        <w:topLinePunct/>
        <w:autoSpaceDE w:val="0"/>
        <w:autoSpaceDN w:val="0"/>
        <w:adjustRightInd w:val="0"/>
        <w:snapToGrid w:val="0"/>
        <w:spacing w:before="0" w:beforeAutospacing="0" w:after="0" w:afterAutospacing="0" w:line="360" w:lineRule="auto"/>
        <w:ind w:firstLine="480" w:firstLineChars="200"/>
        <w:rPr>
          <w:rFonts w:ascii="宋体" w:hAnsi="宋体" w:cs="宋体"/>
          <w:color w:val="auto"/>
        </w:rPr>
      </w:pPr>
      <w:r>
        <w:rPr>
          <w:rFonts w:ascii="宋体" w:hAnsi="宋体" w:cs="宋体" w:hint="eastAsia"/>
          <w:color w:val="auto"/>
          <w:sz w:val="24"/>
        </w:rPr>
        <w:t>本授权书声明：注册于___________ （投标人住址）的___________  （投标人名称）法定代表人 _______（姓名、职务）代表本公司授权</w:t>
      </w:r>
      <w:r>
        <w:rPr>
          <w:rFonts w:ascii="宋体" w:hAnsi="宋体" w:cs="宋体" w:hint="default"/>
          <w:color w:val="auto"/>
          <w:sz w:val="24"/>
          <w:u w:val="single"/>
          <w:lang w:val="en"/>
        </w:rPr>
        <w:t xml:space="preserve">        </w:t>
      </w:r>
      <w:r>
        <w:rPr>
          <w:rFonts w:ascii="宋体" w:hAnsi="宋体" w:cs="宋体" w:hint="eastAsia"/>
          <w:color w:val="auto"/>
          <w:sz w:val="24"/>
        </w:rPr>
        <w:t>（被授权投标代表姓名、职务）为本公司的合法投标代表，就贵方组织的《</w:t>
      </w:r>
      <w:r>
        <w:rPr>
          <w:rFonts w:ascii="宋体" w:hAnsi="宋体" w:cs="宋体" w:hint="eastAsia"/>
          <w:color w:val="auto"/>
          <w:sz w:val="24"/>
          <w:u w:val="single"/>
        </w:rPr>
        <w:t xml:space="preserve">          项目</w:t>
      </w:r>
      <w:r>
        <w:rPr>
          <w:rFonts w:ascii="宋体" w:hAnsi="宋体" w:cs="宋体" w:hint="eastAsia"/>
          <w:color w:val="auto"/>
          <w:sz w:val="24"/>
        </w:rPr>
        <w:t>》（项目编号：</w:t>
      </w:r>
      <w:r>
        <w:rPr>
          <w:rFonts w:ascii="宋体" w:hAnsi="宋体" w:cs="宋体" w:hint="default"/>
          <w:color w:val="auto"/>
          <w:sz w:val="24"/>
        </w:rPr>
        <w:t>__________</w:t>
      </w:r>
      <w:r>
        <w:rPr>
          <w:rFonts w:ascii="宋体" w:hAnsi="宋体" w:cs="宋体" w:hint="eastAsia"/>
          <w:color w:val="auto"/>
          <w:sz w:val="24"/>
        </w:rPr>
        <w:t>）投标、合同的执行，以本公司名义处理一切与之有关的事务。</w:t>
      </w:r>
    </w:p>
    <w:p>
      <w:pPr>
        <w:topLinePunct/>
        <w:autoSpaceDE w:val="0"/>
        <w:autoSpaceDN w:val="0"/>
        <w:adjustRightInd w:val="0"/>
        <w:snapToGrid w:val="0"/>
        <w:spacing w:before="0" w:beforeAutospacing="0" w:after="0" w:afterAutospacing="0" w:line="360" w:lineRule="auto"/>
        <w:ind w:firstLine="480" w:firstLineChars="200"/>
        <w:rPr>
          <w:rFonts w:ascii="宋体" w:hAnsi="宋体" w:cs="宋体"/>
          <w:color w:val="auto"/>
        </w:rPr>
      </w:pPr>
      <w:r>
        <w:rPr>
          <w:rFonts w:ascii="宋体" w:hAnsi="宋体" w:cs="宋体" w:hint="eastAsia"/>
          <w:color w:val="auto"/>
          <w:sz w:val="24"/>
        </w:rPr>
        <w:t>本授权书于______年______月_____日生效，特此声明。</w:t>
      </w:r>
    </w:p>
    <w:p>
      <w:pPr>
        <w:pStyle w:val="PlainText"/>
        <w:adjustRightInd w:val="0"/>
        <w:snapToGrid w:val="0"/>
        <w:spacing w:before="0" w:beforeAutospacing="0" w:after="0" w:afterAutospacing="0" w:line="360" w:lineRule="auto"/>
        <w:ind w:firstLine="480" w:firstLineChars="200"/>
        <w:rPr>
          <w:rFonts w:hAnsi="宋体" w:cs="宋体" w:hint="eastAsia"/>
          <w:color w:val="auto"/>
          <w:sz w:val="24"/>
          <w:szCs w:val="24"/>
        </w:rPr>
      </w:pPr>
      <w:r>
        <w:rPr>
          <w:rFonts w:hAnsi="宋体" w:cs="宋体" w:hint="eastAsia"/>
          <w:color w:val="auto"/>
          <w:sz w:val="24"/>
          <w:szCs w:val="24"/>
        </w:rPr>
        <w:t>被授权投标代表无转委托权。</w:t>
      </w:r>
    </w:p>
    <w:tbl>
      <w:tblPr>
        <w:tblStyle w:val="TableNorm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7389"/>
      </w:tblGrid>
      <w:tr>
        <w:tblPrEx>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Ex>
        <w:trPr>
          <w:jc w:val="center"/>
        </w:trPr>
        <w:tc>
          <w:tcPr>
            <w:tcW w:w="7389" w:type="dxa"/>
            <w:noWrap w:val="0"/>
            <w:vAlign w:val="center"/>
          </w:tcPr>
          <w:p>
            <w:pPr>
              <w:pStyle w:val="PlainText"/>
              <w:keepNext w:val="0"/>
              <w:keepLines w:val="0"/>
              <w:suppressLineNumbers w:val="0"/>
              <w:adjustRightInd w:val="0"/>
              <w:snapToGrid w:val="0"/>
              <w:spacing w:before="0" w:beforeAutospacing="0" w:after="0" w:afterAutospacing="0" w:line="360" w:lineRule="auto"/>
              <w:ind w:left="0" w:right="0"/>
              <w:jc w:val="center"/>
              <w:rPr>
                <w:rFonts w:hAnsi="宋体" w:cs="宋体" w:hint="default"/>
                <w:color w:val="auto"/>
              </w:rPr>
            </w:pPr>
          </w:p>
          <w:p>
            <w:pPr>
              <w:pStyle w:val="PlainText"/>
              <w:keepNext w:val="0"/>
              <w:keepLines w:val="0"/>
              <w:suppressLineNumbers w:val="0"/>
              <w:adjustRightInd w:val="0"/>
              <w:snapToGrid w:val="0"/>
              <w:spacing w:before="0" w:beforeAutospacing="0" w:after="0" w:afterAutospacing="0" w:line="360" w:lineRule="auto"/>
              <w:ind w:left="0" w:right="0"/>
              <w:jc w:val="center"/>
              <w:rPr>
                <w:rFonts w:hAnsi="宋体" w:cs="宋体" w:hint="default"/>
                <w:color w:val="auto"/>
              </w:rPr>
            </w:pPr>
          </w:p>
          <w:p>
            <w:pPr>
              <w:pStyle w:val="PlainText"/>
              <w:keepNext w:val="0"/>
              <w:keepLines w:val="0"/>
              <w:suppressLineNumbers w:val="0"/>
              <w:adjustRightInd w:val="0"/>
              <w:snapToGrid w:val="0"/>
              <w:spacing w:before="0" w:beforeAutospacing="0" w:after="0" w:afterAutospacing="0" w:line="360" w:lineRule="auto"/>
              <w:ind w:left="0" w:right="0"/>
              <w:jc w:val="center"/>
              <w:rPr>
                <w:rFonts w:hAnsi="宋体" w:cs="宋体" w:hint="default"/>
                <w:color w:val="auto"/>
              </w:rPr>
            </w:pPr>
          </w:p>
          <w:p>
            <w:pPr>
              <w:pStyle w:val="PlainText"/>
              <w:keepNext w:val="0"/>
              <w:keepLines w:val="0"/>
              <w:suppressLineNumbers w:val="0"/>
              <w:adjustRightInd w:val="0"/>
              <w:snapToGrid w:val="0"/>
              <w:spacing w:before="0" w:beforeAutospacing="0" w:after="0" w:afterAutospacing="0" w:line="360" w:lineRule="auto"/>
              <w:ind w:left="0" w:right="0"/>
              <w:jc w:val="center"/>
              <w:rPr>
                <w:rFonts w:hAnsi="宋体" w:cs="宋体" w:hint="default"/>
                <w:color w:val="auto"/>
              </w:rPr>
            </w:pPr>
            <w:r>
              <w:rPr>
                <w:rFonts w:hAnsi="宋体" w:cs="宋体" w:hint="eastAsia"/>
                <w:color w:val="auto"/>
              </w:rPr>
              <w:t>法定代表人身份证复印件</w:t>
            </w:r>
          </w:p>
          <w:p>
            <w:pPr>
              <w:pStyle w:val="PlainText"/>
              <w:keepNext w:val="0"/>
              <w:keepLines w:val="0"/>
              <w:suppressLineNumbers w:val="0"/>
              <w:adjustRightInd w:val="0"/>
              <w:snapToGrid w:val="0"/>
              <w:spacing w:before="0" w:beforeAutospacing="0" w:after="0" w:afterAutospacing="0" w:line="360" w:lineRule="auto"/>
              <w:ind w:left="0" w:right="0"/>
              <w:jc w:val="center"/>
              <w:rPr>
                <w:rFonts w:hAnsi="宋体" w:cs="宋体" w:hint="default"/>
                <w:color w:val="auto"/>
              </w:rPr>
            </w:pPr>
          </w:p>
          <w:p>
            <w:pPr>
              <w:pStyle w:val="PlainText"/>
              <w:keepNext w:val="0"/>
              <w:keepLines w:val="0"/>
              <w:suppressLineNumbers w:val="0"/>
              <w:adjustRightInd w:val="0"/>
              <w:snapToGrid w:val="0"/>
              <w:spacing w:before="0" w:beforeAutospacing="0" w:after="0" w:afterAutospacing="0" w:line="360" w:lineRule="auto"/>
              <w:ind w:left="0" w:right="0"/>
              <w:jc w:val="center"/>
              <w:rPr>
                <w:rFonts w:hAnsi="宋体" w:cs="宋体" w:hint="default"/>
                <w:color w:val="auto"/>
              </w:rPr>
            </w:pPr>
          </w:p>
          <w:p>
            <w:pPr>
              <w:pStyle w:val="PlainText"/>
              <w:keepNext w:val="0"/>
              <w:keepLines w:val="0"/>
              <w:suppressLineNumbers w:val="0"/>
              <w:adjustRightInd w:val="0"/>
              <w:snapToGrid w:val="0"/>
              <w:spacing w:before="0" w:beforeAutospacing="0" w:after="0" w:afterAutospacing="0" w:line="360" w:lineRule="auto"/>
              <w:ind w:left="0" w:right="0"/>
              <w:jc w:val="center"/>
              <w:rPr>
                <w:rFonts w:hAnsi="宋体" w:cs="宋体" w:hint="default"/>
                <w:color w:val="auto"/>
              </w:rPr>
            </w:pPr>
          </w:p>
        </w:tc>
      </w:tr>
    </w:tbl>
    <w:p>
      <w:pPr>
        <w:pStyle w:val="PlainText"/>
        <w:adjustRightInd w:val="0"/>
        <w:snapToGrid w:val="0"/>
        <w:spacing w:before="0" w:beforeAutospacing="0" w:after="0" w:afterAutospacing="0" w:line="360" w:lineRule="auto"/>
        <w:rPr>
          <w:rFonts w:hAnsi="宋体" w:cs="宋体"/>
          <w:color w:val="auto"/>
        </w:rPr>
      </w:pPr>
    </w:p>
    <w:tbl>
      <w:tblPr>
        <w:tblStyle w:val="TableNorm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7389"/>
      </w:tblGrid>
      <w:tr>
        <w:tblPrEx>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Ex>
        <w:trPr>
          <w:jc w:val="center"/>
        </w:trPr>
        <w:tc>
          <w:tcPr>
            <w:tcW w:w="7389" w:type="dxa"/>
            <w:noWrap w:val="0"/>
            <w:vAlign w:val="center"/>
          </w:tcPr>
          <w:p>
            <w:pPr>
              <w:pStyle w:val="PlainText"/>
              <w:keepNext w:val="0"/>
              <w:keepLines w:val="0"/>
              <w:suppressLineNumbers w:val="0"/>
              <w:adjustRightInd w:val="0"/>
              <w:snapToGrid w:val="0"/>
              <w:spacing w:before="0" w:beforeAutospacing="0" w:after="0" w:afterAutospacing="0" w:line="360" w:lineRule="auto"/>
              <w:ind w:left="0" w:right="0"/>
              <w:jc w:val="center"/>
              <w:rPr>
                <w:rFonts w:hAnsi="宋体" w:cs="宋体" w:hint="default"/>
                <w:color w:val="auto"/>
              </w:rPr>
            </w:pPr>
          </w:p>
          <w:p>
            <w:pPr>
              <w:pStyle w:val="PlainText"/>
              <w:keepNext w:val="0"/>
              <w:keepLines w:val="0"/>
              <w:suppressLineNumbers w:val="0"/>
              <w:adjustRightInd w:val="0"/>
              <w:snapToGrid w:val="0"/>
              <w:spacing w:before="0" w:beforeAutospacing="0" w:after="0" w:afterAutospacing="0" w:line="360" w:lineRule="auto"/>
              <w:ind w:left="0" w:right="0"/>
              <w:jc w:val="center"/>
              <w:rPr>
                <w:rFonts w:hAnsi="宋体" w:cs="宋体" w:hint="default"/>
                <w:color w:val="auto"/>
              </w:rPr>
            </w:pPr>
          </w:p>
          <w:p>
            <w:pPr>
              <w:pStyle w:val="PlainText"/>
              <w:keepNext w:val="0"/>
              <w:keepLines w:val="0"/>
              <w:suppressLineNumbers w:val="0"/>
              <w:adjustRightInd w:val="0"/>
              <w:snapToGrid w:val="0"/>
              <w:spacing w:before="0" w:beforeAutospacing="0" w:after="0" w:afterAutospacing="0" w:line="360" w:lineRule="auto"/>
              <w:ind w:left="0" w:right="0"/>
              <w:jc w:val="center"/>
              <w:rPr>
                <w:rFonts w:hAnsi="宋体" w:cs="宋体" w:hint="default"/>
                <w:color w:val="auto"/>
              </w:rPr>
            </w:pPr>
          </w:p>
          <w:p>
            <w:pPr>
              <w:pStyle w:val="PlainText"/>
              <w:keepNext w:val="0"/>
              <w:keepLines w:val="0"/>
              <w:suppressLineNumbers w:val="0"/>
              <w:adjustRightInd w:val="0"/>
              <w:snapToGrid w:val="0"/>
              <w:spacing w:before="0" w:beforeAutospacing="0" w:after="0" w:afterAutospacing="0" w:line="360" w:lineRule="auto"/>
              <w:ind w:left="0" w:right="0"/>
              <w:jc w:val="center"/>
              <w:rPr>
                <w:rFonts w:hAnsi="宋体" w:cs="宋体" w:hint="default"/>
                <w:color w:val="auto"/>
              </w:rPr>
            </w:pPr>
            <w:r>
              <w:rPr>
                <w:rFonts w:ascii="宋体" w:hAnsi="宋体" w:cs="宋体" w:hint="eastAsia"/>
                <w:color w:val="auto"/>
              </w:rPr>
              <w:t>被授权投标代表</w:t>
            </w:r>
            <w:r>
              <w:rPr>
                <w:rFonts w:hAnsi="宋体" w:cs="宋体" w:hint="eastAsia"/>
                <w:color w:val="auto"/>
              </w:rPr>
              <w:t>身份证复印件</w:t>
            </w:r>
          </w:p>
          <w:p>
            <w:pPr>
              <w:pStyle w:val="PlainText"/>
              <w:keepNext w:val="0"/>
              <w:keepLines w:val="0"/>
              <w:suppressLineNumbers w:val="0"/>
              <w:adjustRightInd w:val="0"/>
              <w:snapToGrid w:val="0"/>
              <w:spacing w:before="0" w:beforeAutospacing="0" w:after="0" w:afterAutospacing="0" w:line="360" w:lineRule="auto"/>
              <w:ind w:left="0" w:right="0"/>
              <w:jc w:val="center"/>
              <w:rPr>
                <w:rFonts w:hAnsi="宋体" w:cs="宋体" w:hint="default"/>
                <w:color w:val="auto"/>
              </w:rPr>
            </w:pPr>
          </w:p>
          <w:p>
            <w:pPr>
              <w:pStyle w:val="PlainText"/>
              <w:keepNext w:val="0"/>
              <w:keepLines w:val="0"/>
              <w:suppressLineNumbers w:val="0"/>
              <w:adjustRightInd w:val="0"/>
              <w:snapToGrid w:val="0"/>
              <w:spacing w:before="0" w:beforeAutospacing="0" w:after="0" w:afterAutospacing="0" w:line="360" w:lineRule="auto"/>
              <w:ind w:left="0" w:right="0"/>
              <w:jc w:val="center"/>
              <w:rPr>
                <w:rFonts w:hAnsi="宋体" w:cs="宋体" w:hint="default"/>
                <w:color w:val="auto"/>
              </w:rPr>
            </w:pPr>
          </w:p>
          <w:p>
            <w:pPr>
              <w:pStyle w:val="PlainText"/>
              <w:keepNext w:val="0"/>
              <w:keepLines w:val="0"/>
              <w:suppressLineNumbers w:val="0"/>
              <w:adjustRightInd w:val="0"/>
              <w:snapToGrid w:val="0"/>
              <w:spacing w:before="0" w:beforeAutospacing="0" w:after="0" w:afterAutospacing="0" w:line="360" w:lineRule="auto"/>
              <w:ind w:left="0" w:right="0"/>
              <w:jc w:val="center"/>
              <w:rPr>
                <w:rFonts w:hAnsi="宋体" w:cs="宋体" w:hint="default"/>
                <w:color w:val="auto"/>
              </w:rPr>
            </w:pPr>
          </w:p>
        </w:tc>
      </w:tr>
    </w:tbl>
    <w:p>
      <w:pPr>
        <w:pStyle w:val="PlainText"/>
        <w:adjustRightInd w:val="0"/>
        <w:snapToGrid w:val="0"/>
        <w:spacing w:before="0" w:beforeAutospacing="0" w:after="0" w:afterAutospacing="0" w:line="360" w:lineRule="auto"/>
        <w:jc w:val="left"/>
        <w:rPr>
          <w:rFonts w:hAnsi="宋体" w:cs="宋体"/>
          <w:color w:val="auto"/>
        </w:rPr>
      </w:pPr>
    </w:p>
    <w:p>
      <w:pPr>
        <w:tabs>
          <w:tab w:val="left" w:pos="1230"/>
        </w:tabs>
        <w:topLinePunct/>
        <w:autoSpaceDE w:val="0"/>
        <w:autoSpaceDN w:val="0"/>
        <w:adjustRightInd w:val="0"/>
        <w:snapToGrid w:val="0"/>
        <w:spacing w:before="0" w:beforeAutospacing="0" w:after="0" w:afterAutospacing="0" w:line="360" w:lineRule="auto"/>
        <w:ind w:left="360"/>
        <w:rPr>
          <w:rFonts w:ascii="宋体" w:hAnsi="宋体" w:cs="宋体"/>
          <w:color w:val="auto"/>
        </w:rPr>
      </w:pPr>
    </w:p>
    <w:p>
      <w:pPr>
        <w:tabs>
          <w:tab w:val="left" w:pos="1230"/>
        </w:tabs>
        <w:topLinePunct/>
        <w:autoSpaceDE w:val="0"/>
        <w:autoSpaceDN w:val="0"/>
        <w:adjustRightInd w:val="0"/>
        <w:snapToGrid w:val="0"/>
        <w:spacing w:before="0" w:beforeAutospacing="0" w:after="0" w:afterAutospacing="0" w:line="360" w:lineRule="auto"/>
        <w:ind w:left="360"/>
        <w:rPr>
          <w:rFonts w:ascii="宋体" w:hAnsi="宋体" w:cs="宋体"/>
          <w:color w:val="auto"/>
        </w:rPr>
      </w:pPr>
      <w:r>
        <w:rPr>
          <w:rFonts w:ascii="宋体" w:hAnsi="宋体" w:cs="宋体" w:hint="eastAsia"/>
          <w:color w:val="auto"/>
          <w:sz w:val="24"/>
        </w:rPr>
        <w:t>投标人名称（公章）：________________</w:t>
      </w:r>
    </w:p>
    <w:p>
      <w:pPr>
        <w:tabs>
          <w:tab w:val="left" w:pos="1230"/>
        </w:tabs>
        <w:topLinePunct/>
        <w:autoSpaceDE w:val="0"/>
        <w:autoSpaceDN w:val="0"/>
        <w:adjustRightInd w:val="0"/>
        <w:snapToGrid w:val="0"/>
        <w:spacing w:before="0" w:beforeAutospacing="0" w:after="0" w:afterAutospacing="0" w:line="360" w:lineRule="auto"/>
        <w:ind w:left="360"/>
        <w:rPr>
          <w:rFonts w:ascii="宋体" w:hAnsi="宋体" w:cs="宋体"/>
          <w:color w:val="auto"/>
        </w:rPr>
      </w:pPr>
      <w:r>
        <w:rPr>
          <w:rFonts w:ascii="宋体" w:hAnsi="宋体" w:cs="宋体" w:hint="eastAsia"/>
          <w:color w:val="auto"/>
          <w:sz w:val="24"/>
        </w:rPr>
        <w:t>法定代表人（签字或签章）：________________</w:t>
      </w:r>
    </w:p>
    <w:p>
      <w:pPr>
        <w:tabs>
          <w:tab w:val="left" w:pos="1230"/>
        </w:tabs>
        <w:topLinePunct/>
        <w:autoSpaceDE w:val="0"/>
        <w:autoSpaceDN w:val="0"/>
        <w:adjustRightInd w:val="0"/>
        <w:snapToGrid w:val="0"/>
        <w:spacing w:before="0" w:beforeAutospacing="0" w:after="0" w:afterAutospacing="0" w:line="360" w:lineRule="auto"/>
        <w:ind w:left="360"/>
        <w:rPr>
          <w:rFonts w:ascii="宋体" w:hAnsi="宋体" w:cs="宋体"/>
          <w:color w:val="auto"/>
        </w:rPr>
      </w:pPr>
      <w:r>
        <w:rPr>
          <w:rFonts w:ascii="宋体" w:hAnsi="宋体" w:cs="宋体" w:hint="eastAsia"/>
          <w:color w:val="auto"/>
          <w:sz w:val="24"/>
        </w:rPr>
        <w:t>被授权投标代表（签字）：________________</w:t>
      </w:r>
    </w:p>
    <w:p>
      <w:pPr>
        <w:tabs>
          <w:tab w:val="left" w:pos="1230"/>
        </w:tabs>
        <w:topLinePunct/>
        <w:autoSpaceDE w:val="0"/>
        <w:autoSpaceDN w:val="0"/>
        <w:adjustRightInd w:val="0"/>
        <w:snapToGrid w:val="0"/>
        <w:spacing w:before="0" w:beforeAutospacing="0" w:after="0" w:afterAutospacing="0" w:line="360" w:lineRule="auto"/>
        <w:ind w:left="360"/>
        <w:rPr>
          <w:rFonts w:ascii="宋体" w:hAnsi="宋体" w:cs="宋体"/>
          <w:color w:val="auto"/>
        </w:rPr>
      </w:pPr>
      <w:r>
        <w:rPr>
          <w:rFonts w:ascii="宋体" w:hAnsi="宋体" w:cs="宋体" w:hint="eastAsia"/>
          <w:color w:val="auto"/>
          <w:sz w:val="24"/>
        </w:rPr>
        <w:t>被授权投标代表联系电话：____________</w:t>
      </w:r>
    </w:p>
    <w:p>
      <w:pPr>
        <w:tabs>
          <w:tab w:val="left" w:pos="1230"/>
        </w:tabs>
        <w:topLinePunct/>
        <w:autoSpaceDE w:val="0"/>
        <w:autoSpaceDN w:val="0"/>
        <w:adjustRightInd w:val="0"/>
        <w:snapToGrid w:val="0"/>
        <w:spacing w:before="0" w:beforeAutospacing="0" w:after="0" w:afterAutospacing="0" w:line="360" w:lineRule="auto"/>
        <w:ind w:left="360"/>
        <w:rPr>
          <w:rFonts w:ascii="宋体" w:hAnsi="宋体" w:cs="宋体" w:hint="eastAsia"/>
          <w:color w:val="auto"/>
        </w:rPr>
      </w:pPr>
      <w:r>
        <w:rPr>
          <w:rFonts w:ascii="宋体" w:hAnsi="宋体" w:cs="宋体" w:hint="eastAsia"/>
          <w:color w:val="auto"/>
          <w:sz w:val="24"/>
        </w:rPr>
        <w:t>日期：____________</w:t>
      </w:r>
    </w:p>
    <w:p>
      <w:pPr>
        <w:pStyle w:val="NormalIndent1"/>
        <w:spacing w:before="0" w:beforeAutospacing="0" w:after="0" w:afterAutospacing="0"/>
      </w:pPr>
    </w:p>
    <w:p>
      <w:pPr>
        <w:topLinePunct/>
        <w:autoSpaceDE w:val="0"/>
        <w:autoSpaceDN w:val="0"/>
        <w:adjustRightInd w:val="0"/>
        <w:snapToGrid w:val="0"/>
        <w:spacing w:before="0" w:beforeAutospacing="0" w:after="0" w:afterAutospacing="0" w:line="360" w:lineRule="auto"/>
        <w:jc w:val="left"/>
        <w:rPr>
          <w:rFonts w:ascii="宋体" w:hAnsi="宋体" w:cs="宋体" w:hint="eastAsia"/>
          <w:color w:val="auto"/>
        </w:rPr>
      </w:pPr>
    </w:p>
    <w:p>
      <w:pPr>
        <w:topLinePunct/>
        <w:autoSpaceDE w:val="0"/>
        <w:autoSpaceDN w:val="0"/>
        <w:adjustRightInd w:val="0"/>
        <w:snapToGrid w:val="0"/>
        <w:spacing w:before="0" w:beforeAutospacing="0" w:after="0" w:afterAutospacing="0" w:line="360" w:lineRule="auto"/>
        <w:jc w:val="left"/>
        <w:rPr>
          <w:rFonts w:ascii="宋体" w:hAnsi="宋体" w:cs="宋体" w:hint="eastAsia"/>
          <w:i/>
          <w:iCs/>
          <w:color w:val="auto"/>
        </w:rPr>
      </w:pPr>
      <w:r>
        <w:rPr>
          <w:rFonts w:ascii="宋体" w:hAnsi="宋体" w:cs="宋体" w:hint="eastAsia"/>
          <w:color w:val="auto"/>
        </w:rPr>
        <w:t>特别说明:</w:t>
      </w:r>
    </w:p>
    <w:p>
      <w:pPr>
        <w:tabs>
          <w:tab w:val="left" w:pos="312"/>
        </w:tabs>
        <w:topLinePunct/>
        <w:autoSpaceDE w:val="0"/>
        <w:autoSpaceDN w:val="0"/>
        <w:adjustRightInd w:val="0"/>
        <w:snapToGrid w:val="0"/>
        <w:spacing w:before="0" w:beforeAutospacing="0" w:after="0" w:afterAutospacing="0" w:line="360" w:lineRule="auto"/>
        <w:ind w:firstLine="420" w:firstLineChars="200"/>
        <w:rPr>
          <w:rFonts w:ascii="宋体" w:hAnsi="宋体" w:cs="宋体"/>
          <w:color w:val="auto"/>
        </w:rPr>
      </w:pPr>
      <w:r>
        <w:rPr>
          <w:rFonts w:ascii="宋体" w:hAnsi="宋体" w:cs="宋体" w:hint="eastAsia"/>
          <w:color w:val="auto"/>
        </w:rPr>
        <w:t>1.投标人如由被授权投标代表参与投标活动的，须同时提供《法定代表人授权委托书》和被授权投标代表身份证复印件。《法定代表人授权委托书》应当按</w:t>
      </w:r>
      <w:r>
        <w:rPr>
          <w:rFonts w:ascii="宋体" w:hAnsi="宋体" w:cs="宋体" w:hint="eastAsia"/>
          <w:color w:val="auto"/>
          <w:lang w:eastAsia="zh-CN"/>
        </w:rPr>
        <w:t>本</w:t>
      </w:r>
      <w:r>
        <w:rPr>
          <w:rFonts w:ascii="宋体" w:hAnsi="宋体" w:cs="宋体" w:hint="eastAsia"/>
          <w:color w:val="auto"/>
        </w:rPr>
        <w:t>格式要求加盖与投标人名称全称一致的标准公章，并签署法定代表人或被授权投标代表的全名或加盖名章之后，上传扫描件。</w:t>
      </w:r>
    </w:p>
    <w:p>
      <w:pPr>
        <w:topLinePunct/>
        <w:autoSpaceDE w:val="0"/>
        <w:autoSpaceDN w:val="0"/>
        <w:adjustRightInd w:val="0"/>
        <w:snapToGrid w:val="0"/>
        <w:spacing w:before="0" w:beforeAutospacing="0" w:after="0" w:afterAutospacing="0" w:line="360" w:lineRule="auto"/>
        <w:ind w:firstLine="420" w:firstLineChars="200"/>
        <w:rPr>
          <w:rFonts w:hAnsi="宋体" w:cs="宋体"/>
          <w:b/>
          <w:bCs/>
          <w:color w:val="auto"/>
        </w:rPr>
      </w:pPr>
      <w:r>
        <w:rPr>
          <w:rFonts w:ascii="宋体" w:hAnsi="宋体" w:cs="宋体" w:hint="eastAsia"/>
          <w:color w:val="auto"/>
        </w:rPr>
        <w:t>2.</w:t>
      </w:r>
      <w:r>
        <w:rPr>
          <w:rFonts w:ascii="宋体" w:hAnsi="宋体" w:cs="宋体" w:hint="eastAsia"/>
          <w:b/>
          <w:bCs/>
          <w:color w:val="auto"/>
        </w:rPr>
        <w:t>投标人如由法定代表人作为投标代表参与投标活动的，仅须提供法定代表人身份证复印件。</w:t>
      </w:r>
    </w:p>
    <w:p>
      <w:pPr>
        <w:spacing w:before="0" w:beforeAutospacing="0" w:after="0" w:afterAutospacing="0"/>
      </w:pPr>
    </w:p>
    <w:p w14:paraId="10BE0835">
      <w:pPr>
        <w:topLinePunct/>
        <w:autoSpaceDE w:val="0"/>
        <w:autoSpaceDN w:val="0"/>
        <w:adjustRightInd w:val="0"/>
        <w:snapToGrid w:val="0"/>
        <w:spacing w:before="0" w:beforeAutospacing="0" w:after="0" w:afterAutospacing="0" w:line="360" w:lineRule="auto"/>
        <w:jc w:val="center"/>
        <w:rPr>
          <w:rFonts w:hAnsi="宋体" w:cs="宋体"/>
          <w:color w:val="auto"/>
        </w:rPr>
      </w:pPr>
      <w:r w:rsidR="00A77B3E">
        <w:br w:type="page"/>
      </w:r>
      <w:r>
        <w:rPr>
          <w:rFonts w:ascii="宋体" w:hAnsi="宋体" w:cs="宋体" w:hint="eastAsia"/>
          <w:b/>
          <w:bCs/>
          <w:color w:val="auto"/>
          <w:sz w:val="36"/>
          <w:szCs w:val="36"/>
        </w:rPr>
        <w:t xml:space="preserve">格式4 </w:t>
      </w:r>
      <w:r>
        <w:rPr>
          <w:rFonts w:ascii="宋体" w:hAnsi="宋体" w:cs="宋体" w:hint="eastAsia"/>
          <w:b/>
          <w:bCs/>
          <w:color w:val="auto"/>
          <w:sz w:val="36"/>
          <w:szCs w:val="36"/>
        </w:rPr>
        <w:t>投标函</w:t>
      </w:r>
    </w:p>
    <w:p w14:paraId="3D90C960">
      <w:pPr>
        <w:pStyle w:val="PlainText"/>
        <w:topLinePunct/>
        <w:autoSpaceDE w:val="0"/>
        <w:autoSpaceDN w:val="0"/>
        <w:adjustRightInd w:val="0"/>
        <w:snapToGrid w:val="0"/>
        <w:spacing w:before="0" w:beforeAutospacing="0" w:after="0" w:afterAutospacing="0" w:line="360" w:lineRule="auto"/>
        <w:rPr>
          <w:rFonts w:hAnsi="宋体" w:cs="宋体" w:hint="eastAsia"/>
          <w:color w:val="auto"/>
          <w:sz w:val="24"/>
        </w:rPr>
      </w:pPr>
    </w:p>
    <w:p w14:paraId="26AA33B5">
      <w:pPr>
        <w:pStyle w:val="PlainText"/>
        <w:keepNext w:val="0"/>
        <w:keepLines w:val="0"/>
        <w:pageBreakBefore w:val="0"/>
        <w:widowControl w:val="0"/>
        <w:kinsoku/>
        <w:wordWrap/>
        <w:overflowPunct/>
        <w:topLinePunct/>
        <w:autoSpaceDE w:val="0"/>
        <w:autoSpaceDN w:val="0"/>
        <w:bidi w:val="0"/>
        <w:adjustRightInd w:val="0"/>
        <w:snapToGrid w:val="0"/>
        <w:spacing w:before="0" w:beforeAutospacing="0" w:after="0" w:afterAutospacing="0" w:line="360" w:lineRule="auto"/>
        <w:ind w:firstLine="0" w:firstLineChars="0"/>
        <w:textAlignment w:val="auto"/>
        <w:rPr>
          <w:rFonts w:hAnsi="宋体" w:hint="eastAsia"/>
          <w:color w:val="auto"/>
          <w:sz w:val="24"/>
        </w:rPr>
      </w:pPr>
      <w:r>
        <w:rPr>
          <w:rFonts w:hAnsi="宋体" w:cs="宋体" w:hint="eastAsia"/>
          <w:color w:val="auto"/>
          <w:sz w:val="24"/>
        </w:rPr>
        <w:t>致：</w:t>
      </w:r>
      <w:r>
        <w:rPr>
          <w:rFonts w:hAnsi="宋体" w:hint="eastAsia"/>
          <w:color w:val="auto"/>
          <w:sz w:val="24"/>
          <w:u w:val="single"/>
        </w:rPr>
        <w:t xml:space="preserve">        </w:t>
      </w:r>
      <w:r>
        <w:rPr>
          <w:rFonts w:hAnsi="宋体" w:hint="eastAsia"/>
          <w:color w:val="auto"/>
          <w:sz w:val="24"/>
          <w:lang w:eastAsia="zh-CN"/>
        </w:rPr>
        <w:t>（采购人名称）</w:t>
      </w:r>
    </w:p>
    <w:p w14:paraId="5AA7A858">
      <w:pPr>
        <w:pStyle w:val="PlainText"/>
        <w:keepNext w:val="0"/>
        <w:keepLines w:val="0"/>
        <w:pageBreakBefore w:val="0"/>
        <w:widowControl w:val="0"/>
        <w:kinsoku/>
        <w:wordWrap/>
        <w:overflowPunct/>
        <w:topLinePunct/>
        <w:autoSpaceDE w:val="0"/>
        <w:autoSpaceDN w:val="0"/>
        <w:bidi w:val="0"/>
        <w:adjustRightInd w:val="0"/>
        <w:snapToGrid w:val="0"/>
        <w:spacing w:before="0" w:beforeAutospacing="0" w:after="0" w:afterAutospacing="0" w:line="360" w:lineRule="auto"/>
        <w:ind w:firstLine="480" w:firstLineChars="200"/>
        <w:textAlignment w:val="auto"/>
        <w:rPr>
          <w:rFonts w:hAnsi="宋体" w:cs="宋体"/>
          <w:color w:val="auto"/>
          <w:sz w:val="24"/>
        </w:rPr>
      </w:pPr>
      <w:r>
        <w:rPr>
          <w:rFonts w:hAnsi="宋体" w:cs="宋体" w:hint="eastAsia"/>
          <w:color w:val="auto"/>
          <w:sz w:val="24"/>
        </w:rPr>
        <w:t>根据______（项目名称）（项目编号：______）的招标公告，______（姓名、职务）代表投标人______（投标人名称、地址）参加项目招标的有关活动。据此函，作如下承诺：</w:t>
      </w:r>
    </w:p>
    <w:p w14:paraId="64B00D92">
      <w:pPr>
        <w:pStyle w:val="1"/>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cs="宋体"/>
          <w:color w:val="auto"/>
          <w:sz w:val="24"/>
        </w:rPr>
      </w:pPr>
      <w:r>
        <w:rPr>
          <w:rFonts w:cs="宋体" w:hint="eastAsia"/>
          <w:color w:val="auto"/>
          <w:sz w:val="24"/>
        </w:rPr>
        <w:t>1.同意在本项目招标文件中</w:t>
      </w:r>
      <w:r>
        <w:rPr>
          <w:rFonts w:cs="宋体" w:hint="eastAsia"/>
          <w:color w:val="auto"/>
          <w:sz w:val="24"/>
        </w:rPr>
        <w:t>规定的开标日起</w:t>
      </w:r>
      <w:r>
        <w:rPr>
          <w:rFonts w:cs="宋体" w:hint="eastAsia"/>
          <w:color w:val="auto"/>
          <w:sz w:val="24"/>
          <w:u w:val="single"/>
        </w:rPr>
        <w:t>120天</w:t>
      </w:r>
      <w:r>
        <w:rPr>
          <w:rFonts w:cs="宋体" w:hint="eastAsia"/>
          <w:color w:val="auto"/>
          <w:sz w:val="24"/>
        </w:rPr>
        <w:t>遵守本投标文件中的承诺，且在期满之前均具有约束力。</w:t>
      </w:r>
    </w:p>
    <w:p w14:paraId="66F9B56C">
      <w:pPr>
        <w:pStyle w:val="1"/>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cs="宋体"/>
          <w:color w:val="auto"/>
          <w:sz w:val="24"/>
        </w:rPr>
      </w:pPr>
      <w:r>
        <w:rPr>
          <w:rFonts w:cs="宋体" w:hint="eastAsia"/>
          <w:color w:val="auto"/>
          <w:sz w:val="24"/>
        </w:rPr>
        <w:t>2.具备政府采购相关法律法规规定的参加政府采购活动的供应商应当具备的条件：</w:t>
      </w:r>
    </w:p>
    <w:p w14:paraId="0E42E51A">
      <w:pPr>
        <w:keepNext w:val="0"/>
        <w:keepLines w:val="0"/>
        <w:pageBreakBefore w:val="0"/>
        <w:widowControl w:val="0"/>
        <w:tabs>
          <w:tab w:val="left" w:pos="7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ascii="宋体" w:hAnsi="宋体" w:cs="宋体"/>
          <w:color w:val="auto"/>
        </w:rPr>
      </w:pPr>
      <w:r>
        <w:rPr>
          <w:rFonts w:ascii="宋体" w:hAnsi="宋体" w:cs="宋体" w:hint="eastAsia"/>
          <w:color w:val="auto"/>
          <w:sz w:val="24"/>
        </w:rPr>
        <w:t>（1）具有独立承担民事责任的能力；</w:t>
      </w:r>
    </w:p>
    <w:p w14:paraId="36FAC50B">
      <w:pPr>
        <w:keepNext w:val="0"/>
        <w:keepLines w:val="0"/>
        <w:pageBreakBefore w:val="0"/>
        <w:widowControl w:val="0"/>
        <w:tabs>
          <w:tab w:val="left" w:pos="7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ascii="宋体" w:hAnsi="宋体" w:cs="宋体"/>
          <w:color w:val="auto"/>
        </w:rPr>
      </w:pPr>
      <w:r>
        <w:rPr>
          <w:rFonts w:ascii="宋体" w:hAnsi="宋体" w:cs="宋体" w:hint="eastAsia"/>
          <w:color w:val="auto"/>
          <w:sz w:val="24"/>
        </w:rPr>
        <w:t>（2）具有良好的商业信誉和健全的财务会计制度；</w:t>
      </w:r>
    </w:p>
    <w:p w14:paraId="4DCBDE0F">
      <w:pPr>
        <w:keepNext w:val="0"/>
        <w:keepLines w:val="0"/>
        <w:pageBreakBefore w:val="0"/>
        <w:widowControl w:val="0"/>
        <w:tabs>
          <w:tab w:val="left" w:pos="7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ascii="宋体" w:hAnsi="宋体" w:cs="宋体"/>
          <w:color w:val="auto"/>
        </w:rPr>
      </w:pPr>
      <w:r>
        <w:rPr>
          <w:rFonts w:ascii="宋体" w:hAnsi="宋体" w:cs="宋体" w:hint="eastAsia"/>
          <w:color w:val="auto"/>
          <w:sz w:val="24"/>
        </w:rPr>
        <w:t>（3）具有履行合同所必需的设备和专业技术能力；</w:t>
      </w:r>
    </w:p>
    <w:p w14:paraId="78B9095C">
      <w:pPr>
        <w:keepNext w:val="0"/>
        <w:keepLines w:val="0"/>
        <w:pageBreakBefore w:val="0"/>
        <w:widowControl w:val="0"/>
        <w:tabs>
          <w:tab w:val="left" w:pos="7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ascii="宋体" w:hAnsi="宋体" w:cs="宋体"/>
          <w:color w:val="auto"/>
        </w:rPr>
      </w:pPr>
      <w:r>
        <w:rPr>
          <w:rFonts w:ascii="宋体" w:hAnsi="宋体" w:cs="宋体" w:hint="eastAsia"/>
          <w:color w:val="auto"/>
          <w:sz w:val="24"/>
        </w:rPr>
        <w:t>（4）有依法缴纳税收和社会保障资金的良好记录；</w:t>
      </w:r>
    </w:p>
    <w:p w14:paraId="28BC0F62">
      <w:pPr>
        <w:keepNext w:val="0"/>
        <w:keepLines w:val="0"/>
        <w:pageBreakBefore w:val="0"/>
        <w:widowControl w:val="0"/>
        <w:tabs>
          <w:tab w:val="left" w:pos="7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ascii="宋体" w:hAnsi="宋体" w:cs="宋体"/>
          <w:color w:val="auto"/>
        </w:rPr>
      </w:pPr>
      <w:r>
        <w:rPr>
          <w:rFonts w:ascii="宋体" w:hAnsi="宋体" w:cs="宋体" w:hint="eastAsia"/>
          <w:color w:val="auto"/>
          <w:sz w:val="24"/>
        </w:rPr>
        <w:t>（5）参加此项采购活动前三年内，在经营活动中没有重大违法记录。</w:t>
      </w:r>
    </w:p>
    <w:p w14:paraId="75006DB3">
      <w:pPr>
        <w:keepNext w:val="0"/>
        <w:keepLines w:val="0"/>
        <w:pageBreakBefore w:val="0"/>
        <w:widowControl w:val="0"/>
        <w:tabs>
          <w:tab w:val="left" w:pos="7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ascii="宋体" w:hAnsi="宋体" w:cs="宋体"/>
          <w:color w:val="auto"/>
        </w:rPr>
      </w:pPr>
      <w:r>
        <w:rPr>
          <w:rFonts w:ascii="宋体" w:hAnsi="宋体" w:cs="宋体" w:hint="eastAsia"/>
          <w:color w:val="auto"/>
          <w:sz w:val="24"/>
        </w:rPr>
        <w:t xml:space="preserve">（6）法律、行政法规规定的其他条件。 </w:t>
      </w:r>
    </w:p>
    <w:p w14:paraId="693357D4">
      <w:pPr>
        <w:pStyle w:val="1"/>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cs="宋体"/>
          <w:color w:val="auto"/>
          <w:sz w:val="24"/>
        </w:rPr>
      </w:pPr>
      <w:r>
        <w:rPr>
          <w:rFonts w:cs="宋体" w:hint="eastAsia"/>
          <w:color w:val="auto"/>
          <w:sz w:val="24"/>
        </w:rPr>
        <w:t>3.具备本项目招标文件中规定的其他要求和资质条件。</w:t>
      </w:r>
    </w:p>
    <w:p w14:paraId="5AD88F19">
      <w:pPr>
        <w:pStyle w:val="1"/>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cs="宋体"/>
          <w:color w:val="auto"/>
          <w:sz w:val="24"/>
        </w:rPr>
      </w:pPr>
      <w:r>
        <w:rPr>
          <w:rFonts w:cs="宋体" w:hint="eastAsia"/>
          <w:color w:val="auto"/>
          <w:sz w:val="24"/>
        </w:rPr>
        <w:t>4.提供投标人须知规定的全部投标文件。</w:t>
      </w:r>
    </w:p>
    <w:p w14:paraId="7E146EE2">
      <w:pPr>
        <w:pStyle w:val="1"/>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cs="宋体"/>
          <w:color w:val="auto"/>
          <w:sz w:val="24"/>
        </w:rPr>
      </w:pPr>
      <w:r>
        <w:rPr>
          <w:rFonts w:cs="宋体" w:hint="eastAsia"/>
          <w:color w:val="auto"/>
          <w:sz w:val="24"/>
        </w:rPr>
        <w:t>5.已详细审阅全部招标文件（包括招标文件澄清函），理解投标人须知的所有条款。</w:t>
      </w:r>
    </w:p>
    <w:p w14:paraId="71881CDC">
      <w:pPr>
        <w:pStyle w:val="1"/>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cs="宋体"/>
          <w:color w:val="auto"/>
          <w:sz w:val="24"/>
        </w:rPr>
      </w:pPr>
      <w:r>
        <w:rPr>
          <w:rFonts w:cs="宋体" w:hint="eastAsia"/>
          <w:color w:val="auto"/>
          <w:sz w:val="24"/>
        </w:rPr>
        <w:t>6.完全理解贵方“最低报价不能作为中标的保证”的规定。</w:t>
      </w:r>
    </w:p>
    <w:p w14:paraId="00416EB0">
      <w:pPr>
        <w:pStyle w:val="1"/>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cs="宋体"/>
          <w:color w:val="auto"/>
          <w:sz w:val="24"/>
        </w:rPr>
      </w:pPr>
      <w:r>
        <w:rPr>
          <w:rFonts w:cs="宋体" w:hint="eastAsia"/>
          <w:color w:val="auto"/>
          <w:sz w:val="24"/>
        </w:rPr>
        <w:t>7.接受招标文件中全部合同条款，且无任何异议；保证忠实地执行双方所签订的合同，并承担合同规定的责任和义务。</w:t>
      </w:r>
    </w:p>
    <w:p w14:paraId="7483099C">
      <w:pPr>
        <w:pStyle w:val="1"/>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cs="宋体"/>
          <w:color w:val="auto"/>
          <w:sz w:val="24"/>
        </w:rPr>
      </w:pPr>
      <w:r>
        <w:rPr>
          <w:rFonts w:cs="宋体" w:hint="eastAsia"/>
          <w:color w:val="auto"/>
          <w:sz w:val="24"/>
        </w:rPr>
        <w:t>8.完全满足和响应招标文件中的各项商务和技术要求，若有偏差，已在投标文件中明确说明。</w:t>
      </w:r>
    </w:p>
    <w:p w14:paraId="73530850">
      <w:pPr>
        <w:pStyle w:val="1"/>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cs="宋体"/>
          <w:color w:val="auto"/>
          <w:sz w:val="24"/>
        </w:rPr>
      </w:pPr>
      <w:r>
        <w:rPr>
          <w:rFonts w:cs="宋体" w:hint="eastAsia"/>
          <w:color w:val="auto"/>
          <w:sz w:val="24"/>
        </w:rPr>
        <w:t>9.愿意提供任何与投标有关的数据、情况和技术资料等。若贵方需要，愿意提供一切证明材料。</w:t>
      </w:r>
    </w:p>
    <w:p w14:paraId="4474656C">
      <w:pPr>
        <w:pStyle w:val="1"/>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cs="宋体"/>
          <w:color w:val="auto"/>
          <w:sz w:val="24"/>
        </w:rPr>
      </w:pPr>
      <w:r>
        <w:rPr>
          <w:rFonts w:cs="宋体" w:hint="eastAsia"/>
          <w:color w:val="auto"/>
          <w:sz w:val="24"/>
        </w:rPr>
        <w:t>10.我方已详细审核全部投标文件、参考资料及有关附件，确认无误。</w:t>
      </w:r>
    </w:p>
    <w:p w14:paraId="05E4DAEF">
      <w:pPr>
        <w:pStyle w:val="1"/>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0" w:beforeAutospacing="0" w:after="0" w:afterAutospacing="0" w:line="360" w:lineRule="auto"/>
        <w:ind w:firstLine="490" w:firstLineChars="204"/>
        <w:textAlignment w:val="auto"/>
        <w:rPr>
          <w:rFonts w:cs="宋体" w:hint="eastAsia"/>
          <w:color w:val="auto"/>
          <w:sz w:val="24"/>
        </w:rPr>
      </w:pPr>
      <w:r>
        <w:rPr>
          <w:rFonts w:cs="宋体" w:hint="eastAsia"/>
          <w:color w:val="auto"/>
          <w:sz w:val="24"/>
        </w:rPr>
        <w:t>11.对本次招标内容及与本项目有关的知识产权、技术资料、商业秘密及相关信息保密。</w:t>
      </w:r>
    </w:p>
    <w:p w14:paraId="3235C639">
      <w:pPr>
        <w:pStyle w:val="NormalWeb"/>
        <w:keepNext w:val="0"/>
        <w:keepLines w:val="0"/>
        <w:pageBreakBefore w:val="0"/>
        <w:widowControl w:val="0"/>
        <w:numPr>
          <w:ilvl w:val="0"/>
          <w:numId w:val="0"/>
        </w:numPr>
        <w:suppressLineNumbers w:val="0"/>
        <w:tabs>
          <w:tab w:val="left" w:pos="420"/>
        </w:tabs>
        <w:kinsoku/>
        <w:wordWrap/>
        <w:overflowPunct/>
        <w:topLinePunct/>
        <w:autoSpaceDE w:val="0"/>
        <w:autoSpaceDN w:val="0"/>
        <w:bidi w:val="0"/>
        <w:adjustRightInd w:val="0"/>
        <w:snapToGrid w:val="0"/>
        <w:spacing w:before="0" w:beforeAutospacing="0" w:after="0" w:afterAutospacing="0" w:line="360" w:lineRule="auto"/>
        <w:ind w:left="0" w:right="0" w:firstLine="480" w:leftChars="0" w:firstLineChars="200"/>
        <w:jc w:val="both"/>
        <w:textAlignment w:val="auto"/>
        <w:rPr>
          <w:rFonts w:ascii="宋体" w:hAnsi="宋体" w:cs="宋体" w:hint="eastAsia"/>
          <w:color w:val="auto"/>
        </w:rPr>
      </w:pPr>
      <w:r>
        <w:rPr>
          <w:rFonts w:ascii="宋体" w:eastAsia="宋体" w:hAnsi="宋体" w:cs="宋体" w:hint="eastAsia"/>
          <w:color w:val="auto"/>
          <w:sz w:val="24"/>
        </w:rPr>
        <w:t>12.</w:t>
      </w:r>
      <w:r>
        <w:rPr>
          <w:rFonts w:ascii="宋体" w:eastAsia="宋体" w:hAnsi="宋体" w:cs="宋体" w:hint="eastAsia"/>
          <w:color w:val="auto"/>
          <w:sz w:val="24"/>
          <w:lang w:val="en-US" w:eastAsia="zh-CN"/>
        </w:rPr>
        <w:t>已知悉并承诺遵守《税务系统信息化服务商失信行为记录名单制度(试行) 》关于失信行为进行记录和结果应用的相关规定，以及对于发生《政府采购合同文本》“违约责任”中所列失信行为的，将被限制参加税务系统政府采购活动的相关规定。</w:t>
      </w:r>
    </w:p>
    <w:p w14:paraId="428BCEEE">
      <w:pPr>
        <w:pStyle w:val="NormalWeb"/>
        <w:keepNext w:val="0"/>
        <w:keepLines w:val="0"/>
        <w:pageBreakBefore w:val="0"/>
        <w:widowControl w:val="0"/>
        <w:numPr>
          <w:ilvl w:val="0"/>
          <w:numId w:val="0"/>
        </w:numPr>
        <w:suppressLineNumbers w:val="0"/>
        <w:tabs>
          <w:tab w:val="left" w:pos="420"/>
        </w:tabs>
        <w:kinsoku/>
        <w:wordWrap/>
        <w:overflowPunct/>
        <w:topLinePunct/>
        <w:autoSpaceDE w:val="0"/>
        <w:autoSpaceDN w:val="0"/>
        <w:bidi w:val="0"/>
        <w:adjustRightInd w:val="0"/>
        <w:snapToGrid w:val="0"/>
        <w:spacing w:before="0" w:beforeAutospacing="0" w:after="0" w:afterAutospacing="0" w:line="360" w:lineRule="auto"/>
        <w:ind w:left="0" w:right="0" w:firstLine="480" w:leftChars="0" w:firstLineChars="200"/>
        <w:jc w:val="both"/>
        <w:textAlignment w:val="auto"/>
        <w:rPr>
          <w:rFonts w:ascii="宋体" w:hAnsi="宋体" w:cs="宋体" w:hint="default"/>
          <w:color w:val="auto"/>
        </w:rPr>
      </w:pPr>
      <w:r>
        <w:rPr>
          <w:rFonts w:ascii="宋体" w:eastAsia="宋体" w:hAnsi="宋体" w:cs="宋体" w:hint="default"/>
          <w:color w:val="auto"/>
          <w:sz w:val="24"/>
        </w:rPr>
        <w:t>13.</w:t>
      </w:r>
      <w:r>
        <w:rPr>
          <w:rFonts w:ascii="宋体" w:eastAsia="宋体" w:hAnsi="宋体" w:cs="宋体" w:hint="eastAsia"/>
          <w:color w:val="auto"/>
          <w:sz w:val="24"/>
        </w:rPr>
        <w:t>已知悉并承诺遵守</w:t>
      </w:r>
      <w:r>
        <w:rPr>
          <w:rFonts w:ascii="宋体" w:eastAsia="宋体" w:hAnsi="宋体" w:cs="宋体" w:hint="default"/>
          <w:color w:val="auto"/>
          <w:sz w:val="24"/>
        </w:rPr>
        <w:t>采购文件中关于供应链安全管理的全部要求。</w:t>
      </w:r>
    </w:p>
    <w:p w14:paraId="3FAB7D96">
      <w:pPr>
        <w:pStyle w:val="NormalWeb"/>
        <w:keepNext w:val="0"/>
        <w:keepLines w:val="0"/>
        <w:widowControl w:val="0"/>
        <w:numPr>
          <w:ilvl w:val="0"/>
          <w:numId w:val="0"/>
        </w:numPr>
        <w:suppressLineNumbers w:val="0"/>
        <w:tabs>
          <w:tab w:val="left" w:pos="420"/>
        </w:tabs>
        <w:topLinePunct/>
        <w:autoSpaceDE w:val="0"/>
        <w:autoSpaceDN w:val="0"/>
        <w:adjustRightInd w:val="0"/>
        <w:snapToGrid w:val="0"/>
        <w:spacing w:before="0" w:beforeAutospacing="0" w:after="0" w:afterAutospacing="0" w:line="360" w:lineRule="auto"/>
        <w:ind w:left="0" w:right="0" w:firstLine="480" w:leftChars="0" w:firstLineChars="200"/>
        <w:jc w:val="both"/>
        <w:rPr>
          <w:rFonts w:cs="宋体"/>
          <w:color w:val="auto"/>
        </w:rPr>
      </w:pPr>
      <w:r>
        <w:rPr>
          <w:rFonts w:ascii="宋体" w:eastAsia="宋体" w:hAnsi="宋体" w:cs="宋体" w:hint="eastAsia"/>
          <w:kern w:val="0"/>
          <w:sz w:val="24"/>
          <w:szCs w:val="24"/>
          <w:lang w:val="en-US" w:eastAsia="zh-CN" w:bidi="ar"/>
        </w:rPr>
        <w:t>14.我方提交的投标文件真实有效，承诺公平参与市场竞争，不存在围标串标行为。</w:t>
      </w:r>
    </w:p>
    <w:p w14:paraId="50FD9780">
      <w:pPr>
        <w:pStyle w:val="1"/>
        <w:numPr>
          <w:ilvl w:val="0"/>
          <w:numId w:val="0"/>
        </w:numPr>
        <w:tabs>
          <w:tab w:val="left" w:pos="420"/>
          <w:tab w:val="clear" w:pos="900"/>
        </w:tabs>
        <w:topLinePunct/>
        <w:autoSpaceDE w:val="0"/>
        <w:autoSpaceDN w:val="0"/>
        <w:snapToGrid w:val="0"/>
        <w:spacing w:before="0" w:beforeAutospacing="0" w:after="0" w:afterAutospacing="0" w:line="360" w:lineRule="auto"/>
        <w:ind w:firstLine="490" w:firstLineChars="204"/>
        <w:rPr>
          <w:rFonts w:cs="宋体"/>
          <w:color w:val="auto"/>
          <w:sz w:val="24"/>
        </w:rPr>
      </w:pPr>
    </w:p>
    <w:p w14:paraId="099C4935">
      <w:pPr>
        <w:pStyle w:val="1"/>
        <w:numPr>
          <w:ilvl w:val="0"/>
          <w:numId w:val="0"/>
        </w:numPr>
        <w:tabs>
          <w:tab w:val="left" w:pos="420"/>
          <w:tab w:val="clear" w:pos="900"/>
        </w:tabs>
        <w:topLinePunct/>
        <w:autoSpaceDE w:val="0"/>
        <w:autoSpaceDN w:val="0"/>
        <w:snapToGrid w:val="0"/>
        <w:spacing w:before="0" w:beforeAutospacing="0" w:after="0" w:afterAutospacing="0" w:line="360" w:lineRule="auto"/>
        <w:ind w:firstLine="490" w:firstLineChars="204"/>
        <w:rPr>
          <w:rFonts w:cs="宋体"/>
          <w:color w:val="auto"/>
          <w:sz w:val="24"/>
        </w:rPr>
      </w:pPr>
    </w:p>
    <w:p w14:paraId="3955DA00">
      <w:pPr>
        <w:pStyle w:val="1"/>
        <w:numPr>
          <w:ilvl w:val="0"/>
          <w:numId w:val="0"/>
        </w:numPr>
        <w:tabs>
          <w:tab w:val="left" w:pos="420"/>
          <w:tab w:val="clear" w:pos="900"/>
        </w:tabs>
        <w:topLinePunct/>
        <w:autoSpaceDE w:val="0"/>
        <w:autoSpaceDN w:val="0"/>
        <w:snapToGrid w:val="0"/>
        <w:spacing w:before="0" w:beforeAutospacing="0" w:after="0" w:afterAutospacing="0" w:line="360" w:lineRule="auto"/>
        <w:ind w:firstLine="490" w:firstLineChars="204"/>
        <w:rPr>
          <w:rFonts w:cs="宋体"/>
          <w:color w:val="auto"/>
          <w:sz w:val="24"/>
        </w:rPr>
      </w:pPr>
      <w:r>
        <w:rPr>
          <w:rFonts w:cs="宋体" w:hint="eastAsia"/>
          <w:color w:val="auto"/>
          <w:sz w:val="24"/>
        </w:rPr>
        <w:t>投标人名称（公章）：____________</w:t>
      </w:r>
    </w:p>
    <w:p w14:paraId="2429FCCA">
      <w:pPr>
        <w:pStyle w:val="1"/>
        <w:numPr>
          <w:ilvl w:val="0"/>
          <w:numId w:val="0"/>
        </w:numPr>
        <w:tabs>
          <w:tab w:val="left" w:pos="420"/>
          <w:tab w:val="clear" w:pos="900"/>
        </w:tabs>
        <w:topLinePunct/>
        <w:autoSpaceDE w:val="0"/>
        <w:autoSpaceDN w:val="0"/>
        <w:snapToGrid w:val="0"/>
        <w:spacing w:before="0" w:beforeAutospacing="0" w:after="0" w:afterAutospacing="0" w:line="360" w:lineRule="auto"/>
        <w:ind w:firstLine="490" w:firstLineChars="204"/>
        <w:rPr>
          <w:rFonts w:cs="宋体"/>
          <w:color w:val="auto"/>
          <w:sz w:val="24"/>
        </w:rPr>
      </w:pPr>
      <w:r>
        <w:rPr>
          <w:rFonts w:cs="宋体" w:hint="eastAsia"/>
          <w:color w:val="auto"/>
          <w:sz w:val="24"/>
        </w:rPr>
        <w:t>法定代表人（签字或签章）/被授权投标代表（签字）：____________</w:t>
      </w:r>
    </w:p>
    <w:p w14:paraId="6C33FEE0">
      <w:pPr>
        <w:pStyle w:val="1"/>
        <w:numPr>
          <w:ilvl w:val="0"/>
          <w:numId w:val="0"/>
        </w:numPr>
        <w:tabs>
          <w:tab w:val="left" w:pos="420"/>
          <w:tab w:val="clear" w:pos="900"/>
        </w:tabs>
        <w:topLinePunct/>
        <w:autoSpaceDE w:val="0"/>
        <w:autoSpaceDN w:val="0"/>
        <w:snapToGrid w:val="0"/>
        <w:spacing w:before="0" w:beforeAutospacing="0" w:after="0" w:afterAutospacing="0" w:line="360" w:lineRule="auto"/>
        <w:ind w:firstLine="490" w:firstLineChars="204"/>
        <w:rPr>
          <w:rFonts w:cs="宋体"/>
          <w:color w:val="auto"/>
          <w:sz w:val="24"/>
        </w:rPr>
      </w:pPr>
      <w:r>
        <w:rPr>
          <w:rFonts w:cs="宋体" w:hint="eastAsia"/>
          <w:color w:val="auto"/>
          <w:sz w:val="24"/>
        </w:rPr>
        <w:t>投标人地址：____________</w:t>
      </w:r>
    </w:p>
    <w:p w14:paraId="27EFB58F">
      <w:pPr>
        <w:pStyle w:val="1"/>
        <w:numPr>
          <w:ilvl w:val="0"/>
          <w:numId w:val="0"/>
        </w:numPr>
        <w:tabs>
          <w:tab w:val="left" w:pos="420"/>
          <w:tab w:val="clear" w:pos="900"/>
        </w:tabs>
        <w:topLinePunct/>
        <w:autoSpaceDE w:val="0"/>
        <w:autoSpaceDN w:val="0"/>
        <w:snapToGrid w:val="0"/>
        <w:spacing w:before="0" w:beforeAutospacing="0" w:after="0" w:afterAutospacing="0" w:line="360" w:lineRule="auto"/>
        <w:ind w:firstLine="490" w:firstLineChars="204"/>
        <w:rPr>
          <w:rFonts w:cs="宋体"/>
          <w:color w:val="auto"/>
          <w:sz w:val="24"/>
        </w:rPr>
      </w:pPr>
      <w:r>
        <w:rPr>
          <w:rFonts w:cs="宋体" w:hint="eastAsia"/>
          <w:color w:val="auto"/>
          <w:sz w:val="24"/>
        </w:rPr>
        <w:t>邮编：____________</w:t>
      </w:r>
    </w:p>
    <w:p w14:paraId="25094ECB">
      <w:pPr>
        <w:pStyle w:val="1"/>
        <w:numPr>
          <w:ilvl w:val="0"/>
          <w:numId w:val="0"/>
        </w:numPr>
        <w:tabs>
          <w:tab w:val="left" w:pos="420"/>
          <w:tab w:val="clear" w:pos="900"/>
        </w:tabs>
        <w:topLinePunct/>
        <w:autoSpaceDE w:val="0"/>
        <w:autoSpaceDN w:val="0"/>
        <w:snapToGrid w:val="0"/>
        <w:spacing w:before="0" w:beforeAutospacing="0" w:after="0" w:afterAutospacing="0" w:line="360" w:lineRule="auto"/>
        <w:ind w:firstLine="490" w:firstLineChars="204"/>
        <w:rPr>
          <w:rFonts w:cs="宋体"/>
          <w:color w:val="auto"/>
          <w:sz w:val="24"/>
        </w:rPr>
      </w:pPr>
      <w:r>
        <w:rPr>
          <w:rFonts w:cs="宋体" w:hint="eastAsia"/>
          <w:color w:val="auto"/>
          <w:sz w:val="24"/>
        </w:rPr>
        <w:t>电话：____________</w:t>
      </w:r>
    </w:p>
    <w:p w14:paraId="1ED2112B">
      <w:pPr>
        <w:pStyle w:val="1"/>
        <w:numPr>
          <w:ilvl w:val="0"/>
          <w:numId w:val="0"/>
        </w:numPr>
        <w:tabs>
          <w:tab w:val="left" w:pos="420"/>
          <w:tab w:val="clear" w:pos="900"/>
        </w:tabs>
        <w:topLinePunct/>
        <w:autoSpaceDE w:val="0"/>
        <w:autoSpaceDN w:val="0"/>
        <w:snapToGrid w:val="0"/>
        <w:spacing w:before="0" w:beforeAutospacing="0" w:after="0" w:afterAutospacing="0" w:line="360" w:lineRule="auto"/>
        <w:ind w:firstLine="490" w:firstLineChars="204"/>
        <w:rPr>
          <w:rFonts w:cs="宋体"/>
          <w:color w:val="auto"/>
          <w:sz w:val="24"/>
        </w:rPr>
      </w:pPr>
      <w:r>
        <w:rPr>
          <w:rFonts w:cs="宋体" w:hint="eastAsia"/>
          <w:color w:val="auto"/>
          <w:sz w:val="24"/>
        </w:rPr>
        <w:t>传真：____________</w:t>
      </w:r>
    </w:p>
    <w:p w14:paraId="7375AF4A">
      <w:pPr>
        <w:pStyle w:val="1"/>
        <w:numPr>
          <w:ilvl w:val="0"/>
          <w:numId w:val="0"/>
        </w:numPr>
        <w:tabs>
          <w:tab w:val="left" w:pos="420"/>
          <w:tab w:val="clear" w:pos="900"/>
        </w:tabs>
        <w:topLinePunct/>
        <w:autoSpaceDE w:val="0"/>
        <w:autoSpaceDN w:val="0"/>
        <w:snapToGrid w:val="0"/>
        <w:spacing w:before="0" w:beforeAutospacing="0" w:after="0" w:afterAutospacing="0" w:line="360" w:lineRule="auto"/>
        <w:ind w:left="480"/>
        <w:rPr>
          <w:rFonts w:cs="宋体"/>
          <w:color w:val="auto"/>
        </w:rPr>
      </w:pPr>
      <w:r>
        <w:rPr>
          <w:rFonts w:cs="宋体" w:hint="eastAsia"/>
          <w:color w:val="auto"/>
          <w:sz w:val="24"/>
        </w:rPr>
        <w:t xml:space="preserve">日  期：____________          </w:t>
      </w:r>
    </w:p>
    <w:p w14:paraId="04B546CB">
      <w:pPr>
        <w:tabs>
          <w:tab w:val="left" w:pos="1230"/>
        </w:tabs>
        <w:topLinePunct/>
        <w:autoSpaceDE w:val="0"/>
        <w:autoSpaceDN w:val="0"/>
        <w:snapToGrid w:val="0"/>
        <w:spacing w:before="0" w:beforeAutospacing="0" w:after="0" w:afterAutospacing="0" w:line="400" w:lineRule="exact"/>
        <w:ind w:left="360"/>
        <w:rPr>
          <w:rFonts w:ascii="宋体" w:hAnsi="宋体" w:cs="宋体"/>
          <w:color w:val="auto"/>
        </w:rPr>
      </w:pPr>
    </w:p>
    <w:p w14:paraId="6F6CB208">
      <w:pPr>
        <w:spacing w:before="0" w:beforeAutospacing="0" w:after="0" w:afterAutospacing="0"/>
        <w:ind w:firstLine="420" w:firstLineChars="200"/>
        <w:rPr>
          <w:rFonts w:eastAsia="Times New Roman" w:hAnsi="宋体" w:cs="宋体"/>
          <w:color w:val="auto"/>
        </w:rPr>
      </w:pPr>
    </w:p>
    <w:p w14:paraId="4523D070">
      <w:pPr>
        <w:adjustRightInd w:val="0"/>
        <w:snapToGrid w:val="0"/>
        <w:spacing w:before="0" w:beforeAutospacing="0" w:after="0" w:afterAutospacing="0" w:line="360" w:lineRule="auto"/>
        <w:ind w:firstLine="0" w:firstLineChars="0"/>
        <w:jc w:val="both"/>
        <w:rPr>
          <w:rFonts w:ascii="宋体" w:hAnsi="宋体" w:cs="宋体" w:hint="eastAsia"/>
          <w:color w:val="auto"/>
        </w:rPr>
      </w:pPr>
      <w:r>
        <w:rPr>
          <w:rFonts w:ascii="宋体" w:hAnsi="宋体" w:cs="宋体" w:hint="eastAsia"/>
          <w:color w:val="auto"/>
        </w:rPr>
        <w:t>特别说明：</w:t>
      </w:r>
    </w:p>
    <w:p w14:paraId="5A5DB399">
      <w:pPr>
        <w:adjustRightInd w:val="0"/>
        <w:snapToGrid w:val="0"/>
        <w:spacing w:before="0" w:beforeAutospacing="0" w:after="0" w:afterAutospacing="0" w:line="360" w:lineRule="auto"/>
        <w:ind w:firstLine="420" w:firstLineChars="200"/>
        <w:jc w:val="left"/>
        <w:rPr>
          <w:rFonts w:ascii="宋体" w:hAnsi="宋体" w:cs="宋体" w:hint="eastAsia"/>
          <w:color w:val="auto"/>
          <w:szCs w:val="21"/>
          <w:highlight w:val="none"/>
        </w:rPr>
      </w:pPr>
      <w:r>
        <w:rPr>
          <w:rFonts w:ascii="宋体" w:hAnsi="宋体" w:cs="宋体" w:hint="eastAsia"/>
          <w:b w:val="0"/>
          <w:bCs w:val="0"/>
          <w:color w:val="auto"/>
          <w:sz w:val="21"/>
          <w:szCs w:val="21"/>
          <w:highlight w:val="none"/>
          <w:lang w:eastAsia="zh-CN"/>
        </w:rPr>
        <w:t>投标人</w:t>
      </w:r>
      <w:r>
        <w:rPr>
          <w:rFonts w:ascii="宋体" w:hAnsi="宋体" w:cs="宋体" w:hint="eastAsia"/>
          <w:color w:val="auto"/>
          <w:sz w:val="21"/>
          <w:szCs w:val="21"/>
          <w:highlight w:val="none"/>
        </w:rPr>
        <w:t>应当按</w:t>
      </w:r>
      <w:r>
        <w:rPr>
          <w:rFonts w:ascii="宋体" w:hAnsi="宋体" w:cs="宋体" w:hint="eastAsia"/>
          <w:color w:val="auto"/>
          <w:sz w:val="21"/>
          <w:szCs w:val="21"/>
          <w:highlight w:val="none"/>
          <w:lang w:eastAsia="zh-CN"/>
        </w:rPr>
        <w:t>上述</w:t>
      </w:r>
      <w:r>
        <w:rPr>
          <w:rFonts w:ascii="宋体" w:hAnsi="宋体" w:cs="宋体" w:hint="eastAsia"/>
          <w:color w:val="auto"/>
          <w:sz w:val="21"/>
          <w:szCs w:val="21"/>
          <w:highlight w:val="none"/>
        </w:rPr>
        <w:t>格式要求加盖与投标人名称全称一致的标准公章，并签署法定代表人或</w:t>
      </w:r>
      <w:r>
        <w:rPr>
          <w:rFonts w:ascii="宋体" w:hAnsi="宋体" w:cs="宋体" w:hint="eastAsia"/>
          <w:b w:val="0"/>
          <w:bCs/>
          <w:color w:val="auto"/>
          <w:sz w:val="21"/>
          <w:szCs w:val="21"/>
          <w:highlight w:val="none"/>
        </w:rPr>
        <w:t>被授权投标代表</w:t>
      </w:r>
      <w:r>
        <w:rPr>
          <w:rFonts w:ascii="宋体" w:hAnsi="宋体" w:cs="宋体" w:hint="eastAsia"/>
          <w:color w:val="auto"/>
          <w:sz w:val="21"/>
          <w:szCs w:val="21"/>
          <w:highlight w:val="none"/>
        </w:rPr>
        <w:t>的全名或加盖名章</w:t>
      </w:r>
      <w:r>
        <w:rPr>
          <w:rFonts w:ascii="宋体" w:hAnsi="宋体" w:cs="宋体" w:hint="eastAsia"/>
          <w:color w:val="auto"/>
          <w:sz w:val="21"/>
          <w:szCs w:val="21"/>
          <w:highlight w:val="none"/>
          <w:lang w:eastAsia="zh-CN"/>
        </w:rPr>
        <w:t>之后，上传扫描件。</w:t>
      </w:r>
    </w:p>
    <w:p w14:paraId="2D9A3F9F">
      <w:pPr>
        <w:adjustRightInd w:val="0"/>
        <w:snapToGrid w:val="0"/>
        <w:spacing w:before="0" w:beforeAutospacing="0" w:after="0" w:afterAutospacing="0" w:line="360" w:lineRule="auto"/>
        <w:ind w:firstLine="420" w:firstLineChars="200"/>
        <w:jc w:val="left"/>
      </w:pPr>
    </w:p>
    <w:p>
      <w:pPr>
        <w:spacing w:before="0" w:beforeAutospacing="0" w:after="0" w:afterAutospacing="0" w:line="360" w:lineRule="auto"/>
        <w:jc w:val="center"/>
        <w:rPr>
          <w:rFonts w:ascii="宋体" w:hAnsi="宋体" w:cs="宋体"/>
          <w:b/>
          <w:bCs/>
          <w:color w:val="auto"/>
          <w:sz w:val="36"/>
          <w:szCs w:val="36"/>
        </w:rPr>
      </w:pPr>
      <w:r w:rsidR="00A77B3E">
        <w:br w:type="page"/>
      </w:r>
      <w:r>
        <w:rPr>
          <w:rFonts w:ascii="宋体" w:hAnsi="宋体" w:cs="宋体" w:hint="eastAsia"/>
          <w:b/>
          <w:bCs/>
          <w:color w:val="auto"/>
          <w:sz w:val="36"/>
          <w:szCs w:val="36"/>
        </w:rPr>
        <w:t xml:space="preserve">格式5 </w:t>
      </w:r>
      <w:r>
        <w:rPr>
          <w:rFonts w:ascii="宋体" w:hAnsi="宋体" w:cs="宋体" w:hint="eastAsia"/>
          <w:b/>
          <w:bCs/>
          <w:color w:val="auto"/>
          <w:sz w:val="36"/>
          <w:szCs w:val="36"/>
        </w:rPr>
        <w:t>商务条款偏离表</w:t>
      </w:r>
    </w:p>
    <w:p>
      <w:pPr>
        <w:topLinePunct/>
        <w:autoSpaceDE w:val="0"/>
        <w:autoSpaceDN w:val="0"/>
        <w:spacing w:before="0" w:beforeAutospacing="0" w:after="0" w:afterAutospacing="0" w:line="460" w:lineRule="exact"/>
        <w:jc w:val="center"/>
        <w:rPr>
          <w:rFonts w:ascii="宋体" w:hAnsi="宋体" w:cs="宋体"/>
          <w:color w:val="auto"/>
        </w:rPr>
      </w:pPr>
    </w:p>
    <w:tbl>
      <w:tblPr>
        <w:tblStyle w:val="TableNormal"/>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000"/>
      </w:tblPr>
      <w:tblGrid>
        <w:gridCol w:w="1075"/>
        <w:gridCol w:w="1999"/>
        <w:gridCol w:w="1575"/>
        <w:gridCol w:w="1575"/>
        <w:gridCol w:w="1749"/>
        <w:gridCol w:w="546"/>
      </w:tblGrid>
      <w:tr>
        <w:tblPrEx>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Look w:val="0000"/>
        </w:tblPrEx>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序号</w:t>
            </w:r>
          </w:p>
        </w:tc>
        <w:tc>
          <w:tcPr>
            <w:tcW w:w="1999"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招标文件条目号</w:t>
            </w:r>
          </w:p>
        </w:tc>
        <w:tc>
          <w:tcPr>
            <w:tcW w:w="1575"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招标文件</w:t>
            </w:r>
          </w:p>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商务条款</w:t>
            </w:r>
          </w:p>
        </w:tc>
        <w:tc>
          <w:tcPr>
            <w:tcW w:w="1575"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投标文件</w:t>
            </w:r>
          </w:p>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商务条款</w:t>
            </w:r>
          </w:p>
        </w:tc>
        <w:tc>
          <w:tcPr>
            <w:tcW w:w="1749"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偏离</w:t>
            </w:r>
          </w:p>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（无/正/负）</w:t>
            </w:r>
          </w:p>
        </w:tc>
        <w:tc>
          <w:tcPr>
            <w:tcW w:w="546"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说明</w:t>
            </w:r>
          </w:p>
        </w:tc>
      </w:tr>
      <w:tr>
        <w:tblPrEx>
          <w:jc w:val="center"/>
          <w:tblLayout w:type="fixed"/>
          <w:tblCellMar>
            <w:top w:w="0" w:type="dxa"/>
            <w:left w:w="108" w:type="dxa"/>
            <w:bottom w:w="0" w:type="dxa"/>
            <w:right w:w="108" w:type="dxa"/>
          </w:tblCellMar>
          <w:tblLook w:val="0000"/>
        </w:tblPrEx>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auto"/>
                <w:sz w:val="24"/>
              </w:rPr>
              <w:t>1</w:t>
            </w:r>
          </w:p>
        </w:tc>
        <w:tc>
          <w:tcPr>
            <w:tcW w:w="1999"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color w:val="auto"/>
              </w:rPr>
            </w:pPr>
          </w:p>
        </w:tc>
        <w:tc>
          <w:tcPr>
            <w:tcW w:w="1575"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1575"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1749"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546"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r>
      <w:tr>
        <w:tblPrEx>
          <w:jc w:val="center"/>
          <w:tblLayout w:type="fixed"/>
          <w:tblCellMar>
            <w:top w:w="0" w:type="dxa"/>
            <w:left w:w="108" w:type="dxa"/>
            <w:bottom w:w="0" w:type="dxa"/>
            <w:right w:w="108" w:type="dxa"/>
          </w:tblCellMar>
          <w:tblLook w:val="0000"/>
        </w:tblPrEx>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auto"/>
                <w:sz w:val="24"/>
              </w:rPr>
              <w:t>2</w:t>
            </w:r>
          </w:p>
        </w:tc>
        <w:tc>
          <w:tcPr>
            <w:tcW w:w="1999"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color w:val="auto"/>
              </w:rPr>
            </w:pPr>
          </w:p>
        </w:tc>
        <w:tc>
          <w:tcPr>
            <w:tcW w:w="1575"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1575"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1749"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546"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r>
      <w:tr>
        <w:tblPrEx>
          <w:jc w:val="center"/>
          <w:tblLayout w:type="fixed"/>
          <w:tblCellMar>
            <w:top w:w="0" w:type="dxa"/>
            <w:left w:w="108" w:type="dxa"/>
            <w:bottom w:w="0" w:type="dxa"/>
            <w:right w:w="108" w:type="dxa"/>
          </w:tblCellMar>
          <w:tblLook w:val="0000"/>
        </w:tblPrEx>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auto"/>
                <w:sz w:val="24"/>
              </w:rPr>
              <w:t>3</w:t>
            </w:r>
          </w:p>
        </w:tc>
        <w:tc>
          <w:tcPr>
            <w:tcW w:w="1999"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color w:val="auto"/>
              </w:rPr>
            </w:pPr>
          </w:p>
        </w:tc>
        <w:tc>
          <w:tcPr>
            <w:tcW w:w="1575"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1575"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1749"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546"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r>
      <w:tr>
        <w:tblPrEx>
          <w:jc w:val="center"/>
          <w:tblLayout w:type="fixed"/>
          <w:tblCellMar>
            <w:top w:w="0" w:type="dxa"/>
            <w:left w:w="108" w:type="dxa"/>
            <w:bottom w:w="0" w:type="dxa"/>
            <w:right w:w="108" w:type="dxa"/>
          </w:tblCellMar>
          <w:tblLook w:val="0000"/>
        </w:tblPrEx>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auto"/>
                <w:sz w:val="24"/>
              </w:rPr>
              <w:t>4</w:t>
            </w:r>
          </w:p>
        </w:tc>
        <w:tc>
          <w:tcPr>
            <w:tcW w:w="1999"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color w:val="auto"/>
              </w:rPr>
            </w:pPr>
          </w:p>
        </w:tc>
        <w:tc>
          <w:tcPr>
            <w:tcW w:w="1575"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1575"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1749"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546"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r>
      <w:tr>
        <w:tblPrEx>
          <w:jc w:val="center"/>
          <w:tblLayout w:type="fixed"/>
          <w:tblCellMar>
            <w:top w:w="0" w:type="dxa"/>
            <w:left w:w="108" w:type="dxa"/>
            <w:bottom w:w="0" w:type="dxa"/>
            <w:right w:w="108" w:type="dxa"/>
          </w:tblCellMar>
          <w:tblLook w:val="0000"/>
        </w:tblPrEx>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auto"/>
              </w:rPr>
              <w:t>……</w:t>
            </w:r>
          </w:p>
        </w:tc>
        <w:tc>
          <w:tcPr>
            <w:tcW w:w="1999"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color w:val="auto"/>
              </w:rPr>
            </w:pPr>
          </w:p>
        </w:tc>
        <w:tc>
          <w:tcPr>
            <w:tcW w:w="1575"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1575"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1749"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c>
          <w:tcPr>
            <w:tcW w:w="546" w:type="dxa"/>
            <w:tcBorders>
              <w:top w:val="single" w:sz="4" w:space="0" w:color="auto"/>
              <w:left w:val="single" w:sz="4" w:space="0" w:color="auto"/>
              <w:bottom w:val="single" w:sz="4" w:space="0" w:color="auto"/>
              <w:right w:val="single" w:sz="4" w:space="0" w:color="auto"/>
            </w:tcBorders>
          </w:tcPr>
          <w:p>
            <w:pPr>
              <w:keepNext w:val="0"/>
              <w:keepLines w:val="0"/>
              <w:suppressLineNumbers w:val="0"/>
              <w:topLinePunct/>
              <w:autoSpaceDE w:val="0"/>
              <w:autoSpaceDN w:val="0"/>
              <w:spacing w:before="0" w:beforeAutospacing="0" w:after="0" w:afterAutospacing="0" w:line="240" w:lineRule="auto"/>
              <w:ind w:left="0" w:right="0"/>
              <w:jc w:val="center"/>
              <w:rPr>
                <w:rFonts w:ascii="宋体" w:hAnsi="宋体" w:cs="宋体" w:hint="default"/>
                <w:b/>
                <w:bCs/>
                <w:color w:val="auto"/>
              </w:rPr>
            </w:pPr>
          </w:p>
        </w:tc>
      </w:tr>
    </w:tbl>
    <w:p>
      <w:pPr>
        <w:tabs>
          <w:tab w:val="left" w:pos="1230"/>
        </w:tabs>
        <w:topLinePunct/>
        <w:autoSpaceDE w:val="0"/>
        <w:autoSpaceDN w:val="0"/>
        <w:spacing w:before="0" w:beforeAutospacing="0" w:after="0" w:afterAutospacing="0" w:line="360" w:lineRule="auto"/>
        <w:rPr>
          <w:rFonts w:ascii="宋体" w:hAnsi="宋体" w:cs="宋体" w:hint="eastAsia"/>
          <w:color w:val="auto"/>
          <w:szCs w:val="21"/>
        </w:rPr>
      </w:pPr>
    </w:p>
    <w:p>
      <w:pPr>
        <w:tabs>
          <w:tab w:val="left" w:pos="1230"/>
        </w:tabs>
        <w:topLinePunct/>
        <w:autoSpaceDE w:val="0"/>
        <w:autoSpaceDN w:val="0"/>
        <w:spacing w:before="0" w:beforeAutospacing="0" w:after="0" w:afterAutospacing="0" w:line="360" w:lineRule="auto"/>
        <w:rPr>
          <w:rFonts w:ascii="宋体" w:hAnsi="宋体" w:cs="宋体"/>
          <w:color w:val="auto"/>
          <w:szCs w:val="21"/>
        </w:rPr>
      </w:pPr>
      <w:r>
        <w:rPr>
          <w:rFonts w:ascii="宋体" w:hAnsi="宋体" w:cs="宋体" w:hint="eastAsia"/>
          <w:color w:val="auto"/>
          <w:szCs w:val="21"/>
        </w:rPr>
        <w:t>特别说明：</w:t>
      </w:r>
    </w:p>
    <w:p>
      <w:pPr>
        <w:keepNext w:val="0"/>
        <w:keepLines w:val="0"/>
        <w:pageBreakBefore w:val="0"/>
        <w:tabs>
          <w:tab w:val="left" w:pos="1230"/>
        </w:tabs>
        <w:kinsoku/>
        <w:wordWrap/>
        <w:overflowPunct/>
        <w:topLinePunct/>
        <w:autoSpaceDE w:val="0"/>
        <w:autoSpaceDN w:val="0"/>
        <w:bidi w:val="0"/>
        <w:adjustRightInd/>
        <w:spacing w:before="0" w:beforeAutospacing="0" w:after="0" w:afterAutospacing="0" w:line="240" w:lineRule="auto"/>
        <w:ind w:firstLine="420" w:firstLineChars="200"/>
        <w:textAlignment w:val="auto"/>
        <w:rPr>
          <w:rFonts w:ascii="宋体" w:hAnsi="宋体" w:cs="宋体"/>
          <w:color w:val="auto"/>
          <w:szCs w:val="21"/>
        </w:rPr>
      </w:pPr>
      <w:r>
        <w:rPr>
          <w:rFonts w:ascii="宋体" w:hAnsi="宋体" w:cs="宋体" w:hint="eastAsia"/>
          <w:color w:val="auto"/>
          <w:szCs w:val="21"/>
        </w:rPr>
        <w:t>1.商务条款无需条对条应答，如无偏离，请在此表中填写</w:t>
      </w:r>
      <w:r>
        <w:rPr>
          <w:rFonts w:ascii="宋体" w:hAnsi="宋体" w:cs="宋体" w:hint="eastAsia"/>
          <w:color w:val="auto"/>
          <w:szCs w:val="21"/>
        </w:rPr>
        <w:t>“</w:t>
      </w:r>
      <w:r>
        <w:rPr>
          <w:rFonts w:ascii="宋体" w:hAnsi="宋体" w:cs="宋体" w:hint="eastAsia"/>
          <w:color w:val="auto"/>
          <w:szCs w:val="21"/>
        </w:rPr>
        <w:t>无偏离</w:t>
      </w:r>
      <w:r>
        <w:rPr>
          <w:rFonts w:ascii="宋体" w:hAnsi="宋体" w:cs="宋体" w:hint="eastAsia"/>
          <w:color w:val="auto"/>
          <w:szCs w:val="21"/>
        </w:rPr>
        <w:t>”</w:t>
      </w:r>
      <w:r>
        <w:rPr>
          <w:rFonts w:ascii="宋体" w:hAnsi="宋体" w:cs="宋体" w:hint="eastAsia"/>
          <w:color w:val="auto"/>
          <w:szCs w:val="21"/>
        </w:rPr>
        <w:t>；如有偏离，请在此表中应答为</w:t>
      </w:r>
      <w:r>
        <w:rPr>
          <w:rFonts w:ascii="宋体" w:hAnsi="宋体" w:cs="宋体" w:hint="eastAsia"/>
          <w:color w:val="auto"/>
          <w:szCs w:val="21"/>
        </w:rPr>
        <w:t>“</w:t>
      </w:r>
      <w:r>
        <w:rPr>
          <w:rFonts w:ascii="宋体" w:hAnsi="宋体" w:cs="宋体" w:hint="eastAsia"/>
          <w:color w:val="auto"/>
          <w:szCs w:val="21"/>
        </w:rPr>
        <w:t>正</w:t>
      </w:r>
      <w:r>
        <w:rPr>
          <w:rFonts w:ascii="宋体" w:hAnsi="宋体" w:cs="宋体"/>
          <w:color w:val="auto"/>
          <w:szCs w:val="21"/>
        </w:rPr>
        <w:t>/负偏离”并说明偏离情况。</w:t>
      </w:r>
    </w:p>
    <w:p>
      <w:pPr>
        <w:keepNext w:val="0"/>
        <w:keepLines w:val="0"/>
        <w:pageBreakBefore w:val="0"/>
        <w:tabs>
          <w:tab w:val="left" w:pos="1230"/>
        </w:tabs>
        <w:kinsoku/>
        <w:wordWrap/>
        <w:overflowPunct/>
        <w:topLinePunct/>
        <w:autoSpaceDE w:val="0"/>
        <w:autoSpaceDN w:val="0"/>
        <w:bidi w:val="0"/>
        <w:adjustRightInd/>
        <w:spacing w:before="0" w:beforeAutospacing="0" w:after="0" w:afterAutospacing="0" w:line="240" w:lineRule="auto"/>
        <w:ind w:firstLine="420" w:firstLineChars="200"/>
        <w:textAlignment w:val="auto"/>
        <w:rPr>
          <w:rFonts w:ascii="宋体" w:hAnsi="宋体" w:cs="宋体"/>
          <w:bCs/>
          <w:color w:val="auto"/>
          <w:szCs w:val="21"/>
          <w:highlight w:val="none"/>
        </w:rPr>
      </w:pPr>
      <w:r>
        <w:rPr>
          <w:rFonts w:ascii="宋体" w:hAnsi="宋体" w:cs="宋体"/>
          <w:bCs/>
          <w:color w:val="auto"/>
          <w:szCs w:val="21"/>
          <w:highlight w:val="none"/>
        </w:rPr>
        <w:t>2.如《招标文件-商务部分》中有标注★号的，则为实质性要求，必须满足，如应答为“负偏离”，将导致投标无效。</w:t>
      </w:r>
    </w:p>
    <w:p>
      <w:pPr>
        <w:keepNext w:val="0"/>
        <w:keepLines w:val="0"/>
        <w:pageBreakBefore w:val="0"/>
        <w:tabs>
          <w:tab w:val="left" w:pos="1230"/>
        </w:tabs>
        <w:kinsoku/>
        <w:wordWrap/>
        <w:overflowPunct/>
        <w:topLinePunct/>
        <w:autoSpaceDE w:val="0"/>
        <w:autoSpaceDN w:val="0"/>
        <w:bidi w:val="0"/>
        <w:adjustRightInd/>
        <w:spacing w:before="0" w:beforeAutospacing="0" w:after="0" w:afterAutospacing="0" w:line="240" w:lineRule="auto"/>
        <w:ind w:firstLine="420" w:firstLineChars="200"/>
        <w:textAlignment w:val="auto"/>
        <w:rPr>
          <w:rFonts w:ascii="宋体" w:hAnsi="宋体" w:cs="宋体"/>
          <w:bCs/>
          <w:color w:val="auto"/>
          <w:szCs w:val="21"/>
          <w:highlight w:val="none"/>
        </w:rPr>
      </w:pPr>
      <w:r>
        <w:rPr>
          <w:rFonts w:ascii="宋体" w:hAnsi="宋体" w:cs="宋体" w:hint="eastAsia"/>
          <w:bCs/>
          <w:color w:val="auto"/>
          <w:szCs w:val="21"/>
          <w:highlight w:val="none"/>
          <w:lang w:val="en-US" w:eastAsia="zh-CN"/>
        </w:rPr>
        <w:t>3</w:t>
      </w:r>
      <w:r>
        <w:rPr>
          <w:rFonts w:ascii="宋体" w:hAnsi="宋体" w:cs="宋体"/>
          <w:bCs/>
          <w:color w:val="auto"/>
          <w:szCs w:val="21"/>
          <w:highlight w:val="none"/>
        </w:rPr>
        <w:t>.本表可扩展。</w:t>
      </w:r>
    </w:p>
    <w:p>
      <w:pPr>
        <w:topLinePunct/>
        <w:autoSpaceDE w:val="0"/>
        <w:autoSpaceDN w:val="0"/>
        <w:spacing w:before="0" w:beforeAutospacing="0" w:after="0" w:afterAutospacing="0" w:line="500" w:lineRule="exact"/>
        <w:rPr>
          <w:rFonts w:hAnsi="宋体"/>
          <w:color w:val="auto"/>
        </w:rPr>
      </w:pPr>
    </w:p>
    <w:p>
      <w:pPr>
        <w:tabs>
          <w:tab w:val="left" w:pos="1230"/>
        </w:tabs>
        <w:topLinePunct/>
        <w:autoSpaceDE w:val="0"/>
        <w:autoSpaceDN w:val="0"/>
        <w:spacing w:before="0" w:beforeAutospacing="0" w:after="0" w:afterAutospacing="0" w:line="480" w:lineRule="auto"/>
        <w:ind w:firstLine="480" w:firstLineChars="200"/>
        <w:rPr>
          <w:rFonts w:ascii="宋体" w:hAnsi="宋体" w:cs="宋体"/>
          <w:color w:val="auto"/>
        </w:rPr>
      </w:pPr>
      <w:r>
        <w:rPr>
          <w:rFonts w:ascii="宋体" w:hAnsi="宋体" w:cs="宋体" w:hint="eastAsia"/>
          <w:color w:val="auto"/>
          <w:sz w:val="24"/>
        </w:rPr>
        <w:t>投标人名称（电子签章）：</w:t>
      </w:r>
    </w:p>
    <w:p>
      <w:pPr>
        <w:spacing w:before="0" w:beforeAutospacing="0" w:after="0" w:afterAutospacing="0" w:line="480" w:lineRule="auto"/>
        <w:ind w:firstLine="480" w:firstLineChars="200"/>
        <w:rPr>
          <w:rFonts w:hAnsi="宋体" w:cs="宋体"/>
          <w:color w:val="auto"/>
          <w:u w:val="single"/>
        </w:rPr>
      </w:pPr>
      <w:r>
        <w:rPr>
          <w:rFonts w:hAnsi="宋体" w:cs="宋体" w:hint="eastAsia"/>
          <w:color w:val="auto"/>
          <w:sz w:val="24"/>
        </w:rPr>
        <w:t>日期：</w:t>
      </w:r>
    </w:p>
    <w:p>
      <w:pPr>
        <w:spacing w:before="0" w:beforeAutospacing="0" w:after="0" w:afterAutospacing="0"/>
      </w:pPr>
    </w:p>
    <w:p w14:paraId="7ADD39AC">
      <w:pPr>
        <w:widowControl/>
        <w:autoSpaceDE w:val="0"/>
        <w:spacing w:before="0" w:beforeAutospacing="0" w:after="0" w:afterAutospacing="0"/>
        <w:jc w:val="center"/>
        <w:rPr>
          <w:rFonts w:ascii="宋体" w:hAnsi="宋体"/>
          <w:b/>
          <w:bCs/>
          <w:sz w:val="36"/>
          <w:szCs w:val="36"/>
        </w:rPr>
      </w:pPr>
      <w:r w:rsidR="00A77B3E">
        <w:br w:type="page"/>
      </w:r>
      <w:r>
        <w:rPr>
          <w:rFonts w:ascii="宋体" w:hAnsi="宋体" w:hint="eastAsia"/>
          <w:b/>
          <w:bCs/>
          <w:sz w:val="36"/>
          <w:szCs w:val="36"/>
        </w:rPr>
        <w:t xml:space="preserve">格式6 </w:t>
      </w:r>
      <w:r>
        <w:rPr>
          <w:rFonts w:ascii="宋体" w:hAnsi="宋体" w:hint="eastAsia"/>
          <w:b/>
          <w:bCs/>
          <w:sz w:val="36"/>
          <w:szCs w:val="36"/>
        </w:rPr>
        <w:t>中小企业声明函（货物）</w:t>
      </w:r>
    </w:p>
    <w:p w14:paraId="1335E356">
      <w:pPr>
        <w:pStyle w:val="PlainText"/>
        <w:snapToGrid w:val="0"/>
        <w:spacing w:before="0" w:beforeAutospacing="0" w:after="0" w:afterAutospacing="0" w:line="360" w:lineRule="auto"/>
        <w:ind w:firstLine="480" w:firstLineChars="200"/>
        <w:rPr>
          <w:rFonts w:hAnsi="宋体"/>
          <w:sz w:val="24"/>
          <w:szCs w:val="24"/>
        </w:rPr>
      </w:pPr>
      <w:r>
        <w:rPr>
          <w:rFonts w:hAnsi="宋体" w:hint="eastAsia"/>
          <w:sz w:val="24"/>
          <w:szCs w:val="24"/>
        </w:rPr>
        <w:t>本公司（联合体）郑重声明，根据《政府采购促进中小企业发展管理办法》（财库﹝2020﹞46 号）的规定，本公司（联合体）参加</w:t>
      </w:r>
      <w:r>
        <w:rPr>
          <w:rFonts w:hAnsi="宋体" w:hint="eastAsia"/>
          <w:i/>
          <w:iCs/>
          <w:sz w:val="24"/>
          <w:szCs w:val="24"/>
          <w:u w:val="single"/>
        </w:rPr>
        <w:t>（单位名称）</w:t>
      </w:r>
      <w:r>
        <w:rPr>
          <w:rFonts w:hAnsi="宋体" w:hint="eastAsia"/>
          <w:sz w:val="24"/>
          <w:szCs w:val="24"/>
        </w:rPr>
        <w:t>的</w:t>
      </w:r>
      <w:r>
        <w:rPr>
          <w:rFonts w:hAnsi="宋体" w:hint="eastAsia"/>
          <w:i/>
          <w:iCs/>
          <w:sz w:val="24"/>
          <w:szCs w:val="24"/>
          <w:u w:val="single"/>
        </w:rPr>
        <w:t>（项目名称）</w:t>
      </w:r>
      <w:r>
        <w:rPr>
          <w:rFonts w:hAnsi="宋体" w:hint="eastAsia"/>
          <w:sz w:val="24"/>
          <w:szCs w:val="24"/>
        </w:rPr>
        <w:t>采购活动，提供的货物全部由符合政策要求的中小企业制造。相关企业（含联合体中的中小企业、签订分包意向协议的中小企业）的具体情况如下：</w:t>
      </w:r>
    </w:p>
    <w:p w14:paraId="155F1510">
      <w:pPr>
        <w:pStyle w:val="PlainText"/>
        <w:snapToGrid w:val="0"/>
        <w:spacing w:before="0" w:beforeAutospacing="0" w:after="0" w:afterAutospacing="0" w:line="360" w:lineRule="auto"/>
        <w:ind w:firstLine="480" w:firstLineChars="200"/>
        <w:rPr>
          <w:rFonts w:hAnsi="宋体"/>
          <w:sz w:val="24"/>
          <w:szCs w:val="24"/>
        </w:rPr>
      </w:pPr>
      <w:r>
        <w:rPr>
          <w:rFonts w:hAnsi="宋体" w:hint="eastAsia"/>
          <w:sz w:val="24"/>
          <w:szCs w:val="24"/>
        </w:rPr>
        <w:t xml:space="preserve">1. </w:t>
      </w:r>
      <w:r>
        <w:rPr>
          <w:rFonts w:hAnsi="宋体" w:hint="eastAsia"/>
          <w:i/>
          <w:iCs/>
          <w:sz w:val="24"/>
          <w:szCs w:val="24"/>
          <w:u w:val="single"/>
        </w:rPr>
        <w:t xml:space="preserve">（标的名称） </w:t>
      </w:r>
      <w:r>
        <w:rPr>
          <w:rFonts w:hAnsi="宋体" w:hint="eastAsia"/>
          <w:sz w:val="24"/>
          <w:szCs w:val="24"/>
        </w:rPr>
        <w:t>，属于</w:t>
      </w:r>
      <w:r>
        <w:rPr>
          <w:rFonts w:hAnsi="宋体" w:hint="eastAsia"/>
          <w:i/>
          <w:iCs/>
          <w:sz w:val="24"/>
          <w:szCs w:val="24"/>
          <w:u w:val="single"/>
        </w:rPr>
        <w:t>（采购文件中明确的所属行业）</w:t>
      </w:r>
      <w:r>
        <w:rPr>
          <w:rFonts w:hAnsi="宋体" w:hint="eastAsia"/>
          <w:sz w:val="24"/>
          <w:szCs w:val="24"/>
        </w:rPr>
        <w:t>行业；制造商为</w:t>
      </w:r>
      <w:r>
        <w:rPr>
          <w:rFonts w:hAnsi="宋体" w:hint="eastAsia"/>
          <w:i/>
          <w:iCs/>
          <w:sz w:val="24"/>
          <w:szCs w:val="24"/>
          <w:u w:val="single"/>
        </w:rPr>
        <w:t>（企业名称）</w:t>
      </w:r>
      <w:r>
        <w:rPr>
          <w:rFonts w:hAnsi="宋体" w:hint="eastAsia"/>
          <w:sz w:val="24"/>
          <w:szCs w:val="24"/>
        </w:rPr>
        <w:t>，从业人员</w:t>
      </w:r>
      <w:r>
        <w:rPr>
          <w:rFonts w:hAnsi="宋体" w:hint="eastAsia"/>
          <w:sz w:val="24"/>
          <w:szCs w:val="24"/>
          <w:u w:val="single"/>
        </w:rPr>
        <w:t xml:space="preserve">     </w:t>
      </w:r>
      <w:r>
        <w:rPr>
          <w:rFonts w:hAnsi="宋体" w:hint="eastAsia"/>
          <w:sz w:val="24"/>
          <w:szCs w:val="24"/>
        </w:rPr>
        <w:t>人，营</w:t>
      </w:r>
      <w:r>
        <w:rPr>
          <w:rFonts w:hAnsi="宋体" w:hint="eastAsia"/>
          <w:sz w:val="24"/>
          <w:szCs w:val="24"/>
        </w:rPr>
        <w:t>业收入为</w:t>
      </w:r>
      <w:r>
        <w:rPr>
          <w:rFonts w:hAnsi="宋体" w:hint="eastAsia"/>
          <w:sz w:val="24"/>
          <w:szCs w:val="24"/>
          <w:u w:val="single"/>
        </w:rPr>
        <w:t xml:space="preserve">     </w:t>
      </w:r>
      <w:r>
        <w:rPr>
          <w:rFonts w:hAnsi="宋体" w:hint="eastAsia"/>
          <w:sz w:val="24"/>
          <w:szCs w:val="24"/>
        </w:rPr>
        <w:t>万元，资产总额为</w:t>
      </w:r>
      <w:r>
        <w:rPr>
          <w:rFonts w:hAnsi="宋体" w:hint="eastAsia"/>
          <w:sz w:val="24"/>
          <w:szCs w:val="24"/>
          <w:u w:val="single"/>
        </w:rPr>
        <w:t xml:space="preserve">     </w:t>
      </w:r>
      <w:r>
        <w:rPr>
          <w:rFonts w:hAnsi="宋体" w:hint="eastAsia"/>
          <w:sz w:val="24"/>
          <w:szCs w:val="24"/>
        </w:rPr>
        <w:t>万元</w:t>
      </w:r>
      <w:r>
        <w:rPr>
          <w:rFonts w:hAnsi="宋体" w:hint="eastAsia"/>
          <w:sz w:val="24"/>
          <w:szCs w:val="24"/>
          <w:vertAlign w:val="superscript"/>
        </w:rPr>
        <w:t>1</w:t>
      </w:r>
      <w:r>
        <w:rPr>
          <w:rFonts w:hAnsi="宋体" w:hint="eastAsia"/>
          <w:sz w:val="24"/>
          <w:szCs w:val="24"/>
        </w:rPr>
        <w:t>，属于</w:t>
      </w:r>
      <w:r>
        <w:rPr>
          <w:rFonts w:hAnsi="宋体" w:hint="eastAsia"/>
          <w:i/>
          <w:iCs/>
          <w:sz w:val="24"/>
          <w:szCs w:val="24"/>
          <w:u w:val="single"/>
        </w:rPr>
        <w:t>（中型企业、小型企业、微型企业）</w:t>
      </w:r>
      <w:r>
        <w:rPr>
          <w:rFonts w:hAnsi="宋体" w:hint="eastAsia"/>
          <w:sz w:val="24"/>
          <w:szCs w:val="24"/>
        </w:rPr>
        <w:t xml:space="preserve">； </w:t>
      </w:r>
    </w:p>
    <w:p w14:paraId="7BB7D0D7">
      <w:pPr>
        <w:pStyle w:val="PlainText"/>
        <w:snapToGrid w:val="0"/>
        <w:spacing w:before="0" w:beforeAutospacing="0" w:after="0" w:afterAutospacing="0" w:line="360" w:lineRule="auto"/>
        <w:ind w:firstLine="480" w:firstLineChars="200"/>
        <w:rPr>
          <w:rFonts w:hAnsi="宋体"/>
          <w:sz w:val="24"/>
          <w:szCs w:val="24"/>
        </w:rPr>
      </w:pPr>
      <w:r>
        <w:rPr>
          <w:rFonts w:hAnsi="宋体" w:hint="eastAsia"/>
          <w:sz w:val="24"/>
          <w:szCs w:val="24"/>
        </w:rPr>
        <w:t xml:space="preserve">2. </w:t>
      </w:r>
      <w:r>
        <w:rPr>
          <w:rFonts w:hAnsi="宋体" w:hint="eastAsia"/>
          <w:i/>
          <w:iCs/>
          <w:sz w:val="24"/>
          <w:szCs w:val="24"/>
          <w:u w:val="single"/>
        </w:rPr>
        <w:t>（标的名称）</w:t>
      </w:r>
      <w:r>
        <w:rPr>
          <w:rFonts w:hAnsi="宋体" w:hint="eastAsia"/>
          <w:sz w:val="24"/>
          <w:szCs w:val="24"/>
        </w:rPr>
        <w:t>，属于</w:t>
      </w:r>
      <w:r>
        <w:rPr>
          <w:rFonts w:hAnsi="宋体" w:hint="eastAsia"/>
          <w:i/>
          <w:iCs/>
          <w:sz w:val="24"/>
          <w:szCs w:val="24"/>
          <w:u w:val="single"/>
        </w:rPr>
        <w:t>（采购文件中明确的所属行业）</w:t>
      </w:r>
      <w:r>
        <w:rPr>
          <w:rFonts w:hAnsi="宋体" w:hint="eastAsia"/>
          <w:sz w:val="24"/>
          <w:szCs w:val="24"/>
        </w:rPr>
        <w:t>行业；制造商为</w:t>
      </w:r>
      <w:r>
        <w:rPr>
          <w:rFonts w:hAnsi="宋体" w:hint="eastAsia"/>
          <w:i/>
          <w:iCs/>
          <w:sz w:val="24"/>
          <w:szCs w:val="24"/>
          <w:u w:val="single"/>
        </w:rPr>
        <w:t>（企业名称）</w:t>
      </w:r>
      <w:r>
        <w:rPr>
          <w:rFonts w:hAnsi="宋体" w:hint="eastAsia"/>
          <w:sz w:val="24"/>
          <w:szCs w:val="24"/>
        </w:rPr>
        <w:t>，从业人员</w:t>
      </w:r>
      <w:r>
        <w:rPr>
          <w:rFonts w:hAnsi="宋体" w:hint="eastAsia"/>
          <w:sz w:val="24"/>
          <w:szCs w:val="24"/>
          <w:u w:val="single"/>
        </w:rPr>
        <w:t xml:space="preserve">     </w:t>
      </w:r>
      <w:r>
        <w:rPr>
          <w:rFonts w:hAnsi="宋体" w:hint="eastAsia"/>
          <w:sz w:val="24"/>
          <w:szCs w:val="24"/>
        </w:rPr>
        <w:t>人，营业收入为</w:t>
      </w:r>
      <w:r>
        <w:rPr>
          <w:rFonts w:hAnsi="宋体" w:hint="eastAsia"/>
          <w:sz w:val="24"/>
          <w:szCs w:val="24"/>
          <w:u w:val="single"/>
        </w:rPr>
        <w:t xml:space="preserve">       </w:t>
      </w:r>
      <w:r>
        <w:rPr>
          <w:rFonts w:hAnsi="宋体" w:hint="eastAsia"/>
          <w:sz w:val="24"/>
          <w:szCs w:val="24"/>
        </w:rPr>
        <w:t>万元，资产总额为</w:t>
      </w:r>
      <w:r>
        <w:rPr>
          <w:rFonts w:hAnsi="宋体" w:hint="eastAsia"/>
          <w:sz w:val="24"/>
          <w:szCs w:val="24"/>
          <w:u w:val="single"/>
        </w:rPr>
        <w:t xml:space="preserve">       </w:t>
      </w:r>
      <w:r>
        <w:rPr>
          <w:rFonts w:hAnsi="宋体" w:hint="eastAsia"/>
          <w:sz w:val="24"/>
          <w:szCs w:val="24"/>
        </w:rPr>
        <w:t>万元</w:t>
      </w:r>
      <w:r>
        <w:rPr>
          <w:rFonts w:hAnsi="宋体" w:hint="eastAsia"/>
          <w:sz w:val="24"/>
          <w:szCs w:val="24"/>
          <w:vertAlign w:val="superscript"/>
        </w:rPr>
        <w:t>1</w:t>
      </w:r>
      <w:r>
        <w:rPr>
          <w:rFonts w:hAnsi="宋体" w:hint="eastAsia"/>
          <w:sz w:val="24"/>
          <w:szCs w:val="24"/>
        </w:rPr>
        <w:t>，属于</w:t>
      </w:r>
      <w:r>
        <w:rPr>
          <w:rFonts w:hAnsi="宋体" w:hint="eastAsia"/>
          <w:i/>
          <w:iCs/>
          <w:sz w:val="24"/>
          <w:szCs w:val="24"/>
          <w:u w:val="single"/>
        </w:rPr>
        <w:t>（中型企业、小型企业、微型企业）</w:t>
      </w:r>
      <w:r>
        <w:rPr>
          <w:rFonts w:hAnsi="宋体" w:hint="eastAsia"/>
          <w:sz w:val="24"/>
          <w:szCs w:val="24"/>
        </w:rPr>
        <w:t xml:space="preserve">； </w:t>
      </w:r>
    </w:p>
    <w:p w14:paraId="55D3B3A0">
      <w:pPr>
        <w:pStyle w:val="PlainText"/>
        <w:snapToGrid w:val="0"/>
        <w:spacing w:before="0" w:beforeAutospacing="0" w:after="0" w:afterAutospacing="0" w:line="360" w:lineRule="auto"/>
        <w:ind w:firstLine="480" w:firstLineChars="200"/>
        <w:rPr>
          <w:rFonts w:hAnsi="宋体"/>
          <w:sz w:val="24"/>
          <w:szCs w:val="24"/>
        </w:rPr>
      </w:pPr>
      <w:r>
        <w:rPr>
          <w:rFonts w:hAnsi="宋体" w:hint="eastAsia"/>
          <w:sz w:val="24"/>
          <w:szCs w:val="24"/>
        </w:rPr>
        <w:t>……</w:t>
      </w:r>
    </w:p>
    <w:p w14:paraId="359EF424">
      <w:pPr>
        <w:widowControl/>
        <w:autoSpaceDE w:val="0"/>
        <w:spacing w:before="0" w:beforeAutospacing="0" w:after="0" w:afterAutospacing="0" w:line="360" w:lineRule="auto"/>
        <w:ind w:firstLine="480" w:firstLineChars="200"/>
        <w:jc w:val="left"/>
        <w:rPr>
          <w:rFonts w:ascii="宋体" w:hAnsi="宋体"/>
        </w:rPr>
      </w:pPr>
      <w:r>
        <w:rPr>
          <w:rFonts w:ascii="宋体" w:hAnsi="宋体" w:hint="eastAsia"/>
          <w:kern w:val="0"/>
          <w:sz w:val="24"/>
        </w:rPr>
        <w:t>以上企业，不属于大企业的分支机构，不存在控股股东为大企业的情形，也不存在与大企业的负责人为同一人的情形。</w:t>
      </w:r>
    </w:p>
    <w:p w14:paraId="2E08DBF3">
      <w:pPr>
        <w:widowControl/>
        <w:autoSpaceDE w:val="0"/>
        <w:spacing w:before="0" w:beforeAutospacing="0" w:after="0" w:afterAutospacing="0" w:line="360" w:lineRule="auto"/>
        <w:ind w:firstLine="480" w:firstLineChars="200"/>
        <w:jc w:val="left"/>
        <w:rPr>
          <w:rFonts w:ascii="宋体" w:hAnsi="宋体"/>
        </w:rPr>
      </w:pPr>
      <w:r>
        <w:rPr>
          <w:rFonts w:ascii="宋体" w:hAnsi="宋体" w:hint="eastAsia"/>
          <w:kern w:val="0"/>
          <w:sz w:val="24"/>
        </w:rPr>
        <w:t xml:space="preserve">本企业对上述声明内容的真实性负责。如有虚假，将依法承担相应责任。 </w:t>
      </w:r>
    </w:p>
    <w:p w14:paraId="24EACF12">
      <w:pPr>
        <w:widowControl/>
        <w:autoSpaceDE w:val="0"/>
        <w:spacing w:before="0" w:beforeAutospacing="0" w:after="0" w:afterAutospacing="0" w:line="360" w:lineRule="auto"/>
        <w:ind w:firstLine="1920" w:firstLineChars="800"/>
        <w:jc w:val="left"/>
        <w:rPr>
          <w:rFonts w:ascii="宋体" w:hAnsi="宋体"/>
          <w:kern w:val="0"/>
        </w:rPr>
      </w:pPr>
      <w:r>
        <w:rPr>
          <w:rFonts w:ascii="宋体" w:hAnsi="宋体" w:hint="eastAsia"/>
          <w:kern w:val="0"/>
          <w:sz w:val="24"/>
        </w:rPr>
        <w:t xml:space="preserve"> </w:t>
      </w:r>
    </w:p>
    <w:p w14:paraId="5F16BE8D">
      <w:pPr>
        <w:widowControl/>
        <w:autoSpaceDE w:val="0"/>
        <w:spacing w:before="0" w:beforeAutospacing="0" w:after="0" w:afterAutospacing="0" w:line="360" w:lineRule="auto"/>
        <w:ind w:firstLine="4560" w:firstLineChars="1900"/>
        <w:jc w:val="left"/>
        <w:rPr>
          <w:rFonts w:ascii="宋体" w:hAnsi="宋体"/>
        </w:rPr>
      </w:pPr>
      <w:r>
        <w:rPr>
          <w:rFonts w:ascii="宋体" w:hAnsi="宋体" w:hint="eastAsia"/>
          <w:kern w:val="0"/>
          <w:sz w:val="24"/>
        </w:rPr>
        <w:t xml:space="preserve">企业名称（电子签章）： </w:t>
      </w:r>
    </w:p>
    <w:p w14:paraId="06991F56">
      <w:pPr>
        <w:widowControl/>
        <w:autoSpaceDE w:val="0"/>
        <w:spacing w:before="0" w:beforeAutospacing="0" w:after="0" w:afterAutospacing="0" w:line="360" w:lineRule="auto"/>
        <w:ind w:firstLine="4560" w:firstLineChars="1900"/>
        <w:jc w:val="left"/>
        <w:rPr>
          <w:rFonts w:ascii="宋体" w:hAnsi="宋体"/>
          <w:kern w:val="0"/>
        </w:rPr>
      </w:pPr>
      <w:r>
        <w:rPr>
          <w:rFonts w:ascii="宋体" w:hAnsi="宋体" w:hint="eastAsia"/>
          <w:kern w:val="0"/>
          <w:sz w:val="24"/>
        </w:rPr>
        <w:t>日 期：</w:t>
      </w:r>
    </w:p>
    <w:p w14:paraId="3B53E03D">
      <w:pPr>
        <w:widowControl/>
        <w:autoSpaceDE w:val="0"/>
        <w:spacing w:before="0" w:beforeAutospacing="0" w:after="0" w:afterAutospacing="0"/>
        <w:ind w:firstLine="3120" w:firstLineChars="1300"/>
        <w:rPr>
          <w:rFonts w:ascii="宋体" w:hAnsi="宋体"/>
        </w:rPr>
      </w:pPr>
      <w:r>
        <w:rPr>
          <w:rFonts w:ascii="宋体" w:hAnsi="宋体" w:hint="eastAsia"/>
          <w:kern w:val="0"/>
          <w:sz w:val="24"/>
        </w:rPr>
        <w:t xml:space="preserve"> </w:t>
      </w:r>
    </w:p>
    <w:p w14:paraId="1BCE4E44">
      <w:pPr>
        <w:widowControl/>
        <w:autoSpaceDE w:val="0"/>
        <w:spacing w:before="0" w:beforeAutospacing="0" w:after="0" w:afterAutospacing="0"/>
        <w:rPr>
          <w:szCs w:val="21"/>
        </w:rPr>
      </w:pPr>
      <w:r>
        <w:rPr>
          <w:rFonts w:ascii="仿宋" w:eastAsia="仿宋" w:hAnsi="仿宋" w:hint="eastAsia"/>
          <w:kern w:val="0"/>
          <w:sz w:val="31"/>
          <w:szCs w:val="31"/>
          <w:u w:val="single"/>
        </w:rPr>
        <w:t xml:space="preserve">                    </w:t>
      </w:r>
      <w:r>
        <w:rPr>
          <w:rFonts w:ascii="仿宋" w:eastAsia="仿宋" w:hAnsi="仿宋" w:hint="eastAsia"/>
          <w:kern w:val="0"/>
          <w:sz w:val="31"/>
          <w:szCs w:val="31"/>
        </w:rPr>
        <w:t xml:space="preserve"> </w:t>
      </w:r>
    </w:p>
    <w:p w14:paraId="549D52D4">
      <w:pPr>
        <w:widowControl/>
        <w:autoSpaceDE w:val="0"/>
        <w:spacing w:before="0" w:beforeAutospacing="0" w:after="0" w:afterAutospacing="0"/>
        <w:jc w:val="left"/>
      </w:pPr>
      <w:r>
        <w:rPr>
          <w:kern w:val="0"/>
          <w:sz w:val="11"/>
          <w:szCs w:val="11"/>
        </w:rPr>
        <w:t xml:space="preserve">1 </w:t>
      </w:r>
      <w:r>
        <w:rPr>
          <w:rFonts w:ascii="宋体" w:hAnsi="宋体" w:hint="eastAsia"/>
          <w:kern w:val="0"/>
          <w:sz w:val="18"/>
          <w:szCs w:val="18"/>
        </w:rPr>
        <w:t>从业人员、营业收入、资产总额填报上一年度数据，无上一年度数据的新成立企业可不填报。</w:t>
      </w:r>
    </w:p>
    <w:p w14:paraId="327F7DD6">
      <w:pPr>
        <w:widowControl/>
        <w:autoSpaceDE w:val="0"/>
        <w:spacing w:before="0" w:beforeAutospacing="0" w:after="0" w:afterAutospacing="0"/>
        <w:ind w:firstLine="540" w:firstLineChars="300"/>
        <w:jc w:val="left"/>
        <w:rPr>
          <w:rFonts w:ascii="宋体" w:hAnsi="宋体"/>
          <w:kern w:val="0"/>
          <w:sz w:val="18"/>
          <w:szCs w:val="18"/>
        </w:rPr>
      </w:pPr>
      <w:r>
        <w:rPr>
          <w:rFonts w:ascii="宋体" w:hAnsi="宋体" w:hint="eastAsia"/>
          <w:kern w:val="0"/>
          <w:sz w:val="18"/>
          <w:szCs w:val="18"/>
        </w:rPr>
        <w:t xml:space="preserve"> </w:t>
      </w:r>
    </w:p>
    <w:p w14:paraId="600B4704">
      <w:pPr>
        <w:widowControl/>
        <w:autoSpaceDE w:val="0"/>
        <w:spacing w:before="0" w:beforeAutospacing="0" w:after="0" w:afterAutospacing="0"/>
        <w:ind w:firstLine="540" w:firstLineChars="300"/>
        <w:jc w:val="left"/>
        <w:rPr>
          <w:rFonts w:ascii="宋体" w:hAnsi="宋体"/>
          <w:kern w:val="0"/>
          <w:sz w:val="18"/>
          <w:szCs w:val="18"/>
        </w:rPr>
      </w:pPr>
      <w:r>
        <w:rPr>
          <w:rFonts w:ascii="宋体" w:hAnsi="宋体" w:hint="eastAsia"/>
          <w:kern w:val="0"/>
          <w:sz w:val="18"/>
          <w:szCs w:val="18"/>
        </w:rPr>
        <w:t xml:space="preserve"> </w:t>
      </w:r>
    </w:p>
    <w:p w14:paraId="2BB06136">
      <w:pPr>
        <w:spacing w:before="0" w:beforeAutospacing="0" w:after="0" w:afterAutospacing="0"/>
        <w:rPr>
          <w:rFonts w:ascii="宋体" w:hAnsi="宋体"/>
          <w:b/>
          <w:bCs/>
          <w:sz w:val="36"/>
          <w:szCs w:val="36"/>
        </w:rPr>
      </w:pPr>
      <w:r>
        <w:rPr>
          <w:rFonts w:ascii="宋体" w:hAnsi="宋体" w:hint="eastAsia"/>
          <w:b/>
          <w:bCs/>
          <w:sz w:val="36"/>
          <w:szCs w:val="36"/>
        </w:rPr>
        <w:br w:type="page"/>
      </w:r>
    </w:p>
    <w:p w14:paraId="288E18A7">
      <w:pPr>
        <w:snapToGrid w:val="0"/>
        <w:spacing w:before="0" w:beforeAutospacing="0" w:after="0" w:afterAutospacing="0" w:line="360" w:lineRule="auto"/>
        <w:jc w:val="center"/>
        <w:rPr>
          <w:rFonts w:ascii="宋体" w:hAnsi="宋体"/>
          <w:b/>
          <w:bCs/>
          <w:sz w:val="36"/>
          <w:szCs w:val="36"/>
        </w:rPr>
      </w:pPr>
      <w:r>
        <w:rPr>
          <w:rFonts w:ascii="宋体" w:hAnsi="宋体" w:hint="eastAsia"/>
          <w:b/>
          <w:bCs/>
          <w:sz w:val="36"/>
          <w:szCs w:val="36"/>
        </w:rPr>
        <w:t>中小企业声明函（服务）</w:t>
      </w:r>
    </w:p>
    <w:p w14:paraId="6E5495CF">
      <w:pPr>
        <w:widowControl/>
        <w:autoSpaceDE w:val="0"/>
        <w:spacing w:before="0" w:beforeAutospacing="0" w:after="0" w:afterAutospacing="0" w:line="360" w:lineRule="auto"/>
        <w:ind w:firstLine="480" w:firstLineChars="200"/>
        <w:jc w:val="left"/>
        <w:rPr>
          <w:rFonts w:ascii="宋体" w:hAnsi="宋体"/>
          <w:kern w:val="0"/>
        </w:rPr>
      </w:pPr>
      <w:r>
        <w:rPr>
          <w:rFonts w:ascii="宋体" w:hAnsi="宋体" w:hint="eastAsia"/>
          <w:kern w:val="0"/>
          <w:sz w:val="24"/>
        </w:rPr>
        <w:t xml:space="preserve"> </w:t>
      </w:r>
    </w:p>
    <w:p w14:paraId="3E04098E">
      <w:pPr>
        <w:pStyle w:val="PlainText"/>
        <w:snapToGrid w:val="0"/>
        <w:spacing w:before="0" w:beforeAutospacing="0" w:after="0" w:afterAutospacing="0" w:line="360" w:lineRule="auto"/>
        <w:ind w:firstLine="480" w:firstLineChars="200"/>
        <w:rPr>
          <w:rFonts w:hAnsi="宋体"/>
          <w:sz w:val="24"/>
          <w:szCs w:val="24"/>
        </w:rPr>
      </w:pPr>
      <w:r>
        <w:rPr>
          <w:rFonts w:hAnsi="宋体" w:hint="eastAsia"/>
          <w:sz w:val="24"/>
          <w:szCs w:val="24"/>
        </w:rPr>
        <w:t>本公司（联合体）郑重声明，根据《政府采购促进中小企业发展管理办法》（财库﹝2020﹞46 号）的规定，本公司（联合体）参加</w:t>
      </w:r>
      <w:r>
        <w:rPr>
          <w:rFonts w:hAnsi="宋体" w:hint="eastAsia"/>
          <w:i/>
          <w:iCs/>
          <w:sz w:val="24"/>
          <w:szCs w:val="24"/>
          <w:u w:val="single"/>
        </w:rPr>
        <w:t>（单位名称）</w:t>
      </w:r>
      <w:r>
        <w:rPr>
          <w:rFonts w:hAnsi="宋体" w:hint="eastAsia"/>
          <w:sz w:val="24"/>
          <w:szCs w:val="24"/>
        </w:rPr>
        <w:t>的</w:t>
      </w:r>
      <w:r>
        <w:rPr>
          <w:rFonts w:hAnsi="宋体" w:hint="eastAsia"/>
          <w:i/>
          <w:iCs/>
          <w:sz w:val="24"/>
          <w:szCs w:val="24"/>
          <w:u w:val="single"/>
        </w:rPr>
        <w:t>（项目名称）</w:t>
      </w:r>
      <w:r>
        <w:rPr>
          <w:rFonts w:hAnsi="宋体" w:hint="eastAsia"/>
          <w:sz w:val="24"/>
          <w:szCs w:val="24"/>
        </w:rPr>
        <w:t>采购活动，服务全部由符合政策要求的中小企业承接。相关企业（含联合体中的中小企业、签订分包意向协议的中小企业）的具体情况如下：</w:t>
      </w:r>
    </w:p>
    <w:p w14:paraId="3BEF6108">
      <w:pPr>
        <w:pStyle w:val="PlainText"/>
        <w:snapToGrid w:val="0"/>
        <w:spacing w:before="0" w:beforeAutospacing="0" w:after="0" w:afterAutospacing="0" w:line="360" w:lineRule="auto"/>
        <w:ind w:firstLine="480" w:firstLineChars="200"/>
        <w:rPr>
          <w:rFonts w:hAnsi="宋体"/>
          <w:sz w:val="24"/>
          <w:szCs w:val="24"/>
        </w:rPr>
      </w:pPr>
      <w:r>
        <w:rPr>
          <w:rFonts w:hAnsi="宋体" w:hint="eastAsia"/>
          <w:sz w:val="24"/>
          <w:szCs w:val="24"/>
        </w:rPr>
        <w:t>1.</w:t>
      </w:r>
      <w:r>
        <w:rPr>
          <w:rFonts w:hAnsi="宋体" w:hint="eastAsia"/>
          <w:i/>
          <w:iCs/>
          <w:sz w:val="24"/>
          <w:szCs w:val="24"/>
          <w:u w:val="single"/>
        </w:rPr>
        <w:t xml:space="preserve"> （标的名称） </w:t>
      </w:r>
      <w:r>
        <w:rPr>
          <w:rFonts w:hAnsi="宋体" w:hint="eastAsia"/>
          <w:sz w:val="24"/>
          <w:szCs w:val="24"/>
        </w:rPr>
        <w:t>，属于</w:t>
      </w:r>
      <w:r>
        <w:rPr>
          <w:rFonts w:hAnsi="宋体" w:hint="eastAsia"/>
          <w:i/>
          <w:iCs/>
          <w:sz w:val="24"/>
          <w:szCs w:val="24"/>
          <w:u w:val="single"/>
        </w:rPr>
        <w:t>（采购文件中明确的所属行业）</w:t>
      </w:r>
      <w:r>
        <w:rPr>
          <w:rFonts w:hAnsi="宋体" w:hint="eastAsia"/>
          <w:sz w:val="24"/>
          <w:szCs w:val="24"/>
        </w:rPr>
        <w:t>；承建（承接）企业为</w:t>
      </w:r>
      <w:r>
        <w:rPr>
          <w:rFonts w:hAnsi="宋体" w:hint="eastAsia"/>
          <w:i/>
          <w:iCs/>
          <w:sz w:val="24"/>
          <w:szCs w:val="24"/>
          <w:u w:val="single"/>
        </w:rPr>
        <w:t>（企业名称）</w:t>
      </w:r>
      <w:r>
        <w:rPr>
          <w:rFonts w:hAnsi="宋体" w:hint="eastAsia"/>
          <w:sz w:val="24"/>
          <w:szCs w:val="24"/>
        </w:rPr>
        <w:t>，从业人员</w:t>
      </w:r>
      <w:r>
        <w:rPr>
          <w:rFonts w:hAnsi="宋体" w:hint="eastAsia"/>
          <w:sz w:val="24"/>
          <w:szCs w:val="24"/>
          <w:u w:val="single"/>
        </w:rPr>
        <w:t xml:space="preserve">      </w:t>
      </w:r>
      <w:r>
        <w:rPr>
          <w:rFonts w:hAnsi="宋体" w:hint="eastAsia"/>
          <w:sz w:val="24"/>
          <w:szCs w:val="24"/>
        </w:rPr>
        <w:t>人，营业收入为</w:t>
      </w:r>
      <w:r>
        <w:rPr>
          <w:rFonts w:hAnsi="宋体" w:hint="eastAsia"/>
          <w:sz w:val="24"/>
          <w:szCs w:val="24"/>
          <w:u w:val="single"/>
        </w:rPr>
        <w:t xml:space="preserve">      </w:t>
      </w:r>
      <w:r>
        <w:rPr>
          <w:rFonts w:hAnsi="宋体" w:hint="eastAsia"/>
          <w:sz w:val="24"/>
          <w:szCs w:val="24"/>
        </w:rPr>
        <w:t>万元，资产总额为</w:t>
      </w:r>
      <w:r>
        <w:rPr>
          <w:rFonts w:hAnsi="宋体" w:hint="eastAsia"/>
          <w:sz w:val="24"/>
          <w:szCs w:val="24"/>
          <w:u w:val="single"/>
        </w:rPr>
        <w:t xml:space="preserve">    </w:t>
      </w:r>
      <w:r>
        <w:rPr>
          <w:rFonts w:hAnsi="宋体" w:hint="eastAsia"/>
          <w:sz w:val="24"/>
          <w:szCs w:val="24"/>
        </w:rPr>
        <w:t>万元</w:t>
      </w:r>
      <w:r>
        <w:rPr>
          <w:rFonts w:hAnsi="宋体" w:hint="eastAsia"/>
          <w:sz w:val="24"/>
          <w:szCs w:val="24"/>
          <w:vertAlign w:val="superscript"/>
        </w:rPr>
        <w:t>1</w:t>
      </w:r>
      <w:r>
        <w:rPr>
          <w:rFonts w:hAnsi="宋体" w:hint="eastAsia"/>
          <w:sz w:val="24"/>
          <w:szCs w:val="24"/>
        </w:rPr>
        <w:t>，属于</w:t>
      </w:r>
      <w:r>
        <w:rPr>
          <w:rFonts w:hAnsi="宋体" w:hint="eastAsia"/>
          <w:i/>
          <w:iCs/>
          <w:sz w:val="24"/>
          <w:szCs w:val="24"/>
          <w:u w:val="single"/>
        </w:rPr>
        <w:t>（中型企业、小型企业、微型企业）</w:t>
      </w:r>
      <w:r>
        <w:rPr>
          <w:rFonts w:hAnsi="宋体" w:hint="eastAsia"/>
          <w:sz w:val="24"/>
          <w:szCs w:val="24"/>
        </w:rPr>
        <w:t xml:space="preserve">； </w:t>
      </w:r>
    </w:p>
    <w:p w14:paraId="696A3E94">
      <w:pPr>
        <w:pStyle w:val="PlainText"/>
        <w:snapToGrid w:val="0"/>
        <w:spacing w:before="0" w:beforeAutospacing="0" w:after="0" w:afterAutospacing="0" w:line="360" w:lineRule="auto"/>
        <w:ind w:firstLine="480" w:firstLineChars="200"/>
        <w:rPr>
          <w:rFonts w:hAnsi="宋体"/>
          <w:sz w:val="24"/>
          <w:szCs w:val="24"/>
        </w:rPr>
      </w:pPr>
      <w:r>
        <w:rPr>
          <w:rFonts w:hAnsi="宋体" w:hint="eastAsia"/>
          <w:sz w:val="24"/>
          <w:szCs w:val="24"/>
        </w:rPr>
        <w:t>2.</w:t>
      </w:r>
      <w:r>
        <w:rPr>
          <w:rFonts w:hAnsi="宋体" w:hint="eastAsia"/>
          <w:i/>
          <w:iCs/>
          <w:sz w:val="24"/>
          <w:szCs w:val="24"/>
          <w:u w:val="single"/>
        </w:rPr>
        <w:t xml:space="preserve"> （标的名称） </w:t>
      </w:r>
      <w:r>
        <w:rPr>
          <w:rFonts w:hAnsi="宋体" w:hint="eastAsia"/>
          <w:sz w:val="24"/>
          <w:szCs w:val="24"/>
        </w:rPr>
        <w:t>，属于</w:t>
      </w:r>
      <w:r>
        <w:rPr>
          <w:rFonts w:hAnsi="宋体" w:hint="eastAsia"/>
          <w:i/>
          <w:iCs/>
          <w:sz w:val="24"/>
          <w:szCs w:val="24"/>
          <w:u w:val="single"/>
        </w:rPr>
        <w:t>（采购文件中明确的所属行业）</w:t>
      </w:r>
      <w:r>
        <w:rPr>
          <w:rFonts w:hAnsi="宋体" w:hint="eastAsia"/>
          <w:sz w:val="24"/>
          <w:szCs w:val="24"/>
        </w:rPr>
        <w:t>；承建（承接）企业为</w:t>
      </w:r>
      <w:r>
        <w:rPr>
          <w:rFonts w:hAnsi="宋体" w:hint="eastAsia"/>
          <w:i/>
          <w:iCs/>
          <w:sz w:val="24"/>
          <w:szCs w:val="24"/>
          <w:u w:val="single"/>
        </w:rPr>
        <w:t>（企业名称）</w:t>
      </w:r>
      <w:r>
        <w:rPr>
          <w:rFonts w:hAnsi="宋体" w:hint="eastAsia"/>
          <w:sz w:val="24"/>
          <w:szCs w:val="24"/>
        </w:rPr>
        <w:t>，从业人员</w:t>
      </w:r>
      <w:r>
        <w:rPr>
          <w:rFonts w:hAnsi="宋体" w:hint="eastAsia"/>
          <w:sz w:val="24"/>
          <w:szCs w:val="24"/>
          <w:u w:val="single"/>
        </w:rPr>
        <w:t xml:space="preserve">      </w:t>
      </w:r>
      <w:r>
        <w:rPr>
          <w:rFonts w:hAnsi="宋体" w:hint="eastAsia"/>
          <w:sz w:val="24"/>
          <w:szCs w:val="24"/>
        </w:rPr>
        <w:t>人，营业收入为</w:t>
      </w:r>
      <w:r>
        <w:rPr>
          <w:rFonts w:hAnsi="宋体" w:hint="eastAsia"/>
          <w:sz w:val="24"/>
          <w:szCs w:val="24"/>
          <w:u w:val="single"/>
        </w:rPr>
        <w:t xml:space="preserve">      </w:t>
      </w:r>
      <w:r>
        <w:rPr>
          <w:rFonts w:hAnsi="宋体" w:hint="eastAsia"/>
          <w:sz w:val="24"/>
          <w:szCs w:val="24"/>
        </w:rPr>
        <w:t>万元，资产总额为</w:t>
      </w:r>
      <w:r>
        <w:rPr>
          <w:rFonts w:hAnsi="宋体" w:hint="eastAsia"/>
          <w:sz w:val="24"/>
          <w:szCs w:val="24"/>
          <w:u w:val="single"/>
        </w:rPr>
        <w:t xml:space="preserve">    </w:t>
      </w:r>
      <w:r>
        <w:rPr>
          <w:rFonts w:hAnsi="宋体" w:hint="eastAsia"/>
          <w:sz w:val="24"/>
          <w:szCs w:val="24"/>
        </w:rPr>
        <w:t>万元</w:t>
      </w:r>
      <w:r>
        <w:rPr>
          <w:rFonts w:hAnsi="宋体" w:hint="eastAsia"/>
          <w:sz w:val="24"/>
          <w:szCs w:val="24"/>
          <w:vertAlign w:val="superscript"/>
        </w:rPr>
        <w:t>1</w:t>
      </w:r>
      <w:r>
        <w:rPr>
          <w:rFonts w:hAnsi="宋体" w:hint="eastAsia"/>
          <w:sz w:val="24"/>
          <w:szCs w:val="24"/>
        </w:rPr>
        <w:t>，属于</w:t>
      </w:r>
      <w:r>
        <w:rPr>
          <w:rFonts w:hAnsi="宋体" w:hint="eastAsia"/>
          <w:i/>
          <w:iCs/>
          <w:sz w:val="24"/>
          <w:szCs w:val="24"/>
          <w:u w:val="single"/>
        </w:rPr>
        <w:t>（中型企业、小型企业、微型企业）</w:t>
      </w:r>
      <w:r>
        <w:rPr>
          <w:rFonts w:hAnsi="宋体" w:hint="eastAsia"/>
          <w:sz w:val="24"/>
          <w:szCs w:val="24"/>
        </w:rPr>
        <w:t xml:space="preserve">； </w:t>
      </w:r>
    </w:p>
    <w:p w14:paraId="2BEFA954">
      <w:pPr>
        <w:pStyle w:val="PlainText"/>
        <w:snapToGrid w:val="0"/>
        <w:spacing w:before="0" w:beforeAutospacing="0" w:after="0" w:afterAutospacing="0" w:line="360" w:lineRule="auto"/>
        <w:ind w:firstLine="480" w:firstLineChars="200"/>
        <w:rPr>
          <w:rFonts w:hAnsi="宋体"/>
          <w:sz w:val="24"/>
          <w:szCs w:val="24"/>
        </w:rPr>
      </w:pPr>
      <w:r>
        <w:rPr>
          <w:rFonts w:hAnsi="宋体" w:hint="eastAsia"/>
          <w:sz w:val="24"/>
          <w:szCs w:val="24"/>
        </w:rPr>
        <w:t>……</w:t>
      </w:r>
    </w:p>
    <w:p w14:paraId="243FD522">
      <w:pPr>
        <w:pStyle w:val="PlainText"/>
        <w:snapToGrid w:val="0"/>
        <w:spacing w:before="0" w:beforeAutospacing="0" w:after="0" w:afterAutospacing="0" w:line="360" w:lineRule="auto"/>
        <w:ind w:firstLine="480" w:firstLineChars="200"/>
        <w:rPr>
          <w:rFonts w:hAnsi="宋体"/>
          <w:sz w:val="24"/>
          <w:szCs w:val="24"/>
        </w:rPr>
      </w:pPr>
      <w:r>
        <w:rPr>
          <w:rFonts w:hAnsi="宋体" w:hint="eastAsia"/>
          <w:sz w:val="24"/>
          <w:szCs w:val="24"/>
        </w:rPr>
        <w:t>以上企业，不属于大企业的分支机构，不存在控股股东为大企业的情形，也不存在与大企业的负责人为同一人的情形。</w:t>
      </w:r>
    </w:p>
    <w:p w14:paraId="3FE0361E">
      <w:pPr>
        <w:pStyle w:val="PlainText"/>
        <w:snapToGrid w:val="0"/>
        <w:spacing w:before="0" w:beforeAutospacing="0" w:after="0" w:afterAutospacing="0" w:line="360" w:lineRule="auto"/>
        <w:ind w:firstLine="480" w:firstLineChars="200"/>
        <w:rPr>
          <w:rFonts w:hAnsi="宋体"/>
          <w:sz w:val="24"/>
          <w:szCs w:val="24"/>
        </w:rPr>
      </w:pPr>
      <w:r>
        <w:rPr>
          <w:rFonts w:hAnsi="宋体" w:hint="eastAsia"/>
          <w:sz w:val="24"/>
          <w:szCs w:val="24"/>
        </w:rPr>
        <w:t xml:space="preserve">本企业对上述声明内容的真实性负责。如有虚假，将依法承担相应责任。 </w:t>
      </w:r>
    </w:p>
    <w:p w14:paraId="178902A7">
      <w:pPr>
        <w:pStyle w:val="PlainText"/>
        <w:snapToGrid w:val="0"/>
        <w:spacing w:before="0" w:beforeAutospacing="0" w:after="0" w:afterAutospacing="0" w:line="360" w:lineRule="auto"/>
        <w:ind w:firstLine="480" w:firstLineChars="200"/>
        <w:rPr>
          <w:rFonts w:hAnsi="宋体"/>
          <w:sz w:val="24"/>
          <w:szCs w:val="24"/>
        </w:rPr>
      </w:pPr>
      <w:r>
        <w:rPr>
          <w:rFonts w:hAnsi="宋体" w:hint="eastAsia"/>
          <w:sz w:val="24"/>
          <w:szCs w:val="24"/>
        </w:rPr>
        <w:t xml:space="preserve"> </w:t>
      </w:r>
    </w:p>
    <w:p w14:paraId="7E378DC4">
      <w:pPr>
        <w:pStyle w:val="PlainText"/>
        <w:snapToGrid w:val="0"/>
        <w:spacing w:before="0" w:beforeAutospacing="0" w:after="0" w:afterAutospacing="0" w:line="360" w:lineRule="auto"/>
        <w:ind w:firstLine="480" w:firstLineChars="200"/>
        <w:rPr>
          <w:rFonts w:hAnsi="宋体"/>
          <w:sz w:val="24"/>
          <w:szCs w:val="24"/>
        </w:rPr>
      </w:pPr>
      <w:r>
        <w:rPr>
          <w:rFonts w:hAnsi="宋体" w:hint="eastAsia"/>
          <w:sz w:val="24"/>
          <w:szCs w:val="24"/>
        </w:rPr>
        <w:t xml:space="preserve"> </w:t>
      </w:r>
    </w:p>
    <w:p w14:paraId="344694E3">
      <w:pPr>
        <w:pStyle w:val="PlainText"/>
        <w:snapToGrid w:val="0"/>
        <w:spacing w:before="0" w:beforeAutospacing="0" w:after="0" w:afterAutospacing="0" w:line="360" w:lineRule="auto"/>
        <w:ind w:firstLine="4560" w:firstLineChars="1900"/>
        <w:rPr>
          <w:rFonts w:hAnsi="宋体"/>
          <w:sz w:val="24"/>
          <w:szCs w:val="24"/>
        </w:rPr>
      </w:pPr>
      <w:r>
        <w:rPr>
          <w:rFonts w:hAnsi="宋体" w:hint="eastAsia"/>
          <w:sz w:val="24"/>
          <w:szCs w:val="24"/>
        </w:rPr>
        <w:t xml:space="preserve">企业名称（电子签章）： </w:t>
      </w:r>
    </w:p>
    <w:p w14:paraId="12CA8589">
      <w:pPr>
        <w:pStyle w:val="PlainText"/>
        <w:snapToGrid w:val="0"/>
        <w:spacing w:before="0" w:beforeAutospacing="0" w:after="0" w:afterAutospacing="0" w:line="360" w:lineRule="auto"/>
        <w:ind w:firstLine="4560" w:firstLineChars="1900"/>
        <w:rPr>
          <w:rFonts w:hAnsi="宋体"/>
          <w:sz w:val="24"/>
          <w:szCs w:val="24"/>
        </w:rPr>
      </w:pPr>
      <w:r>
        <w:rPr>
          <w:rFonts w:hAnsi="宋体" w:hint="eastAsia"/>
          <w:sz w:val="24"/>
          <w:szCs w:val="24"/>
        </w:rPr>
        <w:t>日 期：</w:t>
      </w:r>
    </w:p>
    <w:p w14:paraId="7E718DAA">
      <w:pPr>
        <w:pStyle w:val="PlainText"/>
        <w:snapToGrid w:val="0"/>
        <w:spacing w:before="0" w:beforeAutospacing="0" w:after="0" w:afterAutospacing="0" w:line="360" w:lineRule="auto"/>
        <w:ind w:firstLine="480" w:firstLineChars="200"/>
        <w:rPr>
          <w:rFonts w:hAnsi="宋体"/>
          <w:sz w:val="24"/>
          <w:szCs w:val="24"/>
        </w:rPr>
      </w:pPr>
      <w:r>
        <w:rPr>
          <w:rFonts w:hAnsi="宋体" w:hint="eastAsia"/>
          <w:sz w:val="24"/>
          <w:szCs w:val="24"/>
        </w:rPr>
        <w:t xml:space="preserve"> </w:t>
      </w:r>
    </w:p>
    <w:p w14:paraId="6554BC19">
      <w:pPr>
        <w:pStyle w:val="PlainText"/>
        <w:snapToGrid w:val="0"/>
        <w:spacing w:before="0" w:beforeAutospacing="0" w:after="0" w:afterAutospacing="0" w:line="360" w:lineRule="auto"/>
        <w:ind w:firstLine="480" w:firstLineChars="200"/>
        <w:rPr>
          <w:rFonts w:hAnsi="宋体"/>
          <w:sz w:val="24"/>
          <w:szCs w:val="24"/>
        </w:rPr>
      </w:pPr>
      <w:r>
        <w:rPr>
          <w:rFonts w:hAnsi="宋体" w:hint="eastAsia"/>
          <w:sz w:val="24"/>
          <w:szCs w:val="24"/>
        </w:rPr>
        <w:t xml:space="preserve">                     </w:t>
      </w:r>
    </w:p>
    <w:p w14:paraId="7EC10955">
      <w:pPr>
        <w:widowControl/>
        <w:autoSpaceDE w:val="0"/>
        <w:spacing w:before="0" w:beforeAutospacing="0" w:after="0" w:afterAutospacing="0"/>
        <w:rPr>
          <w:szCs w:val="21"/>
        </w:rPr>
      </w:pPr>
      <w:r>
        <w:rPr>
          <w:rFonts w:ascii="仿宋" w:eastAsia="仿宋" w:hAnsi="仿宋" w:hint="eastAsia"/>
          <w:kern w:val="0"/>
          <w:sz w:val="31"/>
          <w:szCs w:val="31"/>
          <w:u w:val="single"/>
        </w:rPr>
        <w:t xml:space="preserve">                    </w:t>
      </w:r>
      <w:r>
        <w:rPr>
          <w:rFonts w:ascii="仿宋" w:eastAsia="仿宋" w:hAnsi="仿宋" w:hint="eastAsia"/>
          <w:kern w:val="0"/>
          <w:sz w:val="31"/>
          <w:szCs w:val="31"/>
        </w:rPr>
        <w:t xml:space="preserve"> </w:t>
      </w:r>
    </w:p>
    <w:p w14:paraId="29C4E9A3">
      <w:pPr>
        <w:widowControl/>
        <w:autoSpaceDE w:val="0"/>
        <w:spacing w:before="0" w:beforeAutospacing="0" w:after="0" w:afterAutospacing="0"/>
        <w:jc w:val="left"/>
      </w:pPr>
      <w:r>
        <w:rPr>
          <w:kern w:val="0"/>
          <w:sz w:val="11"/>
          <w:szCs w:val="11"/>
        </w:rPr>
        <w:t xml:space="preserve">1 </w:t>
      </w:r>
      <w:r>
        <w:rPr>
          <w:rFonts w:ascii="宋体" w:hAnsi="宋体" w:hint="eastAsia"/>
          <w:kern w:val="0"/>
          <w:sz w:val="18"/>
          <w:szCs w:val="18"/>
        </w:rPr>
        <w:t>从业人员、营业收入、资产总额填报上一年度数据，无上一年度数据的新成立企业可不填报。</w:t>
      </w:r>
    </w:p>
    <w:p w14:paraId="6F894903">
      <w:pPr>
        <w:pStyle w:val="PlainText"/>
        <w:topLinePunct/>
        <w:autoSpaceDE w:val="0"/>
        <w:autoSpaceDN w:val="0"/>
        <w:spacing w:before="0" w:beforeAutospacing="0" w:after="0" w:afterAutospacing="0" w:line="460" w:lineRule="exact"/>
        <w:jc w:val="center"/>
        <w:rPr>
          <w:rFonts w:hAnsi="宋体" w:cs="宋体"/>
          <w:b/>
          <w:bCs/>
          <w:color w:val="auto"/>
          <w:sz w:val="36"/>
          <w:szCs w:val="36"/>
        </w:rPr>
      </w:pPr>
      <w:r w:rsidR="00A77B3E">
        <w:rPr>
          <w:rFonts w:ascii="Times New Roman" w:eastAsia="Times New Roman" w:hAnsi="Times New Roman"/>
          <w:sz w:val="24"/>
          <w:szCs w:val="24"/>
          <w:lang w:eastAsia="en-US"/>
        </w:rPr>
        <w:br w:type="page"/>
      </w:r>
      <w:r>
        <w:rPr>
          <w:rFonts w:hAnsi="宋体" w:cs="宋体" w:hint="eastAsia"/>
          <w:b/>
          <w:bCs/>
          <w:color w:val="auto"/>
          <w:sz w:val="36"/>
          <w:szCs w:val="36"/>
        </w:rPr>
        <w:t xml:space="preserve">格式7 </w:t>
      </w:r>
      <w:r>
        <w:rPr>
          <w:rFonts w:hAnsi="宋体" w:cs="宋体" w:hint="eastAsia"/>
          <w:b/>
          <w:bCs/>
          <w:color w:val="auto"/>
          <w:sz w:val="36"/>
          <w:szCs w:val="36"/>
        </w:rPr>
        <w:t>残疾人福利性单位声明函</w:t>
      </w:r>
    </w:p>
    <w:p w14:paraId="52040FDA">
      <w:pPr>
        <w:spacing w:before="0" w:beforeAutospacing="0" w:after="0" w:afterAutospacing="0" w:line="588" w:lineRule="exact"/>
        <w:rPr>
          <w:rFonts w:ascii="宋体" w:hAnsi="宋体" w:cs="宋体"/>
          <w:b/>
          <w:color w:val="auto"/>
          <w:spacing w:val="6"/>
          <w:sz w:val="30"/>
          <w:szCs w:val="30"/>
        </w:rPr>
      </w:pPr>
    </w:p>
    <w:p w14:paraId="1571D837">
      <w:pPr>
        <w:spacing w:before="0" w:beforeAutospacing="0" w:after="0" w:afterAutospacing="0" w:line="588" w:lineRule="exact"/>
        <w:ind w:firstLine="480" w:firstLineChars="200"/>
        <w:rPr>
          <w:rFonts w:ascii="宋体" w:hAnsi="宋体" w:cs="宋体"/>
          <w:color w:val="auto"/>
          <w:spacing w:val="6"/>
        </w:rPr>
      </w:pPr>
      <w:r>
        <w:rPr>
          <w:rFonts w:ascii="宋体" w:hAnsi="宋体" w:cs="宋体" w:hint="eastAsia"/>
          <w:color w:val="auto"/>
          <w:spacing w:val="6"/>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246E8289">
      <w:pPr>
        <w:spacing w:before="0" w:beforeAutospacing="0" w:after="0" w:afterAutospacing="0" w:line="588" w:lineRule="exact"/>
        <w:ind w:firstLine="480" w:firstLineChars="200"/>
        <w:rPr>
          <w:rFonts w:ascii="宋体" w:hAnsi="宋体" w:cs="宋体"/>
          <w:color w:val="auto"/>
          <w:spacing w:val="6"/>
        </w:rPr>
      </w:pPr>
      <w:r>
        <w:rPr>
          <w:rFonts w:ascii="宋体" w:hAnsi="宋体" w:cs="宋体" w:hint="eastAsia"/>
          <w:color w:val="auto"/>
          <w:spacing w:val="6"/>
          <w:sz w:val="24"/>
        </w:rPr>
        <w:t>本单位对上述声明的真实性负责。如有虚假，将依法承担相应责任。</w:t>
      </w:r>
    </w:p>
    <w:p w14:paraId="154E40F9">
      <w:pPr>
        <w:spacing w:before="0" w:beforeAutospacing="0" w:after="0" w:afterAutospacing="0" w:line="588" w:lineRule="exact"/>
        <w:ind w:firstLine="420" w:firstLineChars="200"/>
        <w:rPr>
          <w:rFonts w:ascii="宋体" w:hAnsi="宋体"/>
          <w:color w:val="auto"/>
          <w:spacing w:val="6"/>
        </w:rPr>
      </w:pPr>
    </w:p>
    <w:p w14:paraId="5AEC319B">
      <w:pPr>
        <w:spacing w:before="0" w:beforeAutospacing="0" w:after="0" w:afterAutospacing="0" w:line="588" w:lineRule="exact"/>
        <w:ind w:firstLine="420" w:firstLineChars="200"/>
        <w:rPr>
          <w:rFonts w:ascii="宋体" w:hAnsi="宋体"/>
          <w:color w:val="auto"/>
          <w:spacing w:val="6"/>
        </w:rPr>
      </w:pPr>
    </w:p>
    <w:p w14:paraId="3B744120">
      <w:pPr>
        <w:spacing w:before="0" w:beforeAutospacing="0" w:after="0" w:afterAutospacing="0" w:line="588" w:lineRule="exact"/>
        <w:ind w:firstLine="3480" w:firstLineChars="1450"/>
        <w:rPr>
          <w:rFonts w:ascii="宋体" w:hAnsi="宋体"/>
          <w:color w:val="auto"/>
          <w:spacing w:val="6"/>
        </w:rPr>
      </w:pPr>
      <w:r>
        <w:rPr>
          <w:rFonts w:ascii="宋体" w:hAnsi="宋体" w:hint="eastAsia"/>
          <w:color w:val="auto"/>
          <w:spacing w:val="6"/>
          <w:sz w:val="24"/>
        </w:rPr>
        <w:t>单位名称（</w:t>
      </w:r>
      <w:r>
        <w:rPr>
          <w:rFonts w:hAnsi="宋体" w:cs="宋体" w:hint="eastAsia"/>
          <w:color w:val="auto"/>
          <w:sz w:val="24"/>
        </w:rPr>
        <w:t>电子签章</w:t>
      </w:r>
      <w:r>
        <w:rPr>
          <w:rFonts w:ascii="宋体" w:hAnsi="宋体" w:hint="eastAsia"/>
          <w:color w:val="auto"/>
          <w:spacing w:val="6"/>
          <w:sz w:val="24"/>
        </w:rPr>
        <w:t>）：</w:t>
      </w:r>
    </w:p>
    <w:p w14:paraId="5E3801BC">
      <w:pPr>
        <w:spacing w:before="0" w:beforeAutospacing="0" w:after="0" w:afterAutospacing="0" w:line="588" w:lineRule="exact"/>
        <w:ind w:firstLine="3600" w:firstLineChars="1500"/>
        <w:rPr>
          <w:rFonts w:ascii="宋体" w:hAnsi="宋体"/>
          <w:color w:val="auto"/>
          <w:spacing w:val="6"/>
        </w:rPr>
      </w:pPr>
      <w:r>
        <w:rPr>
          <w:rFonts w:ascii="宋体" w:hAnsi="宋体" w:hint="eastAsia"/>
          <w:color w:val="auto"/>
          <w:spacing w:val="6"/>
          <w:sz w:val="24"/>
        </w:rPr>
        <w:t>日期：</w:t>
      </w:r>
    </w:p>
    <w:p w14:paraId="5BCE478B">
      <w:pPr>
        <w:spacing w:before="0" w:beforeAutospacing="0" w:after="0" w:afterAutospacing="0"/>
      </w:pPr>
      <w:r>
        <w:rPr>
          <w:rFonts w:ascii="宋体" w:hAnsi="宋体" w:hint="eastAsia"/>
          <w:color w:val="auto"/>
          <w:spacing w:val="6"/>
          <w:sz w:val="24"/>
        </w:rPr>
        <w:t>：</w:t>
      </w:r>
    </w:p>
    <w:p>
      <w:pPr>
        <w:pStyle w:val="1"/>
        <w:numPr>
          <w:ilvl w:val="0"/>
          <w:numId w:val="0"/>
        </w:numPr>
        <w:tabs>
          <w:tab w:val="left" w:pos="420"/>
          <w:tab w:val="clear" w:pos="900"/>
        </w:tabs>
        <w:snapToGrid w:val="0"/>
        <w:spacing w:before="0" w:beforeAutospacing="0" w:after="0" w:afterAutospacing="0" w:line="460" w:lineRule="atLeast"/>
        <w:ind w:left="0" w:firstLine="0"/>
        <w:jc w:val="center"/>
        <w:rPr>
          <w:rFonts w:cs="宋体"/>
          <w:color w:val="auto"/>
        </w:rPr>
      </w:pPr>
      <w:r w:rsidR="00A77B3E">
        <w:rPr>
          <w:rFonts w:ascii="Times New Roman" w:eastAsia="Times New Roman" w:hAnsi="Times New Roman"/>
          <w:sz w:val="24"/>
          <w:szCs w:val="24"/>
          <w:lang w:eastAsia="en-US"/>
        </w:rPr>
        <w:br w:type="page"/>
      </w:r>
      <w:r>
        <w:rPr>
          <w:rFonts w:cs="宋体" w:hint="eastAsia"/>
          <w:b/>
          <w:bCs/>
          <w:color w:val="auto"/>
          <w:kern w:val="44"/>
          <w:sz w:val="36"/>
          <w:szCs w:val="36"/>
        </w:rPr>
        <w:t xml:space="preserve">格式8 </w:t>
      </w:r>
      <w:r>
        <w:rPr>
          <w:rFonts w:cs="宋体" w:hint="eastAsia"/>
          <w:b/>
          <w:bCs/>
          <w:color w:val="auto"/>
          <w:kern w:val="44"/>
          <w:sz w:val="36"/>
          <w:szCs w:val="36"/>
        </w:rPr>
        <w:t>成功案例一览表</w:t>
      </w:r>
    </w:p>
    <w:tbl>
      <w:tblPr>
        <w:tblStyle w:val="TableNormal"/>
        <w:tblpPr w:leftFromText="180" w:rightFromText="180" w:vertAnchor="text" w:horzAnchor="page" w:tblpX="1886" w:tblpY="185"/>
        <w:tblOverlap w:val="never"/>
        <w:tblW w:w="0" w:type="auto"/>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840"/>
        <w:gridCol w:w="819"/>
        <w:gridCol w:w="864"/>
        <w:gridCol w:w="707"/>
        <w:gridCol w:w="744"/>
        <w:gridCol w:w="1221"/>
        <w:gridCol w:w="1161"/>
        <w:gridCol w:w="1065"/>
        <w:gridCol w:w="968"/>
      </w:tblGrid>
      <w:tr>
        <w:tblPrEx>
          <w:tblW w:w="0" w:type="auto"/>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Ex>
        <w:trPr>
          <w:trHeight w:val="90"/>
        </w:trPr>
        <w:tc>
          <w:tcPr>
            <w:tcW w:w="840"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序号</w:t>
            </w:r>
          </w:p>
        </w:tc>
        <w:tc>
          <w:tcPr>
            <w:tcW w:w="819"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合同</w:t>
            </w:r>
          </w:p>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名称</w:t>
            </w:r>
          </w:p>
        </w:tc>
        <w:tc>
          <w:tcPr>
            <w:tcW w:w="864"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合同</w:t>
            </w:r>
          </w:p>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甲方</w:t>
            </w:r>
          </w:p>
        </w:tc>
        <w:tc>
          <w:tcPr>
            <w:tcW w:w="707"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合同时间</w:t>
            </w:r>
          </w:p>
        </w:tc>
        <w:tc>
          <w:tcPr>
            <w:tcW w:w="744"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合同</w:t>
            </w:r>
          </w:p>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金额</w:t>
            </w:r>
          </w:p>
        </w:tc>
        <w:tc>
          <w:tcPr>
            <w:tcW w:w="1221"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合同主要</w:t>
            </w:r>
          </w:p>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内容</w:t>
            </w:r>
          </w:p>
        </w:tc>
        <w:tc>
          <w:tcPr>
            <w:tcW w:w="1161"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用  户</w:t>
            </w:r>
          </w:p>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联系人</w:t>
            </w:r>
          </w:p>
        </w:tc>
        <w:tc>
          <w:tcPr>
            <w:tcW w:w="1065"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用户联</w:t>
            </w:r>
          </w:p>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系电话</w:t>
            </w:r>
          </w:p>
        </w:tc>
        <w:tc>
          <w:tcPr>
            <w:tcW w:w="968"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备注</w:t>
            </w:r>
          </w:p>
        </w:tc>
      </w:tr>
      <w:tr>
        <w:tblPrEx>
          <w:tblW w:w="0" w:type="auto"/>
          <w:tblInd w:w="0" w:type="dxa"/>
          <w:tblLayout w:type="fixed"/>
          <w:tblCellMar>
            <w:top w:w="0" w:type="dxa"/>
            <w:left w:w="108" w:type="dxa"/>
            <w:bottom w:w="0" w:type="dxa"/>
            <w:right w:w="108" w:type="dxa"/>
          </w:tblCellMar>
        </w:tblPrEx>
        <w:trPr>
          <w:trHeight w:val="575"/>
        </w:trPr>
        <w:tc>
          <w:tcPr>
            <w:tcW w:w="840"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auto"/>
                <w:sz w:val="24"/>
              </w:rPr>
              <w:t>1</w:t>
            </w:r>
          </w:p>
        </w:tc>
        <w:tc>
          <w:tcPr>
            <w:tcW w:w="819"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864"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707" w:type="dxa"/>
            <w:tcBorders>
              <w:top w:val="single" w:sz="4" w:space="0" w:color="auto"/>
              <w:left w:val="single" w:sz="4" w:space="0" w:color="auto"/>
              <w:bottom w:val="single" w:sz="4" w:space="0" w:color="auto"/>
              <w:right w:val="single" w:sz="4" w:space="0" w:color="auto"/>
            </w:tcBorders>
            <w:noWrap w:val="0"/>
            <w:vAlign w:val="top"/>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744"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221"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161"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065"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968"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r>
      <w:tr>
        <w:tblPrEx>
          <w:tblW w:w="0" w:type="auto"/>
          <w:tblInd w:w="0" w:type="dxa"/>
          <w:tblLayout w:type="fixed"/>
          <w:tblCellMar>
            <w:top w:w="0" w:type="dxa"/>
            <w:left w:w="108" w:type="dxa"/>
            <w:bottom w:w="0" w:type="dxa"/>
            <w:right w:w="108" w:type="dxa"/>
          </w:tblCellMar>
        </w:tblPrEx>
        <w:trPr>
          <w:trHeight w:val="575"/>
        </w:trPr>
        <w:tc>
          <w:tcPr>
            <w:tcW w:w="840"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auto"/>
                <w:sz w:val="24"/>
              </w:rPr>
              <w:t>2</w:t>
            </w:r>
          </w:p>
        </w:tc>
        <w:tc>
          <w:tcPr>
            <w:tcW w:w="819"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864"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707" w:type="dxa"/>
            <w:tcBorders>
              <w:top w:val="single" w:sz="4" w:space="0" w:color="auto"/>
              <w:left w:val="single" w:sz="4" w:space="0" w:color="auto"/>
              <w:bottom w:val="single" w:sz="4" w:space="0" w:color="auto"/>
              <w:right w:val="single" w:sz="4" w:space="0" w:color="auto"/>
            </w:tcBorders>
            <w:noWrap w:val="0"/>
            <w:vAlign w:val="top"/>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744"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221"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161"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065"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968"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r>
      <w:tr>
        <w:tblPrEx>
          <w:tblW w:w="0" w:type="auto"/>
          <w:tblInd w:w="0" w:type="dxa"/>
          <w:tblLayout w:type="fixed"/>
          <w:tblCellMar>
            <w:top w:w="0" w:type="dxa"/>
            <w:left w:w="108" w:type="dxa"/>
            <w:bottom w:w="0" w:type="dxa"/>
            <w:right w:w="108" w:type="dxa"/>
          </w:tblCellMar>
        </w:tblPrEx>
        <w:trPr>
          <w:trHeight w:val="575"/>
        </w:trPr>
        <w:tc>
          <w:tcPr>
            <w:tcW w:w="840"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eastAsia"/>
                <w:color w:val="auto"/>
              </w:rPr>
            </w:pPr>
            <w:r>
              <w:rPr>
                <w:rFonts w:ascii="宋体" w:hAnsi="宋体" w:cs="宋体" w:hint="eastAsia"/>
                <w:color w:val="auto"/>
                <w:lang w:val="en-US" w:eastAsia="zh-CN"/>
              </w:rPr>
              <w:t>3</w:t>
            </w:r>
          </w:p>
        </w:tc>
        <w:tc>
          <w:tcPr>
            <w:tcW w:w="819"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864"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707" w:type="dxa"/>
            <w:tcBorders>
              <w:top w:val="single" w:sz="4" w:space="0" w:color="auto"/>
              <w:left w:val="single" w:sz="4" w:space="0" w:color="auto"/>
              <w:bottom w:val="single" w:sz="4" w:space="0" w:color="auto"/>
              <w:right w:val="single" w:sz="4" w:space="0" w:color="auto"/>
            </w:tcBorders>
            <w:noWrap w:val="0"/>
            <w:vAlign w:val="top"/>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744"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221"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161"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065"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968"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r>
      <w:tr>
        <w:tblPrEx>
          <w:tblW w:w="0" w:type="auto"/>
          <w:tblInd w:w="0" w:type="dxa"/>
          <w:tblLayout w:type="fixed"/>
          <w:tblCellMar>
            <w:top w:w="0" w:type="dxa"/>
            <w:left w:w="108" w:type="dxa"/>
            <w:bottom w:w="0" w:type="dxa"/>
            <w:right w:w="108" w:type="dxa"/>
          </w:tblCellMar>
        </w:tblPrEx>
        <w:trPr>
          <w:trHeight w:val="575"/>
        </w:trPr>
        <w:tc>
          <w:tcPr>
            <w:tcW w:w="840"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eastAsia"/>
                <w:color w:val="auto"/>
              </w:rPr>
            </w:pPr>
            <w:r>
              <w:rPr>
                <w:rFonts w:ascii="宋体" w:hAnsi="宋体" w:cs="宋体" w:hint="eastAsia"/>
                <w:color w:val="auto"/>
                <w:lang w:val="en-US" w:eastAsia="zh-CN"/>
              </w:rPr>
              <w:t>4</w:t>
            </w:r>
          </w:p>
        </w:tc>
        <w:tc>
          <w:tcPr>
            <w:tcW w:w="819"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864"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707" w:type="dxa"/>
            <w:tcBorders>
              <w:top w:val="single" w:sz="4" w:space="0" w:color="auto"/>
              <w:left w:val="single" w:sz="4" w:space="0" w:color="auto"/>
              <w:bottom w:val="single" w:sz="4" w:space="0" w:color="auto"/>
              <w:right w:val="single" w:sz="4" w:space="0" w:color="auto"/>
            </w:tcBorders>
            <w:noWrap w:val="0"/>
            <w:vAlign w:val="top"/>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744"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221"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161"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065"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968"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r>
      <w:tr>
        <w:tblPrEx>
          <w:tblW w:w="0" w:type="auto"/>
          <w:tblInd w:w="0" w:type="dxa"/>
          <w:tblLayout w:type="fixed"/>
          <w:tblCellMar>
            <w:top w:w="0" w:type="dxa"/>
            <w:left w:w="108" w:type="dxa"/>
            <w:bottom w:w="0" w:type="dxa"/>
            <w:right w:w="108" w:type="dxa"/>
          </w:tblCellMar>
        </w:tblPrEx>
        <w:trPr>
          <w:trHeight w:val="575"/>
        </w:trPr>
        <w:tc>
          <w:tcPr>
            <w:tcW w:w="840"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eastAsia"/>
                <w:color w:val="auto"/>
              </w:rPr>
            </w:pPr>
            <w:r>
              <w:rPr>
                <w:rFonts w:ascii="宋体" w:hAnsi="宋体" w:cs="宋体" w:hint="eastAsia"/>
                <w:color w:val="auto"/>
                <w:lang w:val="en-US" w:eastAsia="zh-CN"/>
              </w:rPr>
              <w:t>5</w:t>
            </w:r>
          </w:p>
        </w:tc>
        <w:tc>
          <w:tcPr>
            <w:tcW w:w="819"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864"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707" w:type="dxa"/>
            <w:tcBorders>
              <w:top w:val="single" w:sz="4" w:space="0" w:color="auto"/>
              <w:left w:val="single" w:sz="4" w:space="0" w:color="auto"/>
              <w:bottom w:val="single" w:sz="4" w:space="0" w:color="auto"/>
              <w:right w:val="single" w:sz="4" w:space="0" w:color="auto"/>
            </w:tcBorders>
            <w:noWrap w:val="0"/>
            <w:vAlign w:val="top"/>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744"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221"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161"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065"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968"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r>
      <w:tr>
        <w:tblPrEx>
          <w:tblW w:w="0" w:type="auto"/>
          <w:tblInd w:w="0" w:type="dxa"/>
          <w:tblLayout w:type="fixed"/>
          <w:tblCellMar>
            <w:top w:w="0" w:type="dxa"/>
            <w:left w:w="108" w:type="dxa"/>
            <w:bottom w:w="0" w:type="dxa"/>
            <w:right w:w="108" w:type="dxa"/>
          </w:tblCellMar>
        </w:tblPrEx>
        <w:trPr>
          <w:trHeight w:val="575"/>
        </w:trPr>
        <w:tc>
          <w:tcPr>
            <w:tcW w:w="840"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eastAsia"/>
                <w:color w:val="auto"/>
              </w:rPr>
            </w:pPr>
            <w:r>
              <w:rPr>
                <w:rFonts w:ascii="宋体" w:hAnsi="宋体" w:cs="宋体" w:hint="eastAsia"/>
                <w:color w:val="auto"/>
              </w:rPr>
              <w:t>……</w:t>
            </w:r>
          </w:p>
        </w:tc>
        <w:tc>
          <w:tcPr>
            <w:tcW w:w="819"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864"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707" w:type="dxa"/>
            <w:tcBorders>
              <w:top w:val="single" w:sz="4" w:space="0" w:color="auto"/>
              <w:left w:val="single" w:sz="4" w:space="0" w:color="auto"/>
              <w:bottom w:val="single" w:sz="4" w:space="0" w:color="auto"/>
              <w:right w:val="single" w:sz="4" w:space="0" w:color="auto"/>
            </w:tcBorders>
            <w:noWrap w:val="0"/>
            <w:vAlign w:val="top"/>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744"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221"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161"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1065"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c>
          <w:tcPr>
            <w:tcW w:w="968" w:type="dxa"/>
            <w:tcBorders>
              <w:top w:val="single" w:sz="4" w:space="0" w:color="auto"/>
              <w:left w:val="single" w:sz="4" w:space="0" w:color="auto"/>
              <w:bottom w:val="single" w:sz="4" w:space="0" w:color="auto"/>
              <w:right w:val="single" w:sz="4" w:space="0" w:color="auto"/>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ascii="宋体" w:hAnsi="宋体" w:cs="宋体" w:hint="default"/>
                <w:color w:val="auto"/>
              </w:rPr>
            </w:pPr>
          </w:p>
        </w:tc>
      </w:tr>
    </w:tbl>
    <w:p>
      <w:pPr>
        <w:spacing w:before="0" w:beforeAutospacing="0" w:after="0" w:afterAutospacing="0" w:line="300" w:lineRule="exact"/>
        <w:rPr>
          <w:rFonts w:ascii="宋体" w:hAnsi="宋体" w:cs="宋体"/>
          <w:color w:val="auto"/>
        </w:rPr>
      </w:pPr>
    </w:p>
    <w:p>
      <w:pPr>
        <w:adjustRightInd w:val="0"/>
        <w:snapToGrid w:val="0"/>
        <w:spacing w:before="0" w:beforeAutospacing="0" w:after="0" w:afterAutospacing="0" w:line="360" w:lineRule="auto"/>
        <w:rPr>
          <w:rFonts w:ascii="宋体" w:hAnsi="宋体" w:cs="宋体"/>
          <w:color w:val="auto"/>
        </w:rPr>
      </w:pPr>
      <w:r>
        <w:rPr>
          <w:rFonts w:ascii="宋体" w:hAnsi="宋体" w:cs="宋体" w:hint="eastAsia"/>
          <w:color w:val="auto"/>
        </w:rPr>
        <w:t>特别说明：</w:t>
      </w:r>
    </w:p>
    <w:p>
      <w:pPr>
        <w:numPr>
          <w:ilvl w:val="0"/>
          <w:numId w:val="7"/>
        </w:numPr>
        <w:tabs>
          <w:tab w:val="left" w:pos="640"/>
        </w:tabs>
        <w:adjustRightInd w:val="0"/>
        <w:snapToGrid w:val="0"/>
        <w:spacing w:before="0" w:beforeAutospacing="0" w:after="0" w:afterAutospacing="0" w:line="360" w:lineRule="auto"/>
        <w:ind w:firstLine="420" w:firstLineChars="200"/>
        <w:rPr>
          <w:rFonts w:ascii="宋体" w:hAnsi="宋体" w:cs="宋体"/>
          <w:color w:val="auto"/>
          <w:szCs w:val="21"/>
        </w:rPr>
      </w:pPr>
      <w:r>
        <w:rPr>
          <w:rFonts w:ascii="宋体" w:hAnsi="宋体" w:cs="宋体" w:hint="eastAsia"/>
          <w:color w:val="auto"/>
          <w:szCs w:val="21"/>
        </w:rPr>
        <w:t>提供</w:t>
      </w:r>
      <w:r>
        <w:rPr>
          <w:rFonts w:ascii="宋体" w:hAnsi="宋体" w:cs="宋体" w:hint="eastAsia"/>
          <w:color w:val="auto"/>
          <w:szCs w:val="21"/>
          <w:lang w:val="en-US" w:eastAsia="zh-CN"/>
        </w:rPr>
        <w:t>2023</w:t>
      </w:r>
      <w:r>
        <w:rPr>
          <w:rFonts w:ascii="宋体" w:hAnsi="宋体" w:cs="宋体" w:hint="eastAsia"/>
          <w:color w:val="auto"/>
          <w:szCs w:val="21"/>
          <w:lang w:val="en-US" w:eastAsia="zh-CN"/>
        </w:rPr>
        <w:t>年1月1日以来（以合同签订日期为准），投标人独</w:t>
      </w:r>
      <w:r>
        <w:rPr>
          <w:rFonts w:ascii="宋体" w:hAnsi="宋体" w:cs="宋体" w:hint="eastAsia"/>
          <w:color w:val="auto"/>
          <w:szCs w:val="21"/>
          <w:highlight w:val="none"/>
          <w:lang w:val="en-US" w:eastAsia="zh-CN"/>
        </w:rPr>
        <w:t>立承担的物业服务项目案例。</w:t>
      </w:r>
    </w:p>
    <w:p>
      <w:pPr>
        <w:widowControl/>
        <w:tabs>
          <w:tab w:val="left" w:pos="0"/>
          <w:tab w:val="left" w:pos="420"/>
        </w:tabs>
        <w:adjustRightInd w:val="0"/>
        <w:snapToGrid w:val="0"/>
        <w:spacing w:before="0" w:beforeAutospacing="0" w:after="0" w:afterAutospacing="0" w:line="360" w:lineRule="auto"/>
        <w:ind w:firstLine="420" w:firstLineChars="200"/>
        <w:jc w:val="left"/>
        <w:rPr>
          <w:rFonts w:ascii="宋体" w:hAnsi="宋体" w:cs="宋体"/>
          <w:color w:val="auto"/>
          <w:szCs w:val="21"/>
        </w:rPr>
      </w:pPr>
      <w:r>
        <w:rPr>
          <w:rFonts w:ascii="宋体" w:hAnsi="宋体" w:cs="宋体" w:hint="eastAsia"/>
          <w:color w:val="auto"/>
          <w:szCs w:val="21"/>
          <w:lang w:val="en-US" w:eastAsia="zh-CN"/>
        </w:rPr>
        <w:t>2.</w:t>
      </w:r>
      <w:r>
        <w:rPr>
          <w:rFonts w:ascii="宋体" w:hAnsi="宋体" w:cs="宋体" w:hint="eastAsia"/>
          <w:color w:val="auto"/>
          <w:szCs w:val="21"/>
        </w:rPr>
        <w:t>应提供</w:t>
      </w:r>
      <w:r>
        <w:rPr>
          <w:rFonts w:ascii="宋体" w:hAnsi="宋体" w:cs="宋体" w:hint="eastAsia"/>
          <w:b/>
          <w:bCs/>
          <w:color w:val="auto"/>
          <w:szCs w:val="21"/>
        </w:rPr>
        <w:t>合同扫描件</w:t>
      </w:r>
      <w:r>
        <w:rPr>
          <w:rFonts w:ascii="宋体" w:hAnsi="宋体" w:cs="宋体" w:hint="eastAsia"/>
          <w:b/>
          <w:bCs/>
          <w:color w:val="auto"/>
          <w:szCs w:val="21"/>
          <w:lang w:eastAsia="zh-CN"/>
        </w:rPr>
        <w:t>，</w:t>
      </w:r>
      <w:r>
        <w:rPr>
          <w:rFonts w:ascii="宋体" w:hAnsi="宋体" w:cs="宋体" w:hint="eastAsia"/>
          <w:color w:val="auto"/>
          <w:szCs w:val="21"/>
        </w:rPr>
        <w:t>合同扫描件应能清晰体现合同甲乙双方、合同时间、合同金额、合同主要内容等</w:t>
      </w:r>
      <w:r>
        <w:rPr>
          <w:rFonts w:ascii="宋体" w:hAnsi="宋体" w:cs="宋体" w:hint="eastAsia"/>
          <w:color w:val="auto"/>
          <w:szCs w:val="21"/>
          <w:lang w:eastAsia="zh-CN"/>
        </w:rPr>
        <w:t>。</w:t>
      </w:r>
      <w:r>
        <w:rPr>
          <w:rFonts w:ascii="宋体" w:hAnsi="宋体" w:cs="宋体" w:hint="eastAsia"/>
          <w:color w:val="auto"/>
          <w:szCs w:val="21"/>
        </w:rPr>
        <w:t>并提供对方联系人及联系方式，否则不能获得相应分值。</w:t>
      </w:r>
    </w:p>
    <w:p>
      <w:pPr>
        <w:snapToGrid w:val="0"/>
        <w:spacing w:before="0" w:beforeAutospacing="0" w:after="0" w:afterAutospacing="0" w:line="360" w:lineRule="auto"/>
        <w:jc w:val="center"/>
        <w:rPr>
          <w:rFonts w:ascii="宋体" w:hAnsi="宋体" w:cs="宋体"/>
          <w:b/>
          <w:bCs/>
          <w:sz w:val="36"/>
          <w:szCs w:val="36"/>
        </w:rPr>
      </w:pPr>
      <w:bookmarkEnd w:id="72"/>
    </w:p>
    <w:p w14:paraId="7945DD7C">
      <w:pPr>
        <w:rPr>
          <w:rFonts w:ascii="宋体" w:hAnsi="宋体" w:cs="宋体"/>
          <w:b w:val="0"/>
          <w:bCs w:val="0"/>
          <w:color w:val="auto"/>
          <w:sz w:val="24"/>
          <w:szCs w:val="24"/>
          <w:highlight w:val="none"/>
        </w:rPr>
      </w:pPr>
      <w:r>
        <w:rPr>
          <w:rFonts w:ascii="宋体" w:hAnsi="宋体" w:cs="宋体"/>
          <w:b w:val="0"/>
          <w:bCs w:val="0"/>
          <w:color w:val="auto"/>
          <w:sz w:val="24"/>
          <w:szCs w:val="24"/>
          <w:highlight w:val="none"/>
        </w:rPr>
        <w:br w:type="page"/>
      </w:r>
    </w:p>
    <w:p w14:paraId="16A07611">
      <w:pPr>
        <w:adjustRightInd w:val="0"/>
        <w:snapToGrid w:val="0"/>
        <w:spacing w:after="0" w:line="360" w:lineRule="auto"/>
        <w:jc w:val="center"/>
        <w:rPr>
          <w:rFonts w:ascii="Times New Roman" w:eastAsia="宋体" w:hAnsi="Times New Roman" w:cs="Times New Roman" w:hint="eastAsia"/>
          <w:b/>
          <w:bCs/>
          <w:color w:val="auto"/>
          <w:sz w:val="36"/>
          <w:szCs w:val="36"/>
        </w:rPr>
      </w:pPr>
      <w:r>
        <w:rPr>
          <w:rFonts w:ascii="Times New Roman" w:eastAsia="宋体" w:hAnsi="Times New Roman" w:cs="Times New Roman" w:hint="eastAsia"/>
          <w:b/>
          <w:bCs/>
          <w:color w:val="auto"/>
          <w:sz w:val="36"/>
          <w:szCs w:val="36"/>
        </w:rPr>
        <w:t>投标文件技术部分文件格式</w:t>
      </w:r>
    </w:p>
    <w:p w14:paraId="0410518E">
      <w:pPr>
        <w:spacing w:before="0" w:beforeAutospacing="0" w:after="0" w:afterAutospacing="0"/>
        <w:jc w:val="center"/>
        <w:rPr>
          <w:rFonts w:ascii="宋体" w:hAnsi="宋体" w:cs="宋体"/>
          <w:b/>
          <w:bCs/>
          <w:color w:val="auto"/>
          <w:sz w:val="36"/>
          <w:szCs w:val="36"/>
        </w:rPr>
      </w:pPr>
      <w:bookmarkStart w:id="73" w:name="投标文件格式_zxzbjs_TBWJGS"/>
      <w:r>
        <w:rPr>
          <w:rFonts w:ascii="宋体" w:hAnsi="宋体" w:cs="宋体" w:hint="eastAsia"/>
          <w:b/>
          <w:bCs/>
          <w:color w:val="auto"/>
          <w:sz w:val="36"/>
          <w:szCs w:val="36"/>
        </w:rPr>
        <w:t xml:space="preserve">格式9 </w:t>
      </w:r>
      <w:r>
        <w:rPr>
          <w:rFonts w:ascii="宋体" w:hAnsi="宋体" w:cs="宋体" w:hint="eastAsia"/>
          <w:b/>
          <w:bCs/>
          <w:color w:val="auto"/>
          <w:sz w:val="36"/>
          <w:szCs w:val="36"/>
        </w:rPr>
        <w:t>技术条款偏离表</w:t>
      </w:r>
    </w:p>
    <w:tbl>
      <w:tblPr>
        <w:tblStyle w:val="TableNormal"/>
        <w:tblpPr w:leftFromText="180" w:rightFromText="180" w:vertAnchor="text" w:horzAnchor="page" w:tblpX="1435" w:tblpY="293"/>
        <w:tblOverlap w:val="never"/>
        <w:tblW w:w="0" w:type="auto"/>
        <w:tblInd w:w="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28" w:type="dxa"/>
          <w:bottom w:w="0" w:type="dxa"/>
          <w:right w:w="28" w:type="dxa"/>
        </w:tblCellMar>
      </w:tblPr>
      <w:tblGrid>
        <w:gridCol w:w="753"/>
        <w:gridCol w:w="1229"/>
        <w:gridCol w:w="1401"/>
        <w:gridCol w:w="2031"/>
        <w:gridCol w:w="1366"/>
        <w:gridCol w:w="1695"/>
        <w:gridCol w:w="518"/>
      </w:tblGrid>
      <w:tr w14:paraId="52C54499">
        <w:tblPrEx>
          <w:tblW w:w="0" w:type="auto"/>
          <w:tblInd w:w="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28" w:type="dxa"/>
            <w:bottom w:w="0" w:type="dxa"/>
            <w:right w:w="28" w:type="dxa"/>
          </w:tblCellMar>
        </w:tblPrEx>
        <w:trPr>
          <w:trHeight w:val="567"/>
        </w:trPr>
        <w:tc>
          <w:tcPr>
            <w:tcW w:w="753" w:type="dxa"/>
            <w:noWrap w:val="0"/>
            <w:vAlign w:val="center"/>
          </w:tcPr>
          <w:p w14:paraId="3A6D8895">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序号</w:t>
            </w:r>
          </w:p>
        </w:tc>
        <w:tc>
          <w:tcPr>
            <w:tcW w:w="1229" w:type="dxa"/>
            <w:noWrap w:val="0"/>
            <w:vAlign w:val="top"/>
          </w:tcPr>
          <w:p w14:paraId="5E5F2E2B">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招标文件</w:t>
            </w:r>
          </w:p>
          <w:p w14:paraId="6106EFA2">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技术部分序号</w:t>
            </w:r>
          </w:p>
        </w:tc>
        <w:tc>
          <w:tcPr>
            <w:tcW w:w="1401" w:type="dxa"/>
            <w:noWrap w:val="0"/>
            <w:vAlign w:val="center"/>
          </w:tcPr>
          <w:p w14:paraId="51C661A7">
            <w:pPr>
              <w:keepNext w:val="0"/>
              <w:keepLines w:val="0"/>
              <w:widowControl w:val="0"/>
              <w:suppressLineNumbers w:val="0"/>
              <w:adjustRightInd w:val="0"/>
              <w:snapToGrid w:val="0"/>
              <w:spacing w:before="0" w:beforeAutospacing="0" w:after="0" w:afterAutospacing="0" w:line="256" w:lineRule="auto"/>
              <w:ind w:left="0" w:right="0"/>
              <w:jc w:val="center"/>
              <w:rPr>
                <w:rFonts w:ascii="宋体" w:hAnsi="宋体" w:cs="宋体" w:hint="eastAsia"/>
                <w:b/>
                <w:lang w:bidi="ar"/>
              </w:rPr>
            </w:pPr>
            <w:r>
              <w:rPr>
                <w:rFonts w:ascii="宋体" w:eastAsia="宋体" w:hAnsi="宋体" w:cs="宋体" w:hint="eastAsia"/>
                <w:b/>
                <w:kern w:val="2"/>
                <w:sz w:val="24"/>
                <w:szCs w:val="24"/>
                <w:lang w:val="en-US" w:eastAsia="zh-CN" w:bidi="ar"/>
              </w:rPr>
              <w:t>重要性</w:t>
            </w:r>
          </w:p>
          <w:p w14:paraId="7E6E6A00">
            <w:pPr>
              <w:keepNext w:val="0"/>
              <w:keepLines w:val="0"/>
              <w:widowControl w:val="0"/>
              <w:suppressLineNumbers w:val="0"/>
              <w:adjustRightInd w:val="0"/>
              <w:snapToGrid w:val="0"/>
              <w:spacing w:before="0" w:beforeAutospacing="0" w:after="0" w:afterAutospacing="0" w:line="256" w:lineRule="auto"/>
              <w:ind w:left="0" w:right="0"/>
              <w:jc w:val="center"/>
              <w:rPr>
                <w:rFonts w:ascii="宋体" w:hAnsi="宋体" w:cs="宋体" w:hint="eastAsia"/>
                <w:b/>
                <w:color w:val="auto"/>
              </w:rPr>
            </w:pPr>
            <w:r>
              <w:rPr>
                <w:rFonts w:ascii="宋体" w:eastAsia="宋体" w:hAnsi="宋体" w:cs="宋体" w:hint="eastAsia"/>
                <w:b/>
                <w:kern w:val="2"/>
                <w:sz w:val="24"/>
                <w:szCs w:val="24"/>
                <w:lang w:val="en-US" w:eastAsia="zh-CN" w:bidi="ar"/>
              </w:rPr>
              <w:t>（</w:t>
            </w:r>
            <w:r>
              <w:rPr>
                <w:rFonts w:ascii="宋体" w:eastAsia="宋体" w:hAnsi="宋体" w:cs="宋体" w:hint="eastAsia"/>
                <w:kern w:val="2"/>
                <w:sz w:val="21"/>
                <w:szCs w:val="21"/>
                <w:lang w:val="en-US" w:eastAsia="zh-CN" w:bidi="ar"/>
              </w:rPr>
              <w:t>★#△</w:t>
            </w:r>
            <w:r>
              <w:rPr>
                <w:rFonts w:ascii="宋体" w:eastAsia="宋体" w:hAnsi="宋体" w:cs="宋体" w:hint="eastAsia"/>
                <w:b/>
                <w:kern w:val="2"/>
                <w:sz w:val="24"/>
                <w:szCs w:val="24"/>
                <w:lang w:val="en-US" w:eastAsia="zh-CN" w:bidi="ar"/>
              </w:rPr>
              <w:t>）</w:t>
            </w:r>
          </w:p>
        </w:tc>
        <w:tc>
          <w:tcPr>
            <w:tcW w:w="2031" w:type="dxa"/>
            <w:noWrap w:val="0"/>
            <w:vAlign w:val="center"/>
          </w:tcPr>
          <w:p w14:paraId="5A9BFC86">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招标文件</w:t>
            </w:r>
          </w:p>
          <w:p w14:paraId="091A3DA1">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技术部分内容要求</w:t>
            </w:r>
          </w:p>
        </w:tc>
        <w:tc>
          <w:tcPr>
            <w:tcW w:w="1366" w:type="dxa"/>
            <w:noWrap w:val="0"/>
            <w:vAlign w:val="center"/>
          </w:tcPr>
          <w:p w14:paraId="786DD3DC">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投标文件</w:t>
            </w:r>
          </w:p>
          <w:p w14:paraId="44EA66CC">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应答情况</w:t>
            </w:r>
          </w:p>
        </w:tc>
        <w:tc>
          <w:tcPr>
            <w:tcW w:w="1695" w:type="dxa"/>
            <w:noWrap w:val="0"/>
            <w:vAlign w:val="center"/>
          </w:tcPr>
          <w:p w14:paraId="26D16D14">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eastAsia"/>
                <w:b/>
                <w:color w:val="auto"/>
              </w:rPr>
            </w:pPr>
            <w:r>
              <w:rPr>
                <w:rFonts w:ascii="宋体" w:hAnsi="宋体" w:cs="宋体" w:hint="eastAsia"/>
                <w:b/>
                <w:color w:val="auto"/>
                <w:sz w:val="24"/>
              </w:rPr>
              <w:t>偏离</w:t>
            </w:r>
          </w:p>
          <w:p w14:paraId="1B7FB9B0">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（无/正/负）</w:t>
            </w:r>
          </w:p>
        </w:tc>
        <w:tc>
          <w:tcPr>
            <w:tcW w:w="518" w:type="dxa"/>
            <w:noWrap w:val="0"/>
            <w:vAlign w:val="center"/>
          </w:tcPr>
          <w:p w14:paraId="37723031">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b/>
                <w:color w:val="auto"/>
              </w:rPr>
            </w:pPr>
            <w:r>
              <w:rPr>
                <w:rFonts w:ascii="宋体" w:hAnsi="宋体" w:cs="宋体" w:hint="eastAsia"/>
                <w:b/>
                <w:color w:val="auto"/>
                <w:sz w:val="24"/>
              </w:rPr>
              <w:t>备注</w:t>
            </w:r>
          </w:p>
        </w:tc>
      </w:tr>
      <w:tr w14:paraId="3512F2E6">
        <w:tblPrEx>
          <w:tblW w:w="0" w:type="auto"/>
          <w:tblInd w:w="0" w:type="dxa"/>
          <w:tblLayout w:type="fixed"/>
          <w:tblCellMar>
            <w:top w:w="0" w:type="dxa"/>
            <w:left w:w="28" w:type="dxa"/>
            <w:bottom w:w="0" w:type="dxa"/>
            <w:right w:w="28" w:type="dxa"/>
          </w:tblCellMar>
        </w:tblPrEx>
        <w:trPr>
          <w:trHeight w:val="567"/>
        </w:trPr>
        <w:tc>
          <w:tcPr>
            <w:tcW w:w="753" w:type="dxa"/>
            <w:noWrap w:val="0"/>
            <w:vAlign w:val="center"/>
          </w:tcPr>
          <w:p w14:paraId="6BAE3C86">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auto"/>
                <w:sz w:val="24"/>
              </w:rPr>
              <w:t>1</w:t>
            </w:r>
          </w:p>
        </w:tc>
        <w:tc>
          <w:tcPr>
            <w:tcW w:w="1229" w:type="dxa"/>
            <w:noWrap w:val="0"/>
            <w:vAlign w:val="center"/>
          </w:tcPr>
          <w:p w14:paraId="3CF16B11">
            <w:pPr>
              <w:keepNext w:val="0"/>
              <w:keepLines w:val="0"/>
              <w:suppressLineNumbers w:val="0"/>
              <w:adjustRightInd w:val="0"/>
              <w:snapToGrid w:val="0"/>
              <w:spacing w:before="0" w:beforeAutospacing="0" w:after="0" w:afterAutospacing="0" w:line="240" w:lineRule="auto"/>
              <w:ind w:left="50" w:right="55" w:leftChars="24" w:rightChars="26"/>
              <w:jc w:val="center"/>
              <w:rPr>
                <w:rFonts w:ascii="宋体" w:hAnsi="宋体" w:cs="宋体" w:hint="default"/>
                <w:color w:val="auto"/>
                <w:szCs w:val="21"/>
              </w:rPr>
            </w:pPr>
          </w:p>
        </w:tc>
        <w:tc>
          <w:tcPr>
            <w:tcW w:w="1401" w:type="dxa"/>
            <w:noWrap w:val="0"/>
            <w:vAlign w:val="center"/>
          </w:tcPr>
          <w:p w14:paraId="7990A7B7">
            <w:pPr>
              <w:keepNext w:val="0"/>
              <w:keepLines w:val="0"/>
              <w:suppressLineNumbers w:val="0"/>
              <w:adjustRightInd w:val="0"/>
              <w:snapToGrid w:val="0"/>
              <w:spacing w:before="0" w:beforeAutospacing="0" w:after="0" w:afterAutospacing="0" w:line="240" w:lineRule="auto"/>
              <w:ind w:left="50" w:right="55" w:leftChars="24" w:rightChars="26"/>
              <w:jc w:val="center"/>
              <w:rPr>
                <w:rFonts w:ascii="宋体" w:hAnsi="宋体" w:cs="宋体" w:hint="default"/>
                <w:color w:val="auto"/>
                <w:szCs w:val="21"/>
              </w:rPr>
            </w:pPr>
          </w:p>
        </w:tc>
        <w:tc>
          <w:tcPr>
            <w:tcW w:w="2031" w:type="dxa"/>
            <w:noWrap w:val="0"/>
            <w:vAlign w:val="center"/>
          </w:tcPr>
          <w:p w14:paraId="432CA041">
            <w:pPr>
              <w:keepNext w:val="0"/>
              <w:keepLines w:val="0"/>
              <w:suppressLineNumbers w:val="0"/>
              <w:adjustRightInd w:val="0"/>
              <w:snapToGrid w:val="0"/>
              <w:spacing w:before="0" w:beforeAutospacing="0" w:after="0" w:afterAutospacing="0" w:line="240" w:lineRule="auto"/>
              <w:ind w:left="50" w:right="55" w:leftChars="24" w:rightChars="26"/>
              <w:jc w:val="center"/>
              <w:rPr>
                <w:rFonts w:ascii="宋体" w:hAnsi="宋体" w:cs="宋体" w:hint="default"/>
                <w:color w:val="auto"/>
                <w:szCs w:val="21"/>
              </w:rPr>
            </w:pPr>
          </w:p>
        </w:tc>
        <w:tc>
          <w:tcPr>
            <w:tcW w:w="1366" w:type="dxa"/>
            <w:noWrap w:val="0"/>
            <w:vAlign w:val="center"/>
          </w:tcPr>
          <w:p w14:paraId="46444E57">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1695" w:type="dxa"/>
            <w:noWrap w:val="0"/>
            <w:vAlign w:val="center"/>
          </w:tcPr>
          <w:p w14:paraId="3DB79EED">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518" w:type="dxa"/>
            <w:noWrap w:val="0"/>
            <w:vAlign w:val="center"/>
          </w:tcPr>
          <w:p w14:paraId="5981D216">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r>
      <w:tr w14:paraId="55F09CDC">
        <w:tblPrEx>
          <w:tblW w:w="0" w:type="auto"/>
          <w:tblInd w:w="0" w:type="dxa"/>
          <w:tblLayout w:type="fixed"/>
          <w:tblCellMar>
            <w:top w:w="0" w:type="dxa"/>
            <w:left w:w="28" w:type="dxa"/>
            <w:bottom w:w="0" w:type="dxa"/>
            <w:right w:w="28" w:type="dxa"/>
          </w:tblCellMar>
        </w:tblPrEx>
        <w:trPr>
          <w:trHeight w:val="567"/>
        </w:trPr>
        <w:tc>
          <w:tcPr>
            <w:tcW w:w="753" w:type="dxa"/>
            <w:noWrap w:val="0"/>
            <w:vAlign w:val="center"/>
          </w:tcPr>
          <w:p w14:paraId="7001D9D4">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auto"/>
                <w:sz w:val="24"/>
              </w:rPr>
              <w:t>2</w:t>
            </w:r>
          </w:p>
        </w:tc>
        <w:tc>
          <w:tcPr>
            <w:tcW w:w="1229" w:type="dxa"/>
            <w:noWrap w:val="0"/>
            <w:vAlign w:val="center"/>
          </w:tcPr>
          <w:p w14:paraId="26CA1357">
            <w:pPr>
              <w:keepNext w:val="0"/>
              <w:keepLines w:val="0"/>
              <w:suppressLineNumbers w:val="0"/>
              <w:adjustRightInd w:val="0"/>
              <w:snapToGrid w:val="0"/>
              <w:spacing w:before="0" w:beforeAutospacing="0" w:after="0" w:afterAutospacing="0" w:line="240" w:lineRule="auto"/>
              <w:ind w:left="50" w:right="55" w:leftChars="24" w:rightChars="26"/>
              <w:jc w:val="center"/>
              <w:rPr>
                <w:rFonts w:ascii="宋体" w:hAnsi="宋体" w:cs="宋体" w:hint="default"/>
                <w:color w:val="auto"/>
                <w:szCs w:val="21"/>
              </w:rPr>
            </w:pPr>
          </w:p>
        </w:tc>
        <w:tc>
          <w:tcPr>
            <w:tcW w:w="1401" w:type="dxa"/>
            <w:noWrap w:val="0"/>
            <w:vAlign w:val="center"/>
          </w:tcPr>
          <w:p w14:paraId="72B1DE24">
            <w:pPr>
              <w:keepNext w:val="0"/>
              <w:keepLines w:val="0"/>
              <w:suppressLineNumbers w:val="0"/>
              <w:adjustRightInd w:val="0"/>
              <w:snapToGrid w:val="0"/>
              <w:spacing w:before="0" w:beforeAutospacing="0" w:after="0" w:afterAutospacing="0" w:line="240" w:lineRule="auto"/>
              <w:ind w:left="50" w:right="55" w:leftChars="24" w:rightChars="26"/>
              <w:jc w:val="center"/>
              <w:rPr>
                <w:rFonts w:ascii="宋体" w:hAnsi="宋体" w:cs="宋体" w:hint="default"/>
                <w:color w:val="auto"/>
                <w:szCs w:val="21"/>
              </w:rPr>
            </w:pPr>
          </w:p>
        </w:tc>
        <w:tc>
          <w:tcPr>
            <w:tcW w:w="2031" w:type="dxa"/>
            <w:noWrap w:val="0"/>
            <w:vAlign w:val="center"/>
          </w:tcPr>
          <w:p w14:paraId="057D3718">
            <w:pPr>
              <w:keepNext w:val="0"/>
              <w:keepLines w:val="0"/>
              <w:suppressLineNumbers w:val="0"/>
              <w:adjustRightInd w:val="0"/>
              <w:snapToGrid w:val="0"/>
              <w:spacing w:before="0" w:beforeAutospacing="0" w:after="0" w:afterAutospacing="0" w:line="240" w:lineRule="auto"/>
              <w:ind w:left="50" w:right="55" w:leftChars="24" w:rightChars="26"/>
              <w:jc w:val="center"/>
              <w:rPr>
                <w:rFonts w:ascii="宋体" w:hAnsi="宋体" w:cs="宋体" w:hint="default"/>
                <w:color w:val="auto"/>
                <w:szCs w:val="21"/>
              </w:rPr>
            </w:pPr>
          </w:p>
        </w:tc>
        <w:tc>
          <w:tcPr>
            <w:tcW w:w="1366" w:type="dxa"/>
            <w:noWrap w:val="0"/>
            <w:vAlign w:val="center"/>
          </w:tcPr>
          <w:p w14:paraId="7F0B106E">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1695" w:type="dxa"/>
            <w:noWrap w:val="0"/>
            <w:vAlign w:val="center"/>
          </w:tcPr>
          <w:p w14:paraId="23F36185">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518" w:type="dxa"/>
            <w:noWrap w:val="0"/>
            <w:vAlign w:val="center"/>
          </w:tcPr>
          <w:p w14:paraId="2FF201DE">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r>
      <w:tr w14:paraId="6C11603C">
        <w:tblPrEx>
          <w:tblW w:w="0" w:type="auto"/>
          <w:tblInd w:w="0" w:type="dxa"/>
          <w:tblLayout w:type="fixed"/>
          <w:tblCellMar>
            <w:top w:w="0" w:type="dxa"/>
            <w:left w:w="28" w:type="dxa"/>
            <w:bottom w:w="0" w:type="dxa"/>
            <w:right w:w="28" w:type="dxa"/>
          </w:tblCellMar>
        </w:tblPrEx>
        <w:trPr>
          <w:trHeight w:val="567"/>
        </w:trPr>
        <w:tc>
          <w:tcPr>
            <w:tcW w:w="753" w:type="dxa"/>
            <w:noWrap w:val="0"/>
            <w:vAlign w:val="center"/>
          </w:tcPr>
          <w:p w14:paraId="0B7DE513">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auto"/>
                <w:sz w:val="24"/>
              </w:rPr>
              <w:t>3</w:t>
            </w:r>
          </w:p>
        </w:tc>
        <w:tc>
          <w:tcPr>
            <w:tcW w:w="1229" w:type="dxa"/>
            <w:noWrap w:val="0"/>
            <w:vAlign w:val="center"/>
          </w:tcPr>
          <w:p w14:paraId="15A38FE6">
            <w:pPr>
              <w:keepNext w:val="0"/>
              <w:keepLines w:val="0"/>
              <w:suppressLineNumbers w:val="0"/>
              <w:adjustRightInd w:val="0"/>
              <w:snapToGrid w:val="0"/>
              <w:spacing w:before="0" w:beforeAutospacing="0" w:after="0" w:afterAutospacing="0" w:line="240" w:lineRule="auto"/>
              <w:ind w:left="50" w:right="55" w:leftChars="24" w:rightChars="26"/>
              <w:jc w:val="center"/>
              <w:rPr>
                <w:rFonts w:ascii="宋体" w:hAnsi="宋体" w:cs="宋体" w:hint="default"/>
                <w:color w:val="auto"/>
                <w:szCs w:val="21"/>
              </w:rPr>
            </w:pPr>
          </w:p>
        </w:tc>
        <w:tc>
          <w:tcPr>
            <w:tcW w:w="1401" w:type="dxa"/>
            <w:noWrap w:val="0"/>
            <w:vAlign w:val="center"/>
          </w:tcPr>
          <w:p w14:paraId="62115483">
            <w:pPr>
              <w:keepNext w:val="0"/>
              <w:keepLines w:val="0"/>
              <w:suppressLineNumbers w:val="0"/>
              <w:adjustRightInd w:val="0"/>
              <w:snapToGrid w:val="0"/>
              <w:spacing w:before="0" w:beforeAutospacing="0" w:after="0" w:afterAutospacing="0" w:line="240" w:lineRule="auto"/>
              <w:ind w:left="50" w:right="55" w:leftChars="24" w:rightChars="26"/>
              <w:jc w:val="center"/>
              <w:rPr>
                <w:rFonts w:ascii="宋体" w:hAnsi="宋体" w:cs="宋体" w:hint="default"/>
                <w:color w:val="auto"/>
                <w:szCs w:val="21"/>
              </w:rPr>
            </w:pPr>
          </w:p>
        </w:tc>
        <w:tc>
          <w:tcPr>
            <w:tcW w:w="2031" w:type="dxa"/>
            <w:noWrap w:val="0"/>
            <w:vAlign w:val="center"/>
          </w:tcPr>
          <w:p w14:paraId="71417751">
            <w:pPr>
              <w:keepNext w:val="0"/>
              <w:keepLines w:val="0"/>
              <w:suppressLineNumbers w:val="0"/>
              <w:adjustRightInd w:val="0"/>
              <w:snapToGrid w:val="0"/>
              <w:spacing w:before="0" w:beforeAutospacing="0" w:after="0" w:afterAutospacing="0" w:line="240" w:lineRule="auto"/>
              <w:ind w:left="50" w:right="55" w:leftChars="24" w:rightChars="26"/>
              <w:jc w:val="center"/>
              <w:rPr>
                <w:rFonts w:ascii="宋体" w:hAnsi="宋体" w:cs="宋体" w:hint="default"/>
                <w:color w:val="auto"/>
                <w:szCs w:val="21"/>
              </w:rPr>
            </w:pPr>
          </w:p>
        </w:tc>
        <w:tc>
          <w:tcPr>
            <w:tcW w:w="1366" w:type="dxa"/>
            <w:noWrap w:val="0"/>
            <w:vAlign w:val="center"/>
          </w:tcPr>
          <w:p w14:paraId="205A32D4">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1695" w:type="dxa"/>
            <w:noWrap w:val="0"/>
            <w:vAlign w:val="center"/>
          </w:tcPr>
          <w:p w14:paraId="5D76CE23">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518" w:type="dxa"/>
            <w:noWrap w:val="0"/>
            <w:vAlign w:val="center"/>
          </w:tcPr>
          <w:p w14:paraId="6B7817F2">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r>
      <w:tr w14:paraId="58E6CC20">
        <w:tblPrEx>
          <w:tblW w:w="0" w:type="auto"/>
          <w:tblInd w:w="0" w:type="dxa"/>
          <w:tblLayout w:type="fixed"/>
          <w:tblCellMar>
            <w:top w:w="0" w:type="dxa"/>
            <w:left w:w="28" w:type="dxa"/>
            <w:bottom w:w="0" w:type="dxa"/>
            <w:right w:w="28" w:type="dxa"/>
          </w:tblCellMar>
        </w:tblPrEx>
        <w:trPr>
          <w:trHeight w:val="567"/>
        </w:trPr>
        <w:tc>
          <w:tcPr>
            <w:tcW w:w="753" w:type="dxa"/>
            <w:noWrap w:val="0"/>
            <w:vAlign w:val="center"/>
          </w:tcPr>
          <w:p w14:paraId="28761FE9">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auto"/>
                <w:sz w:val="24"/>
              </w:rPr>
              <w:t>4</w:t>
            </w:r>
          </w:p>
        </w:tc>
        <w:tc>
          <w:tcPr>
            <w:tcW w:w="1229" w:type="dxa"/>
            <w:noWrap w:val="0"/>
            <w:vAlign w:val="center"/>
          </w:tcPr>
          <w:p w14:paraId="2BB4F70A">
            <w:pPr>
              <w:keepNext w:val="0"/>
              <w:keepLines w:val="0"/>
              <w:suppressLineNumbers w:val="0"/>
              <w:adjustRightInd w:val="0"/>
              <w:snapToGrid w:val="0"/>
              <w:spacing w:before="0" w:beforeAutospacing="0" w:after="0" w:afterAutospacing="0" w:line="240" w:lineRule="auto"/>
              <w:ind w:left="50" w:right="55" w:leftChars="24" w:rightChars="26"/>
              <w:jc w:val="center"/>
              <w:rPr>
                <w:rFonts w:ascii="宋体" w:hAnsi="宋体" w:cs="宋体" w:hint="default"/>
                <w:color w:val="auto"/>
                <w:szCs w:val="21"/>
              </w:rPr>
            </w:pPr>
          </w:p>
        </w:tc>
        <w:tc>
          <w:tcPr>
            <w:tcW w:w="1401" w:type="dxa"/>
            <w:noWrap w:val="0"/>
            <w:vAlign w:val="center"/>
          </w:tcPr>
          <w:p w14:paraId="2F0BF9B7">
            <w:pPr>
              <w:keepNext w:val="0"/>
              <w:keepLines w:val="0"/>
              <w:suppressLineNumbers w:val="0"/>
              <w:adjustRightInd w:val="0"/>
              <w:snapToGrid w:val="0"/>
              <w:spacing w:before="0" w:beforeAutospacing="0" w:after="0" w:afterAutospacing="0" w:line="240" w:lineRule="auto"/>
              <w:ind w:left="50" w:right="55" w:leftChars="24" w:rightChars="26"/>
              <w:jc w:val="center"/>
              <w:rPr>
                <w:rFonts w:ascii="宋体" w:hAnsi="宋体" w:cs="宋体" w:hint="default"/>
                <w:color w:val="auto"/>
                <w:szCs w:val="21"/>
              </w:rPr>
            </w:pPr>
          </w:p>
        </w:tc>
        <w:tc>
          <w:tcPr>
            <w:tcW w:w="2031" w:type="dxa"/>
            <w:noWrap w:val="0"/>
            <w:vAlign w:val="center"/>
          </w:tcPr>
          <w:p w14:paraId="64CE99C4">
            <w:pPr>
              <w:keepNext w:val="0"/>
              <w:keepLines w:val="0"/>
              <w:suppressLineNumbers w:val="0"/>
              <w:adjustRightInd w:val="0"/>
              <w:snapToGrid w:val="0"/>
              <w:spacing w:before="0" w:beforeAutospacing="0" w:after="0" w:afterAutospacing="0" w:line="240" w:lineRule="auto"/>
              <w:ind w:left="50" w:right="55" w:leftChars="24" w:rightChars="26"/>
              <w:jc w:val="center"/>
              <w:rPr>
                <w:rFonts w:ascii="宋体" w:hAnsi="宋体" w:cs="宋体" w:hint="default"/>
                <w:color w:val="auto"/>
                <w:szCs w:val="21"/>
              </w:rPr>
            </w:pPr>
          </w:p>
        </w:tc>
        <w:tc>
          <w:tcPr>
            <w:tcW w:w="1366" w:type="dxa"/>
            <w:noWrap w:val="0"/>
            <w:vAlign w:val="center"/>
          </w:tcPr>
          <w:p w14:paraId="54257B4F">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1695" w:type="dxa"/>
            <w:noWrap w:val="0"/>
            <w:vAlign w:val="center"/>
          </w:tcPr>
          <w:p w14:paraId="59E68911">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518" w:type="dxa"/>
            <w:noWrap w:val="0"/>
            <w:vAlign w:val="center"/>
          </w:tcPr>
          <w:p w14:paraId="5E001C9A">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r>
      <w:tr w14:paraId="2F7E39F1">
        <w:tblPrEx>
          <w:tblW w:w="0" w:type="auto"/>
          <w:tblInd w:w="0" w:type="dxa"/>
          <w:tblLayout w:type="fixed"/>
          <w:tblCellMar>
            <w:top w:w="0" w:type="dxa"/>
            <w:left w:w="28" w:type="dxa"/>
            <w:bottom w:w="0" w:type="dxa"/>
            <w:right w:w="28" w:type="dxa"/>
          </w:tblCellMar>
        </w:tblPrEx>
        <w:trPr>
          <w:trHeight w:val="567"/>
        </w:trPr>
        <w:tc>
          <w:tcPr>
            <w:tcW w:w="753" w:type="dxa"/>
            <w:noWrap w:val="0"/>
            <w:vAlign w:val="center"/>
          </w:tcPr>
          <w:p w14:paraId="64167599">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auto"/>
                <w:sz w:val="24"/>
              </w:rPr>
              <w:t>5</w:t>
            </w:r>
          </w:p>
        </w:tc>
        <w:tc>
          <w:tcPr>
            <w:tcW w:w="1229" w:type="dxa"/>
            <w:noWrap w:val="0"/>
            <w:vAlign w:val="center"/>
          </w:tcPr>
          <w:p w14:paraId="65FBF4B8">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1401" w:type="dxa"/>
            <w:noWrap w:val="0"/>
            <w:vAlign w:val="center"/>
          </w:tcPr>
          <w:p w14:paraId="5457BC51">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2031" w:type="dxa"/>
            <w:noWrap w:val="0"/>
            <w:vAlign w:val="center"/>
          </w:tcPr>
          <w:p w14:paraId="6B02E99C">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1366" w:type="dxa"/>
            <w:noWrap w:val="0"/>
            <w:vAlign w:val="center"/>
          </w:tcPr>
          <w:p w14:paraId="16488FEE">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1695" w:type="dxa"/>
            <w:noWrap w:val="0"/>
            <w:vAlign w:val="center"/>
          </w:tcPr>
          <w:p w14:paraId="5723B014">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518" w:type="dxa"/>
            <w:noWrap w:val="0"/>
            <w:vAlign w:val="center"/>
          </w:tcPr>
          <w:p w14:paraId="3484A460">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r>
      <w:tr w14:paraId="4026A746">
        <w:tblPrEx>
          <w:tblW w:w="0" w:type="auto"/>
          <w:tblInd w:w="0" w:type="dxa"/>
          <w:tblLayout w:type="fixed"/>
          <w:tblCellMar>
            <w:top w:w="0" w:type="dxa"/>
            <w:left w:w="28" w:type="dxa"/>
            <w:bottom w:w="0" w:type="dxa"/>
            <w:right w:w="28" w:type="dxa"/>
          </w:tblCellMar>
        </w:tblPrEx>
        <w:trPr>
          <w:trHeight w:val="567"/>
        </w:trPr>
        <w:tc>
          <w:tcPr>
            <w:tcW w:w="753" w:type="dxa"/>
            <w:noWrap w:val="0"/>
            <w:vAlign w:val="center"/>
          </w:tcPr>
          <w:p w14:paraId="658F94B2">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rPr>
            </w:pPr>
            <w:r>
              <w:rPr>
                <w:rFonts w:ascii="宋体" w:hAnsi="宋体" w:cs="宋体" w:hint="eastAsia"/>
                <w:color w:val="auto"/>
                <w:sz w:val="24"/>
              </w:rPr>
              <w:t>……</w:t>
            </w:r>
          </w:p>
        </w:tc>
        <w:tc>
          <w:tcPr>
            <w:tcW w:w="1229" w:type="dxa"/>
            <w:noWrap w:val="0"/>
            <w:vAlign w:val="center"/>
          </w:tcPr>
          <w:p w14:paraId="229870AB">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1401" w:type="dxa"/>
            <w:noWrap w:val="0"/>
            <w:vAlign w:val="center"/>
          </w:tcPr>
          <w:p w14:paraId="562755F8">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2031" w:type="dxa"/>
            <w:noWrap w:val="0"/>
            <w:vAlign w:val="center"/>
          </w:tcPr>
          <w:p w14:paraId="60DB5A9B">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1366" w:type="dxa"/>
            <w:noWrap w:val="0"/>
            <w:vAlign w:val="center"/>
          </w:tcPr>
          <w:p w14:paraId="42D5EDE3">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1695" w:type="dxa"/>
            <w:noWrap w:val="0"/>
            <w:vAlign w:val="center"/>
          </w:tcPr>
          <w:p w14:paraId="70DDBE65">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c>
          <w:tcPr>
            <w:tcW w:w="518" w:type="dxa"/>
            <w:noWrap w:val="0"/>
            <w:vAlign w:val="center"/>
          </w:tcPr>
          <w:p w14:paraId="2A23253E">
            <w:pPr>
              <w:keepNext w:val="0"/>
              <w:keepLines w:val="0"/>
              <w:suppressLineNumbers w:val="0"/>
              <w:adjustRightInd w:val="0"/>
              <w:snapToGrid w:val="0"/>
              <w:spacing w:before="0" w:beforeAutospacing="0" w:after="0" w:afterAutospacing="0" w:line="240" w:lineRule="auto"/>
              <w:ind w:left="0" w:right="0"/>
              <w:jc w:val="center"/>
              <w:rPr>
                <w:rFonts w:ascii="宋体" w:hAnsi="宋体" w:cs="宋体" w:hint="default"/>
                <w:color w:val="auto"/>
                <w:szCs w:val="21"/>
              </w:rPr>
            </w:pPr>
          </w:p>
        </w:tc>
      </w:tr>
    </w:tbl>
    <w:p w14:paraId="7C453964">
      <w:pPr>
        <w:adjustRightInd w:val="0"/>
        <w:snapToGrid w:val="0"/>
        <w:spacing w:before="0" w:beforeAutospacing="0" w:after="0" w:afterAutospacing="0" w:line="360" w:lineRule="auto"/>
        <w:ind w:firstLine="420" w:firstLineChars="200"/>
        <w:rPr>
          <w:rFonts w:ascii="宋体" w:hAnsi="宋体" w:cs="宋体" w:hint="eastAsia"/>
          <w:color w:val="auto"/>
        </w:rPr>
      </w:pPr>
    </w:p>
    <w:p w14:paraId="5420C3BF">
      <w:pPr>
        <w:keepNext w:val="0"/>
        <w:keepLines w:val="0"/>
        <w:pageBreakBefore w:val="0"/>
        <w:widowControl w:val="0"/>
        <w:kinsoku/>
        <w:wordWrap/>
        <w:overflowPunct/>
        <w:bidi w:val="0"/>
        <w:adjustRightInd w:val="0"/>
        <w:snapToGrid w:val="0"/>
        <w:spacing w:before="0" w:beforeAutospacing="0" w:after="0" w:afterAutospacing="0" w:line="240" w:lineRule="auto"/>
        <w:ind w:firstLine="420" w:firstLineChars="200"/>
        <w:textAlignment w:val="auto"/>
        <w:rPr>
          <w:rFonts w:ascii="宋体" w:hAnsi="宋体" w:cs="宋体" w:hint="eastAsia"/>
          <w:color w:val="auto"/>
          <w:szCs w:val="21"/>
        </w:rPr>
      </w:pPr>
    </w:p>
    <w:p w14:paraId="69D82F5D">
      <w:pPr>
        <w:keepNext w:val="0"/>
        <w:keepLines w:val="0"/>
        <w:pageBreakBefore w:val="0"/>
        <w:widowControl w:val="0"/>
        <w:kinsoku/>
        <w:wordWrap/>
        <w:overflowPunct/>
        <w:topLinePunct w:val="0"/>
        <w:autoSpaceDE/>
        <w:autoSpaceDN/>
        <w:bidi w:val="0"/>
        <w:adjustRightInd w:val="0"/>
        <w:snapToGrid w:val="0"/>
        <w:spacing w:before="0" w:beforeAutospacing="0" w:after="0" w:afterAutospacing="0" w:line="240" w:lineRule="auto"/>
        <w:ind w:firstLine="420" w:firstLineChars="200"/>
        <w:textAlignment w:val="auto"/>
        <w:rPr>
          <w:rFonts w:ascii="宋体" w:hAnsi="宋体" w:cs="宋体"/>
          <w:color w:val="auto"/>
          <w:szCs w:val="21"/>
        </w:rPr>
      </w:pPr>
      <w:r>
        <w:rPr>
          <w:rFonts w:ascii="宋体" w:hAnsi="宋体" w:cs="宋体" w:hint="eastAsia"/>
          <w:color w:val="auto"/>
          <w:sz w:val="21"/>
          <w:szCs w:val="21"/>
        </w:rPr>
        <w:t>特别说明：</w:t>
      </w:r>
    </w:p>
    <w:p w14:paraId="0B745848">
      <w:pPr>
        <w:keepNext w:val="0"/>
        <w:keepLines w:val="0"/>
        <w:pageBreakBefore w:val="0"/>
        <w:widowControl w:val="0"/>
        <w:kinsoku/>
        <w:wordWrap/>
        <w:overflowPunct/>
        <w:topLinePunct w:val="0"/>
        <w:autoSpaceDE/>
        <w:autoSpaceDN/>
        <w:bidi w:val="0"/>
        <w:adjustRightInd w:val="0"/>
        <w:snapToGrid w:val="0"/>
        <w:spacing w:before="0" w:beforeAutospacing="0" w:after="0" w:afterAutospacing="0" w:line="240" w:lineRule="auto"/>
        <w:ind w:firstLine="420" w:firstLineChars="200"/>
        <w:textAlignment w:val="auto"/>
        <w:rPr>
          <w:rFonts w:ascii="宋体" w:hAnsi="宋体" w:cs="宋体" w:hint="eastAsia"/>
          <w:color w:val="auto"/>
          <w:szCs w:val="21"/>
        </w:rPr>
      </w:pPr>
      <w:r>
        <w:rPr>
          <w:rFonts w:ascii="宋体" w:hAnsi="宋体" w:cs="宋体" w:hint="eastAsia"/>
          <w:color w:val="auto"/>
          <w:sz w:val="21"/>
          <w:szCs w:val="21"/>
          <w:highlight w:val="none"/>
        </w:rPr>
        <w:t>1.按照《招标文件-技术部分》内容要求，一一对应填写。如果对《招标文件-技术部分》内</w:t>
      </w:r>
      <w:r>
        <w:rPr>
          <w:rFonts w:ascii="宋体" w:hAnsi="宋体" w:cs="宋体" w:hint="eastAsia"/>
          <w:color w:val="auto"/>
          <w:sz w:val="21"/>
          <w:szCs w:val="21"/>
        </w:rPr>
        <w:t>容不做一一响应，而将“投标文件应答情况”简单笼统描述为“无偏离”，则视为无效应答。</w:t>
      </w:r>
    </w:p>
    <w:p w14:paraId="27AA54FB">
      <w:pPr>
        <w:keepNext w:val="0"/>
        <w:keepLines w:val="0"/>
        <w:pageBreakBefore w:val="0"/>
        <w:widowControl w:val="0"/>
        <w:kinsoku/>
        <w:wordWrap/>
        <w:overflowPunct/>
        <w:topLinePunct w:val="0"/>
        <w:autoSpaceDE/>
        <w:autoSpaceDN/>
        <w:bidi w:val="0"/>
        <w:adjustRightInd w:val="0"/>
        <w:snapToGrid w:val="0"/>
        <w:spacing w:before="0" w:beforeAutospacing="0" w:after="0" w:afterAutospacing="0" w:line="240" w:lineRule="auto"/>
        <w:ind w:firstLine="420" w:firstLineChars="200"/>
        <w:textAlignment w:val="auto"/>
        <w:rPr>
          <w:rFonts w:ascii="宋体" w:hAnsi="宋体" w:cs="宋体" w:hint="eastAsia"/>
          <w:color w:val="auto"/>
          <w:szCs w:val="21"/>
        </w:rPr>
      </w:pPr>
      <w:r>
        <w:rPr>
          <w:rFonts w:ascii="宋体" w:hAnsi="宋体" w:cs="宋体" w:hint="eastAsia"/>
          <w:color w:val="auto"/>
          <w:sz w:val="21"/>
          <w:szCs w:val="21"/>
        </w:rPr>
        <w:t>2.《招标文件-技术部分》内容须条对条应答，不得遗漏。如无偏离，请在此表中填写“无偏离”。如有偏离，请在此表中应答为“正/负偏离”并说明偏离情况</w:t>
      </w:r>
      <w:r>
        <w:rPr>
          <w:rFonts w:ascii="宋体" w:hAnsi="宋体" w:cs="宋体" w:hint="eastAsia"/>
          <w:color w:val="auto"/>
          <w:sz w:val="21"/>
          <w:szCs w:val="21"/>
          <w:lang w:eastAsia="zh-CN"/>
        </w:rPr>
        <w:t>。</w:t>
      </w:r>
    </w:p>
    <w:p w14:paraId="0993C362">
      <w:pPr>
        <w:keepNext w:val="0"/>
        <w:keepLines w:val="0"/>
        <w:pageBreakBefore w:val="0"/>
        <w:widowControl w:val="0"/>
        <w:kinsoku/>
        <w:wordWrap/>
        <w:overflowPunct/>
        <w:topLinePunct w:val="0"/>
        <w:autoSpaceDE/>
        <w:autoSpaceDN/>
        <w:bidi w:val="0"/>
        <w:adjustRightInd w:val="0"/>
        <w:snapToGrid w:val="0"/>
        <w:spacing w:before="0" w:beforeAutospacing="0" w:after="0" w:afterAutospacing="0" w:line="240" w:lineRule="auto"/>
        <w:ind w:firstLine="420" w:firstLineChars="200"/>
        <w:textAlignment w:val="auto"/>
        <w:rPr>
          <w:rFonts w:ascii="宋体" w:hAnsi="宋体" w:cs="宋体" w:hint="eastAsia"/>
          <w:color w:val="auto"/>
          <w:szCs w:val="21"/>
        </w:rPr>
      </w:pPr>
      <w:r>
        <w:rPr>
          <w:rFonts w:ascii="宋体" w:hAnsi="宋体" w:cs="宋体" w:hint="eastAsia"/>
          <w:color w:val="auto"/>
          <w:sz w:val="21"/>
          <w:szCs w:val="21"/>
        </w:rPr>
        <w:t>3.如《招标文件-技术部分》中有标注★号的，则为实质性要求，必须满足，如应答为“负偏离”</w:t>
      </w:r>
      <w:r>
        <w:rPr>
          <w:rFonts w:ascii="宋体" w:hAnsi="宋体" w:cs="宋体" w:hint="eastAsia"/>
          <w:color w:val="auto"/>
          <w:sz w:val="21"/>
          <w:szCs w:val="21"/>
          <w:lang w:eastAsia="zh-CN"/>
        </w:rPr>
        <w:t>或未应答</w:t>
      </w:r>
      <w:r>
        <w:rPr>
          <w:rFonts w:ascii="宋体" w:hAnsi="宋体" w:cs="宋体" w:hint="eastAsia"/>
          <w:color w:val="auto"/>
          <w:sz w:val="21"/>
          <w:szCs w:val="21"/>
        </w:rPr>
        <w:t>，将导致投标无效。</w:t>
      </w:r>
    </w:p>
    <w:p w14:paraId="7FAAAF3C">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420" w:firstLineChars="200"/>
        <w:jc w:val="both"/>
        <w:textAlignment w:val="auto"/>
        <w:rPr>
          <w:rFonts w:hAnsi="宋体" w:cs="宋体"/>
          <w:color w:val="auto"/>
          <w:szCs w:val="21"/>
          <w:highlight w:val="none"/>
        </w:rPr>
      </w:pPr>
      <w:r>
        <w:rPr>
          <w:rFonts w:ascii="宋体" w:hAnsi="宋体" w:cs="宋体" w:hint="eastAsia"/>
          <w:color w:val="auto"/>
          <w:sz w:val="21"/>
          <w:szCs w:val="21"/>
        </w:rPr>
        <w:t>4.</w:t>
      </w:r>
      <w:r>
        <w:rPr>
          <w:rFonts w:ascii="宋体" w:eastAsia="宋体" w:hAnsi="宋体" w:cs="宋体" w:hint="eastAsia"/>
          <w:kern w:val="2"/>
          <w:sz w:val="21"/>
          <w:szCs w:val="21"/>
          <w:lang w:val="en-US" w:eastAsia="zh-CN" w:bidi="ar"/>
        </w:rPr>
        <w:t>如《</w:t>
      </w:r>
      <w:r>
        <w:rPr>
          <w:rFonts w:ascii="宋体" w:hAnsi="宋体" w:cs="宋体" w:hint="default"/>
          <w:kern w:val="2"/>
          <w:sz w:val="21"/>
          <w:szCs w:val="21"/>
          <w:lang w:eastAsia="zh-CN" w:bidi="ar"/>
        </w:rPr>
        <w:t>招标</w:t>
      </w:r>
      <w:r>
        <w:rPr>
          <w:rFonts w:ascii="宋体" w:eastAsia="宋体" w:hAnsi="宋体" w:cs="宋体" w:hint="eastAsia"/>
          <w:kern w:val="2"/>
          <w:sz w:val="21"/>
          <w:szCs w:val="21"/>
          <w:lang w:val="en-US" w:eastAsia="zh-CN" w:bidi="ar"/>
        </w:rPr>
        <w:t>文件-技术部分》中有标注“#”为重要指标</w:t>
      </w:r>
      <w:r>
        <w:rPr>
          <w:rFonts w:ascii="宋体" w:hAnsi="宋体" w:cs="宋体" w:hint="eastAsia"/>
          <w:kern w:val="2"/>
          <w:sz w:val="21"/>
          <w:szCs w:val="21"/>
          <w:lang w:val="en-US" w:eastAsia="zh-CN" w:bidi="ar"/>
        </w:rPr>
        <w:t>项</w:t>
      </w:r>
      <w:r>
        <w:rPr>
          <w:rFonts w:ascii="宋体" w:eastAsia="宋体" w:hAnsi="宋体" w:cs="宋体" w:hint="eastAsia"/>
          <w:kern w:val="2"/>
          <w:sz w:val="21"/>
          <w:szCs w:val="21"/>
          <w:lang w:val="en-US" w:eastAsia="zh-CN" w:bidi="ar"/>
        </w:rPr>
        <w:t>、标注“△”为一般指标项，接受供应商应答为“负偏离”；如供应商应答为</w:t>
      </w:r>
      <w:r>
        <w:rPr>
          <w:rFonts w:ascii="宋体" w:eastAsia="宋体" w:hAnsi="宋体" w:cs="宋体" w:hint="eastAsia"/>
          <w:b w:val="0"/>
          <w:kern w:val="2"/>
          <w:sz w:val="21"/>
          <w:szCs w:val="21"/>
          <w:lang w:val="en-US" w:eastAsia="zh-CN" w:bidi="ar"/>
        </w:rPr>
        <w:t>“无偏离”或“正偏离”，</w:t>
      </w:r>
      <w:r>
        <w:rPr>
          <w:rFonts w:ascii="宋体" w:eastAsia="宋体" w:hAnsi="宋体" w:cs="宋体" w:hint="eastAsia"/>
          <w:kern w:val="2"/>
          <w:sz w:val="21"/>
          <w:szCs w:val="21"/>
          <w:lang w:val="en-US" w:eastAsia="zh-CN" w:bidi="ar"/>
        </w:rPr>
        <w:t>将根据评审标准在评审时</w:t>
      </w:r>
      <w:r>
        <w:rPr>
          <w:rFonts w:ascii="宋体" w:hAnsi="宋体" w:cs="宋体" w:hint="eastAsia"/>
          <w:kern w:val="2"/>
          <w:sz w:val="21"/>
          <w:szCs w:val="21"/>
          <w:lang w:val="en-US" w:eastAsia="zh-CN" w:bidi="ar"/>
        </w:rPr>
        <w:t>获得相应分值</w:t>
      </w:r>
      <w:r>
        <w:rPr>
          <w:rFonts w:ascii="宋体" w:eastAsia="宋体" w:hAnsi="宋体" w:cs="宋体" w:hint="eastAsia"/>
          <w:kern w:val="2"/>
          <w:sz w:val="21"/>
          <w:szCs w:val="21"/>
          <w:lang w:val="en-US" w:eastAsia="zh-CN" w:bidi="ar"/>
        </w:rPr>
        <w:t>。</w:t>
      </w:r>
    </w:p>
    <w:p w14:paraId="1B76E103">
      <w:pPr>
        <w:keepNext w:val="0"/>
        <w:keepLines w:val="0"/>
        <w:pageBreakBefore w:val="0"/>
        <w:widowControl w:val="0"/>
        <w:kinsoku/>
        <w:wordWrap/>
        <w:overflowPunct/>
        <w:topLinePunct w:val="0"/>
        <w:autoSpaceDE/>
        <w:autoSpaceDN/>
        <w:bidi w:val="0"/>
        <w:adjustRightInd w:val="0"/>
        <w:snapToGrid w:val="0"/>
        <w:spacing w:before="0" w:beforeAutospacing="0" w:after="0" w:afterAutospacing="0" w:line="240" w:lineRule="auto"/>
        <w:ind w:firstLine="420" w:firstLineChars="200"/>
        <w:textAlignment w:val="auto"/>
        <w:rPr>
          <w:rFonts w:hAnsi="宋体" w:cs="宋体"/>
          <w:color w:val="auto"/>
        </w:rPr>
      </w:pPr>
    </w:p>
    <w:p w14:paraId="55EEB5FB">
      <w:pPr>
        <w:pStyle w:val="NormalIndent1"/>
        <w:spacing w:before="0" w:beforeAutospacing="0" w:after="0" w:afterAutospacing="0"/>
        <w:rPr>
          <w:color w:val="auto"/>
        </w:rPr>
      </w:pPr>
    </w:p>
    <w:p w14:paraId="3C53CAEE">
      <w:pPr>
        <w:adjustRightInd w:val="0"/>
        <w:snapToGrid w:val="0"/>
        <w:spacing w:before="0" w:beforeAutospacing="0" w:after="0" w:afterAutospacing="0" w:line="360" w:lineRule="auto"/>
        <w:ind w:firstLine="480" w:firstLineChars="200"/>
        <w:rPr>
          <w:rFonts w:hAnsi="宋体" w:cs="宋体"/>
          <w:color w:val="auto"/>
        </w:rPr>
      </w:pPr>
      <w:r>
        <w:rPr>
          <w:rFonts w:hAnsi="宋体" w:cs="宋体" w:hint="eastAsia"/>
          <w:color w:val="auto"/>
          <w:sz w:val="24"/>
        </w:rPr>
        <w:t>投标人名称（电子签章）：</w:t>
      </w:r>
    </w:p>
    <w:p w14:paraId="27014444">
      <w:pPr>
        <w:adjustRightInd w:val="0"/>
        <w:snapToGrid w:val="0"/>
        <w:spacing w:before="0" w:beforeAutospacing="0" w:after="0" w:afterAutospacing="0" w:line="360" w:lineRule="auto"/>
        <w:ind w:firstLine="480" w:firstLineChars="200"/>
        <w:rPr>
          <w:rFonts w:hint="eastAsia"/>
        </w:rPr>
      </w:pPr>
      <w:r>
        <w:rPr>
          <w:rFonts w:hAnsi="宋体" w:cs="宋体" w:hint="eastAsia"/>
          <w:color w:val="auto"/>
          <w:sz w:val="24"/>
        </w:rPr>
        <w:t>日期：</w:t>
      </w:r>
    </w:p>
    <w:p w14:paraId="2CF8597E">
      <w:pPr>
        <w:topLinePunct/>
        <w:autoSpaceDE w:val="0"/>
        <w:autoSpaceDN w:val="0"/>
        <w:spacing w:before="0" w:beforeAutospacing="0" w:after="0" w:afterAutospacing="0" w:line="460" w:lineRule="exact"/>
        <w:jc w:val="center"/>
        <w:rPr>
          <w:rFonts w:ascii="宋体" w:hAnsi="宋体" w:cs="宋体" w:hint="eastAsia"/>
          <w:b/>
          <w:bCs/>
          <w:color w:val="auto"/>
          <w:sz w:val="36"/>
          <w:szCs w:val="36"/>
        </w:rPr>
      </w:pPr>
      <w:r w:rsidR="00A77B3E">
        <w:br w:type="page"/>
      </w:r>
      <w:r>
        <w:rPr>
          <w:rFonts w:ascii="宋体" w:hAnsi="宋体" w:cs="宋体" w:hint="eastAsia"/>
          <w:b/>
          <w:bCs/>
          <w:color w:val="auto"/>
          <w:sz w:val="36"/>
          <w:szCs w:val="36"/>
        </w:rPr>
        <w:t xml:space="preserve">格式10 </w:t>
      </w:r>
      <w:r>
        <w:rPr>
          <w:rFonts w:ascii="宋体" w:hAnsi="宋体" w:cs="宋体" w:hint="eastAsia"/>
          <w:b/>
          <w:bCs/>
          <w:color w:val="auto"/>
          <w:sz w:val="36"/>
          <w:szCs w:val="36"/>
        </w:rPr>
        <w:t>技术力量一览表</w:t>
      </w:r>
    </w:p>
    <w:tbl>
      <w:tblPr>
        <w:tblStyle w:val="TableNormal"/>
        <w:tblW w:w="0" w:type="auto"/>
        <w:tblInd w:w="-3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800"/>
        <w:gridCol w:w="991"/>
        <w:gridCol w:w="1084"/>
        <w:gridCol w:w="1084"/>
        <w:gridCol w:w="1291"/>
        <w:gridCol w:w="1400"/>
        <w:gridCol w:w="1188"/>
        <w:gridCol w:w="750"/>
        <w:gridCol w:w="821"/>
      </w:tblGrid>
      <w:tr w14:paraId="21920541">
        <w:tblPrEx>
          <w:tblW w:w="0" w:type="auto"/>
          <w:tblInd w:w="-3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Ex>
        <w:trPr>
          <w:trHeight w:val="759"/>
        </w:trPr>
        <w:tc>
          <w:tcPr>
            <w:tcW w:w="800" w:type="dxa"/>
            <w:tcBorders>
              <w:top w:val="single" w:sz="4" w:space="0" w:color="auto"/>
              <w:left w:val="single" w:sz="4" w:space="0" w:color="auto"/>
              <w:bottom w:val="single" w:sz="4" w:space="0" w:color="auto"/>
              <w:right w:val="single" w:sz="4" w:space="0" w:color="auto"/>
            </w:tcBorders>
            <w:noWrap w:val="0"/>
            <w:vAlign w:val="center"/>
          </w:tcPr>
          <w:p w14:paraId="0BE6009F">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b/>
                <w:color w:val="auto"/>
                <w:highlight w:val="none"/>
              </w:rPr>
            </w:pPr>
            <w:r>
              <w:rPr>
                <w:rFonts w:ascii="宋体" w:hAnsi="宋体" w:cs="宋体" w:hint="eastAsia"/>
                <w:b/>
                <w:color w:val="auto"/>
                <w:sz w:val="24"/>
                <w:highlight w:val="none"/>
              </w:rPr>
              <w:t>序号</w:t>
            </w:r>
          </w:p>
        </w:tc>
        <w:tc>
          <w:tcPr>
            <w:tcW w:w="991" w:type="dxa"/>
            <w:tcBorders>
              <w:top w:val="single" w:sz="4" w:space="0" w:color="auto"/>
              <w:left w:val="single" w:sz="4" w:space="0" w:color="auto"/>
              <w:bottom w:val="single" w:sz="4" w:space="0" w:color="auto"/>
              <w:right w:val="single" w:sz="4" w:space="0" w:color="auto"/>
            </w:tcBorders>
            <w:noWrap w:val="0"/>
            <w:vAlign w:val="center"/>
          </w:tcPr>
          <w:p w14:paraId="46FA09F7">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b/>
                <w:color w:val="auto"/>
                <w:highlight w:val="none"/>
              </w:rPr>
            </w:pPr>
            <w:r>
              <w:rPr>
                <w:rFonts w:ascii="宋体" w:hAnsi="宋体" w:cs="宋体" w:hint="eastAsia"/>
                <w:b/>
                <w:color w:val="auto"/>
                <w:sz w:val="24"/>
                <w:highlight w:val="none"/>
              </w:rPr>
              <w:t>姓 名</w:t>
            </w:r>
          </w:p>
        </w:tc>
        <w:tc>
          <w:tcPr>
            <w:tcW w:w="1084" w:type="dxa"/>
            <w:tcBorders>
              <w:top w:val="single" w:sz="4" w:space="0" w:color="auto"/>
              <w:left w:val="single" w:sz="4" w:space="0" w:color="auto"/>
              <w:bottom w:val="single" w:sz="4" w:space="0" w:color="auto"/>
              <w:right w:val="single" w:sz="4" w:space="0" w:color="auto"/>
            </w:tcBorders>
            <w:noWrap w:val="0"/>
            <w:vAlign w:val="center"/>
          </w:tcPr>
          <w:p w14:paraId="76B86179">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b/>
                <w:color w:val="auto"/>
                <w:highlight w:val="none"/>
              </w:rPr>
            </w:pPr>
            <w:r>
              <w:rPr>
                <w:rFonts w:ascii="宋体" w:hAnsi="宋体" w:cs="宋体" w:hint="eastAsia"/>
                <w:b/>
                <w:color w:val="auto"/>
                <w:sz w:val="24"/>
                <w:highlight w:val="none"/>
              </w:rPr>
              <w:t>技术</w:t>
            </w:r>
          </w:p>
          <w:p w14:paraId="40F9E229">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b/>
                <w:color w:val="auto"/>
                <w:highlight w:val="none"/>
              </w:rPr>
            </w:pPr>
            <w:r>
              <w:rPr>
                <w:rFonts w:ascii="宋体" w:hAnsi="宋体" w:cs="宋体" w:hint="eastAsia"/>
                <w:b/>
                <w:color w:val="auto"/>
                <w:sz w:val="24"/>
                <w:highlight w:val="none"/>
              </w:rPr>
              <w:t>职称</w:t>
            </w:r>
          </w:p>
        </w:tc>
        <w:tc>
          <w:tcPr>
            <w:tcW w:w="1084" w:type="dxa"/>
            <w:tcBorders>
              <w:top w:val="single" w:sz="4" w:space="0" w:color="auto"/>
              <w:left w:val="single" w:sz="4" w:space="0" w:color="auto"/>
              <w:bottom w:val="single" w:sz="4" w:space="0" w:color="auto"/>
              <w:right w:val="single" w:sz="4" w:space="0" w:color="auto"/>
            </w:tcBorders>
            <w:noWrap w:val="0"/>
            <w:vAlign w:val="center"/>
          </w:tcPr>
          <w:p w14:paraId="12913389">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b/>
                <w:color w:val="auto"/>
                <w:highlight w:val="none"/>
              </w:rPr>
            </w:pPr>
            <w:r>
              <w:rPr>
                <w:rFonts w:ascii="宋体" w:hAnsi="宋体" w:cs="宋体" w:hint="eastAsia"/>
                <w:b/>
                <w:color w:val="auto"/>
                <w:sz w:val="24"/>
                <w:highlight w:val="none"/>
              </w:rPr>
              <w:t>人员</w:t>
            </w:r>
          </w:p>
          <w:p w14:paraId="05E284EB">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b/>
                <w:color w:val="auto"/>
                <w:highlight w:val="none"/>
              </w:rPr>
            </w:pPr>
            <w:r>
              <w:rPr>
                <w:rFonts w:ascii="宋体" w:hAnsi="宋体" w:cs="宋体" w:hint="eastAsia"/>
                <w:b/>
                <w:color w:val="auto"/>
                <w:sz w:val="24"/>
                <w:highlight w:val="none"/>
              </w:rPr>
              <w:t>级别</w:t>
            </w:r>
          </w:p>
        </w:tc>
        <w:tc>
          <w:tcPr>
            <w:tcW w:w="1291" w:type="dxa"/>
            <w:tcBorders>
              <w:top w:val="single" w:sz="4" w:space="0" w:color="auto"/>
              <w:left w:val="single" w:sz="4" w:space="0" w:color="auto"/>
              <w:bottom w:val="single" w:sz="4" w:space="0" w:color="auto"/>
              <w:right w:val="single" w:sz="4" w:space="0" w:color="auto"/>
            </w:tcBorders>
            <w:noWrap w:val="0"/>
            <w:vAlign w:val="center"/>
          </w:tcPr>
          <w:p w14:paraId="5F4760FB">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b/>
                <w:color w:val="auto"/>
                <w:highlight w:val="none"/>
              </w:rPr>
            </w:pPr>
            <w:r>
              <w:rPr>
                <w:rFonts w:ascii="宋体" w:hAnsi="宋体" w:cs="宋体" w:hint="eastAsia"/>
                <w:b/>
                <w:color w:val="auto"/>
                <w:sz w:val="24"/>
                <w:highlight w:val="none"/>
                <w:lang w:eastAsia="zh-CN"/>
              </w:rPr>
              <w:t>相关工作经验年限</w:t>
            </w:r>
          </w:p>
        </w:tc>
        <w:tc>
          <w:tcPr>
            <w:tcW w:w="1400" w:type="dxa"/>
            <w:tcBorders>
              <w:top w:val="single" w:sz="4" w:space="0" w:color="auto"/>
              <w:left w:val="single" w:sz="4" w:space="0" w:color="auto"/>
              <w:bottom w:val="single" w:sz="4" w:space="0" w:color="auto"/>
              <w:right w:val="single" w:sz="4" w:space="0" w:color="auto"/>
            </w:tcBorders>
            <w:noWrap w:val="0"/>
            <w:vAlign w:val="center"/>
          </w:tcPr>
          <w:p w14:paraId="72F67F2B">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b/>
                <w:color w:val="auto"/>
                <w:highlight w:val="none"/>
              </w:rPr>
            </w:pPr>
            <w:r>
              <w:rPr>
                <w:rFonts w:ascii="宋体" w:hAnsi="宋体" w:cs="宋体" w:hint="eastAsia"/>
                <w:b/>
                <w:color w:val="auto"/>
                <w:sz w:val="24"/>
                <w:highlight w:val="none"/>
              </w:rPr>
              <w:t>本项目中担任职务</w:t>
            </w:r>
          </w:p>
        </w:tc>
        <w:tc>
          <w:tcPr>
            <w:tcW w:w="1188" w:type="dxa"/>
            <w:tcBorders>
              <w:top w:val="single" w:sz="4" w:space="0" w:color="auto"/>
              <w:left w:val="single" w:sz="4" w:space="0" w:color="auto"/>
              <w:bottom w:val="single" w:sz="4" w:space="0" w:color="auto"/>
              <w:right w:val="single" w:sz="4" w:space="0" w:color="auto"/>
            </w:tcBorders>
            <w:noWrap w:val="0"/>
            <w:vAlign w:val="center"/>
          </w:tcPr>
          <w:p w14:paraId="0BE2D636">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b/>
                <w:color w:val="auto"/>
                <w:highlight w:val="none"/>
              </w:rPr>
            </w:pPr>
            <w:r>
              <w:rPr>
                <w:rFonts w:ascii="宋体" w:hAnsi="宋体" w:cs="宋体" w:hint="eastAsia"/>
                <w:b/>
                <w:color w:val="auto"/>
                <w:sz w:val="24"/>
                <w:highlight w:val="none"/>
              </w:rPr>
              <w:t>认证情况</w:t>
            </w:r>
          </w:p>
        </w:tc>
        <w:tc>
          <w:tcPr>
            <w:tcW w:w="750" w:type="dxa"/>
            <w:tcBorders>
              <w:top w:val="single" w:sz="4" w:space="0" w:color="auto"/>
              <w:left w:val="single" w:sz="4" w:space="0" w:color="auto"/>
              <w:bottom w:val="single" w:sz="4" w:space="0" w:color="auto"/>
              <w:right w:val="single" w:sz="4" w:space="0" w:color="auto"/>
            </w:tcBorders>
            <w:noWrap w:val="0"/>
            <w:vAlign w:val="center"/>
          </w:tcPr>
          <w:p w14:paraId="1EBD314F">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b/>
                <w:color w:val="auto"/>
                <w:highlight w:val="none"/>
              </w:rPr>
            </w:pPr>
            <w:r>
              <w:rPr>
                <w:rFonts w:ascii="宋体" w:hAnsi="宋体" w:cs="宋体" w:hint="eastAsia"/>
                <w:b/>
                <w:color w:val="auto"/>
                <w:sz w:val="24"/>
                <w:highlight w:val="none"/>
                <w:lang w:eastAsia="zh-CN"/>
              </w:rPr>
              <w:t>是否驻场</w:t>
            </w:r>
          </w:p>
        </w:tc>
        <w:tc>
          <w:tcPr>
            <w:tcW w:w="821" w:type="dxa"/>
            <w:tcBorders>
              <w:top w:val="single" w:sz="4" w:space="0" w:color="auto"/>
              <w:left w:val="single" w:sz="4" w:space="0" w:color="auto"/>
              <w:bottom w:val="single" w:sz="4" w:space="0" w:color="auto"/>
              <w:right w:val="single" w:sz="4" w:space="0" w:color="auto"/>
            </w:tcBorders>
            <w:noWrap w:val="0"/>
            <w:vAlign w:val="center"/>
          </w:tcPr>
          <w:p w14:paraId="1ECFB755">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b/>
                <w:color w:val="auto"/>
                <w:highlight w:val="none"/>
              </w:rPr>
            </w:pPr>
            <w:r>
              <w:rPr>
                <w:rFonts w:ascii="宋体" w:hAnsi="宋体" w:cs="宋体" w:hint="eastAsia"/>
                <w:b/>
                <w:color w:val="auto"/>
                <w:sz w:val="24"/>
                <w:highlight w:val="none"/>
                <w:lang w:eastAsia="zh-CN"/>
              </w:rPr>
              <w:t>是否专职</w:t>
            </w:r>
          </w:p>
        </w:tc>
      </w:tr>
      <w:tr w14:paraId="7100FB64">
        <w:tblPrEx>
          <w:tblW w:w="0" w:type="auto"/>
          <w:tblInd w:w="-383" w:type="dxa"/>
          <w:tblLayout w:type="fixed"/>
          <w:tblCellMar>
            <w:top w:w="0" w:type="dxa"/>
            <w:left w:w="108" w:type="dxa"/>
            <w:bottom w:w="0" w:type="dxa"/>
            <w:right w:w="108" w:type="dxa"/>
          </w:tblCellMar>
        </w:tblPrEx>
        <w:trPr>
          <w:trHeight w:val="90"/>
        </w:trPr>
        <w:tc>
          <w:tcPr>
            <w:tcW w:w="800" w:type="dxa"/>
            <w:tcBorders>
              <w:top w:val="single" w:sz="4" w:space="0" w:color="auto"/>
              <w:left w:val="single" w:sz="4" w:space="0" w:color="auto"/>
              <w:bottom w:val="single" w:sz="4" w:space="0" w:color="auto"/>
              <w:right w:val="single" w:sz="4" w:space="0" w:color="auto"/>
            </w:tcBorders>
            <w:noWrap w:val="0"/>
            <w:vAlign w:val="center"/>
          </w:tcPr>
          <w:p w14:paraId="777E4822">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r>
              <w:rPr>
                <w:rFonts w:ascii="宋体" w:hAnsi="宋体" w:cs="宋体" w:hint="eastAsia"/>
                <w:color w:val="auto"/>
                <w:sz w:val="24"/>
                <w:highlight w:val="none"/>
              </w:rPr>
              <w:t>1</w:t>
            </w:r>
          </w:p>
        </w:tc>
        <w:tc>
          <w:tcPr>
            <w:tcW w:w="991" w:type="dxa"/>
            <w:tcBorders>
              <w:top w:val="single" w:sz="4" w:space="0" w:color="auto"/>
              <w:left w:val="single" w:sz="4" w:space="0" w:color="auto"/>
              <w:bottom w:val="single" w:sz="4" w:space="0" w:color="auto"/>
              <w:right w:val="single" w:sz="4" w:space="0" w:color="auto"/>
            </w:tcBorders>
            <w:noWrap w:val="0"/>
            <w:vAlign w:val="center"/>
          </w:tcPr>
          <w:p w14:paraId="3B1AB0B5">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084" w:type="dxa"/>
            <w:tcBorders>
              <w:top w:val="single" w:sz="4" w:space="0" w:color="auto"/>
              <w:left w:val="single" w:sz="4" w:space="0" w:color="auto"/>
              <w:bottom w:val="single" w:sz="4" w:space="0" w:color="auto"/>
              <w:right w:val="single" w:sz="4" w:space="0" w:color="auto"/>
            </w:tcBorders>
            <w:noWrap w:val="0"/>
            <w:vAlign w:val="center"/>
          </w:tcPr>
          <w:p w14:paraId="4DB9ACC2">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084" w:type="dxa"/>
            <w:tcBorders>
              <w:top w:val="single" w:sz="4" w:space="0" w:color="auto"/>
              <w:left w:val="single" w:sz="4" w:space="0" w:color="auto"/>
              <w:bottom w:val="single" w:sz="4" w:space="0" w:color="auto"/>
              <w:right w:val="single" w:sz="4" w:space="0" w:color="auto"/>
            </w:tcBorders>
            <w:noWrap w:val="0"/>
            <w:vAlign w:val="center"/>
          </w:tcPr>
          <w:p w14:paraId="31FF9CCF">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291" w:type="dxa"/>
            <w:tcBorders>
              <w:top w:val="single" w:sz="4" w:space="0" w:color="auto"/>
              <w:left w:val="single" w:sz="4" w:space="0" w:color="auto"/>
              <w:bottom w:val="single" w:sz="4" w:space="0" w:color="auto"/>
              <w:right w:val="single" w:sz="4" w:space="0" w:color="auto"/>
            </w:tcBorders>
            <w:noWrap w:val="0"/>
            <w:vAlign w:val="center"/>
          </w:tcPr>
          <w:p w14:paraId="3EE15778">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400" w:type="dxa"/>
            <w:tcBorders>
              <w:top w:val="single" w:sz="4" w:space="0" w:color="auto"/>
              <w:left w:val="single" w:sz="4" w:space="0" w:color="auto"/>
              <w:bottom w:val="single" w:sz="4" w:space="0" w:color="auto"/>
              <w:right w:val="single" w:sz="4" w:space="0" w:color="auto"/>
            </w:tcBorders>
            <w:noWrap w:val="0"/>
            <w:vAlign w:val="center"/>
          </w:tcPr>
          <w:p w14:paraId="262F2286">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188" w:type="dxa"/>
            <w:tcBorders>
              <w:top w:val="single" w:sz="4" w:space="0" w:color="auto"/>
              <w:left w:val="single" w:sz="4" w:space="0" w:color="auto"/>
              <w:bottom w:val="single" w:sz="4" w:space="0" w:color="auto"/>
              <w:right w:val="single" w:sz="4" w:space="0" w:color="auto"/>
            </w:tcBorders>
            <w:noWrap w:val="0"/>
            <w:vAlign w:val="center"/>
          </w:tcPr>
          <w:p w14:paraId="79682135">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750" w:type="dxa"/>
            <w:tcBorders>
              <w:top w:val="single" w:sz="4" w:space="0" w:color="auto"/>
              <w:left w:val="single" w:sz="4" w:space="0" w:color="auto"/>
              <w:bottom w:val="single" w:sz="4" w:space="0" w:color="auto"/>
              <w:right w:val="single" w:sz="4" w:space="0" w:color="auto"/>
            </w:tcBorders>
            <w:noWrap w:val="0"/>
            <w:vAlign w:val="center"/>
          </w:tcPr>
          <w:p w14:paraId="62D2C22F">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821" w:type="dxa"/>
            <w:tcBorders>
              <w:top w:val="single" w:sz="4" w:space="0" w:color="auto"/>
              <w:left w:val="single" w:sz="4" w:space="0" w:color="auto"/>
              <w:bottom w:val="single" w:sz="4" w:space="0" w:color="auto"/>
              <w:right w:val="single" w:sz="4" w:space="0" w:color="auto"/>
            </w:tcBorders>
            <w:noWrap w:val="0"/>
            <w:vAlign w:val="center"/>
          </w:tcPr>
          <w:p w14:paraId="25AA7976">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r>
      <w:tr w14:paraId="03CE8515">
        <w:tblPrEx>
          <w:tblW w:w="0" w:type="auto"/>
          <w:tblInd w:w="-383" w:type="dxa"/>
          <w:tblLayout w:type="fixed"/>
          <w:tblCellMar>
            <w:top w:w="0" w:type="dxa"/>
            <w:left w:w="108" w:type="dxa"/>
            <w:bottom w:w="0" w:type="dxa"/>
            <w:right w:w="108" w:type="dxa"/>
          </w:tblCellMar>
        </w:tblPrEx>
        <w:tc>
          <w:tcPr>
            <w:tcW w:w="800" w:type="dxa"/>
            <w:tcBorders>
              <w:top w:val="single" w:sz="4" w:space="0" w:color="auto"/>
              <w:left w:val="single" w:sz="4" w:space="0" w:color="auto"/>
              <w:bottom w:val="single" w:sz="4" w:space="0" w:color="auto"/>
              <w:right w:val="single" w:sz="4" w:space="0" w:color="auto"/>
            </w:tcBorders>
            <w:noWrap w:val="0"/>
            <w:vAlign w:val="center"/>
          </w:tcPr>
          <w:p w14:paraId="39AA27D5">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r>
              <w:rPr>
                <w:rFonts w:ascii="宋体" w:hAnsi="宋体" w:cs="宋体" w:hint="eastAsia"/>
                <w:color w:val="auto"/>
                <w:sz w:val="24"/>
                <w:highlight w:val="none"/>
              </w:rPr>
              <w:t>2</w:t>
            </w:r>
          </w:p>
        </w:tc>
        <w:tc>
          <w:tcPr>
            <w:tcW w:w="991" w:type="dxa"/>
            <w:tcBorders>
              <w:top w:val="single" w:sz="4" w:space="0" w:color="auto"/>
              <w:left w:val="single" w:sz="4" w:space="0" w:color="auto"/>
              <w:bottom w:val="single" w:sz="4" w:space="0" w:color="auto"/>
              <w:right w:val="single" w:sz="4" w:space="0" w:color="auto"/>
            </w:tcBorders>
            <w:noWrap w:val="0"/>
            <w:vAlign w:val="center"/>
          </w:tcPr>
          <w:p w14:paraId="5499A13D">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084" w:type="dxa"/>
            <w:tcBorders>
              <w:top w:val="single" w:sz="4" w:space="0" w:color="auto"/>
              <w:left w:val="single" w:sz="4" w:space="0" w:color="auto"/>
              <w:bottom w:val="single" w:sz="4" w:space="0" w:color="auto"/>
              <w:right w:val="single" w:sz="4" w:space="0" w:color="auto"/>
            </w:tcBorders>
            <w:noWrap w:val="0"/>
            <w:vAlign w:val="center"/>
          </w:tcPr>
          <w:p w14:paraId="176362DF">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084" w:type="dxa"/>
            <w:tcBorders>
              <w:top w:val="single" w:sz="4" w:space="0" w:color="auto"/>
              <w:left w:val="single" w:sz="4" w:space="0" w:color="auto"/>
              <w:bottom w:val="single" w:sz="4" w:space="0" w:color="auto"/>
              <w:right w:val="single" w:sz="4" w:space="0" w:color="auto"/>
            </w:tcBorders>
            <w:noWrap w:val="0"/>
            <w:vAlign w:val="center"/>
          </w:tcPr>
          <w:p w14:paraId="6F1714DC">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291" w:type="dxa"/>
            <w:tcBorders>
              <w:top w:val="single" w:sz="4" w:space="0" w:color="auto"/>
              <w:left w:val="single" w:sz="4" w:space="0" w:color="auto"/>
              <w:bottom w:val="single" w:sz="4" w:space="0" w:color="auto"/>
              <w:right w:val="single" w:sz="4" w:space="0" w:color="auto"/>
            </w:tcBorders>
            <w:noWrap w:val="0"/>
            <w:vAlign w:val="center"/>
          </w:tcPr>
          <w:p w14:paraId="708CAEB5">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400" w:type="dxa"/>
            <w:tcBorders>
              <w:top w:val="single" w:sz="4" w:space="0" w:color="auto"/>
              <w:left w:val="single" w:sz="4" w:space="0" w:color="auto"/>
              <w:bottom w:val="single" w:sz="4" w:space="0" w:color="auto"/>
              <w:right w:val="single" w:sz="4" w:space="0" w:color="auto"/>
            </w:tcBorders>
            <w:noWrap w:val="0"/>
            <w:vAlign w:val="center"/>
          </w:tcPr>
          <w:p w14:paraId="649EAFA5">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188" w:type="dxa"/>
            <w:tcBorders>
              <w:top w:val="single" w:sz="4" w:space="0" w:color="auto"/>
              <w:left w:val="single" w:sz="4" w:space="0" w:color="auto"/>
              <w:bottom w:val="single" w:sz="4" w:space="0" w:color="auto"/>
              <w:right w:val="single" w:sz="4" w:space="0" w:color="auto"/>
            </w:tcBorders>
            <w:noWrap w:val="0"/>
            <w:vAlign w:val="center"/>
          </w:tcPr>
          <w:p w14:paraId="62BDF484">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750" w:type="dxa"/>
            <w:tcBorders>
              <w:top w:val="single" w:sz="4" w:space="0" w:color="auto"/>
              <w:left w:val="single" w:sz="4" w:space="0" w:color="auto"/>
              <w:bottom w:val="single" w:sz="4" w:space="0" w:color="auto"/>
              <w:right w:val="single" w:sz="4" w:space="0" w:color="auto"/>
            </w:tcBorders>
            <w:noWrap w:val="0"/>
            <w:vAlign w:val="center"/>
          </w:tcPr>
          <w:p w14:paraId="543B488B">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821" w:type="dxa"/>
            <w:tcBorders>
              <w:top w:val="single" w:sz="4" w:space="0" w:color="auto"/>
              <w:left w:val="single" w:sz="4" w:space="0" w:color="auto"/>
              <w:bottom w:val="single" w:sz="4" w:space="0" w:color="auto"/>
              <w:right w:val="single" w:sz="4" w:space="0" w:color="auto"/>
            </w:tcBorders>
            <w:noWrap w:val="0"/>
            <w:vAlign w:val="center"/>
          </w:tcPr>
          <w:p w14:paraId="202F2B04">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r>
      <w:tr w14:paraId="34B5AE19">
        <w:tblPrEx>
          <w:tblW w:w="0" w:type="auto"/>
          <w:tblInd w:w="-383" w:type="dxa"/>
          <w:tblLayout w:type="fixed"/>
          <w:tblCellMar>
            <w:top w:w="0" w:type="dxa"/>
            <w:left w:w="108" w:type="dxa"/>
            <w:bottom w:w="0" w:type="dxa"/>
            <w:right w:w="108" w:type="dxa"/>
          </w:tblCellMar>
        </w:tblPrEx>
        <w:tc>
          <w:tcPr>
            <w:tcW w:w="800" w:type="dxa"/>
            <w:tcBorders>
              <w:top w:val="single" w:sz="4" w:space="0" w:color="auto"/>
              <w:left w:val="single" w:sz="4" w:space="0" w:color="auto"/>
              <w:bottom w:val="single" w:sz="4" w:space="0" w:color="auto"/>
              <w:right w:val="single" w:sz="4" w:space="0" w:color="auto"/>
            </w:tcBorders>
            <w:noWrap w:val="0"/>
            <w:vAlign w:val="center"/>
          </w:tcPr>
          <w:p w14:paraId="3D313850">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r>
              <w:rPr>
                <w:rFonts w:ascii="宋体" w:hAnsi="宋体" w:cs="宋体" w:hint="eastAsia"/>
                <w:color w:val="auto"/>
                <w:highlight w:val="none"/>
                <w:lang w:val="en-US" w:eastAsia="zh-CN"/>
              </w:rPr>
              <w:t>3</w:t>
            </w:r>
          </w:p>
        </w:tc>
        <w:tc>
          <w:tcPr>
            <w:tcW w:w="991" w:type="dxa"/>
            <w:tcBorders>
              <w:top w:val="single" w:sz="4" w:space="0" w:color="auto"/>
              <w:left w:val="single" w:sz="4" w:space="0" w:color="auto"/>
              <w:bottom w:val="single" w:sz="4" w:space="0" w:color="auto"/>
              <w:right w:val="single" w:sz="4" w:space="0" w:color="auto"/>
            </w:tcBorders>
            <w:noWrap w:val="0"/>
            <w:vAlign w:val="center"/>
          </w:tcPr>
          <w:p w14:paraId="707FEE6E">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084" w:type="dxa"/>
            <w:tcBorders>
              <w:top w:val="single" w:sz="4" w:space="0" w:color="auto"/>
              <w:left w:val="single" w:sz="4" w:space="0" w:color="auto"/>
              <w:bottom w:val="single" w:sz="4" w:space="0" w:color="auto"/>
              <w:right w:val="single" w:sz="4" w:space="0" w:color="auto"/>
            </w:tcBorders>
            <w:noWrap w:val="0"/>
            <w:vAlign w:val="center"/>
          </w:tcPr>
          <w:p w14:paraId="4DF3B3E4">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084" w:type="dxa"/>
            <w:tcBorders>
              <w:top w:val="single" w:sz="4" w:space="0" w:color="auto"/>
              <w:left w:val="single" w:sz="4" w:space="0" w:color="auto"/>
              <w:bottom w:val="single" w:sz="4" w:space="0" w:color="auto"/>
              <w:right w:val="single" w:sz="4" w:space="0" w:color="auto"/>
            </w:tcBorders>
            <w:noWrap w:val="0"/>
            <w:vAlign w:val="center"/>
          </w:tcPr>
          <w:p w14:paraId="469EEB3C">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291" w:type="dxa"/>
            <w:tcBorders>
              <w:top w:val="single" w:sz="4" w:space="0" w:color="auto"/>
              <w:left w:val="single" w:sz="4" w:space="0" w:color="auto"/>
              <w:bottom w:val="single" w:sz="4" w:space="0" w:color="auto"/>
              <w:right w:val="single" w:sz="4" w:space="0" w:color="auto"/>
            </w:tcBorders>
            <w:noWrap w:val="0"/>
            <w:vAlign w:val="center"/>
          </w:tcPr>
          <w:p w14:paraId="031251C0">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400" w:type="dxa"/>
            <w:tcBorders>
              <w:top w:val="single" w:sz="4" w:space="0" w:color="auto"/>
              <w:left w:val="single" w:sz="4" w:space="0" w:color="auto"/>
              <w:bottom w:val="single" w:sz="4" w:space="0" w:color="auto"/>
              <w:right w:val="single" w:sz="4" w:space="0" w:color="auto"/>
            </w:tcBorders>
            <w:noWrap w:val="0"/>
            <w:vAlign w:val="center"/>
          </w:tcPr>
          <w:p w14:paraId="068CC218">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188" w:type="dxa"/>
            <w:tcBorders>
              <w:top w:val="single" w:sz="4" w:space="0" w:color="auto"/>
              <w:left w:val="single" w:sz="4" w:space="0" w:color="auto"/>
              <w:bottom w:val="single" w:sz="4" w:space="0" w:color="auto"/>
              <w:right w:val="single" w:sz="4" w:space="0" w:color="auto"/>
            </w:tcBorders>
            <w:noWrap w:val="0"/>
            <w:vAlign w:val="center"/>
          </w:tcPr>
          <w:p w14:paraId="1978B1A3">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750" w:type="dxa"/>
            <w:tcBorders>
              <w:top w:val="single" w:sz="4" w:space="0" w:color="auto"/>
              <w:left w:val="single" w:sz="4" w:space="0" w:color="auto"/>
              <w:bottom w:val="single" w:sz="4" w:space="0" w:color="auto"/>
              <w:right w:val="single" w:sz="4" w:space="0" w:color="auto"/>
            </w:tcBorders>
            <w:noWrap w:val="0"/>
            <w:vAlign w:val="center"/>
          </w:tcPr>
          <w:p w14:paraId="7B45E7AB">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821" w:type="dxa"/>
            <w:tcBorders>
              <w:top w:val="single" w:sz="4" w:space="0" w:color="auto"/>
              <w:left w:val="single" w:sz="4" w:space="0" w:color="auto"/>
              <w:bottom w:val="single" w:sz="4" w:space="0" w:color="auto"/>
              <w:right w:val="single" w:sz="4" w:space="0" w:color="auto"/>
            </w:tcBorders>
            <w:noWrap w:val="0"/>
            <w:vAlign w:val="center"/>
          </w:tcPr>
          <w:p w14:paraId="64D54306">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r>
      <w:tr w14:paraId="5955E0F9">
        <w:tblPrEx>
          <w:tblW w:w="0" w:type="auto"/>
          <w:tblInd w:w="-383" w:type="dxa"/>
          <w:tblLayout w:type="fixed"/>
          <w:tblCellMar>
            <w:top w:w="0" w:type="dxa"/>
            <w:left w:w="108" w:type="dxa"/>
            <w:bottom w:w="0" w:type="dxa"/>
            <w:right w:w="108" w:type="dxa"/>
          </w:tblCellMar>
        </w:tblPrEx>
        <w:tc>
          <w:tcPr>
            <w:tcW w:w="800" w:type="dxa"/>
            <w:tcBorders>
              <w:top w:val="single" w:sz="4" w:space="0" w:color="auto"/>
              <w:left w:val="single" w:sz="4" w:space="0" w:color="auto"/>
              <w:bottom w:val="single" w:sz="4" w:space="0" w:color="auto"/>
              <w:right w:val="single" w:sz="4" w:space="0" w:color="auto"/>
            </w:tcBorders>
            <w:noWrap w:val="0"/>
            <w:vAlign w:val="center"/>
          </w:tcPr>
          <w:p w14:paraId="3172A6A1">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r>
              <w:rPr>
                <w:rFonts w:ascii="宋体" w:hAnsi="宋体" w:cs="宋体" w:hint="eastAsia"/>
                <w:color w:val="auto"/>
                <w:highlight w:val="none"/>
              </w:rPr>
              <w:t>……</w:t>
            </w:r>
          </w:p>
        </w:tc>
        <w:tc>
          <w:tcPr>
            <w:tcW w:w="991" w:type="dxa"/>
            <w:tcBorders>
              <w:top w:val="single" w:sz="4" w:space="0" w:color="auto"/>
              <w:left w:val="single" w:sz="4" w:space="0" w:color="auto"/>
              <w:bottom w:val="single" w:sz="4" w:space="0" w:color="auto"/>
              <w:right w:val="single" w:sz="4" w:space="0" w:color="auto"/>
            </w:tcBorders>
            <w:noWrap w:val="0"/>
            <w:vAlign w:val="center"/>
          </w:tcPr>
          <w:p w14:paraId="0A546076">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084" w:type="dxa"/>
            <w:tcBorders>
              <w:top w:val="single" w:sz="4" w:space="0" w:color="auto"/>
              <w:left w:val="single" w:sz="4" w:space="0" w:color="auto"/>
              <w:bottom w:val="single" w:sz="4" w:space="0" w:color="auto"/>
              <w:right w:val="single" w:sz="4" w:space="0" w:color="auto"/>
            </w:tcBorders>
            <w:noWrap w:val="0"/>
            <w:vAlign w:val="center"/>
          </w:tcPr>
          <w:p w14:paraId="10F6A4F8">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084" w:type="dxa"/>
            <w:tcBorders>
              <w:top w:val="single" w:sz="4" w:space="0" w:color="auto"/>
              <w:left w:val="single" w:sz="4" w:space="0" w:color="auto"/>
              <w:bottom w:val="single" w:sz="4" w:space="0" w:color="auto"/>
              <w:right w:val="single" w:sz="4" w:space="0" w:color="auto"/>
            </w:tcBorders>
            <w:noWrap w:val="0"/>
            <w:vAlign w:val="center"/>
          </w:tcPr>
          <w:p w14:paraId="2FCF861B">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291" w:type="dxa"/>
            <w:tcBorders>
              <w:top w:val="single" w:sz="4" w:space="0" w:color="auto"/>
              <w:left w:val="single" w:sz="4" w:space="0" w:color="auto"/>
              <w:bottom w:val="single" w:sz="4" w:space="0" w:color="auto"/>
              <w:right w:val="single" w:sz="4" w:space="0" w:color="auto"/>
            </w:tcBorders>
            <w:noWrap w:val="0"/>
            <w:vAlign w:val="center"/>
          </w:tcPr>
          <w:p w14:paraId="14C2C6FA">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400" w:type="dxa"/>
            <w:tcBorders>
              <w:top w:val="single" w:sz="4" w:space="0" w:color="auto"/>
              <w:left w:val="single" w:sz="4" w:space="0" w:color="auto"/>
              <w:bottom w:val="single" w:sz="4" w:space="0" w:color="auto"/>
              <w:right w:val="single" w:sz="4" w:space="0" w:color="auto"/>
            </w:tcBorders>
            <w:noWrap w:val="0"/>
            <w:vAlign w:val="center"/>
          </w:tcPr>
          <w:p w14:paraId="397CDA20">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1188" w:type="dxa"/>
            <w:tcBorders>
              <w:top w:val="single" w:sz="4" w:space="0" w:color="auto"/>
              <w:left w:val="single" w:sz="4" w:space="0" w:color="auto"/>
              <w:bottom w:val="single" w:sz="4" w:space="0" w:color="auto"/>
              <w:right w:val="single" w:sz="4" w:space="0" w:color="auto"/>
            </w:tcBorders>
            <w:noWrap w:val="0"/>
            <w:vAlign w:val="center"/>
          </w:tcPr>
          <w:p w14:paraId="270E201F">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750" w:type="dxa"/>
            <w:tcBorders>
              <w:top w:val="single" w:sz="4" w:space="0" w:color="auto"/>
              <w:left w:val="single" w:sz="4" w:space="0" w:color="auto"/>
              <w:bottom w:val="single" w:sz="4" w:space="0" w:color="auto"/>
              <w:right w:val="single" w:sz="4" w:space="0" w:color="auto"/>
            </w:tcBorders>
            <w:noWrap w:val="0"/>
            <w:vAlign w:val="center"/>
          </w:tcPr>
          <w:p w14:paraId="3C8D8075">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c>
          <w:tcPr>
            <w:tcW w:w="821" w:type="dxa"/>
            <w:tcBorders>
              <w:top w:val="single" w:sz="4" w:space="0" w:color="auto"/>
              <w:left w:val="single" w:sz="4" w:space="0" w:color="auto"/>
              <w:bottom w:val="single" w:sz="4" w:space="0" w:color="auto"/>
              <w:right w:val="single" w:sz="4" w:space="0" w:color="auto"/>
            </w:tcBorders>
            <w:noWrap w:val="0"/>
            <w:vAlign w:val="center"/>
          </w:tcPr>
          <w:p w14:paraId="355A0E77">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default"/>
                <w:color w:val="auto"/>
                <w:highlight w:val="none"/>
              </w:rPr>
            </w:pPr>
          </w:p>
        </w:tc>
      </w:tr>
    </w:tbl>
    <w:p w14:paraId="460D0D84">
      <w:pPr>
        <w:pStyle w:val="NormalIndent1"/>
        <w:spacing w:before="0" w:beforeAutospacing="0" w:after="0" w:afterAutospacing="0"/>
        <w:rPr>
          <w:rFonts w:ascii="宋体" w:hAnsi="宋体" w:cs="宋体" w:hint="eastAsia"/>
          <w:b/>
          <w:bCs/>
          <w:color w:val="auto"/>
          <w:sz w:val="36"/>
          <w:szCs w:val="36"/>
        </w:rPr>
      </w:pPr>
    </w:p>
    <w:p w14:paraId="27F00BC3">
      <w:pPr>
        <w:keepNext w:val="0"/>
        <w:keepLines w:val="0"/>
        <w:pageBreakBefore w:val="0"/>
        <w:widowControl w:val="0"/>
        <w:kinsoku/>
        <w:wordWrap/>
        <w:overflowPunct/>
        <w:bidi w:val="0"/>
        <w:adjustRightInd/>
        <w:snapToGrid/>
        <w:spacing w:before="0" w:beforeAutospacing="0" w:after="0" w:afterAutospacing="0" w:line="240" w:lineRule="auto"/>
        <w:textAlignment w:val="auto"/>
        <w:rPr>
          <w:rFonts w:ascii="宋体" w:hAnsi="宋体" w:cs="宋体"/>
          <w:color w:val="auto"/>
          <w:szCs w:val="21"/>
        </w:rPr>
      </w:pPr>
      <w:r>
        <w:rPr>
          <w:rFonts w:ascii="宋体" w:hAnsi="宋体" w:cs="宋体"/>
          <w:color w:val="auto"/>
        </w:rPr>
        <w:t>特别说明：</w:t>
      </w:r>
    </w:p>
    <w:p w14:paraId="6163CF53">
      <w:pPr>
        <w:keepNext w:val="0"/>
        <w:keepLines w:val="0"/>
        <w:pageBreakBefore w:val="0"/>
        <w:widowControl w:val="0"/>
        <w:kinsoku/>
        <w:wordWrap/>
        <w:overflowPunct/>
        <w:topLinePunct/>
        <w:autoSpaceDE w:val="0"/>
        <w:autoSpaceDN w:val="0"/>
        <w:bidi w:val="0"/>
        <w:adjustRightInd/>
        <w:snapToGrid/>
        <w:spacing w:before="0" w:beforeAutospacing="0" w:after="0" w:afterAutospacing="0" w:line="240" w:lineRule="auto"/>
        <w:ind w:firstLine="420" w:firstLineChars="200"/>
        <w:jc w:val="left"/>
        <w:textAlignment w:val="auto"/>
        <w:rPr>
          <w:rFonts w:ascii="宋体" w:hAnsi="宋体" w:cs="宋体"/>
          <w:color w:val="auto"/>
          <w:szCs w:val="21"/>
          <w:shd w:val="clear" w:color="auto" w:fill="FFFF00"/>
        </w:rPr>
      </w:pPr>
      <w:r>
        <w:rPr>
          <w:rFonts w:ascii="宋体" w:hAnsi="宋体" w:cs="宋体" w:hint="eastAsia"/>
          <w:color w:val="auto"/>
          <w:szCs w:val="21"/>
        </w:rPr>
        <w:t>投标人须按照上述格式填写投入本项目所有人员的相关信息。</w:t>
      </w:r>
    </w:p>
    <w:p w14:paraId="37977B79">
      <w:pPr>
        <w:spacing w:before="0" w:beforeAutospacing="0" w:after="0" w:afterAutospacing="0"/>
        <w:rPr>
          <w:rFonts w:hint="eastAsia"/>
        </w:rPr>
      </w:pPr>
    </w:p>
    <w:p w14:paraId="5CA0A5E0">
      <w:pPr>
        <w:topLinePunct/>
        <w:autoSpaceDE w:val="0"/>
        <w:autoSpaceDN w:val="0"/>
        <w:spacing w:before="0" w:beforeAutospacing="0" w:after="0" w:afterAutospacing="0" w:line="460" w:lineRule="exact"/>
        <w:jc w:val="center"/>
        <w:rPr>
          <w:rFonts w:ascii="宋体" w:hAnsi="宋体" w:cs="宋体" w:hint="eastAsia"/>
          <w:b/>
          <w:bCs/>
          <w:color w:val="auto"/>
          <w:sz w:val="36"/>
          <w:szCs w:val="36"/>
        </w:rPr>
      </w:pPr>
      <w:r w:rsidR="00A77B3E">
        <w:br w:type="page"/>
      </w:r>
      <w:r>
        <w:rPr>
          <w:rFonts w:ascii="宋体" w:hAnsi="宋体" w:cs="宋体" w:hint="eastAsia"/>
          <w:b/>
          <w:bCs/>
          <w:color w:val="auto"/>
          <w:sz w:val="36"/>
          <w:szCs w:val="36"/>
        </w:rPr>
        <w:t xml:space="preserve">格式11 </w:t>
      </w:r>
      <w:r>
        <w:rPr>
          <w:rFonts w:ascii="宋体" w:hAnsi="宋体" w:cs="宋体" w:hint="eastAsia"/>
          <w:b/>
          <w:bCs/>
          <w:color w:val="auto"/>
          <w:sz w:val="36"/>
          <w:szCs w:val="36"/>
        </w:rPr>
        <w:t>技术人员简历表</w:t>
      </w:r>
    </w:p>
    <w:tbl>
      <w:tblPr>
        <w:tblStyle w:val="TableNormal"/>
        <w:tblW w:w="0" w:type="auto"/>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1263"/>
        <w:gridCol w:w="1714"/>
        <w:gridCol w:w="1506"/>
        <w:gridCol w:w="1385"/>
        <w:gridCol w:w="1615"/>
        <w:gridCol w:w="1445"/>
      </w:tblGrid>
      <w:tr w14:paraId="2F17D504">
        <w:tblPrEx>
          <w:tblW w:w="0" w:type="auto"/>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Ex>
        <w:trPr>
          <w:trHeight w:val="452"/>
        </w:trPr>
        <w:tc>
          <w:tcPr>
            <w:tcW w:w="1263" w:type="dxa"/>
            <w:tcBorders>
              <w:top w:val="single" w:sz="4" w:space="0" w:color="auto"/>
              <w:left w:val="single" w:sz="4" w:space="0" w:color="auto"/>
              <w:bottom w:val="single" w:sz="4" w:space="0" w:color="auto"/>
              <w:right w:val="single" w:sz="4" w:space="0" w:color="auto"/>
            </w:tcBorders>
            <w:noWrap w:val="0"/>
            <w:vAlign w:val="center"/>
          </w:tcPr>
          <w:p w14:paraId="0D92B909">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r>
              <w:rPr>
                <w:rFonts w:ascii="宋体" w:hAnsi="宋体" w:cs="宋体" w:hint="eastAsia"/>
                <w:color w:val="auto"/>
                <w:highlight w:val="none"/>
              </w:rPr>
              <w:t>姓   名</w:t>
            </w:r>
          </w:p>
        </w:tc>
        <w:tc>
          <w:tcPr>
            <w:tcW w:w="1714" w:type="dxa"/>
            <w:tcBorders>
              <w:top w:val="single" w:sz="4" w:space="0" w:color="auto"/>
              <w:left w:val="single" w:sz="4" w:space="0" w:color="auto"/>
              <w:bottom w:val="single" w:sz="4" w:space="0" w:color="auto"/>
              <w:right w:val="single" w:sz="4" w:space="0" w:color="auto"/>
            </w:tcBorders>
            <w:noWrap w:val="0"/>
            <w:vAlign w:val="center"/>
          </w:tcPr>
          <w:p w14:paraId="4B68CBCC">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p>
        </w:tc>
        <w:tc>
          <w:tcPr>
            <w:tcW w:w="1506" w:type="dxa"/>
            <w:tcBorders>
              <w:top w:val="single" w:sz="4" w:space="0" w:color="auto"/>
              <w:left w:val="single" w:sz="4" w:space="0" w:color="auto"/>
              <w:bottom w:val="single" w:sz="4" w:space="0" w:color="auto"/>
              <w:right w:val="single" w:sz="4" w:space="0" w:color="auto"/>
            </w:tcBorders>
            <w:noWrap w:val="0"/>
            <w:vAlign w:val="center"/>
          </w:tcPr>
          <w:p w14:paraId="5F9CAE90">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r>
              <w:rPr>
                <w:rFonts w:ascii="宋体" w:hAnsi="宋体" w:cs="宋体" w:hint="eastAsia"/>
                <w:color w:val="auto"/>
                <w:highlight w:val="none"/>
              </w:rPr>
              <w:t>性    别</w:t>
            </w:r>
          </w:p>
        </w:tc>
        <w:tc>
          <w:tcPr>
            <w:tcW w:w="1385" w:type="dxa"/>
            <w:tcBorders>
              <w:top w:val="single" w:sz="4" w:space="0" w:color="auto"/>
              <w:left w:val="single" w:sz="4" w:space="0" w:color="auto"/>
              <w:bottom w:val="single" w:sz="4" w:space="0" w:color="auto"/>
              <w:right w:val="single" w:sz="4" w:space="0" w:color="auto"/>
            </w:tcBorders>
            <w:noWrap w:val="0"/>
            <w:vAlign w:val="center"/>
          </w:tcPr>
          <w:p w14:paraId="7052B444">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p>
        </w:tc>
        <w:tc>
          <w:tcPr>
            <w:tcW w:w="1615" w:type="dxa"/>
            <w:tcBorders>
              <w:top w:val="single" w:sz="4" w:space="0" w:color="auto"/>
              <w:left w:val="single" w:sz="4" w:space="0" w:color="auto"/>
              <w:bottom w:val="single" w:sz="4" w:space="0" w:color="auto"/>
              <w:right w:val="single" w:sz="4" w:space="0" w:color="auto"/>
            </w:tcBorders>
            <w:noWrap w:val="0"/>
            <w:vAlign w:val="center"/>
          </w:tcPr>
          <w:p w14:paraId="3C31E63E">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r>
              <w:rPr>
                <w:rFonts w:ascii="宋体" w:hAnsi="宋体" w:cs="宋体" w:hint="eastAsia"/>
                <w:color w:val="auto"/>
                <w:highlight w:val="none"/>
              </w:rPr>
              <w:t>出生日期</w:t>
            </w:r>
          </w:p>
        </w:tc>
        <w:tc>
          <w:tcPr>
            <w:tcW w:w="1445" w:type="dxa"/>
            <w:tcBorders>
              <w:top w:val="single" w:sz="4" w:space="0" w:color="auto"/>
              <w:left w:val="single" w:sz="4" w:space="0" w:color="auto"/>
              <w:bottom w:val="single" w:sz="4" w:space="0" w:color="auto"/>
              <w:right w:val="single" w:sz="4" w:space="0" w:color="auto"/>
            </w:tcBorders>
            <w:noWrap w:val="0"/>
            <w:vAlign w:val="center"/>
          </w:tcPr>
          <w:p w14:paraId="1EA690DE">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p>
        </w:tc>
      </w:tr>
      <w:tr w14:paraId="78F3C35E">
        <w:tblPrEx>
          <w:tblW w:w="0" w:type="auto"/>
          <w:tblInd w:w="0" w:type="dxa"/>
          <w:tblLayout w:type="fixed"/>
          <w:tblCellMar>
            <w:top w:w="0" w:type="dxa"/>
            <w:left w:w="108" w:type="dxa"/>
            <w:bottom w:w="0" w:type="dxa"/>
            <w:right w:w="108" w:type="dxa"/>
          </w:tblCellMar>
        </w:tblPrEx>
        <w:trPr>
          <w:trHeight w:val="452"/>
        </w:trPr>
        <w:tc>
          <w:tcPr>
            <w:tcW w:w="1263" w:type="dxa"/>
            <w:tcBorders>
              <w:top w:val="single" w:sz="4" w:space="0" w:color="auto"/>
              <w:left w:val="single" w:sz="4" w:space="0" w:color="auto"/>
              <w:bottom w:val="single" w:sz="4" w:space="0" w:color="auto"/>
              <w:right w:val="single" w:sz="4" w:space="0" w:color="auto"/>
            </w:tcBorders>
            <w:noWrap w:val="0"/>
            <w:vAlign w:val="center"/>
          </w:tcPr>
          <w:p w14:paraId="5A7F20E6">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r>
              <w:rPr>
                <w:rFonts w:ascii="宋体" w:hAnsi="宋体" w:cs="宋体" w:hint="eastAsia"/>
                <w:color w:val="auto"/>
                <w:highlight w:val="none"/>
              </w:rPr>
              <w:t>学   历</w:t>
            </w:r>
          </w:p>
        </w:tc>
        <w:tc>
          <w:tcPr>
            <w:tcW w:w="1714" w:type="dxa"/>
            <w:tcBorders>
              <w:top w:val="single" w:sz="4" w:space="0" w:color="auto"/>
              <w:left w:val="single" w:sz="4" w:space="0" w:color="auto"/>
              <w:bottom w:val="single" w:sz="4" w:space="0" w:color="auto"/>
              <w:right w:val="single" w:sz="4" w:space="0" w:color="auto"/>
            </w:tcBorders>
            <w:noWrap w:val="0"/>
            <w:vAlign w:val="center"/>
          </w:tcPr>
          <w:p w14:paraId="6BFF961D">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p>
        </w:tc>
        <w:tc>
          <w:tcPr>
            <w:tcW w:w="1506" w:type="dxa"/>
            <w:tcBorders>
              <w:top w:val="single" w:sz="4" w:space="0" w:color="auto"/>
              <w:left w:val="single" w:sz="4" w:space="0" w:color="auto"/>
              <w:bottom w:val="single" w:sz="4" w:space="0" w:color="auto"/>
              <w:right w:val="single" w:sz="4" w:space="0" w:color="auto"/>
            </w:tcBorders>
            <w:noWrap w:val="0"/>
            <w:vAlign w:val="center"/>
          </w:tcPr>
          <w:p w14:paraId="663C0A3C">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r>
              <w:rPr>
                <w:rFonts w:ascii="宋体" w:hAnsi="宋体" w:cs="宋体" w:hint="eastAsia"/>
                <w:color w:val="auto"/>
                <w:highlight w:val="none"/>
              </w:rPr>
              <w:t>毕业学校</w:t>
            </w:r>
          </w:p>
        </w:tc>
        <w:tc>
          <w:tcPr>
            <w:tcW w:w="1385" w:type="dxa"/>
            <w:tcBorders>
              <w:top w:val="single" w:sz="4" w:space="0" w:color="auto"/>
              <w:left w:val="single" w:sz="4" w:space="0" w:color="auto"/>
              <w:bottom w:val="single" w:sz="4" w:space="0" w:color="auto"/>
              <w:right w:val="single" w:sz="4" w:space="0" w:color="auto"/>
            </w:tcBorders>
            <w:noWrap w:val="0"/>
            <w:vAlign w:val="center"/>
          </w:tcPr>
          <w:p w14:paraId="4CE7A457">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p>
        </w:tc>
        <w:tc>
          <w:tcPr>
            <w:tcW w:w="1615" w:type="dxa"/>
            <w:tcBorders>
              <w:top w:val="single" w:sz="4" w:space="0" w:color="auto"/>
              <w:left w:val="single" w:sz="4" w:space="0" w:color="auto"/>
              <w:bottom w:val="single" w:sz="4" w:space="0" w:color="auto"/>
              <w:right w:val="single" w:sz="4" w:space="0" w:color="auto"/>
            </w:tcBorders>
            <w:noWrap w:val="0"/>
            <w:vAlign w:val="center"/>
          </w:tcPr>
          <w:p w14:paraId="49BD272C">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r>
              <w:rPr>
                <w:rFonts w:ascii="宋体" w:hAnsi="宋体" w:cs="宋体" w:hint="eastAsia"/>
                <w:color w:val="auto"/>
                <w:highlight w:val="none"/>
              </w:rPr>
              <w:t>技术职称</w:t>
            </w:r>
          </w:p>
        </w:tc>
        <w:tc>
          <w:tcPr>
            <w:tcW w:w="1445" w:type="dxa"/>
            <w:tcBorders>
              <w:top w:val="single" w:sz="4" w:space="0" w:color="auto"/>
              <w:left w:val="single" w:sz="4" w:space="0" w:color="auto"/>
              <w:bottom w:val="single" w:sz="4" w:space="0" w:color="auto"/>
              <w:right w:val="single" w:sz="4" w:space="0" w:color="auto"/>
            </w:tcBorders>
            <w:noWrap w:val="0"/>
            <w:vAlign w:val="center"/>
          </w:tcPr>
          <w:p w14:paraId="028B46C9">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p>
        </w:tc>
      </w:tr>
      <w:tr w14:paraId="30AF0253">
        <w:tblPrEx>
          <w:tblW w:w="0" w:type="auto"/>
          <w:tblInd w:w="0" w:type="dxa"/>
          <w:tblLayout w:type="fixed"/>
          <w:tblCellMar>
            <w:top w:w="0" w:type="dxa"/>
            <w:left w:w="108" w:type="dxa"/>
            <w:bottom w:w="0" w:type="dxa"/>
            <w:right w:w="108" w:type="dxa"/>
          </w:tblCellMar>
        </w:tblPrEx>
        <w:trPr>
          <w:trHeight w:val="452"/>
        </w:trPr>
        <w:tc>
          <w:tcPr>
            <w:tcW w:w="1263" w:type="dxa"/>
            <w:tcBorders>
              <w:top w:val="single" w:sz="4" w:space="0" w:color="auto"/>
              <w:left w:val="single" w:sz="4" w:space="0" w:color="auto"/>
              <w:bottom w:val="single" w:sz="4" w:space="0" w:color="auto"/>
              <w:right w:val="single" w:sz="4" w:space="0" w:color="auto"/>
            </w:tcBorders>
            <w:noWrap w:val="0"/>
            <w:vAlign w:val="center"/>
          </w:tcPr>
          <w:p w14:paraId="2DC9A969">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r>
              <w:rPr>
                <w:rFonts w:ascii="宋体" w:hAnsi="宋体" w:cs="宋体" w:hint="eastAsia"/>
                <w:color w:val="auto"/>
                <w:highlight w:val="none"/>
              </w:rPr>
              <w:t>公司职务</w:t>
            </w:r>
          </w:p>
        </w:tc>
        <w:tc>
          <w:tcPr>
            <w:tcW w:w="1714" w:type="dxa"/>
            <w:tcBorders>
              <w:top w:val="single" w:sz="4" w:space="0" w:color="auto"/>
              <w:left w:val="single" w:sz="4" w:space="0" w:color="auto"/>
              <w:bottom w:val="single" w:sz="4" w:space="0" w:color="auto"/>
              <w:right w:val="single" w:sz="4" w:space="0" w:color="auto"/>
            </w:tcBorders>
            <w:noWrap w:val="0"/>
            <w:vAlign w:val="center"/>
          </w:tcPr>
          <w:p w14:paraId="254F4788">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p>
        </w:tc>
        <w:tc>
          <w:tcPr>
            <w:tcW w:w="1506" w:type="dxa"/>
            <w:tcBorders>
              <w:top w:val="single" w:sz="4" w:space="0" w:color="auto"/>
              <w:left w:val="single" w:sz="4" w:space="0" w:color="auto"/>
              <w:bottom w:val="single" w:sz="4" w:space="0" w:color="auto"/>
              <w:right w:val="single" w:sz="4" w:space="0" w:color="auto"/>
            </w:tcBorders>
            <w:noWrap w:val="0"/>
            <w:vAlign w:val="center"/>
          </w:tcPr>
          <w:p w14:paraId="74FCBDB3">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r>
              <w:rPr>
                <w:rFonts w:ascii="宋体" w:hAnsi="宋体" w:cs="宋体" w:hint="eastAsia"/>
                <w:color w:val="auto"/>
                <w:highlight w:val="none"/>
              </w:rPr>
              <w:t>任职时间</w:t>
            </w:r>
          </w:p>
        </w:tc>
        <w:tc>
          <w:tcPr>
            <w:tcW w:w="1385" w:type="dxa"/>
            <w:tcBorders>
              <w:top w:val="single" w:sz="4" w:space="0" w:color="auto"/>
              <w:left w:val="single" w:sz="4" w:space="0" w:color="auto"/>
              <w:bottom w:val="single" w:sz="4" w:space="0" w:color="auto"/>
              <w:right w:val="single" w:sz="4" w:space="0" w:color="auto"/>
            </w:tcBorders>
            <w:noWrap w:val="0"/>
            <w:vAlign w:val="center"/>
          </w:tcPr>
          <w:p w14:paraId="7843FA2F">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p>
        </w:tc>
        <w:tc>
          <w:tcPr>
            <w:tcW w:w="1615" w:type="dxa"/>
            <w:tcBorders>
              <w:top w:val="single" w:sz="4" w:space="0" w:color="auto"/>
              <w:left w:val="single" w:sz="4" w:space="0" w:color="auto"/>
              <w:bottom w:val="single" w:sz="4" w:space="0" w:color="auto"/>
              <w:right w:val="single" w:sz="4" w:space="0" w:color="auto"/>
            </w:tcBorders>
            <w:noWrap w:val="0"/>
            <w:vAlign w:val="center"/>
          </w:tcPr>
          <w:p w14:paraId="7DDC09C1">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r>
              <w:rPr>
                <w:rFonts w:ascii="宋体" w:hAnsi="宋体" w:cs="宋体" w:hint="eastAsia"/>
                <w:color w:val="auto"/>
                <w:highlight w:val="none"/>
              </w:rPr>
              <w:t>本项目任职</w:t>
            </w:r>
          </w:p>
        </w:tc>
        <w:tc>
          <w:tcPr>
            <w:tcW w:w="1445" w:type="dxa"/>
            <w:tcBorders>
              <w:top w:val="single" w:sz="4" w:space="0" w:color="auto"/>
              <w:left w:val="single" w:sz="4" w:space="0" w:color="auto"/>
              <w:bottom w:val="single" w:sz="4" w:space="0" w:color="auto"/>
              <w:right w:val="single" w:sz="4" w:space="0" w:color="auto"/>
            </w:tcBorders>
            <w:noWrap w:val="0"/>
            <w:vAlign w:val="center"/>
          </w:tcPr>
          <w:p w14:paraId="161DBC09">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p>
        </w:tc>
      </w:tr>
      <w:tr w14:paraId="64659459">
        <w:tblPrEx>
          <w:tblW w:w="0" w:type="auto"/>
          <w:tblInd w:w="0" w:type="dxa"/>
          <w:tblLayout w:type="fixed"/>
          <w:tblCellMar>
            <w:top w:w="0" w:type="dxa"/>
            <w:left w:w="108" w:type="dxa"/>
            <w:bottom w:w="0" w:type="dxa"/>
            <w:right w:w="108" w:type="dxa"/>
          </w:tblCellMar>
        </w:tblPrEx>
        <w:trPr>
          <w:trHeight w:val="463"/>
        </w:trPr>
        <w:tc>
          <w:tcPr>
            <w:tcW w:w="1263" w:type="dxa"/>
            <w:tcBorders>
              <w:top w:val="single" w:sz="4" w:space="0" w:color="auto"/>
              <w:left w:val="single" w:sz="4" w:space="0" w:color="auto"/>
              <w:bottom w:val="single" w:sz="4" w:space="0" w:color="auto"/>
              <w:right w:val="single" w:sz="4" w:space="0" w:color="auto"/>
            </w:tcBorders>
            <w:noWrap w:val="0"/>
            <w:vAlign w:val="center"/>
          </w:tcPr>
          <w:p w14:paraId="43603C29">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r>
              <w:rPr>
                <w:rFonts w:ascii="宋体" w:hAnsi="宋体" w:cs="宋体" w:hint="eastAsia"/>
                <w:color w:val="auto"/>
                <w:highlight w:val="none"/>
                <w:lang w:eastAsia="zh-CN"/>
              </w:rPr>
              <w:t>人员级别</w:t>
            </w:r>
          </w:p>
        </w:tc>
        <w:tc>
          <w:tcPr>
            <w:tcW w:w="1714" w:type="dxa"/>
            <w:tcBorders>
              <w:top w:val="single" w:sz="4" w:space="0" w:color="auto"/>
              <w:left w:val="single" w:sz="4" w:space="0" w:color="auto"/>
              <w:bottom w:val="single" w:sz="4" w:space="0" w:color="auto"/>
              <w:right w:val="single" w:sz="4" w:space="0" w:color="auto"/>
            </w:tcBorders>
            <w:noWrap w:val="0"/>
            <w:vAlign w:val="center"/>
          </w:tcPr>
          <w:p w14:paraId="1064E7ED">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p>
        </w:tc>
        <w:tc>
          <w:tcPr>
            <w:tcW w:w="1506" w:type="dxa"/>
            <w:tcBorders>
              <w:top w:val="single" w:sz="4" w:space="0" w:color="auto"/>
              <w:left w:val="single" w:sz="4" w:space="0" w:color="auto"/>
              <w:bottom w:val="single" w:sz="4" w:space="0" w:color="auto"/>
              <w:right w:val="single" w:sz="4" w:space="0" w:color="auto"/>
            </w:tcBorders>
            <w:noWrap w:val="0"/>
            <w:vAlign w:val="center"/>
          </w:tcPr>
          <w:p w14:paraId="63CD8419">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r>
              <w:rPr>
                <w:rFonts w:ascii="宋体" w:hAnsi="宋体" w:cs="宋体" w:hint="eastAsia"/>
                <w:color w:val="auto"/>
                <w:highlight w:val="none"/>
                <w:lang w:eastAsia="zh-CN"/>
              </w:rPr>
              <w:t>认证证书</w:t>
            </w:r>
          </w:p>
        </w:tc>
        <w:tc>
          <w:tcPr>
            <w:tcW w:w="4445" w:type="dxa"/>
            <w:gridSpan w:val="3"/>
            <w:tcBorders>
              <w:top w:val="single" w:sz="4" w:space="0" w:color="auto"/>
              <w:left w:val="single" w:sz="4" w:space="0" w:color="auto"/>
              <w:bottom w:val="single" w:sz="4" w:space="0" w:color="auto"/>
              <w:right w:val="single" w:sz="4" w:space="0" w:color="auto"/>
            </w:tcBorders>
            <w:noWrap w:val="0"/>
            <w:vAlign w:val="center"/>
          </w:tcPr>
          <w:p w14:paraId="2F8F54CE">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ascii="宋体" w:hAnsi="宋体" w:cs="宋体" w:hint="eastAsia"/>
                <w:color w:val="auto"/>
                <w:highlight w:val="none"/>
              </w:rPr>
            </w:pPr>
          </w:p>
        </w:tc>
      </w:tr>
      <w:tr w14:paraId="3A6CBA77">
        <w:tblPrEx>
          <w:tblW w:w="0" w:type="auto"/>
          <w:tblInd w:w="0" w:type="dxa"/>
          <w:tblLayout w:type="fixed"/>
          <w:tblCellMar>
            <w:top w:w="0" w:type="dxa"/>
            <w:left w:w="108" w:type="dxa"/>
            <w:bottom w:w="0" w:type="dxa"/>
            <w:right w:w="108" w:type="dxa"/>
          </w:tblCellMar>
        </w:tblPrEx>
        <w:trPr>
          <w:trHeight w:val="5944"/>
        </w:trPr>
        <w:tc>
          <w:tcPr>
            <w:tcW w:w="8928" w:type="dxa"/>
            <w:gridSpan w:val="6"/>
            <w:tcBorders>
              <w:top w:val="single" w:sz="4" w:space="0" w:color="auto"/>
              <w:left w:val="single" w:sz="4" w:space="0" w:color="auto"/>
              <w:bottom w:val="single" w:sz="4" w:space="0" w:color="auto"/>
              <w:right w:val="single" w:sz="4" w:space="0" w:color="auto"/>
            </w:tcBorders>
            <w:noWrap w:val="0"/>
            <w:vAlign w:val="top"/>
          </w:tcPr>
          <w:p w14:paraId="1250D43F">
            <w:pPr>
              <w:keepNext w:val="0"/>
              <w:keepLines w:val="0"/>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auto"/>
              <w:rPr>
                <w:rFonts w:ascii="宋体" w:hAnsi="宋体" w:cs="宋体" w:hint="eastAsia"/>
                <w:color w:val="auto"/>
                <w:highlight w:val="none"/>
              </w:rPr>
            </w:pPr>
            <w:r>
              <w:rPr>
                <w:rFonts w:ascii="宋体" w:hAnsi="宋体" w:cs="宋体" w:hint="eastAsia"/>
                <w:color w:val="auto"/>
                <w:highlight w:val="none"/>
              </w:rPr>
              <w:t>工作简历及主要业绩</w:t>
            </w:r>
          </w:p>
          <w:p w14:paraId="7A02EFE1">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auto"/>
              <w:rPr>
                <w:rFonts w:ascii="宋体" w:hAnsi="宋体" w:cs="宋体" w:hint="eastAsia"/>
                <w:color w:val="auto"/>
                <w:highlight w:val="none"/>
              </w:rPr>
            </w:pPr>
          </w:p>
        </w:tc>
      </w:tr>
    </w:tbl>
    <w:p w14:paraId="7A92539A">
      <w:pPr>
        <w:topLinePunct/>
        <w:autoSpaceDE w:val="0"/>
        <w:autoSpaceDN w:val="0"/>
        <w:spacing w:before="0" w:beforeAutospacing="0" w:after="0" w:afterAutospacing="0" w:line="460" w:lineRule="exact"/>
        <w:rPr>
          <w:rFonts w:ascii="宋体" w:hAnsi="宋体" w:cs="宋体" w:hint="eastAsia"/>
          <w:color w:val="auto"/>
          <w:szCs w:val="21"/>
        </w:rPr>
      </w:pPr>
    </w:p>
    <w:p w14:paraId="2F3F5709">
      <w:pPr>
        <w:keepNext w:val="0"/>
        <w:keepLines w:val="0"/>
        <w:pageBreakBefore w:val="0"/>
        <w:widowControl w:val="0"/>
        <w:kinsoku/>
        <w:wordWrap/>
        <w:overflowPunct/>
        <w:topLinePunct/>
        <w:autoSpaceDE w:val="0"/>
        <w:autoSpaceDN w:val="0"/>
        <w:bidi w:val="0"/>
        <w:adjustRightInd/>
        <w:snapToGrid/>
        <w:spacing w:before="0" w:beforeAutospacing="0" w:after="0" w:afterAutospacing="0" w:line="240" w:lineRule="auto"/>
        <w:textAlignment w:val="auto"/>
        <w:rPr>
          <w:rFonts w:ascii="宋体" w:hAnsi="宋体" w:cs="宋体" w:hint="eastAsia"/>
          <w:color w:val="auto"/>
          <w:szCs w:val="21"/>
        </w:rPr>
      </w:pPr>
    </w:p>
    <w:p w14:paraId="22744AD7">
      <w:pPr>
        <w:keepNext w:val="0"/>
        <w:keepLines w:val="0"/>
        <w:pageBreakBefore w:val="0"/>
        <w:widowControl w:val="0"/>
        <w:kinsoku/>
        <w:wordWrap/>
        <w:overflowPunct/>
        <w:topLinePunct/>
        <w:autoSpaceDE w:val="0"/>
        <w:autoSpaceDN w:val="0"/>
        <w:bidi w:val="0"/>
        <w:adjustRightInd/>
        <w:snapToGrid/>
        <w:spacing w:before="0" w:beforeAutospacing="0" w:after="0" w:afterAutospacing="0" w:line="240" w:lineRule="auto"/>
        <w:textAlignment w:val="auto"/>
        <w:rPr>
          <w:rFonts w:ascii="宋体" w:hAnsi="宋体" w:cs="宋体"/>
          <w:color w:val="auto"/>
          <w:szCs w:val="21"/>
          <w:highlight w:val="none"/>
        </w:rPr>
      </w:pPr>
      <w:r>
        <w:rPr>
          <w:rFonts w:ascii="宋体" w:hAnsi="宋体" w:cs="宋体" w:hint="eastAsia"/>
          <w:color w:val="auto"/>
          <w:szCs w:val="21"/>
          <w:highlight w:val="none"/>
        </w:rPr>
        <w:t>特别说明：</w:t>
      </w:r>
    </w:p>
    <w:p w14:paraId="793C525A">
      <w:pPr>
        <w:keepNext w:val="0"/>
        <w:keepLines w:val="0"/>
        <w:pageBreakBefore w:val="0"/>
        <w:widowControl w:val="0"/>
        <w:numPr>
          <w:ilvl w:val="0"/>
          <w:numId w:val="0"/>
        </w:numPr>
        <w:kinsoku/>
        <w:wordWrap/>
        <w:overflowPunct/>
        <w:topLinePunct/>
        <w:autoSpaceDE w:val="0"/>
        <w:autoSpaceDN w:val="0"/>
        <w:bidi w:val="0"/>
        <w:adjustRightInd/>
        <w:snapToGrid/>
        <w:spacing w:before="0" w:beforeAutospacing="0" w:after="0" w:afterAutospacing="0" w:line="240" w:lineRule="auto"/>
        <w:ind w:firstLine="420" w:firstLineChars="200"/>
        <w:textAlignment w:val="auto"/>
        <w:rPr>
          <w:rFonts w:ascii="宋体" w:hAnsi="宋体" w:cs="宋体" w:hint="eastAsia"/>
          <w:szCs w:val="21"/>
        </w:rPr>
      </w:pPr>
      <w:r>
        <w:rPr>
          <w:rFonts w:ascii="宋体" w:hAnsi="宋体" w:cs="宋体" w:hint="eastAsia"/>
          <w:color w:val="auto"/>
          <w:szCs w:val="21"/>
          <w:highlight w:val="none"/>
          <w:lang w:val="en-US" w:eastAsia="zh-CN"/>
        </w:rPr>
        <w:t>1.</w:t>
      </w:r>
      <w:r>
        <w:rPr>
          <w:rFonts w:ascii="宋体" w:hAnsi="宋体" w:cs="宋体" w:hint="eastAsia"/>
          <w:color w:val="auto"/>
          <w:szCs w:val="21"/>
          <w:highlight w:val="none"/>
        </w:rPr>
        <w:t>投标人应提供投入本项目所有人员的简历。</w:t>
      </w:r>
      <w:r>
        <w:rPr>
          <w:rFonts w:ascii="宋体" w:hAnsi="宋体" w:cs="宋体" w:hint="default"/>
          <w:color w:val="auto"/>
          <w:szCs w:val="21"/>
          <w:highlight w:val="none"/>
        </w:rPr>
        <w:t xml:space="preserve">                                        </w:t>
      </w:r>
    </w:p>
    <w:p w14:paraId="64AEC081">
      <w:pPr>
        <w:keepNext w:val="0"/>
        <w:keepLines w:val="0"/>
        <w:pageBreakBefore w:val="0"/>
        <w:widowControl w:val="0"/>
        <w:numPr>
          <w:ilvl w:val="0"/>
          <w:numId w:val="0"/>
        </w:numPr>
        <w:kinsoku/>
        <w:wordWrap/>
        <w:overflowPunct/>
        <w:topLinePunct/>
        <w:autoSpaceDE w:val="0"/>
        <w:autoSpaceDN w:val="0"/>
        <w:bidi w:val="0"/>
        <w:adjustRightInd/>
        <w:snapToGrid/>
        <w:spacing w:before="0" w:beforeAutospacing="0" w:after="0" w:afterAutospacing="0" w:line="240" w:lineRule="auto"/>
        <w:textAlignment w:val="auto"/>
        <w:rPr>
          <w:rFonts w:ascii="宋体" w:hAnsi="宋体" w:cs="宋体" w:hint="eastAsia"/>
          <w:szCs w:val="21"/>
        </w:rPr>
      </w:pPr>
      <w:r>
        <w:rPr>
          <w:rFonts w:ascii="宋体" w:hAnsi="宋体" w:cs="宋体" w:hint="default"/>
          <w:color w:val="auto"/>
          <w:szCs w:val="21"/>
          <w:highlight w:val="none"/>
        </w:rPr>
        <w:t xml:space="preserve">    2.</w:t>
      </w:r>
      <w:r>
        <w:rPr>
          <w:rFonts w:ascii="宋体" w:eastAsia="宋体" w:hAnsi="宋体" w:cs="宋体" w:hint="eastAsia"/>
          <w:kern w:val="2"/>
          <w:sz w:val="21"/>
          <w:szCs w:val="21"/>
          <w:lang w:val="en-US" w:eastAsia="zh-CN" w:bidi="ar"/>
        </w:rPr>
        <w:t>如果有职称及认证证书要求的，需提供职称及认证证书复印件；如有管理或工作经验要求的，</w:t>
      </w:r>
      <w:r>
        <w:rPr>
          <w:rFonts w:ascii="宋体" w:eastAsia="宋体" w:hAnsi="宋体" w:cs="宋体" w:hint="eastAsia"/>
          <w:b w:val="0"/>
          <w:kern w:val="2"/>
          <w:sz w:val="21"/>
          <w:szCs w:val="21"/>
          <w:lang w:val="en-US" w:eastAsia="zh-CN" w:bidi="ar"/>
        </w:rPr>
        <w:t>需提供能证明该人员</w:t>
      </w:r>
      <w:r>
        <w:rPr>
          <w:rFonts w:ascii="宋体" w:hAnsi="宋体" w:cs="宋体" w:hint="eastAsia"/>
          <w:b w:val="0"/>
          <w:kern w:val="2"/>
          <w:sz w:val="21"/>
          <w:szCs w:val="21"/>
          <w:lang w:val="en-US" w:eastAsia="zh-CN" w:bidi="ar"/>
        </w:rPr>
        <w:t>管理或</w:t>
      </w:r>
      <w:r>
        <w:rPr>
          <w:rFonts w:ascii="宋体" w:eastAsia="宋体" w:hAnsi="宋体" w:cs="宋体" w:hint="eastAsia"/>
          <w:b w:val="0"/>
          <w:kern w:val="2"/>
          <w:sz w:val="21"/>
          <w:szCs w:val="21"/>
          <w:lang w:val="en-US" w:eastAsia="zh-CN" w:bidi="ar"/>
        </w:rPr>
        <w:t>工作经验的合同及对应的投标文件/响应文件复印件</w:t>
      </w:r>
      <w:r>
        <w:rPr>
          <w:rFonts w:ascii="宋体" w:hAnsi="宋体" w:cs="宋体" w:hint="eastAsia"/>
          <w:b w:val="0"/>
          <w:kern w:val="2"/>
          <w:sz w:val="21"/>
          <w:szCs w:val="21"/>
          <w:lang w:val="en-US" w:eastAsia="zh-CN" w:bidi="ar"/>
        </w:rPr>
        <w:t>，</w:t>
      </w:r>
      <w:r>
        <w:rPr>
          <w:rFonts w:ascii="宋体" w:eastAsia="宋体" w:hAnsi="宋体" w:cs="宋体" w:hint="eastAsia"/>
          <w:b w:val="0"/>
          <w:kern w:val="2"/>
          <w:sz w:val="21"/>
          <w:szCs w:val="21"/>
          <w:lang w:val="en-US" w:eastAsia="zh-CN" w:bidi="ar"/>
        </w:rPr>
        <w:t>或合同复印件及甲方开具的用户证明等相关材料</w:t>
      </w:r>
      <w:r>
        <w:rPr>
          <w:rFonts w:ascii="宋体" w:eastAsia="宋体" w:hAnsi="宋体" w:cs="宋体" w:hint="eastAsia"/>
          <w:kern w:val="2"/>
          <w:sz w:val="21"/>
          <w:szCs w:val="21"/>
          <w:lang w:val="en-US" w:eastAsia="zh-CN" w:bidi="ar"/>
        </w:rPr>
        <w:t>。</w:t>
      </w:r>
    </w:p>
    <w:p>
      <w:pPr>
        <w:spacing w:before="0" w:beforeAutospacing="0" w:after="0" w:afterAutospacing="0"/>
        <w:jc w:val="center"/>
        <w:rPr>
          <w:rFonts w:ascii="宋体" w:hAnsi="宋体" w:cs="宋体"/>
          <w:b/>
          <w:bCs/>
          <w:color w:val="auto"/>
          <w:sz w:val="36"/>
          <w:szCs w:val="36"/>
        </w:rPr>
      </w:pPr>
      <w:bookmarkEnd w:id="73"/>
    </w:p>
    <w:sectPr>
      <w:footerReference w:type="default" r:id="rId7"/>
      <w:footerReference w:type="first" r:id="rId8"/>
      <w:pgSz w:w="11906" w:h="16838"/>
      <w:pgMar w:top="1440" w:right="1508" w:bottom="1440" w:left="1588" w:header="851" w:footer="851" w:gutter="0"/>
      <w:pgBorders>
        <w:top w:val="none" w:sz="0" w:space="0" w:color="auto"/>
        <w:left w:val="none" w:sz="0" w:space="0" w:color="auto"/>
        <w:bottom w:val="none" w:sz="0" w:space="0" w:color="auto"/>
        <w:right w:val="none" w:sz="0" w:space="0" w:color="auto"/>
      </w:pgBorders>
      <w:pgNumType w:fmt="decimal"/>
      <w:cols w:num="1" w:space="708"/>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variable"/>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variable"/>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Verdana">
    <w:panose1 w:val="020B0604030504040204"/>
    <w:charset w:val="00"/>
    <w:family w:val="swiss"/>
    <w:pitch w:val="default"/>
    <w:sig w:usb0="A00006FF" w:usb1="4000205B" w:usb2="00000010" w:usb3="00000000" w:csb0="2000019F" w:csb1="00000000"/>
  </w:font>
  <w:font w:name="Cambria">
    <w:panose1 w:val="02040503050406030204"/>
    <w:charset w:val="00"/>
    <w:family w:val="roman"/>
    <w:pitch w:val="default"/>
    <w:sig w:usb0="E00006FF" w:usb1="420024FF" w:usb2="02000000" w:usb3="00000000" w:csb0="2000019F"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Calibri Light">
    <w:panose1 w:val="020F0302020204030204"/>
    <w:charset w:val="00"/>
    <w:family w:val="swiss"/>
    <w:pitch w:val="default"/>
    <w:sig w:usb0="E4002EFF" w:usb1="C000247B" w:usb2="00000009" w:usb3="00000000" w:csb0="200001FF" w:csb1="00000000"/>
  </w:font>
  <w:font w:name="长城仿宋">
    <w:altName w:val="仿宋"/>
    <w:panose1 w:val="00000000000000000000"/>
    <w:charset w:val="86"/>
    <w:family w:val="modern"/>
    <w:pitch w:val="default"/>
    <w:sig w:usb0="00000000" w:usb1="00000000" w:usb2="00000010" w:usb3="00000000" w:csb0="00040000" w:csb1="00000000"/>
  </w:font>
  <w:font w:name="Tahoma">
    <w:panose1 w:val="020B0604030504040204"/>
    <w:charset w:val="00"/>
    <w:family w:val="swiss"/>
    <w:pitch w:val="default"/>
    <w:sig w:usb0="E1002EFF" w:usb1="C000605B" w:usb2="00000029" w:usb3="00000000" w:csb0="200101FF" w:csb1="20280000"/>
  </w:font>
  <w:font w:name="MingLiU_HKSCS">
    <w:altName w:val="PMingLiU-ExtB"/>
    <w:panose1 w:val="02020500000000000000"/>
    <w:charset w:val="00"/>
    <w:family w:val="roman"/>
    <w:pitch w:val="default"/>
    <w:sig w:usb0="00000000" w:usb1="00000000" w:usb2="00000016" w:usb3="00000000" w:csb0="00100001" w:csb1="00000000"/>
  </w:font>
  <w:font w:name="Wingdings 2">
    <w:altName w:val="Wingdings"/>
    <w:panose1 w:val="05020102010507070707"/>
    <w:charset w:val="02"/>
    <w:family w:val="roman"/>
    <w:pitch w:val="default"/>
    <w:sig w:usb0="00000000" w:usb1="00000000" w:usb2="00000000" w:usb3="00000000" w:csb0="80000000" w:csb1="00000000"/>
  </w:font>
  <w:font w:name="FangSong_GB2312">
    <w:altName w:val="仿宋_GB2312"/>
    <w:panose1 w:val="02010600030101010101"/>
    <w:charset w:val="86"/>
    <w:family w:val="auto"/>
    <w:pitch w:val="default"/>
    <w:sig w:usb0="00000000" w:usb1="00000000" w:usb2="00000010"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14:paraId="43CF7EA7"/>
  <w:p w14:paraId="651B3F8E"/>
  <w:p w14:paraId="5A1F47E3"/>
  <w:p>
    <w:pPr>
      <w:jc w:val="center"/>
    </w:pPr>
    <w:r>
      <w:fldChar w:fldCharType="begin"/>
    </w:r>
    <w:r>
      <w:instrText xml:space="preserve"> PAGE </w:instrText>
    </w:r>
    <w:r>
      <w:fldChar w:fldCharType="separate"/>
    </w:r>
    <w: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14:paraId="59D224B3"/>
  <w:p>
    <w:pPr>
      <w:jc w:val="center"/>
    </w:pPr>
    <w:r>
      <w:fldChar w:fldCharType="begin"/>
    </w:r>
    <w:r>
      <w:instrText xml:space="preserve"> PAGE </w:instrText>
    </w:r>
    <w:r>
      <w:fldChar w:fldCharType="separate"/>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14:paraId="382C7FBC"/>
  <w:p>
    <w:pPr>
      <w:jc w:val="center"/>
    </w:pPr>
    <w:r>
      <w:fldChar w:fldCharType="begin"/>
    </w:r>
    <w:r>
      <w:instrText xml:space="preserve"> PAGE </w:instrText>
    </w:r>
    <w:r>
      <w:fldChar w:fldCharType="separate"/>
    </w:r>
    <w:r>
      <w:t>51</w:t>
    </w:r>
    <w: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14:paraId="77850D1C">
    <w:pPr>
      <w:pStyle w:val="Footer"/>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xmlns:wps="http://schemas.microsoft.com/office/word/2010/wordprocessingShape">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Foote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_x0000_s1026" o:spid="_x0000_s2049" type="#_x0000_t202" style="width:2in;height:2in;margin-top:0;margin-left:0;mso-height-relative:page;mso-position-horizontal:center;mso-position-horizontal-relative:margin;mso-width-relative:page;mso-wrap-style:none;position:absolute;z-index:251659264" coordsize="21600,21600" filled="f" stroked="f">
              <o:lock v:ext="edit" aspectratio="f"/>
              <v:textbox style="mso-fit-shape-to-text:t" inset="0,0,0,0">
                <w:txbxContent>
                  <w:p w14:paraId="3B009C78">
                    <w:pPr>
                      <w:pStyle w:val="Footer"/>
                    </w:pPr>
                    <w:r>
                      <w:fldChar w:fldCharType="begin"/>
                    </w:r>
                    <w:r>
                      <w:instrText xml:space="preserve"> PAGE  \* MERGEFORMAT </w:instrText>
                    </w:r>
                    <w:r>
                      <w:fldChar w:fldCharType="separate"/>
                    </w:r>
                    <w:r>
                      <w:t>1</w:t>
                    </w:r>
                    <w:r>
                      <w:fldChar w:fldCharType="end"/>
                    </w:r>
                  </w:p>
                </w:txbxContent>
              </v:textbox>
              <w10:wrap anchorx="margin"/>
            </v:shape>
          </w:pict>
        </mc:Fallback>
      </mc:AlternateContent>
    </w:r>
  </w:p>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8D8DD8D8"/>
    <w:multiLevelType w:val="singleLevel"/>
    <w:tmpl w:val="8D8DD8D8"/>
    <w:lvl w:ilvl="0">
      <w:start w:val="8"/>
      <w:numFmt w:val="decimal"/>
      <w:suff w:val="space"/>
      <w:lvlText w:val="%1."/>
      <w:lvlJc w:val="left"/>
    </w:lvl>
  </w:abstractNum>
  <w:abstractNum w:abstractNumId="1">
    <w:nsid w:val="B99A5ED4"/>
    <w:multiLevelType w:val="singleLevel"/>
    <w:tmpl w:val="B99A5ED4"/>
    <w:lvl w:ilvl="0">
      <w:start w:val="1"/>
      <w:numFmt w:val="decimal"/>
      <w:lvlText w:val="%1."/>
      <w:lvlJc w:val="left"/>
      <w:pPr>
        <w:tabs>
          <w:tab w:val="left" w:pos="312"/>
        </w:tabs>
      </w:pPr>
    </w:lvl>
  </w:abstractNum>
  <w:abstractNum w:abstractNumId="2">
    <w:nsid w:val="E09C2330"/>
    <w:multiLevelType w:val="singleLevel"/>
    <w:tmpl w:val="E09C2330"/>
    <w:lvl w:ilvl="0">
      <w:start w:val="20"/>
      <w:numFmt w:val="decimal"/>
      <w:suff w:val="space"/>
      <w:lvlText w:val="%1."/>
      <w:lvlJc w:val="left"/>
    </w:lvl>
  </w:abstractNum>
  <w:abstractNum w:abstractNumId="3">
    <w:nsid w:val="EECFEC86"/>
    <w:multiLevelType w:val="singleLevel"/>
    <w:tmpl w:val="EECFEC86"/>
    <w:lvl w:ilvl="0">
      <w:start w:val="1"/>
      <w:numFmt w:val="decimal"/>
      <w:lvlText w:val="%1."/>
      <w:lvlJc w:val="left"/>
      <w:pPr>
        <w:ind w:left="425" w:hanging="425"/>
      </w:pPr>
      <w:rPr>
        <w:rFonts w:hint="default"/>
      </w:rPr>
    </w:lvl>
  </w:abstractNum>
  <w:abstractNum w:abstractNumId="4">
    <w:nsid w:val="F9FB07A5"/>
    <w:multiLevelType w:val="singleLevel"/>
    <w:tmpl w:val="F9FB07A5"/>
    <w:lvl w:ilvl="0">
      <w:start w:val="1"/>
      <w:numFmt w:val="decimal"/>
      <w:pStyle w:val="ListNumber2"/>
      <w:lvlText w:val="%1."/>
      <w:lvlJc w:val="left"/>
      <w:pPr>
        <w:tabs>
          <w:tab w:val="left" w:pos="780"/>
        </w:tabs>
        <w:ind w:left="780" w:hanging="360"/>
      </w:pPr>
    </w:lvl>
  </w:abstractNum>
  <w:abstractNum w:abstractNumId="5">
    <w:nsid w:val="00000002"/>
    <w:multiLevelType w:val="multilevel"/>
    <w:tmpl w:val="00000002"/>
    <w:lvl w:ilvl="0">
      <w:start w:val="1"/>
      <w:numFmt w:val="decimal"/>
      <w:pStyle w:val="1"/>
      <w:lvlText w:val="%1."/>
      <w:lvlJc w:val="left"/>
      <w:pPr>
        <w:tabs>
          <w:tab w:val="left" w:pos="900"/>
        </w:tabs>
        <w:ind w:left="900" w:hanging="420"/>
      </w:pPr>
      <w:rPr>
        <w:b w:val="0"/>
        <w:i w:val="0"/>
        <w:sz w:val="24"/>
        <w:szCs w:val="24"/>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6">
    <w:nsid w:val="00000003"/>
    <w:multiLevelType w:val="multilevel"/>
    <w:tmpl w:val="00000003"/>
    <w:lvl w:ilvl="0">
      <w:start w:val="1"/>
      <w:numFmt w:val="decimal"/>
      <w:pStyle w:val="ll2"/>
      <w:lvlText w:val="(%1)"/>
      <w:lvlJc w:val="left"/>
      <w:pPr>
        <w:tabs>
          <w:tab w:val="left" w:pos="420"/>
        </w:tabs>
        <w:ind w:left="420" w:hanging="42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7">
    <w:nsid w:val="00000004"/>
    <w:multiLevelType w:val="multilevel"/>
    <w:tmpl w:val="00000004"/>
    <w:lvl w:ilvl="0">
      <w:start w:val="1"/>
      <w:numFmt w:val="decimal"/>
      <w:lvlText w:val="第%1章 "/>
      <w:lvlJc w:val="left"/>
      <w:pPr>
        <w:tabs>
          <w:tab w:val="left" w:pos="2400"/>
        </w:tabs>
        <w:ind w:left="1392" w:hanging="432"/>
      </w:pPr>
      <w:rPr>
        <w:rFonts w:ascii="Times New Roman" w:hAnsi="Times New Roman" w:cs="Times New Roman" w:hint="eastAsia"/>
        <w:i w:val="0"/>
        <w:iCs w:val="0"/>
        <w:caps w:val="0"/>
        <w:smallCaps w:val="0"/>
        <w:outline w:val="0"/>
        <w:shadow w:val="0"/>
        <w:spacing w:val="0"/>
        <w:kern w:val="0"/>
        <w:position w:val="0"/>
        <w:u w:val="none"/>
        <w:lang w:val="en-US"/>
      </w:rPr>
    </w:lvl>
    <w:lvl w:ilvl="1">
      <w:start w:val="1"/>
      <w:numFmt w:val="decimal"/>
      <w:pStyle w:val="Heading2"/>
      <w:lvlText w:val="%1.%2"/>
      <w:lvlJc w:val="left"/>
      <w:pPr>
        <w:tabs>
          <w:tab w:val="left" w:pos="576"/>
        </w:tabs>
        <w:ind w:left="576" w:hanging="576"/>
      </w:pPr>
      <w:rPr>
        <w:rFonts w:hint="eastAsia"/>
      </w:rPr>
    </w:lvl>
    <w:lvl w:ilvl="2">
      <w:start w:val="1"/>
      <w:numFmt w:val="decimal"/>
      <w:lvlText w:val="%1.%2.%3"/>
      <w:lvlJc w:val="left"/>
      <w:pPr>
        <w:tabs>
          <w:tab w:val="left" w:pos="720"/>
        </w:tabs>
        <w:ind w:left="720" w:hanging="720"/>
      </w:pPr>
    </w:lvl>
    <w:lvl w:ilvl="3">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start w:val="1"/>
      <w:numFmt w:val="decimal"/>
      <w:lvlText w:val="%1.%2.%3.%4.%5"/>
      <w:lvlJc w:val="left"/>
      <w:pPr>
        <w:tabs>
          <w:tab w:val="left" w:pos="1008"/>
        </w:tabs>
        <w:ind w:left="1008" w:hanging="1008"/>
      </w:pPr>
      <w:rPr>
        <w:lang w:eastAsia="zh-CN"/>
      </w:rPr>
    </w:lvl>
    <w:lvl w:ilvl="5">
      <w:start w:val="1"/>
      <w:numFmt w:val="decimal"/>
      <w:lvlText w:val="%1.%2.%3.%4.%5.%6"/>
      <w:lvlJc w:val="left"/>
      <w:pPr>
        <w:tabs>
          <w:tab w:val="left" w:pos="2145"/>
        </w:tabs>
        <w:ind w:left="2145" w:hanging="1152"/>
      </w:pPr>
      <w:rPr>
        <w:color w:val="auto"/>
      </w:rPr>
    </w:lvl>
    <w:lvl w:ilvl="6">
      <w:start w:val="1"/>
      <w:numFmt w:val="decimal"/>
      <w:lvlText w:val="%1.%2.%3.%4.%5.%6.%7"/>
      <w:lvlJc w:val="left"/>
      <w:pPr>
        <w:tabs>
          <w:tab w:val="left" w:pos="1296"/>
        </w:tabs>
        <w:ind w:left="1296" w:hanging="1296"/>
      </w:pPr>
      <w:rPr>
        <w:rFonts w:hint="eastAsia"/>
      </w:rPr>
    </w:lvl>
    <w:lvl w:ilvl="7">
      <w:start w:val="1"/>
      <w:numFmt w:val="decimal"/>
      <w:lvlText w:val="%1.%2.%3.%4.%5.%6.%7.%8"/>
      <w:lvlJc w:val="left"/>
      <w:pPr>
        <w:tabs>
          <w:tab w:val="left" w:pos="1440"/>
        </w:tabs>
        <w:ind w:left="1440" w:hanging="1440"/>
      </w:pPr>
      <w:rPr>
        <w:rFonts w:hint="eastAsia"/>
      </w:rPr>
    </w:lvl>
    <w:lvl w:ilvl="8">
      <w:start w:val="1"/>
      <w:numFmt w:val="decimal"/>
      <w:lvlText w:val="%1.%2.%3.%4.%5.%6.%7.%8.%9"/>
      <w:lvlJc w:val="left"/>
      <w:pPr>
        <w:tabs>
          <w:tab w:val="left" w:pos="1584"/>
        </w:tabs>
        <w:ind w:left="1584" w:hanging="1584"/>
      </w:pPr>
      <w:rPr>
        <w:rFonts w:hint="eastAsia"/>
      </w:rPr>
    </w:lvl>
  </w:abstractNum>
  <w:abstractNum w:abstractNumId="8">
    <w:nsid w:val="06AE0596"/>
    <w:multiLevelType w:val="singleLevel"/>
    <w:tmpl w:val="EECFEC86"/>
    <w:lvl w:ilvl="0">
      <w:start w:val="1"/>
      <w:numFmt w:val="decimal"/>
      <w:lvlText w:val="%1."/>
      <w:lvlJc w:val="left"/>
      <w:pPr>
        <w:ind w:left="425" w:hanging="425"/>
      </w:pPr>
      <w:rPr>
        <w:rFonts w:hint="default"/>
      </w:rPr>
    </w:lvl>
  </w:abstractNum>
  <w:abstractNum w:abstractNumId="9">
    <w:nsid w:val="1C7273BD"/>
    <w:multiLevelType w:val="singleLevel"/>
    <w:tmpl w:val="EECFEC86"/>
    <w:lvl w:ilvl="0">
      <w:start w:val="1"/>
      <w:numFmt w:val="decimal"/>
      <w:lvlText w:val="%1."/>
      <w:lvlJc w:val="left"/>
      <w:pPr>
        <w:ind w:left="425" w:hanging="425"/>
      </w:pPr>
      <w:rPr>
        <w:rFonts w:hint="default"/>
      </w:rPr>
    </w:lvl>
  </w:abstractNum>
  <w:abstractNum w:abstractNumId="10">
    <w:nsid w:val="3C6D4482"/>
    <w:multiLevelType w:val="singleLevel"/>
    <w:tmpl w:val="8D8DD8D8"/>
    <w:lvl w:ilvl="0">
      <w:start w:val="8"/>
      <w:numFmt w:val="decimal"/>
      <w:suff w:val="space"/>
      <w:lvlText w:val="%1."/>
      <w:lvlJc w:val="left"/>
    </w:lvl>
  </w:abstractNum>
  <w:abstractNum w:abstractNumId="11">
    <w:nsid w:val="3EBB3C91"/>
    <w:multiLevelType w:val="multilevel"/>
    <w:tmpl w:val="3EBB3C91"/>
    <w:lvl w:ilvl="0">
      <w:start w:val="1"/>
      <w:numFmt w:val="chineseCountingThousand"/>
      <w:suff w:val="space"/>
      <w:lvlText w:val="%1. "/>
      <w:lvlJc w:val="left"/>
      <w:pPr>
        <w:ind w:left="907" w:hanging="907"/>
      </w:pPr>
      <w:rPr>
        <w:rFonts w:hint="eastAsia"/>
      </w:rPr>
    </w:lvl>
    <w:lvl w:ilvl="1">
      <w:start w:val="1"/>
      <w:numFmt w:val="decimal"/>
      <w:isLgl/>
      <w:suff w:val="space"/>
      <w:lvlText w:val="%1.%2 "/>
      <w:lvlJc w:val="left"/>
      <w:pPr>
        <w:ind w:left="794" w:hanging="794"/>
      </w:pPr>
    </w:lvl>
    <w:lvl w:ilvl="2">
      <w:start w:val="0"/>
      <w:numFmt w:val="none"/>
      <w:lvlJc w:val="left"/>
      <w:pPr>
        <w:tabs>
          <w:tab w:val="left" w:pos="360"/>
        </w:tabs>
      </w:pPr>
      <w:rPr>
        <w:rFonts w:cs="Times New Roman"/>
      </w:rPr>
    </w:lvl>
    <w:lvl w:ilvl="3">
      <w:start w:val="0"/>
      <w:numFmt w:val="none"/>
      <w:lvlJc w:val="left"/>
      <w:pPr>
        <w:tabs>
          <w:tab w:val="left" w:pos="360"/>
        </w:tabs>
      </w:pPr>
      <w:rPr>
        <w:rFonts w:cs="Times New Roman"/>
      </w:rPr>
    </w:lvl>
    <w:lvl w:ilvl="4">
      <w:start w:val="0"/>
      <w:numFmt w:val="decimal"/>
      <w:pStyle w:val="5"/>
      <w:lvlJc w:val="left"/>
      <w:rPr>
        <w:rFonts w:cs="Times New Roman"/>
      </w:rPr>
    </w:lvl>
    <w:lvl w:ilvl="5">
      <w:start w:val="0"/>
      <w:numFmt w:val="decimal"/>
      <w:lvlJc w:val="left"/>
      <w:rPr>
        <w:rFonts w:cs="Times New Roman"/>
      </w:rPr>
    </w:lvl>
    <w:lvl w:ilvl="6">
      <w:start w:val="0"/>
      <w:numFmt w:val="decimal"/>
      <w:lvlJc w:val="left"/>
      <w:rPr>
        <w:rFonts w:cs="Times New Roman"/>
      </w:rPr>
    </w:lvl>
    <w:lvl w:ilvl="7">
      <w:start w:val="0"/>
      <w:numFmt w:val="decimal"/>
      <w:lvlJc w:val="left"/>
      <w:rPr>
        <w:rFonts w:cs="Times New Roman"/>
      </w:rPr>
    </w:lvl>
    <w:lvl w:ilvl="8">
      <w:start w:val="0"/>
      <w:numFmt w:val="decimal"/>
      <w:lvlJc w:val="left"/>
      <w:rPr>
        <w:rFonts w:cs="Times New Roman"/>
      </w:rPr>
    </w:lvl>
  </w:abstractNum>
  <w:abstractNum w:abstractNumId="12">
    <w:nsid w:val="709AB28C"/>
    <w:multiLevelType w:val="singleLevel"/>
    <w:tmpl w:val="8D8DD8D8"/>
    <w:lvl w:ilvl="0">
      <w:start w:val="8"/>
      <w:numFmt w:val="decimal"/>
      <w:suff w:val="space"/>
      <w:lvlText w:val="%1."/>
      <w:lvlJc w:val="left"/>
    </w:lvl>
  </w:abstractNum>
  <w:num w:numId="1">
    <w:abstractNumId w:val="7"/>
  </w:num>
  <w:num w:numId="2">
    <w:abstractNumId w:val="4"/>
  </w:num>
  <w:num w:numId="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num>
  <w:num w:numId="5">
    <w:abstractNumId w:val="11"/>
  </w:num>
  <w:num w:numId="6">
    <w:abstractNumId w:val="3"/>
  </w:num>
  <w:num w:numId="7">
    <w:abstractNumId w:val="1"/>
  </w:num>
  <w:num w:numId="8">
    <w:abstractNumId w:val="0"/>
  </w:num>
  <w:num w:numId="9">
    <w:abstractNumId w:val="2"/>
  </w:num>
  <w:num w:numId="10">
    <w:abstractNumId w:val="9"/>
  </w:num>
  <w:num w:numId="11">
    <w:abstractNumId w:val="12"/>
  </w:num>
  <w:num w:numId="12">
    <w:abstractNumId w:val="8"/>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420"/>
  <w:drawingGridVerticalSpacing w:val="156"/>
  <w:doNotShadeFormData/>
  <w:noPunctuationKerning/>
  <w:characterSpacingControl w:val="compressPunctuation"/>
  <w:noLineBreaksAfter w:lang="zh-CN" w:val="([{·‘“〈《「『【〔〖（．［｛￡￥"/>
  <w:noLineBreaksBefore w:lang="zh-CN" w:val="!),.:;?]}¨·ˇˉ―‖’”…∶、。〃々〉》」』】〕〗！＂＇），．：；？］｀｜｝～￠"/>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 w:val="83E741E6"/>
    <w:rsid w:val="8AFD5FE4"/>
    <w:rsid w:val="8BB7B7DF"/>
    <w:rsid w:val="8BFFA716"/>
    <w:rsid w:val="8DFF2890"/>
    <w:rsid w:val="8E51E9D7"/>
    <w:rsid w:val="8ED71B7D"/>
    <w:rsid w:val="8FDF8E26"/>
    <w:rsid w:val="8FF7D9C7"/>
    <w:rsid w:val="8FF97BFF"/>
    <w:rsid w:val="917B956D"/>
    <w:rsid w:val="936BF8C1"/>
    <w:rsid w:val="95DBDEB5"/>
    <w:rsid w:val="97F66D8C"/>
    <w:rsid w:val="97FB9BDE"/>
    <w:rsid w:val="9B3BB520"/>
    <w:rsid w:val="9B7E3A18"/>
    <w:rsid w:val="9BB64845"/>
    <w:rsid w:val="9BF9D04B"/>
    <w:rsid w:val="9C7F564E"/>
    <w:rsid w:val="9D7F0A30"/>
    <w:rsid w:val="9DBF5907"/>
    <w:rsid w:val="9DEB6262"/>
    <w:rsid w:val="9DEF7DD7"/>
    <w:rsid w:val="9EBF6D3C"/>
    <w:rsid w:val="9EFFA3C5"/>
    <w:rsid w:val="9F2B6F85"/>
    <w:rsid w:val="9F732433"/>
    <w:rsid w:val="9FDB7462"/>
    <w:rsid w:val="9FF2B3EC"/>
    <w:rsid w:val="9FFDF123"/>
    <w:rsid w:val="9FFFEC1B"/>
    <w:rsid w:val="A2FB5CB6"/>
    <w:rsid w:val="A3DB2F9C"/>
    <w:rsid w:val="A4EB2798"/>
    <w:rsid w:val="A52B2461"/>
    <w:rsid w:val="A5FFE412"/>
    <w:rsid w:val="A6F7F33B"/>
    <w:rsid w:val="A6FE19FF"/>
    <w:rsid w:val="A73A3C54"/>
    <w:rsid w:val="A9ED98BF"/>
    <w:rsid w:val="ADF55057"/>
    <w:rsid w:val="AEF4B464"/>
    <w:rsid w:val="AF73836A"/>
    <w:rsid w:val="AFDE7843"/>
    <w:rsid w:val="AFED8EAC"/>
    <w:rsid w:val="AFEFEB2D"/>
    <w:rsid w:val="AFF9C10E"/>
    <w:rsid w:val="AFFFFF6D"/>
    <w:rsid w:val="B12FD5A9"/>
    <w:rsid w:val="B1EEEF5E"/>
    <w:rsid w:val="B2CF58B4"/>
    <w:rsid w:val="B37CF7BB"/>
    <w:rsid w:val="B3C8B463"/>
    <w:rsid w:val="B3D31583"/>
    <w:rsid w:val="B3DE7BE4"/>
    <w:rsid w:val="B3E6101E"/>
    <w:rsid w:val="B59F766D"/>
    <w:rsid w:val="B6DBDEE2"/>
    <w:rsid w:val="B6F7532B"/>
    <w:rsid w:val="B77BF44C"/>
    <w:rsid w:val="B77FBD7A"/>
    <w:rsid w:val="B77FD65D"/>
    <w:rsid w:val="B7B05DC7"/>
    <w:rsid w:val="B7E3A70E"/>
    <w:rsid w:val="B7E75FE0"/>
    <w:rsid w:val="B7EBE5DB"/>
    <w:rsid w:val="B7FCFD7E"/>
    <w:rsid w:val="B7FDAC82"/>
    <w:rsid w:val="B7FFAFBD"/>
    <w:rsid w:val="B8B4BD3F"/>
    <w:rsid w:val="B9755EB2"/>
    <w:rsid w:val="B9F77897"/>
    <w:rsid w:val="BA7FBBF9"/>
    <w:rsid w:val="BAFB73ED"/>
    <w:rsid w:val="BB67B601"/>
    <w:rsid w:val="BB7FEED6"/>
    <w:rsid w:val="BBDF29CA"/>
    <w:rsid w:val="BBE534A2"/>
    <w:rsid w:val="BBF539BA"/>
    <w:rsid w:val="BBF78487"/>
    <w:rsid w:val="BBFDEFC2"/>
    <w:rsid w:val="BBFF98B6"/>
    <w:rsid w:val="BCDF6DAD"/>
    <w:rsid w:val="BCEB686C"/>
    <w:rsid w:val="BD2F654B"/>
    <w:rsid w:val="BD7DEDCC"/>
    <w:rsid w:val="BDBF0CE0"/>
    <w:rsid w:val="BDE7841D"/>
    <w:rsid w:val="BDF3838D"/>
    <w:rsid w:val="BDFCA53E"/>
    <w:rsid w:val="BEBBAA37"/>
    <w:rsid w:val="BEBF0673"/>
    <w:rsid w:val="BEBF52B3"/>
    <w:rsid w:val="BEFB5F9F"/>
    <w:rsid w:val="BEFD4CE7"/>
    <w:rsid w:val="BEFF960E"/>
    <w:rsid w:val="BF55E171"/>
    <w:rsid w:val="BF5696D8"/>
    <w:rsid w:val="BF6B8260"/>
    <w:rsid w:val="BF76C53B"/>
    <w:rsid w:val="BF7D98DD"/>
    <w:rsid w:val="BF7FDE3D"/>
    <w:rsid w:val="BF8CD6BE"/>
    <w:rsid w:val="BFA74CDA"/>
    <w:rsid w:val="BFAE4383"/>
    <w:rsid w:val="BFB65FD4"/>
    <w:rsid w:val="BFBAAB60"/>
    <w:rsid w:val="BFCF0BDA"/>
    <w:rsid w:val="BFCF892E"/>
    <w:rsid w:val="BFDF2BB6"/>
    <w:rsid w:val="BFDFCB5C"/>
    <w:rsid w:val="BFEE84EE"/>
    <w:rsid w:val="BFFA8FD6"/>
    <w:rsid w:val="BFFAB969"/>
    <w:rsid w:val="BFFD8B84"/>
    <w:rsid w:val="BFFE18D3"/>
    <w:rsid w:val="BFFF501F"/>
    <w:rsid w:val="BFFFA05E"/>
    <w:rsid w:val="BFFFCC56"/>
    <w:rsid w:val="BFFFE4E8"/>
    <w:rsid w:val="C37F778E"/>
    <w:rsid w:val="C67D8ACF"/>
    <w:rsid w:val="C6B268CB"/>
    <w:rsid w:val="C6D6C223"/>
    <w:rsid w:val="C7DB265A"/>
    <w:rsid w:val="C7DECF56"/>
    <w:rsid w:val="C9DF8FA8"/>
    <w:rsid w:val="C9F741CB"/>
    <w:rsid w:val="CBBA6227"/>
    <w:rsid w:val="CD5E95A6"/>
    <w:rsid w:val="CDBDFB92"/>
    <w:rsid w:val="CDC36CF8"/>
    <w:rsid w:val="CF76609D"/>
    <w:rsid w:val="CFAF9C2E"/>
    <w:rsid w:val="CFDD247B"/>
    <w:rsid w:val="CFFD2F65"/>
    <w:rsid w:val="D3B466F7"/>
    <w:rsid w:val="D45F5F59"/>
    <w:rsid w:val="D5BB1759"/>
    <w:rsid w:val="D5BF06CF"/>
    <w:rsid w:val="D60BC8CB"/>
    <w:rsid w:val="D6DDE5EE"/>
    <w:rsid w:val="D6DE1A44"/>
    <w:rsid w:val="D6EA2E41"/>
    <w:rsid w:val="D7121B13"/>
    <w:rsid w:val="D77E6928"/>
    <w:rsid w:val="D792952B"/>
    <w:rsid w:val="D7B73DBD"/>
    <w:rsid w:val="D7BDA7C7"/>
    <w:rsid w:val="D7DF5ED6"/>
    <w:rsid w:val="D7E28AD3"/>
    <w:rsid w:val="D7E552CC"/>
    <w:rsid w:val="D7FED790"/>
    <w:rsid w:val="D7FF554A"/>
    <w:rsid w:val="D9357834"/>
    <w:rsid w:val="D9FF881C"/>
    <w:rsid w:val="DAB11124"/>
    <w:rsid w:val="DADFDE2A"/>
    <w:rsid w:val="DAFBB832"/>
    <w:rsid w:val="DB514461"/>
    <w:rsid w:val="DBAF315B"/>
    <w:rsid w:val="DBAF760B"/>
    <w:rsid w:val="DBB904F5"/>
    <w:rsid w:val="DBC52A12"/>
    <w:rsid w:val="DBEF2A9C"/>
    <w:rsid w:val="DBEF5A4B"/>
    <w:rsid w:val="DBFF766E"/>
    <w:rsid w:val="DC4777D1"/>
    <w:rsid w:val="DC4F651B"/>
    <w:rsid w:val="DCEFC3D6"/>
    <w:rsid w:val="DD0ED113"/>
    <w:rsid w:val="DD7B7089"/>
    <w:rsid w:val="DD7E9D1F"/>
    <w:rsid w:val="DD92F0E7"/>
    <w:rsid w:val="DDF5FFF3"/>
    <w:rsid w:val="DE5ADDA2"/>
    <w:rsid w:val="DE6F3681"/>
    <w:rsid w:val="DE769F10"/>
    <w:rsid w:val="DEDE5523"/>
    <w:rsid w:val="DEDF3C42"/>
    <w:rsid w:val="DEFF8533"/>
    <w:rsid w:val="DF0394F1"/>
    <w:rsid w:val="DF07DD7D"/>
    <w:rsid w:val="DF695B5E"/>
    <w:rsid w:val="DF6CAE14"/>
    <w:rsid w:val="DF7F2C36"/>
    <w:rsid w:val="DF9D3BF5"/>
    <w:rsid w:val="DF9F5328"/>
    <w:rsid w:val="DFBE9958"/>
    <w:rsid w:val="DFCD2D11"/>
    <w:rsid w:val="DFDF43D7"/>
    <w:rsid w:val="DFE5F416"/>
    <w:rsid w:val="DFEB4A4F"/>
    <w:rsid w:val="DFED20A2"/>
    <w:rsid w:val="DFF1D4FC"/>
    <w:rsid w:val="DFF583A8"/>
    <w:rsid w:val="DFF7E6EF"/>
    <w:rsid w:val="DFFB2450"/>
    <w:rsid w:val="DFFC0D2D"/>
    <w:rsid w:val="DFFD6EB5"/>
    <w:rsid w:val="DFFDD891"/>
    <w:rsid w:val="DFFF66B3"/>
    <w:rsid w:val="E1F76525"/>
    <w:rsid w:val="E3F73F93"/>
    <w:rsid w:val="E3FF01F6"/>
    <w:rsid w:val="E3FFB25E"/>
    <w:rsid w:val="E4271B82"/>
    <w:rsid w:val="E4ED83B3"/>
    <w:rsid w:val="E4FDE3A9"/>
    <w:rsid w:val="E54F4605"/>
    <w:rsid w:val="E5F8B5CC"/>
    <w:rsid w:val="E6FED0CD"/>
    <w:rsid w:val="E73D2FA5"/>
    <w:rsid w:val="E76F1EAB"/>
    <w:rsid w:val="E77F8439"/>
    <w:rsid w:val="E7F2706B"/>
    <w:rsid w:val="E7FDF1CF"/>
    <w:rsid w:val="E8DFFC9A"/>
    <w:rsid w:val="E8FF64BF"/>
    <w:rsid w:val="EA6B44AD"/>
    <w:rsid w:val="EA9F4E4A"/>
    <w:rsid w:val="EADE1719"/>
    <w:rsid w:val="EB732E93"/>
    <w:rsid w:val="EB9B7451"/>
    <w:rsid w:val="EBAD98C1"/>
    <w:rsid w:val="EBFEF0DD"/>
    <w:rsid w:val="ECB72FC0"/>
    <w:rsid w:val="ECF9E152"/>
    <w:rsid w:val="ED7F94D7"/>
    <w:rsid w:val="ED8DD868"/>
    <w:rsid w:val="EDD530BE"/>
    <w:rsid w:val="EDE744BE"/>
    <w:rsid w:val="EDE78887"/>
    <w:rsid w:val="EDE7B14F"/>
    <w:rsid w:val="EDF387D9"/>
    <w:rsid w:val="EDFB8919"/>
    <w:rsid w:val="EDFFC030"/>
    <w:rsid w:val="EDFFE066"/>
    <w:rsid w:val="EE3E3ABA"/>
    <w:rsid w:val="EE5EE4E9"/>
    <w:rsid w:val="EE5FFFEF"/>
    <w:rsid w:val="EE674FB9"/>
    <w:rsid w:val="EEBF0D96"/>
    <w:rsid w:val="EEE9F615"/>
    <w:rsid w:val="EEEB70FE"/>
    <w:rsid w:val="EEF3B450"/>
    <w:rsid w:val="EEF7D0B3"/>
    <w:rsid w:val="EEFDC233"/>
    <w:rsid w:val="EEFDE6E9"/>
    <w:rsid w:val="EEFE7CAD"/>
    <w:rsid w:val="EF156EC4"/>
    <w:rsid w:val="EF4B3BFF"/>
    <w:rsid w:val="EF6AABDA"/>
    <w:rsid w:val="EF7EF75D"/>
    <w:rsid w:val="EF7F6BFC"/>
    <w:rsid w:val="EF7FD2C5"/>
    <w:rsid w:val="EF9F5705"/>
    <w:rsid w:val="EFBF1D4B"/>
    <w:rsid w:val="EFC683D2"/>
    <w:rsid w:val="EFC9937E"/>
    <w:rsid w:val="EFCFD8DD"/>
    <w:rsid w:val="EFDFABD0"/>
    <w:rsid w:val="EFE7E391"/>
    <w:rsid w:val="EFEF46D2"/>
    <w:rsid w:val="EFEFB160"/>
    <w:rsid w:val="EFF75619"/>
    <w:rsid w:val="EFFC5801"/>
    <w:rsid w:val="EFFE0A90"/>
    <w:rsid w:val="EFFEB9DE"/>
    <w:rsid w:val="EFFF3CE0"/>
    <w:rsid w:val="EFFF93C9"/>
    <w:rsid w:val="F1EDF9CC"/>
    <w:rsid w:val="F1F75B52"/>
    <w:rsid w:val="F27EB8D8"/>
    <w:rsid w:val="F27FFC4C"/>
    <w:rsid w:val="F2DD63CF"/>
    <w:rsid w:val="F379922A"/>
    <w:rsid w:val="F3FEF0CF"/>
    <w:rsid w:val="F4F7C09B"/>
    <w:rsid w:val="F57F0648"/>
    <w:rsid w:val="F5E79497"/>
    <w:rsid w:val="F5EF4119"/>
    <w:rsid w:val="F5FF85D2"/>
    <w:rsid w:val="F5FFA069"/>
    <w:rsid w:val="F61B1BB3"/>
    <w:rsid w:val="F63BFED3"/>
    <w:rsid w:val="F66ED278"/>
    <w:rsid w:val="F68FECCC"/>
    <w:rsid w:val="F6EB7863"/>
    <w:rsid w:val="F6FE1E51"/>
    <w:rsid w:val="F6FEB40C"/>
    <w:rsid w:val="F73FF092"/>
    <w:rsid w:val="F75E3E1F"/>
    <w:rsid w:val="F75F8222"/>
    <w:rsid w:val="F77F0681"/>
    <w:rsid w:val="F77F21DC"/>
    <w:rsid w:val="F79730AD"/>
    <w:rsid w:val="F79E65E6"/>
    <w:rsid w:val="F79EBD13"/>
    <w:rsid w:val="F7B31CDD"/>
    <w:rsid w:val="F7B592D5"/>
    <w:rsid w:val="F7BC48CF"/>
    <w:rsid w:val="F7BD2589"/>
    <w:rsid w:val="F7BF2861"/>
    <w:rsid w:val="F7CFDD6C"/>
    <w:rsid w:val="F7E9C2A0"/>
    <w:rsid w:val="F7EFBC5A"/>
    <w:rsid w:val="F7FAA18D"/>
    <w:rsid w:val="F7FBAF1D"/>
    <w:rsid w:val="F7FE0FF4"/>
    <w:rsid w:val="F7FE9C03"/>
    <w:rsid w:val="F7FF2410"/>
    <w:rsid w:val="F7FFB7F6"/>
    <w:rsid w:val="F7FFE387"/>
    <w:rsid w:val="F87A081D"/>
    <w:rsid w:val="F89D304E"/>
    <w:rsid w:val="F8B69D43"/>
    <w:rsid w:val="F8D346C8"/>
    <w:rsid w:val="F8ED2250"/>
    <w:rsid w:val="F8FF44B6"/>
    <w:rsid w:val="F972001A"/>
    <w:rsid w:val="F97F1117"/>
    <w:rsid w:val="F97F999B"/>
    <w:rsid w:val="F99FDA36"/>
    <w:rsid w:val="F9A7462A"/>
    <w:rsid w:val="F9B3F838"/>
    <w:rsid w:val="F9F3EB7D"/>
    <w:rsid w:val="F9FD82E5"/>
    <w:rsid w:val="F9FDC70A"/>
    <w:rsid w:val="FA0EF94D"/>
    <w:rsid w:val="FA4E220D"/>
    <w:rsid w:val="FA982247"/>
    <w:rsid w:val="FABEB44F"/>
    <w:rsid w:val="FACF9AB9"/>
    <w:rsid w:val="FAF51BDB"/>
    <w:rsid w:val="FB777470"/>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DB7ED"/>
    <w:rsid w:val="FBFE4C98"/>
    <w:rsid w:val="FBFFCAA3"/>
    <w:rsid w:val="FC6FBC55"/>
    <w:rsid w:val="FC79A0BB"/>
    <w:rsid w:val="FCDE1A40"/>
    <w:rsid w:val="FCF72825"/>
    <w:rsid w:val="FCF78876"/>
    <w:rsid w:val="FCFB8D43"/>
    <w:rsid w:val="FD1F0DF1"/>
    <w:rsid w:val="FD1F740E"/>
    <w:rsid w:val="FD36F994"/>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F00AA"/>
    <w:rsid w:val="FDFF33DF"/>
    <w:rsid w:val="FE3D643D"/>
    <w:rsid w:val="FE4BEE59"/>
    <w:rsid w:val="FE6F105A"/>
    <w:rsid w:val="FE78B572"/>
    <w:rsid w:val="FE7A4656"/>
    <w:rsid w:val="FE8DD527"/>
    <w:rsid w:val="FEAB5E58"/>
    <w:rsid w:val="FEBDBBB2"/>
    <w:rsid w:val="FECC4353"/>
    <w:rsid w:val="FECF432C"/>
    <w:rsid w:val="FED01B59"/>
    <w:rsid w:val="FEF3282F"/>
    <w:rsid w:val="FEF717ED"/>
    <w:rsid w:val="FEF7A559"/>
    <w:rsid w:val="FEF7BC32"/>
    <w:rsid w:val="FEFF3C62"/>
    <w:rsid w:val="FF0B5F84"/>
    <w:rsid w:val="FF0CDEB5"/>
    <w:rsid w:val="FF16A798"/>
    <w:rsid w:val="FF361E29"/>
    <w:rsid w:val="FF372CDD"/>
    <w:rsid w:val="FF48A5DE"/>
    <w:rsid w:val="FF6E71E1"/>
    <w:rsid w:val="FF7321C8"/>
    <w:rsid w:val="FF760675"/>
    <w:rsid w:val="FF76E2E0"/>
    <w:rsid w:val="FF7D9772"/>
    <w:rsid w:val="FF7E213E"/>
    <w:rsid w:val="FF7E666D"/>
    <w:rsid w:val="FF7ED418"/>
    <w:rsid w:val="FF7F6F12"/>
    <w:rsid w:val="FF7FC21A"/>
    <w:rsid w:val="FF8E5A6F"/>
    <w:rsid w:val="FF8FDA20"/>
    <w:rsid w:val="FF9EEFAF"/>
    <w:rsid w:val="FFA78F94"/>
    <w:rsid w:val="FFA7B0A6"/>
    <w:rsid w:val="FFBDF1C0"/>
    <w:rsid w:val="FFBE005B"/>
    <w:rsid w:val="FFBE3D54"/>
    <w:rsid w:val="FFBF3AB7"/>
    <w:rsid w:val="FFBF41CF"/>
    <w:rsid w:val="FFC734A8"/>
    <w:rsid w:val="FFDD321B"/>
    <w:rsid w:val="FFDFA1A0"/>
    <w:rsid w:val="FFE142B7"/>
    <w:rsid w:val="FFE5314D"/>
    <w:rsid w:val="FFE70E16"/>
    <w:rsid w:val="FFEAEB6B"/>
    <w:rsid w:val="FFEBB1B4"/>
    <w:rsid w:val="FFECEC2D"/>
    <w:rsid w:val="FFEEB330"/>
    <w:rsid w:val="FFEEF054"/>
    <w:rsid w:val="FFEF0495"/>
    <w:rsid w:val="FFEF3CF4"/>
    <w:rsid w:val="FFEF4004"/>
    <w:rsid w:val="FFEF7D7E"/>
    <w:rsid w:val="FFEFE1FF"/>
    <w:rsid w:val="FFF34AB2"/>
    <w:rsid w:val="FFF5D327"/>
    <w:rsid w:val="FFF701D1"/>
    <w:rsid w:val="FFF7FD3B"/>
    <w:rsid w:val="FFFBA1B8"/>
    <w:rsid w:val="FFFBB436"/>
    <w:rsid w:val="FFFC35CB"/>
    <w:rsid w:val="FFFD2880"/>
    <w:rsid w:val="FFFE032D"/>
    <w:rsid w:val="FFFE40A5"/>
    <w:rsid w:val="FFFF1FA2"/>
    <w:rsid w:val="FFFF5817"/>
    <w:rsid w:val="FFFF6BAE"/>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97B25"/>
    <w:rsid w:val="003E12F1"/>
    <w:rsid w:val="003E4B94"/>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9B0ED2"/>
    <w:rsid w:val="01CF32DE"/>
    <w:rsid w:val="01F706AA"/>
    <w:rsid w:val="028D780A"/>
    <w:rsid w:val="02B253D3"/>
    <w:rsid w:val="02C31846"/>
    <w:rsid w:val="03255047"/>
    <w:rsid w:val="0408683A"/>
    <w:rsid w:val="04196E85"/>
    <w:rsid w:val="04357786"/>
    <w:rsid w:val="04844769"/>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ABB770E"/>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AF11B6"/>
    <w:rsid w:val="0ED20B1A"/>
    <w:rsid w:val="0F2D43D6"/>
    <w:rsid w:val="0F626F7D"/>
    <w:rsid w:val="0FBDCFF7"/>
    <w:rsid w:val="0FE84C3B"/>
    <w:rsid w:val="10483EDC"/>
    <w:rsid w:val="105748B8"/>
    <w:rsid w:val="10D609E3"/>
    <w:rsid w:val="11806702"/>
    <w:rsid w:val="11B819AE"/>
    <w:rsid w:val="123063C6"/>
    <w:rsid w:val="12441BD0"/>
    <w:rsid w:val="12632093"/>
    <w:rsid w:val="12B622B4"/>
    <w:rsid w:val="13020FC6"/>
    <w:rsid w:val="13BFFE24"/>
    <w:rsid w:val="13D576DE"/>
    <w:rsid w:val="13E21002"/>
    <w:rsid w:val="14B434DA"/>
    <w:rsid w:val="14DA11B3"/>
    <w:rsid w:val="14F13770"/>
    <w:rsid w:val="150916C0"/>
    <w:rsid w:val="153F4B5B"/>
    <w:rsid w:val="156A4371"/>
    <w:rsid w:val="15F40433"/>
    <w:rsid w:val="167A0525"/>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B559EB"/>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DF412F"/>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8FA2ADA"/>
    <w:rsid w:val="29075AB9"/>
    <w:rsid w:val="292507E6"/>
    <w:rsid w:val="29443257"/>
    <w:rsid w:val="29977098"/>
    <w:rsid w:val="29BE0BBE"/>
    <w:rsid w:val="29CE0B43"/>
    <w:rsid w:val="29D4206D"/>
    <w:rsid w:val="2A467D32"/>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FF93C0"/>
    <w:rsid w:val="2D0A0F57"/>
    <w:rsid w:val="2E0916E8"/>
    <w:rsid w:val="2ED34FAB"/>
    <w:rsid w:val="2ED7B167"/>
    <w:rsid w:val="2EDE1CD9"/>
    <w:rsid w:val="2EFC2BA8"/>
    <w:rsid w:val="2F73153F"/>
    <w:rsid w:val="2F7E4166"/>
    <w:rsid w:val="2FCB04D1"/>
    <w:rsid w:val="2FF4C68C"/>
    <w:rsid w:val="2FF6429B"/>
    <w:rsid w:val="2FFFD555"/>
    <w:rsid w:val="30880B1A"/>
    <w:rsid w:val="309659E4"/>
    <w:rsid w:val="3114794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7F9AA9"/>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86865F3"/>
    <w:rsid w:val="38856E98"/>
    <w:rsid w:val="38AE7374"/>
    <w:rsid w:val="397CE9FA"/>
    <w:rsid w:val="3981356C"/>
    <w:rsid w:val="398FBE59"/>
    <w:rsid w:val="39AE0173"/>
    <w:rsid w:val="39CF9398"/>
    <w:rsid w:val="39E06BB7"/>
    <w:rsid w:val="39FE63DA"/>
    <w:rsid w:val="39FEA780"/>
    <w:rsid w:val="39FF16A6"/>
    <w:rsid w:val="3A5C1C8F"/>
    <w:rsid w:val="3AEE94BF"/>
    <w:rsid w:val="3AFC5808"/>
    <w:rsid w:val="3AFF354D"/>
    <w:rsid w:val="3B6128AF"/>
    <w:rsid w:val="3B7FD698"/>
    <w:rsid w:val="3BA7155E"/>
    <w:rsid w:val="3BCE2B2E"/>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AC68A9"/>
    <w:rsid w:val="3DE352C2"/>
    <w:rsid w:val="3DE55C5C"/>
    <w:rsid w:val="3DE79E70"/>
    <w:rsid w:val="3DF64C8C"/>
    <w:rsid w:val="3DF9D1C7"/>
    <w:rsid w:val="3DFA2EC2"/>
    <w:rsid w:val="3DFEDA12"/>
    <w:rsid w:val="3E3F64B3"/>
    <w:rsid w:val="3E441781"/>
    <w:rsid w:val="3E4C04DD"/>
    <w:rsid w:val="3E9748C9"/>
    <w:rsid w:val="3EB43CEE"/>
    <w:rsid w:val="3EBD474F"/>
    <w:rsid w:val="3EE13927"/>
    <w:rsid w:val="3EFFC0D2"/>
    <w:rsid w:val="3F13832E"/>
    <w:rsid w:val="3F74DECA"/>
    <w:rsid w:val="3F7ABF0A"/>
    <w:rsid w:val="3F7F0620"/>
    <w:rsid w:val="3F7F8784"/>
    <w:rsid w:val="3F7FBF7F"/>
    <w:rsid w:val="3F91339B"/>
    <w:rsid w:val="3FEECAA6"/>
    <w:rsid w:val="3FF42639"/>
    <w:rsid w:val="3FF75D61"/>
    <w:rsid w:val="3FF960D8"/>
    <w:rsid w:val="3FF9DBC9"/>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1F0AEB"/>
    <w:rsid w:val="47A52982"/>
    <w:rsid w:val="47BC2FDD"/>
    <w:rsid w:val="47F76339"/>
    <w:rsid w:val="47FF7ED1"/>
    <w:rsid w:val="483243FA"/>
    <w:rsid w:val="48D16F09"/>
    <w:rsid w:val="493C1E2A"/>
    <w:rsid w:val="49471A9B"/>
    <w:rsid w:val="49B87CAB"/>
    <w:rsid w:val="49D051BB"/>
    <w:rsid w:val="49FA7838"/>
    <w:rsid w:val="4A2F17E4"/>
    <w:rsid w:val="4A4975A2"/>
    <w:rsid w:val="4A926776"/>
    <w:rsid w:val="4B476E98"/>
    <w:rsid w:val="4BAE5EE7"/>
    <w:rsid w:val="4BEBB755"/>
    <w:rsid w:val="4BF39157"/>
    <w:rsid w:val="4C4B6322"/>
    <w:rsid w:val="4CA446A1"/>
    <w:rsid w:val="4D0A437B"/>
    <w:rsid w:val="4D5F122E"/>
    <w:rsid w:val="4D6C7BBE"/>
    <w:rsid w:val="4D7730E9"/>
    <w:rsid w:val="4D7A24FB"/>
    <w:rsid w:val="4DB4A589"/>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E96F96"/>
    <w:rsid w:val="4FFADD19"/>
    <w:rsid w:val="4FFDFA4D"/>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5FA184D"/>
    <w:rsid w:val="563D6FA7"/>
    <w:rsid w:val="566643B6"/>
    <w:rsid w:val="56771A8E"/>
    <w:rsid w:val="56C5451B"/>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A37226"/>
    <w:rsid w:val="59D14798"/>
    <w:rsid w:val="59F732A8"/>
    <w:rsid w:val="59FB7F99"/>
    <w:rsid w:val="5A2679B5"/>
    <w:rsid w:val="5A27795C"/>
    <w:rsid w:val="5A506E27"/>
    <w:rsid w:val="5A622C9F"/>
    <w:rsid w:val="5A872B3D"/>
    <w:rsid w:val="5A9C42A7"/>
    <w:rsid w:val="5ABC10CE"/>
    <w:rsid w:val="5AD85ED5"/>
    <w:rsid w:val="5B3754AC"/>
    <w:rsid w:val="5B77BCCC"/>
    <w:rsid w:val="5BBFB659"/>
    <w:rsid w:val="5BBFB84A"/>
    <w:rsid w:val="5BFA40A1"/>
    <w:rsid w:val="5BFE3FB4"/>
    <w:rsid w:val="5BFEC130"/>
    <w:rsid w:val="5C75205D"/>
    <w:rsid w:val="5C7F2617"/>
    <w:rsid w:val="5C9956E7"/>
    <w:rsid w:val="5CAF6973"/>
    <w:rsid w:val="5CB7BBFA"/>
    <w:rsid w:val="5CE32510"/>
    <w:rsid w:val="5CFF42F1"/>
    <w:rsid w:val="5D739DEF"/>
    <w:rsid w:val="5D9B5743"/>
    <w:rsid w:val="5DADE61A"/>
    <w:rsid w:val="5DCA7440"/>
    <w:rsid w:val="5DD81EB0"/>
    <w:rsid w:val="5DDFB65A"/>
    <w:rsid w:val="5DF2DCFE"/>
    <w:rsid w:val="5DFB3ADA"/>
    <w:rsid w:val="5E225D2B"/>
    <w:rsid w:val="5E3907E6"/>
    <w:rsid w:val="5E4C53A9"/>
    <w:rsid w:val="5E4F35CE"/>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FB8D7"/>
    <w:rsid w:val="5FA598A8"/>
    <w:rsid w:val="5FBF10C9"/>
    <w:rsid w:val="5FBFA8DE"/>
    <w:rsid w:val="5FC52CF1"/>
    <w:rsid w:val="5FC72D43"/>
    <w:rsid w:val="5FD48A7F"/>
    <w:rsid w:val="5FDF272A"/>
    <w:rsid w:val="5FE49ED6"/>
    <w:rsid w:val="5FE79582"/>
    <w:rsid w:val="5FF3C4BD"/>
    <w:rsid w:val="5FFB1A71"/>
    <w:rsid w:val="5FFB8C6E"/>
    <w:rsid w:val="5FFE282E"/>
    <w:rsid w:val="5FFED246"/>
    <w:rsid w:val="5FFFB35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A405E4"/>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70CF1"/>
    <w:rsid w:val="677FB307"/>
    <w:rsid w:val="67C764CA"/>
    <w:rsid w:val="67CF6078"/>
    <w:rsid w:val="67F22EE1"/>
    <w:rsid w:val="67F77283"/>
    <w:rsid w:val="67F7EA61"/>
    <w:rsid w:val="67FDEBB4"/>
    <w:rsid w:val="67FF1237"/>
    <w:rsid w:val="68014CBD"/>
    <w:rsid w:val="6856019A"/>
    <w:rsid w:val="68626BDA"/>
    <w:rsid w:val="69C3610A"/>
    <w:rsid w:val="69FF7F75"/>
    <w:rsid w:val="6A352173"/>
    <w:rsid w:val="6A8E4FDE"/>
    <w:rsid w:val="6A9FD300"/>
    <w:rsid w:val="6AA66A8C"/>
    <w:rsid w:val="6AB61122"/>
    <w:rsid w:val="6AB9F4AD"/>
    <w:rsid w:val="6AF723A7"/>
    <w:rsid w:val="6B1A0C6D"/>
    <w:rsid w:val="6B566FFB"/>
    <w:rsid w:val="6B593482"/>
    <w:rsid w:val="6B68065B"/>
    <w:rsid w:val="6BB81DF4"/>
    <w:rsid w:val="6BEF4EA0"/>
    <w:rsid w:val="6C177B83"/>
    <w:rsid w:val="6C7F0DE9"/>
    <w:rsid w:val="6C9E1DB3"/>
    <w:rsid w:val="6CA87B16"/>
    <w:rsid w:val="6CB97305"/>
    <w:rsid w:val="6CF62C30"/>
    <w:rsid w:val="6CFBBD14"/>
    <w:rsid w:val="6D5B138D"/>
    <w:rsid w:val="6D736557"/>
    <w:rsid w:val="6D7463D1"/>
    <w:rsid w:val="6DBDE3F4"/>
    <w:rsid w:val="6DD3BE5C"/>
    <w:rsid w:val="6DDE0C73"/>
    <w:rsid w:val="6DDFF55A"/>
    <w:rsid w:val="6DFD7DCB"/>
    <w:rsid w:val="6DFDDDEA"/>
    <w:rsid w:val="6DFEF67D"/>
    <w:rsid w:val="6E437D62"/>
    <w:rsid w:val="6E47118D"/>
    <w:rsid w:val="6E58352F"/>
    <w:rsid w:val="6E6E9F58"/>
    <w:rsid w:val="6E7F846C"/>
    <w:rsid w:val="6E9D5F41"/>
    <w:rsid w:val="6EAE2733"/>
    <w:rsid w:val="6EB88A9E"/>
    <w:rsid w:val="6EBFF39B"/>
    <w:rsid w:val="6ECD4414"/>
    <w:rsid w:val="6EF748B3"/>
    <w:rsid w:val="6EF7F592"/>
    <w:rsid w:val="6EFF5192"/>
    <w:rsid w:val="6F101E5F"/>
    <w:rsid w:val="6F2BFD5F"/>
    <w:rsid w:val="6F3B9CB4"/>
    <w:rsid w:val="6F546DD6"/>
    <w:rsid w:val="6F5FFD67"/>
    <w:rsid w:val="6F77D9A4"/>
    <w:rsid w:val="6F79FA17"/>
    <w:rsid w:val="6F9237F4"/>
    <w:rsid w:val="6F97D60E"/>
    <w:rsid w:val="6FAB4704"/>
    <w:rsid w:val="6FB7D88C"/>
    <w:rsid w:val="6FC42FE0"/>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922D6F"/>
    <w:rsid w:val="73B39AC5"/>
    <w:rsid w:val="73B60D43"/>
    <w:rsid w:val="73BCD05E"/>
    <w:rsid w:val="73FA5241"/>
    <w:rsid w:val="73FF0AB2"/>
    <w:rsid w:val="73FF66D0"/>
    <w:rsid w:val="741957C2"/>
    <w:rsid w:val="7470361C"/>
    <w:rsid w:val="74BC4A4B"/>
    <w:rsid w:val="74F5A945"/>
    <w:rsid w:val="74F66410"/>
    <w:rsid w:val="757E1149"/>
    <w:rsid w:val="7593B24A"/>
    <w:rsid w:val="759B7C3F"/>
    <w:rsid w:val="75AD7FD6"/>
    <w:rsid w:val="75BCBDE7"/>
    <w:rsid w:val="75D8D52D"/>
    <w:rsid w:val="75DF957A"/>
    <w:rsid w:val="75F3CBAB"/>
    <w:rsid w:val="75F66CC9"/>
    <w:rsid w:val="765FBF31"/>
    <w:rsid w:val="768E2916"/>
    <w:rsid w:val="769E716A"/>
    <w:rsid w:val="76C81EB1"/>
    <w:rsid w:val="76FE18E7"/>
    <w:rsid w:val="76FFC21D"/>
    <w:rsid w:val="77245633"/>
    <w:rsid w:val="772F8C49"/>
    <w:rsid w:val="773D42A7"/>
    <w:rsid w:val="775D3490"/>
    <w:rsid w:val="775F893D"/>
    <w:rsid w:val="776F0A63"/>
    <w:rsid w:val="776F4FC6"/>
    <w:rsid w:val="776FD525"/>
    <w:rsid w:val="777D097E"/>
    <w:rsid w:val="77900B87"/>
    <w:rsid w:val="779301BE"/>
    <w:rsid w:val="77984B58"/>
    <w:rsid w:val="77ABCF51"/>
    <w:rsid w:val="77B622BC"/>
    <w:rsid w:val="77BFC6EB"/>
    <w:rsid w:val="77BFE2CB"/>
    <w:rsid w:val="77DE52B2"/>
    <w:rsid w:val="77DF4994"/>
    <w:rsid w:val="77DF526A"/>
    <w:rsid w:val="77E7DA5D"/>
    <w:rsid w:val="77F78444"/>
    <w:rsid w:val="77FF84FD"/>
    <w:rsid w:val="77FFBB25"/>
    <w:rsid w:val="78B17334"/>
    <w:rsid w:val="78BF35B7"/>
    <w:rsid w:val="78BFFCAD"/>
    <w:rsid w:val="78EC26A9"/>
    <w:rsid w:val="78F47AA0"/>
    <w:rsid w:val="79537D73"/>
    <w:rsid w:val="796339EC"/>
    <w:rsid w:val="796626C4"/>
    <w:rsid w:val="797314CF"/>
    <w:rsid w:val="79BDAD24"/>
    <w:rsid w:val="79D57C8B"/>
    <w:rsid w:val="79DEFEBC"/>
    <w:rsid w:val="79EDA20A"/>
    <w:rsid w:val="79EDD9C1"/>
    <w:rsid w:val="79F700C8"/>
    <w:rsid w:val="7A0F13F1"/>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8932"/>
    <w:rsid w:val="7BD7E33F"/>
    <w:rsid w:val="7BDE8DD2"/>
    <w:rsid w:val="7BEFBEDD"/>
    <w:rsid w:val="7BF58731"/>
    <w:rsid w:val="7BFBDFEB"/>
    <w:rsid w:val="7BFC8FEF"/>
    <w:rsid w:val="7BFF111C"/>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A8457B"/>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9142BF"/>
    <w:rsid w:val="7EA607EF"/>
    <w:rsid w:val="7EBD549C"/>
    <w:rsid w:val="7ECF3098"/>
    <w:rsid w:val="7ED741F6"/>
    <w:rsid w:val="7EDA7E5A"/>
    <w:rsid w:val="7EDB0EDB"/>
    <w:rsid w:val="7EDD8549"/>
    <w:rsid w:val="7EDF3331"/>
    <w:rsid w:val="7EFB2CC6"/>
    <w:rsid w:val="7EFDE700"/>
    <w:rsid w:val="7EFDFAD1"/>
    <w:rsid w:val="7EFF4AEF"/>
    <w:rsid w:val="7EFF8638"/>
    <w:rsid w:val="7EFFA7DA"/>
    <w:rsid w:val="7EFFE719"/>
    <w:rsid w:val="7F3543C4"/>
    <w:rsid w:val="7F3D21E0"/>
    <w:rsid w:val="7F3F55C0"/>
    <w:rsid w:val="7F6FDB6F"/>
    <w:rsid w:val="7F7728FA"/>
    <w:rsid w:val="7F775E50"/>
    <w:rsid w:val="7F7B1AD9"/>
    <w:rsid w:val="7F7FA620"/>
    <w:rsid w:val="7F7FD998"/>
    <w:rsid w:val="7F8EB047"/>
    <w:rsid w:val="7F9E0363"/>
    <w:rsid w:val="7FA71501"/>
    <w:rsid w:val="7FA7C79F"/>
    <w:rsid w:val="7FAE2FAA"/>
    <w:rsid w:val="7FAEB9FE"/>
    <w:rsid w:val="7FB75728"/>
    <w:rsid w:val="7FB7A248"/>
    <w:rsid w:val="7FB7DA4B"/>
    <w:rsid w:val="7FB9BB9E"/>
    <w:rsid w:val="7FBC0CC7"/>
    <w:rsid w:val="7FC747D0"/>
    <w:rsid w:val="7FCDF9DA"/>
    <w:rsid w:val="7FD5CB05"/>
    <w:rsid w:val="7FDB7EE6"/>
    <w:rsid w:val="7FDF13AB"/>
    <w:rsid w:val="7FDF732F"/>
    <w:rsid w:val="7FDF8418"/>
    <w:rsid w:val="7FDF9B32"/>
    <w:rsid w:val="7FE15C67"/>
    <w:rsid w:val="7FEC6468"/>
    <w:rsid w:val="7FEE8B33"/>
    <w:rsid w:val="7FEEBF5E"/>
    <w:rsid w:val="7FEFAA61"/>
    <w:rsid w:val="7FEFCD16"/>
    <w:rsid w:val="7FF4FCB2"/>
    <w:rsid w:val="7FF6133E"/>
    <w:rsid w:val="7FF70147"/>
    <w:rsid w:val="7FF711F0"/>
    <w:rsid w:val="7FF75515"/>
    <w:rsid w:val="7FF76F98"/>
    <w:rsid w:val="7FF7DC1F"/>
    <w:rsid w:val="7FFA1ECD"/>
    <w:rsid w:val="7FFBE3EB"/>
    <w:rsid w:val="7FFC1B3A"/>
    <w:rsid w:val="7FFDC1B9"/>
    <w:rsid w:val="7FFDC29C"/>
    <w:rsid w:val="7FFEEFFC"/>
    <w:rsid w:val="7FFF0F36"/>
    <w:rsid w:val="7FFF1221"/>
    <w:rsid w:val="7FFF5C8F"/>
    <w:rsid w:val="7FFF92FD"/>
    <w:rsid w:val="7FFFAF90"/>
    <w:rsid w:val="7FFFC32F"/>
    <w:rsid w:val="7FFFF62C"/>
  </w:rsids>
  <w:docVars>
    <w:docVar w:name="commondata" w:val="eyJoZGlkIjoiMzk3NGY3YjE1ODRiZWMwNDJmMTBmZmVkMjZiMWE2NjIifQ=="/>
  </w:docVars>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en-US" w:bidi="ar-SA"/>
      </w:rPr>
    </w:rPrDefault>
    <w:pPrDefault/>
  </w:docDefaults>
  <w:latentStyles w:defLockedState="0" w:defUIPriority="99" w:defSemiHidden="1" w:defUnhideWhenUsed="1" w:defQFormat="0" w:count="260">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index 1" w:semiHidden="0" w:uiPriority="0" w:unhideWhenUsed="0"/>
    <w:lsdException w:name="index 2" w:semiHidden="0" w:uiPriority="0" w:unhideWhenUsed="0"/>
    <w:lsdException w:name="index 3" w:semiHidden="0" w:uiPriority="0" w:unhideWhenUsed="0"/>
    <w:lsdException w:name="index 4" w:semiHidden="0" w:uiPriority="0" w:unhideWhenUsed="0"/>
    <w:lsdException w:name="index 5" w:semiHidden="0" w:uiPriority="0" w:unhideWhenUsed="0"/>
    <w:lsdException w:name="index 6" w:semiHidden="0" w:uiPriority="0" w:unhideWhenUsed="0"/>
    <w:lsdException w:name="index 7" w:semiHidden="0" w:uiPriority="0" w:unhideWhenUsed="0"/>
    <w:lsdException w:name="index 8" w:semiHidden="0" w:uiPriority="0" w:unhideWhenUsed="0"/>
    <w:lsdException w:name="index 9" w:semiHidden="0" w:uiPriority="0" w:unhideWhenUsed="0"/>
    <w:lsdException w:name="toc 1" w:semiHidden="0" w:uiPriority="0" w:unhideWhenUsed="0" w:qFormat="1"/>
    <w:lsdException w:name="toc 2" w:semiHidden="0" w:uiPriority="0" w:unhideWhenUsed="0"/>
    <w:lsdException w:name="toc 3" w:semiHidden="0" w:uiPriority="0" w:unhideWhenUsed="0"/>
    <w:lsdException w:name="toc 4" w:semiHidden="0" w:uiPriority="0" w:unhideWhenUsed="0"/>
    <w:lsdException w:name="toc 5" w:semiHidden="0" w:uiPriority="0" w:unhideWhenUsed="0"/>
    <w:lsdException w:name="toc 6" w:semiHidden="0" w:uiPriority="0" w:unhideWhenUsed="0"/>
    <w:lsdException w:name="toc 7" w:semiHidden="0" w:uiPriority="0" w:unhideWhenUsed="0"/>
    <w:lsdException w:name="toc 8" w:semiHidden="0" w:uiPriority="0" w:unhideWhenUsed="0"/>
    <w:lsdException w:name="toc 9" w:semiHidden="0" w:uiPriority="0" w:unhideWhenUsed="0"/>
    <w:lsdException w:name="Normal Indent" w:semiHidden="0" w:uiPriority="0" w:unhideWhenUsed="0"/>
    <w:lsdException w:name="footnote text" w:semiHidden="0" w:uiPriority="0" w:unhideWhenUsed="0"/>
    <w:lsdException w:name="annotation text" w:semiHidden="0" w:uiPriority="0" w:unhideWhenUsed="0" w:qFormat="1"/>
    <w:lsdException w:name="header" w:semiHidden="0" w:uiPriority="0" w:unhideWhenUsed="0" w:qFormat="1"/>
    <w:lsdException w:name="footer" w:semiHidden="0" w:uiPriority="0" w:unhideWhenUsed="0" w:qFormat="1"/>
    <w:lsdException w:name="index heading" w:semiHidden="0" w:uiPriority="0" w:unhideWhenUsed="0"/>
    <w:lsdException w:name="caption" w:uiPriority="0" w:qFormat="1"/>
    <w:lsdException w:name="table of figures" w:semiHidden="0" w:uiPriority="0" w:unhideWhenUsed="0"/>
    <w:lsdException w:name="envelope address" w:semiHidden="0" w:uiPriority="0" w:unhideWhenUsed="0"/>
    <w:lsdException w:name="envelope return" w:semiHidden="0" w:uiPriority="0" w:unhideWhenUsed="0"/>
    <w:lsdException w:name="footnote reference" w:semiHidden="0" w:uiPriority="0" w:unhideWhenUsed="0"/>
    <w:lsdException w:name="annotation reference" w:semiHidden="0" w:uiPriority="0" w:unhideWhenUsed="0"/>
    <w:lsdException w:name="line number" w:semiHidden="0" w:uiPriority="0" w:unhideWhenUsed="0"/>
    <w:lsdException w:name="page number" w:semiHidden="0" w:uiPriority="0" w:unhideWhenUsed="0" w:qFormat="1"/>
    <w:lsdException w:name="endnote reference" w:semiHidden="0" w:uiPriority="0" w:unhideWhenUsed="0"/>
    <w:lsdException w:name="endnote text" w:semiHidden="0" w:uiPriority="0" w:unhideWhenUsed="0"/>
    <w:lsdException w:name="table of authorities" w:semiHidden="0" w:uiPriority="0" w:unhideWhenUsed="0"/>
    <w:lsdException w:name="macro" w:semiHidden="0" w:uiPriority="0" w:unhideWhenUsed="0"/>
    <w:lsdException w:name="toa heading" w:semiHidden="0" w:uiPriority="0" w:unhideWhenUsed="0"/>
    <w:lsdException w:name="List" w:semiHidden="0" w:uiPriority="0" w:unhideWhenUsed="0"/>
    <w:lsdException w:name="List Bullet" w:semiHidden="0" w:uiPriority="0" w:unhideWhenUsed="0"/>
    <w:lsdException w:name="List Number" w:semiHidden="0" w:uiPriority="0" w:unhideWhenUsed="0"/>
    <w:lsdException w:name="List 2" w:semiHidden="0" w:uiPriority="0" w:unhideWhenUsed="0"/>
    <w:lsdException w:name="List 3" w:semiHidden="0" w:uiPriority="0" w:unhideWhenUsed="0"/>
    <w:lsdException w:name="List 4" w:semiHidden="0" w:uiPriority="0" w:unhideWhenUsed="0"/>
    <w:lsdException w:name="List 5" w:semiHidden="0" w:uiPriority="0" w:unhideWhenUsed="0"/>
    <w:lsdException w:name="List Bullet 2" w:semiHidden="0" w:uiPriority="0" w:unhideWhenUsed="0"/>
    <w:lsdException w:name="List Bullet 3" w:semiHidden="0" w:uiPriority="0" w:unhideWhenUsed="0"/>
    <w:lsdException w:name="List Bullet 4" w:semiHidden="0" w:uiPriority="0" w:unhideWhenUsed="0"/>
    <w:lsdException w:name="List Bullet 5" w:semiHidden="0" w:uiPriority="0" w:unhideWhenUsed="0"/>
    <w:lsdException w:name="List Number 2" w:semiHidden="0" w:uiPriority="0" w:unhideWhenUsed="0" w:qFormat="1"/>
    <w:lsdException w:name="List Number 3" w:semiHidden="0" w:uiPriority="0" w:unhideWhenUsed="0"/>
    <w:lsdException w:name="List Number 4" w:semiHidden="0" w:uiPriority="0" w:unhideWhenUsed="0"/>
    <w:lsdException w:name="List Number 5" w:semiHidden="0" w:uiPriority="0" w:unhideWhenUsed="0"/>
    <w:lsdException w:name="Title" w:semiHidden="0" w:uiPriority="0" w:unhideWhenUsed="0" w:qFormat="1"/>
    <w:lsdException w:name="Closing" w:semiHidden="0" w:uiPriority="0" w:unhideWhenUsed="0"/>
    <w:lsdException w:name="Signature" w:semiHidden="0" w:uiPriority="0" w:unhideWhenUsed="0"/>
    <w:lsdException w:name="Default Paragraph Font" w:semiHidden="0" w:uiPriority="0" w:unhideWhenUsed="0" w:qFormat="1"/>
    <w:lsdException w:name="Body Text" w:semiHidden="0" w:uiPriority="0" w:unhideWhenUsed="0" w:qFormat="1"/>
    <w:lsdException w:name="Body Text Indent" w:semiHidden="0" w:uiPriority="0" w:unhideWhenUsed="0" w:qFormat="1"/>
    <w:lsdException w:name="List Continue" w:semiHidden="0" w:uiPriority="0" w:unhideWhenUsed="0"/>
    <w:lsdException w:name="List Continue 2" w:semiHidden="0" w:uiPriority="0" w:unhideWhenUsed="0"/>
    <w:lsdException w:name="List Continue 3" w:semiHidden="0" w:uiPriority="0" w:unhideWhenUsed="0"/>
    <w:lsdException w:name="List Continue 4" w:semiHidden="0" w:uiPriority="0" w:unhideWhenUsed="0"/>
    <w:lsdException w:name="List Continue 5" w:semiHidden="0" w:uiPriority="0" w:unhideWhenUsed="0"/>
    <w:lsdException w:name="Message Header" w:semiHidden="0" w:uiPriority="0" w:unhideWhenUsed="0"/>
    <w:lsdException w:name="Subtitle" w:semiHidden="0" w:uiPriority="0" w:unhideWhenUsed="0" w:qFormat="1"/>
    <w:lsdException w:name="Salutation" w:semiHidden="0" w:uiPriority="0" w:unhideWhenUsed="0"/>
    <w:lsdException w:name="Date" w:semiHidden="0" w:uiPriority="0" w:unhideWhenUsed="0" w:qFormat="1"/>
    <w:lsdException w:name="Body Text First Indent" w:semiHidden="0" w:uiPriority="0" w:unhideWhenUsed="0" w:qFormat="1"/>
    <w:lsdException w:name="Body Text First Indent 2" w:semiHidden="0" w:uiPriority="0" w:unhideWhenUsed="0"/>
    <w:lsdException w:name="Note Heading" w:semiHidden="0" w:uiPriority="0" w:unhideWhenUsed="0"/>
    <w:lsdException w:name="Body Text 2" w:semiHidden="0" w:uiPriority="0" w:unhideWhenUsed="0" w:qFormat="1"/>
    <w:lsdException w:name="Body Text 3" w:semiHidden="0" w:qFormat="1"/>
    <w:lsdException w:name="Body Text Indent 2" w:semiHidden="0" w:uiPriority="0" w:unhideWhenUsed="0" w:qFormat="1"/>
    <w:lsdException w:name="Body Text Indent 3" w:semiHidden="0" w:uiPriority="0" w:unhideWhenUsed="0" w:qFormat="1"/>
    <w:lsdException w:name="Block Text" w:semiHidden="0" w:uiPriority="0" w:unhideWhenUsed="0"/>
    <w:lsdException w:name="Hyperlink" w:semiHidden="0" w:uiPriority="0" w:unhideWhenUsed="0" w:qFormat="1"/>
    <w:lsdException w:name="FollowedHyperlink" w:semiHidden="0" w:uiPriority="0" w:unhideWhenUsed="0" w:qFormat="1"/>
    <w:lsdException w:name="Strong" w:semiHidden="0" w:uiPriority="0" w:unhideWhenUsed="0" w:qFormat="1"/>
    <w:lsdException w:name="Emphasis" w:semiHidden="0" w:uiPriority="0" w:unhideWhenUsed="0" w:qFormat="1"/>
    <w:lsdException w:name="Document Map" w:semiHidden="0" w:uiPriority="0" w:unhideWhenUsed="0" w:qFormat="1"/>
    <w:lsdException w:name="Plain Text" w:semiHidden="0" w:uiPriority="0" w:unhideWhenUsed="0" w:qFormat="1"/>
    <w:lsdException w:name="E-mail Signature" w:semiHidden="0" w:uiPriority="0" w:unhideWhenUsed="0"/>
    <w:lsdException w:name="Normal (Web)" w:semiHidden="0" w:uiPriority="0" w:unhideWhenUsed="0" w:qFormat="1"/>
    <w:lsdException w:name="HTML Acronym" w:semiHidden="0" w:uiPriority="0" w:unhideWhenUsed="0"/>
    <w:lsdException w:name="HTML Address" w:semiHidden="0" w:uiPriority="0" w:unhideWhenUsed="0"/>
    <w:lsdException w:name="HTML Cite" w:semiHidden="0" w:uiPriority="0" w:unhideWhenUsed="0"/>
    <w:lsdException w:name="HTML Code" w:semiHidden="0" w:uiPriority="0" w:unhideWhenUsed="0"/>
    <w:lsdException w:name="HTML Definition" w:semiHidden="0" w:uiPriority="0" w:unhideWhenUsed="0"/>
    <w:lsdException w:name="HTML Keyboard" w:semiHidden="0" w:uiPriority="0" w:unhideWhenUsed="0"/>
    <w:lsdException w:name="HTML Preformatted" w:semiHidden="0" w:uiPriority="0" w:unhideWhenUsed="0"/>
    <w:lsdException w:name="HTML Sample" w:semiHidden="0" w:uiPriority="0" w:unhideWhenUsed="0"/>
    <w:lsdException w:name="HTML Typewriter" w:semiHidden="0" w:uiPriority="0" w:unhideWhenUsed="0"/>
    <w:lsdException w:name="HTML Variable" w:semiHidden="0" w:uiPriority="0" w:unhideWhenUsed="0"/>
    <w:lsdException w:name="Normal Table" w:semiHidden="0" w:uiPriority="0" w:unhideWhenUsed="0" w:qFormat="1"/>
    <w:lsdException w:name="annotation subject" w:semiHidden="0" w:uiPriority="0" w:unhideWhenUsed="0"/>
    <w:lsdException w:name="Table Simple 1" w:semiHidden="0" w:uiPriority="0" w:unhideWhenUsed="0"/>
    <w:lsdException w:name="Table Simple 2" w:semiHidden="0" w:uiPriority="0" w:unhideWhenUsed="0"/>
    <w:lsdException w:name="Table Simple 3" w:semiHidden="0" w:uiPriority="0" w:unhideWhenUsed="0"/>
    <w:lsdException w:name="Table Classic 1" w:semiHidden="0" w:uiPriority="0" w:unhideWhenUsed="0"/>
    <w:lsdException w:name="Table Classic 2" w:semiHidden="0" w:uiPriority="0" w:unhideWhenUsed="0"/>
    <w:lsdException w:name="Table Classic 3" w:semiHidden="0" w:uiPriority="0" w:unhideWhenUsed="0"/>
    <w:lsdException w:name="Table Classic 4" w:semiHidden="0" w:uiPriority="0" w:unhideWhenUsed="0"/>
    <w:lsdException w:name="Table Colorful 1" w:semiHidden="0" w:uiPriority="0" w:unhideWhenUsed="0"/>
    <w:lsdException w:name="Table Colorful 2" w:semiHidden="0" w:uiPriority="0" w:unhideWhenUsed="0"/>
    <w:lsdException w:name="Table Colorful 3" w:semiHidden="0" w:uiPriority="0" w:unhideWhenUsed="0"/>
    <w:lsdException w:name="Table Columns 1" w:semiHidden="0" w:uiPriority="0" w:unhideWhenUsed="0"/>
    <w:lsdException w:name="Table Columns 2" w:semiHidden="0" w:uiPriority="0" w:unhideWhenUsed="0"/>
    <w:lsdException w:name="Table Columns 3" w:semiHidden="0" w:uiPriority="0" w:unhideWhenUsed="0"/>
    <w:lsdException w:name="Table Columns 4" w:semiHidden="0" w:uiPriority="0" w:unhideWhenUsed="0"/>
    <w:lsdException w:name="Table Columns 5" w:semiHidden="0" w:uiPriority="0" w:unhideWhenUsed="0"/>
    <w:lsdException w:name="Table Grid 1" w:semiHidden="0" w:uiPriority="0" w:unhideWhenUsed="0"/>
    <w:lsdException w:name="Table Grid 2" w:semiHidden="0" w:uiPriority="0" w:unhideWhenUsed="0"/>
    <w:lsdException w:name="Table Grid 3" w:semiHidden="0" w:uiPriority="0" w:unhideWhenUsed="0"/>
    <w:lsdException w:name="Table Grid 4" w:semiHidden="0" w:uiPriority="0" w:unhideWhenUsed="0"/>
    <w:lsdException w:name="Table Grid 5" w:semiHidden="0" w:uiPriority="0" w:unhideWhenUsed="0"/>
    <w:lsdException w:name="Table Grid 6" w:semiHidden="0" w:uiPriority="0" w:unhideWhenUsed="0"/>
    <w:lsdException w:name="Table Grid 7" w:semiHidden="0" w:uiPriority="0" w:unhideWhenUsed="0"/>
    <w:lsdException w:name="Table Grid 8" w:semiHidden="0" w:uiPriority="0" w:unhideWhenUsed="0"/>
    <w:lsdException w:name="Table List 1" w:semiHidden="0" w:uiPriority="0" w:unhideWhenUsed="0"/>
    <w:lsdException w:name="Table List 2" w:semiHidden="0" w:uiPriority="0" w:unhideWhenUsed="0"/>
    <w:lsdException w:name="Table List 3" w:semiHidden="0" w:uiPriority="0" w:unhideWhenUsed="0"/>
    <w:lsdException w:name="Table List 4" w:semiHidden="0" w:uiPriority="0" w:unhideWhenUsed="0"/>
    <w:lsdException w:name="Table List 5" w:semiHidden="0" w:uiPriority="0" w:unhideWhenUsed="0"/>
    <w:lsdException w:name="Table List 6" w:semiHidden="0" w:uiPriority="0" w:unhideWhenUsed="0"/>
    <w:lsdException w:name="Table List 7" w:semiHidden="0" w:uiPriority="0" w:unhideWhenUsed="0"/>
    <w:lsdException w:name="Table List 8" w:semiHidden="0" w:uiPriority="0" w:unhideWhenUsed="0"/>
    <w:lsdException w:name="Table 3D effects 1" w:semiHidden="0" w:uiPriority="0" w:unhideWhenUsed="0"/>
    <w:lsdException w:name="Table 3D effects 2" w:semiHidden="0" w:uiPriority="0" w:unhideWhenUsed="0"/>
    <w:lsdException w:name="Table 3D effects 3" w:semiHidden="0" w:uiPriority="0" w:unhideWhenUsed="0"/>
    <w:lsdException w:name="Table Contemporary" w:semiHidden="0" w:uiPriority="0" w:unhideWhenUsed="0"/>
    <w:lsdException w:name="Table Elegant" w:semiHidden="0" w:uiPriority="0" w:unhideWhenUsed="0"/>
    <w:lsdException w:name="Table Professional" w:semiHidden="0" w:uiPriority="0" w:unhideWhenUsed="0"/>
    <w:lsdException w:name="Table Subtle 1" w:semiHidden="0" w:uiPriority="0" w:unhideWhenUsed="0"/>
    <w:lsdException w:name="Table Subtle 2" w:semiHidden="0" w:uiPriority="0" w:unhideWhenUsed="0"/>
    <w:lsdException w:name="Table Web 1" w:semiHidden="0" w:uiPriority="0" w:unhideWhenUsed="0"/>
    <w:lsdException w:name="Table Web 2" w:semiHidden="0" w:uiPriority="0" w:unhideWhenUsed="0"/>
    <w:lsdException w:name="Table Web 3" w:semiHidden="0" w:uiPriority="0" w:unhideWhenUsed="0"/>
    <w:lsdException w:name="Balloon Text" w:semiHidden="0" w:uiPriority="0" w:unhideWhenUsed="0" w:qFormat="1"/>
    <w:lsdException w:name="Table Grid" w:semiHidden="0" w:uiPriority="0" w:unhideWhenUsed="0"/>
    <w:lsdException w:name="Table Theme" w:semiHidden="0" w:uiPriority="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atentStyles>
  <w:style w:type="paragraph" w:default="1" w:styleId="Normal">
    <w:name w:val="Normal"/>
    <w:next w:val="NormalIndent1"/>
    <w:autoRedefine/>
    <w:qFormat/>
    <w:pPr>
      <w:widowControl w:val="0"/>
      <w:spacing w:after="160" w:line="259" w:lineRule="auto"/>
      <w:jc w:val="both"/>
    </w:pPr>
    <w:rPr>
      <w:rFonts w:ascii="Times New Roman" w:eastAsia="宋体" w:hAnsi="Times New Roman" w:cs="Times New Roman"/>
      <w:kern w:val="2"/>
      <w:sz w:val="21"/>
      <w:szCs w:val="24"/>
      <w:lang w:val="en-US" w:eastAsia="zh-CN" w:bidi="ar-SA"/>
    </w:rPr>
  </w:style>
  <w:style w:type="paragraph" w:styleId="Heading1">
    <w:name w:val="heading 1"/>
    <w:basedOn w:val="Normal"/>
    <w:next w:val="Normal"/>
    <w:link w:val="1Char"/>
    <w:qFormat/>
    <w:pPr>
      <w:keepNext/>
      <w:keepLines/>
      <w:widowControl w:val="0"/>
      <w:spacing w:before="340" w:after="330" w:line="576" w:lineRule="auto"/>
      <w:ind w:left="0" w:right="0"/>
      <w:jc w:val="both"/>
      <w:outlineLvl w:val="0"/>
    </w:pPr>
    <w:rPr>
      <w:rFonts w:ascii="Times New Roman" w:eastAsia="宋体" w:hAnsi="Times New Roman" w:cs="Times New Roman"/>
      <w:b/>
      <w:bCs/>
      <w:kern w:val="44"/>
      <w:sz w:val="44"/>
      <w:szCs w:val="44"/>
      <w:lang w:val="en-US" w:eastAsia="zh-CN" w:bidi="ar-SA"/>
    </w:rPr>
  </w:style>
  <w:style w:type="paragraph" w:styleId="Heading2">
    <w:name w:val="heading 2"/>
    <w:basedOn w:val="Heading1"/>
    <w:next w:val="Heading3"/>
    <w:link w:val="2Char1"/>
    <w:qFormat/>
    <w:pPr>
      <w:keepNext/>
      <w:keepLines/>
      <w:widowControl w:val="0"/>
      <w:numPr>
        <w:ilvl w:val="1"/>
        <w:numId w:val="1"/>
      </w:numPr>
      <w:tabs>
        <w:tab w:val="left" w:pos="2400"/>
      </w:tabs>
      <w:spacing w:before="260" w:afterLines="50" w:line="416" w:lineRule="auto"/>
      <w:jc w:val="both"/>
      <w:outlineLvl w:val="1"/>
    </w:pPr>
    <w:rPr>
      <w:rFonts w:ascii="Arial" w:eastAsia="黑体" w:hAnsi="Arial" w:cs="Calibri"/>
      <w:sz w:val="32"/>
      <w:szCs w:val="32"/>
      <w:lang w:val="en-US" w:eastAsia="zh-CN" w:bidi="ar-SA"/>
    </w:rPr>
  </w:style>
  <w:style w:type="paragraph" w:styleId="Heading3">
    <w:name w:val="heading 3"/>
    <w:basedOn w:val="Normal"/>
    <w:next w:val="Normal"/>
    <w:link w:val="3Char"/>
    <w:autoRedefine/>
    <w:qFormat/>
    <w:pPr>
      <w:keepNext/>
      <w:keepLines/>
      <w:tabs>
        <w:tab w:val="left" w:pos="0"/>
      </w:tabs>
      <w:spacing w:before="260" w:after="260" w:line="415" w:lineRule="auto"/>
      <w:outlineLvl w:val="2"/>
    </w:pPr>
    <w:rPr>
      <w:rFonts w:ascii="Times New Roman" w:eastAsia="宋体" w:hAnsi="Times New Roman" w:cs="Times New Roman"/>
      <w:b/>
      <w:sz w:val="32"/>
      <w:szCs w:val="32"/>
    </w:rPr>
  </w:style>
  <w:style w:type="paragraph" w:styleId="Heading4">
    <w:name w:val="heading 4"/>
    <w:basedOn w:val="Normal"/>
    <w:next w:val="Normal"/>
    <w:link w:val="4Char"/>
    <w:autoRedefine/>
    <w:qFormat/>
    <w:pPr>
      <w:keepNext/>
      <w:autoSpaceDE w:val="0"/>
      <w:autoSpaceDN w:val="0"/>
      <w:adjustRightInd w:val="0"/>
      <w:jc w:val="left"/>
      <w:outlineLvl w:val="3"/>
    </w:pPr>
    <w:rPr>
      <w:rFonts w:ascii="宋体" w:eastAsia="宋体" w:hAnsi="宋体" w:cs="Times New Roman"/>
      <w:color w:val="0000FF"/>
      <w:kern w:val="0"/>
      <w:sz w:val="28"/>
      <w:szCs w:val="20"/>
    </w:rPr>
  </w:style>
  <w:style w:type="paragraph" w:styleId="Heading5">
    <w:name w:val="heading 5"/>
    <w:basedOn w:val="Normal"/>
    <w:next w:val="Normal"/>
    <w:link w:val="5Char"/>
    <w:autoRedefine/>
    <w:qFormat/>
    <w:pPr>
      <w:keepNext/>
      <w:keepLines/>
      <w:tabs>
        <w:tab w:val="left" w:pos="1008"/>
      </w:tabs>
      <w:spacing w:before="280" w:after="290" w:line="374" w:lineRule="auto"/>
      <w:ind w:left="1008" w:hanging="1008"/>
      <w:outlineLvl w:val="4"/>
    </w:pPr>
    <w:rPr>
      <w:rFonts w:ascii="Verdana" w:eastAsia="宋体" w:hAnsi="Verdana" w:cs="Times New Roman"/>
      <w:b/>
      <w:bCs/>
      <w:sz w:val="28"/>
      <w:szCs w:val="28"/>
    </w:rPr>
  </w:style>
  <w:style w:type="paragraph" w:styleId="Heading6">
    <w:name w:val="heading 6"/>
    <w:basedOn w:val="Normal"/>
    <w:next w:val="Normal"/>
    <w:link w:val="6Char"/>
    <w:autoRedefine/>
    <w:qFormat/>
    <w:pPr>
      <w:keepNext/>
      <w:keepLines/>
      <w:tabs>
        <w:tab w:val="left" w:pos="1152"/>
      </w:tabs>
      <w:spacing w:before="240" w:after="64" w:line="319" w:lineRule="auto"/>
      <w:ind w:left="1152" w:hanging="1152"/>
      <w:outlineLvl w:val="5"/>
    </w:pPr>
    <w:rPr>
      <w:rFonts w:ascii="Arial" w:eastAsia="黑体" w:hAnsi="Arial" w:cs="Times New Roman"/>
      <w:b/>
      <w:bCs/>
      <w:sz w:val="24"/>
    </w:rPr>
  </w:style>
  <w:style w:type="paragraph" w:styleId="Heading7">
    <w:name w:val="heading 7"/>
    <w:basedOn w:val="Normal"/>
    <w:next w:val="Normal"/>
    <w:link w:val="7Char"/>
    <w:qFormat/>
    <w:pPr>
      <w:keepNext/>
      <w:keepLines/>
      <w:tabs>
        <w:tab w:val="left" w:pos="1296"/>
      </w:tabs>
      <w:spacing w:before="240" w:after="64" w:line="319" w:lineRule="auto"/>
      <w:ind w:left="1296" w:hanging="1296"/>
      <w:outlineLvl w:val="6"/>
    </w:pPr>
    <w:rPr>
      <w:rFonts w:ascii="Times New Roman" w:eastAsia="宋体" w:hAnsi="Times New Roman" w:cs="Times New Roman"/>
      <w:b/>
      <w:bCs/>
      <w:sz w:val="24"/>
    </w:rPr>
  </w:style>
  <w:style w:type="paragraph" w:styleId="Heading8">
    <w:name w:val="heading 8"/>
    <w:basedOn w:val="Normal"/>
    <w:next w:val="Normal"/>
    <w:link w:val="8Char"/>
    <w:qFormat/>
    <w:pPr>
      <w:keepNext/>
      <w:keepLines/>
      <w:tabs>
        <w:tab w:val="left" w:pos="1440"/>
      </w:tabs>
      <w:spacing w:before="240" w:after="64" w:line="319" w:lineRule="auto"/>
      <w:ind w:left="1440" w:hanging="1440"/>
      <w:outlineLvl w:val="7"/>
    </w:pPr>
    <w:rPr>
      <w:rFonts w:ascii="Arial" w:eastAsia="黑体" w:hAnsi="Arial" w:cs="Times New Roman"/>
      <w:sz w:val="24"/>
    </w:rPr>
  </w:style>
  <w:style w:type="paragraph" w:styleId="Heading9">
    <w:name w:val="heading 9"/>
    <w:basedOn w:val="Normal"/>
    <w:next w:val="Normal"/>
    <w:link w:val="9Char"/>
    <w:autoRedefine/>
    <w:qFormat/>
    <w:pPr>
      <w:keepNext/>
      <w:keepLines/>
      <w:tabs>
        <w:tab w:val="left" w:pos="1584"/>
      </w:tabs>
      <w:spacing w:before="240" w:after="64" w:line="319" w:lineRule="auto"/>
      <w:ind w:left="1584" w:hanging="1584"/>
      <w:outlineLvl w:val="8"/>
    </w:pPr>
    <w:rPr>
      <w:rFonts w:ascii="Arial" w:eastAsia="黑体" w:hAnsi="Arial" w:cs="Times New Roman"/>
      <w:szCs w:val="21"/>
    </w:rPr>
  </w:style>
  <w:style w:type="character" w:default="1" w:styleId="DefaultParagraphFont">
    <w:name w:val="Default Paragraph Font"/>
    <w:qFormat/>
    <w:rPr>
      <w:rFonts w:ascii="Times New Roman" w:eastAsia="宋体" w:hAnsi="Times New Roman" w:cs="Times New Roman"/>
    </w:rPr>
  </w:style>
  <w:style w:type="table" w:default="1" w:styleId="TableNormal">
    <w:name w:val="Normal Table"/>
    <w:qFormat/>
    <w:tblPr>
      <w:tblCellMar>
        <w:top w:w="0" w:type="dxa"/>
        <w:left w:w="108" w:type="dxa"/>
        <w:bottom w:w="0" w:type="dxa"/>
        <w:right w:w="108" w:type="dxa"/>
      </w:tblCellMar>
    </w:tblPr>
  </w:style>
  <w:style w:type="paragraph" w:customStyle="1" w:styleId="NormalIndent1">
    <w:name w:val="Normal Indent1"/>
    <w:autoRedefine/>
    <w:qFormat/>
    <w:pPr>
      <w:spacing w:after="160" w:afterLines="50" w:line="360" w:lineRule="auto"/>
      <w:ind w:firstLine="420" w:firstLineChars="200"/>
    </w:pPr>
    <w:rPr>
      <w:rFonts w:ascii="Times New Roman" w:eastAsia="宋体" w:hAnsi="Times New Roman" w:cs="Times New Roman"/>
      <w:lang w:val="en-US" w:eastAsia="zh-CN" w:bidi="ar-SA"/>
    </w:rPr>
  </w:style>
  <w:style w:type="paragraph" w:styleId="ListNumber2">
    <w:name w:val="List Number 2"/>
    <w:basedOn w:val="Normal"/>
    <w:autoRedefine/>
    <w:qFormat/>
    <w:pPr>
      <w:numPr>
        <w:ilvl w:val="0"/>
        <w:numId w:val="2"/>
      </w:numPr>
    </w:pPr>
  </w:style>
  <w:style w:type="paragraph" w:styleId="DocumentMap">
    <w:name w:val="Document Map"/>
    <w:basedOn w:val="Normal"/>
    <w:link w:val="Char"/>
    <w:autoRedefine/>
    <w:qFormat/>
    <w:pPr>
      <w:shd w:val="clear" w:color="auto" w:fill="000080"/>
    </w:pPr>
    <w:rPr>
      <w:rFonts w:ascii="Times New Roman" w:eastAsia="宋体" w:hAnsi="Times New Roman" w:cs="Times New Roman"/>
      <w:kern w:val="0"/>
      <w:sz w:val="20"/>
      <w:shd w:val="clear" w:color="auto" w:fill="000080"/>
    </w:rPr>
  </w:style>
  <w:style w:type="paragraph" w:styleId="CommentText">
    <w:name w:val="annotation text"/>
    <w:basedOn w:val="Normal"/>
    <w:qFormat/>
    <w:pPr>
      <w:jc w:val="left"/>
    </w:pPr>
    <w:rPr>
      <w:rFonts w:ascii="Times New Roman" w:eastAsia="宋体" w:hAnsi="Times New Roman" w:cs="Times New Roman"/>
    </w:rPr>
  </w:style>
  <w:style w:type="paragraph" w:styleId="BodyText3">
    <w:name w:val="Body Text 3"/>
    <w:basedOn w:val="Normal"/>
    <w:autoRedefine/>
    <w:uiPriority w:val="99"/>
    <w:unhideWhenUsed/>
    <w:qFormat/>
    <w:pPr>
      <w:widowControl/>
      <w:kinsoku w:val="0"/>
      <w:autoSpaceDE w:val="0"/>
      <w:autoSpaceDN w:val="0"/>
      <w:adjustRightInd w:val="0"/>
      <w:snapToGrid w:val="0"/>
      <w:spacing w:after="120"/>
      <w:jc w:val="left"/>
      <w:textAlignment w:val="baseline"/>
    </w:pPr>
    <w:rPr>
      <w:rFonts w:ascii="Cambria" w:eastAsia="微软雅黑" w:hAnsi="Cambria" w:cs="Arial"/>
      <w:snapToGrid w:val="0"/>
      <w:color w:val="595959"/>
      <w:kern w:val="20"/>
      <w:sz w:val="16"/>
      <w:szCs w:val="20"/>
      <w:lang w:val="zh-CN" w:eastAsia="en-US"/>
    </w:rPr>
  </w:style>
  <w:style w:type="paragraph" w:styleId="BodyText">
    <w:name w:val="Body Text"/>
    <w:basedOn w:val="Normal"/>
    <w:link w:val="Char0"/>
    <w:autoRedefine/>
    <w:qFormat/>
    <w:pPr>
      <w:widowControl w:val="0"/>
      <w:spacing w:before="0" w:after="120"/>
      <w:ind w:left="0" w:right="0"/>
      <w:jc w:val="both"/>
    </w:pPr>
    <w:rPr>
      <w:rFonts w:ascii="Times New Roman" w:eastAsia="宋体" w:hAnsi="Times New Roman" w:cs="Times New Roman"/>
      <w:kern w:val="2"/>
      <w:sz w:val="21"/>
      <w:szCs w:val="24"/>
      <w:lang w:val="en-US" w:eastAsia="zh-CN" w:bidi="ar-SA"/>
    </w:rPr>
  </w:style>
  <w:style w:type="paragraph" w:styleId="BodyTextIndent">
    <w:name w:val="Body Text Indent"/>
    <w:basedOn w:val="Normal"/>
    <w:link w:val="Char1"/>
    <w:qFormat/>
    <w:pPr>
      <w:ind w:firstLine="360"/>
    </w:pPr>
    <w:rPr>
      <w:rFonts w:ascii="Times New Roman" w:eastAsia="宋体" w:hAnsi="Times New Roman" w:cs="Times New Roman"/>
      <w:kern w:val="0"/>
      <w:sz w:val="20"/>
      <w:szCs w:val="20"/>
    </w:rPr>
  </w:style>
  <w:style w:type="paragraph" w:styleId="PlainText">
    <w:name w:val="Plain Text"/>
    <w:basedOn w:val="Normal"/>
    <w:link w:val="Char2"/>
    <w:autoRedefine/>
    <w:qFormat/>
    <w:pPr>
      <w:widowControl w:val="0"/>
      <w:spacing w:after="0"/>
      <w:jc w:val="both"/>
    </w:pPr>
    <w:rPr>
      <w:rFonts w:ascii="宋体" w:eastAsia="宋体" w:hAnsi="Courier New" w:cs="Times New Roman"/>
      <w:kern w:val="0"/>
      <w:sz w:val="20"/>
      <w:szCs w:val="21"/>
      <w:lang w:bidi="ar-SA"/>
    </w:rPr>
  </w:style>
  <w:style w:type="paragraph" w:styleId="Date">
    <w:name w:val="Date"/>
    <w:basedOn w:val="Normal"/>
    <w:next w:val="Normal"/>
    <w:link w:val="Char3"/>
    <w:qFormat/>
    <w:pPr>
      <w:ind w:left="100" w:leftChars="2500"/>
    </w:pPr>
    <w:rPr>
      <w:rFonts w:ascii="Times New Roman" w:eastAsia="宋体" w:hAnsi="Times New Roman" w:cs="Times New Roman"/>
      <w:kern w:val="0"/>
      <w:sz w:val="20"/>
    </w:rPr>
  </w:style>
  <w:style w:type="paragraph" w:styleId="BodyTextIndent2">
    <w:name w:val="Body Text Indent 2"/>
    <w:basedOn w:val="Normal"/>
    <w:link w:val="2Char"/>
    <w:qFormat/>
    <w:pPr>
      <w:ind w:firstLine="630"/>
    </w:pPr>
    <w:rPr>
      <w:rFonts w:ascii="宋体" w:eastAsia="宋体" w:hAnsi="Times New Roman" w:cs="Times New Roman"/>
      <w:kern w:val="0"/>
      <w:sz w:val="28"/>
      <w:szCs w:val="20"/>
    </w:rPr>
  </w:style>
  <w:style w:type="paragraph" w:styleId="BalloonText">
    <w:name w:val="Balloon Text"/>
    <w:basedOn w:val="Normal"/>
    <w:link w:val="Char4"/>
    <w:qFormat/>
    <w:rPr>
      <w:rFonts w:ascii="Times New Roman" w:eastAsia="宋体" w:hAnsi="Times New Roman" w:cs="Times New Roman"/>
      <w:kern w:val="0"/>
      <w:sz w:val="18"/>
      <w:szCs w:val="18"/>
    </w:rPr>
  </w:style>
  <w:style w:type="paragraph" w:styleId="Footer">
    <w:name w:val="footer"/>
    <w:basedOn w:val="Normal"/>
    <w:link w:val="Char5"/>
    <w:autoRedefine/>
    <w:qFormat/>
    <w:pPr>
      <w:widowControl w:val="0"/>
      <w:tabs>
        <w:tab w:val="center" w:pos="4140"/>
        <w:tab w:val="right" w:pos="8300"/>
      </w:tabs>
      <w:snapToGrid w:val="0"/>
      <w:spacing w:after="0"/>
      <w:jc w:val="left"/>
    </w:pPr>
    <w:rPr>
      <w:rFonts w:ascii="Times New Roman" w:eastAsia="宋体" w:hAnsi="Times New Roman" w:cs="Times New Roman"/>
      <w:kern w:val="0"/>
      <w:sz w:val="18"/>
      <w:szCs w:val="24"/>
      <w:lang w:bidi="ar-SA"/>
    </w:rPr>
  </w:style>
  <w:style w:type="paragraph" w:styleId="Header">
    <w:name w:val="header"/>
    <w:basedOn w:val="Normal"/>
    <w:link w:val="Char6"/>
    <w:qFormat/>
    <w:pPr>
      <w:pBdr>
        <w:bottom w:val="single" w:sz="6" w:space="1" w:color="auto"/>
      </w:pBdr>
      <w:tabs>
        <w:tab w:val="center" w:pos="4153"/>
        <w:tab w:val="right" w:pos="8306"/>
      </w:tabs>
      <w:snapToGrid w:val="0"/>
      <w:jc w:val="center"/>
    </w:pPr>
    <w:rPr>
      <w:rFonts w:ascii="Times New Roman" w:eastAsia="宋体" w:hAnsi="Times New Roman" w:cs="Times New Roman"/>
      <w:kern w:val="0"/>
      <w:sz w:val="18"/>
      <w:szCs w:val="18"/>
    </w:rPr>
  </w:style>
  <w:style w:type="paragraph" w:styleId="TOC1">
    <w:name w:val="toc 1"/>
    <w:basedOn w:val="Normal"/>
    <w:next w:val="Normal"/>
    <w:autoRedefine/>
    <w:qFormat/>
    <w:pPr>
      <w:widowControl w:val="0"/>
      <w:spacing w:before="120" w:after="120"/>
      <w:ind w:left="0" w:right="0"/>
      <w:jc w:val="left"/>
    </w:pPr>
    <w:rPr>
      <w:rFonts w:ascii="Times New Roman" w:eastAsia="宋体" w:hAnsi="Times New Roman" w:cs="Times New Roman"/>
      <w:b/>
      <w:bCs/>
      <w:caps/>
      <w:kern w:val="2"/>
      <w:sz w:val="20"/>
      <w:szCs w:val="20"/>
      <w:lang w:val="en-US" w:eastAsia="zh-CN" w:bidi="ar-SA"/>
    </w:rPr>
  </w:style>
  <w:style w:type="paragraph" w:styleId="BodyTextIndent3">
    <w:name w:val="Body Text Indent 3"/>
    <w:basedOn w:val="Normal"/>
    <w:link w:val="3Char0"/>
    <w:qFormat/>
    <w:pPr>
      <w:spacing w:line="360" w:lineRule="auto"/>
      <w:ind w:firstLine="480" w:firstLineChars="200"/>
      <w:jc w:val="left"/>
    </w:pPr>
    <w:rPr>
      <w:rFonts w:ascii="Times New Roman" w:eastAsia="宋体" w:hAnsi="Times New Roman" w:cs="Times New Roman"/>
      <w:kern w:val="0"/>
      <w:sz w:val="24"/>
      <w:szCs w:val="20"/>
    </w:rPr>
  </w:style>
  <w:style w:type="paragraph" w:styleId="BodyText2">
    <w:name w:val="Body Text 2"/>
    <w:basedOn w:val="Normal"/>
    <w:link w:val="2Char0"/>
    <w:autoRedefine/>
    <w:qFormat/>
    <w:rPr>
      <w:rFonts w:ascii="仿宋_GB2312" w:eastAsia="仿宋_GB2312" w:hAnsi="Times New Roman" w:cs="Times New Roman"/>
      <w:kern w:val="0"/>
      <w:sz w:val="28"/>
      <w:szCs w:val="20"/>
    </w:rPr>
  </w:style>
  <w:style w:type="paragraph" w:styleId="NormalWeb">
    <w:name w:val="Normal (Web)"/>
    <w:basedOn w:val="Normal"/>
    <w:autoRedefine/>
    <w:qFormat/>
    <w:pPr>
      <w:spacing w:before="100" w:beforeAutospacing="1" w:after="100" w:afterAutospacing="1"/>
      <w:ind w:left="0" w:right="0"/>
      <w:jc w:val="left"/>
    </w:pPr>
    <w:rPr>
      <w:kern w:val="0"/>
      <w:sz w:val="24"/>
      <w:lang w:val="en-US" w:eastAsia="zh-CN" w:bidi="ar"/>
    </w:rPr>
  </w:style>
  <w:style w:type="paragraph" w:styleId="Title">
    <w:name w:val="Title"/>
    <w:basedOn w:val="Normal"/>
    <w:link w:val="Char7"/>
    <w:qFormat/>
    <w:pPr>
      <w:spacing w:before="240" w:after="60"/>
      <w:jc w:val="center"/>
      <w:outlineLvl w:val="0"/>
    </w:pPr>
    <w:rPr>
      <w:rFonts w:ascii="Cambria" w:eastAsia="宋体" w:hAnsi="Cambria" w:cs="Times New Roman"/>
      <w:b/>
      <w:bCs/>
      <w:kern w:val="0"/>
      <w:sz w:val="32"/>
      <w:szCs w:val="32"/>
    </w:rPr>
  </w:style>
  <w:style w:type="paragraph" w:styleId="BodyTextFirstIndent">
    <w:name w:val="Body Text First Indent"/>
    <w:basedOn w:val="BodyText"/>
    <w:link w:val="Char8"/>
    <w:autoRedefine/>
    <w:qFormat/>
    <w:pPr>
      <w:ind w:firstLine="420" w:firstLineChars="100"/>
    </w:pPr>
    <w:rPr>
      <w:rFonts w:ascii="Times New Roman" w:eastAsia="宋体" w:hAnsi="Times New Roman" w:cs="Times New Roman"/>
      <w:kern w:val="0"/>
      <w:sz w:val="20"/>
    </w:rPr>
  </w:style>
  <w:style w:type="character" w:styleId="Strong">
    <w:name w:val="Strong"/>
    <w:qFormat/>
    <w:rPr>
      <w:rFonts w:ascii="Times New Roman" w:eastAsia="宋体" w:hAnsi="Times New Roman" w:cs="Times New Roman"/>
      <w:b/>
    </w:rPr>
  </w:style>
  <w:style w:type="character" w:styleId="PageNumber">
    <w:name w:val="page number"/>
    <w:autoRedefine/>
    <w:qFormat/>
    <w:rPr>
      <w:rFonts w:ascii="Times New Roman" w:eastAsia="宋体" w:hAnsi="Times New Roman" w:cs="Times New Roman"/>
    </w:rPr>
  </w:style>
  <w:style w:type="character" w:styleId="FollowedHyperlink">
    <w:name w:val="FollowedHyperlink"/>
    <w:autoRedefine/>
    <w:qFormat/>
    <w:rPr>
      <w:rFonts w:ascii="微软雅黑" w:eastAsia="微软雅黑" w:hAnsi="微软雅黑" w:cs="微软雅黑" w:hint="eastAsia"/>
      <w:color w:val="02396F"/>
      <w:u w:val="single"/>
    </w:rPr>
  </w:style>
  <w:style w:type="character" w:styleId="Hyperlink">
    <w:name w:val="Hyperlink"/>
    <w:qFormat/>
    <w:rPr>
      <w:rFonts w:ascii="Times New Roman" w:eastAsia="宋体" w:hAnsi="Times New Roman" w:cs="Times New Roman"/>
      <w:color w:val="0000FF"/>
      <w:u w:val="single"/>
    </w:rPr>
  </w:style>
  <w:style w:type="paragraph" w:customStyle="1" w:styleId="Style3">
    <w:name w:val="_Style 3"/>
    <w:basedOn w:val="Heading1"/>
    <w:next w:val="Normal"/>
    <w:qFormat/>
    <w:pPr>
      <w:widowControl/>
      <w:numPr>
        <w:ilvl w:val="0"/>
        <w:numId w:val="0"/>
      </w:numPr>
      <w:tabs>
        <w:tab w:val="left" w:pos="0"/>
      </w:tabs>
      <w:spacing w:before="240" w:line="259" w:lineRule="auto"/>
      <w:jc w:val="left"/>
      <w:outlineLvl w:val="9"/>
    </w:pPr>
    <w:rPr>
      <w:rFonts w:ascii="Calibri Light" w:eastAsia="宋体" w:hAnsi="Calibri Light" w:cs="Times New Roman"/>
      <w:b w:val="0"/>
      <w:color w:val="2E74B5"/>
      <w:sz w:val="32"/>
      <w:szCs w:val="32"/>
    </w:rPr>
  </w:style>
  <w:style w:type="character" w:customStyle="1" w:styleId="1Char">
    <w:name w:val="标题 1 Char"/>
    <w:link w:val="Heading1"/>
    <w:qFormat/>
    <w:rPr>
      <w:rFonts w:ascii="Times New Roman" w:eastAsia="宋体" w:hAnsi="Times New Roman" w:cs="Times New Roman"/>
      <w:b/>
      <w:bCs/>
      <w:kern w:val="44"/>
      <w:sz w:val="44"/>
      <w:szCs w:val="44"/>
      <w:lang w:val="en-US" w:eastAsia="zh-CN" w:bidi="ar-SA"/>
    </w:rPr>
  </w:style>
  <w:style w:type="character" w:customStyle="1" w:styleId="3Char">
    <w:name w:val="标题 3 Char"/>
    <w:link w:val="Heading3"/>
    <w:qFormat/>
    <w:rPr>
      <w:rFonts w:ascii="Times New Roman" w:eastAsia="宋体" w:hAnsi="Times New Roman" w:cs="Times New Roman"/>
      <w:b/>
      <w:bCs/>
      <w:kern w:val="2"/>
      <w:sz w:val="32"/>
      <w:szCs w:val="32"/>
      <w:lang w:val="en-US" w:eastAsia="zh-CN" w:bidi="ar-SA"/>
    </w:rPr>
  </w:style>
  <w:style w:type="character" w:customStyle="1" w:styleId="4Char">
    <w:name w:val="标题 4 Char"/>
    <w:link w:val="Heading4"/>
    <w:autoRedefine/>
    <w:qFormat/>
    <w:rPr>
      <w:rFonts w:ascii="宋体" w:eastAsia="宋体" w:hAnsi="宋体" w:cs="Times New Roman"/>
      <w:color w:val="0000FF"/>
      <w:sz w:val="28"/>
      <w:lang w:val="en-US" w:eastAsia="zh-CN" w:bidi="ar-SA"/>
    </w:rPr>
  </w:style>
  <w:style w:type="character" w:customStyle="1" w:styleId="5Char">
    <w:name w:val="标题 5 Char"/>
    <w:link w:val="Heading5"/>
    <w:autoRedefine/>
    <w:qFormat/>
    <w:rPr>
      <w:rFonts w:ascii="Verdana" w:eastAsia="宋体" w:hAnsi="Verdana" w:cs="Times New Roman"/>
      <w:b/>
      <w:bCs/>
      <w:kern w:val="2"/>
      <w:sz w:val="28"/>
      <w:szCs w:val="28"/>
      <w:lang w:val="en-US" w:eastAsia="zh-CN" w:bidi="ar-SA"/>
    </w:rPr>
  </w:style>
  <w:style w:type="character" w:customStyle="1" w:styleId="6Char">
    <w:name w:val="标题 6 Char"/>
    <w:link w:val="Heading6"/>
    <w:autoRedefine/>
    <w:qFormat/>
    <w:rPr>
      <w:rFonts w:ascii="Arial" w:eastAsia="黑体" w:hAnsi="Arial" w:cs="Times New Roman"/>
      <w:b/>
      <w:bCs/>
      <w:kern w:val="2"/>
      <w:sz w:val="24"/>
      <w:szCs w:val="24"/>
      <w:lang w:val="en-US" w:eastAsia="zh-CN" w:bidi="ar-SA"/>
    </w:rPr>
  </w:style>
  <w:style w:type="character" w:customStyle="1" w:styleId="7Char">
    <w:name w:val="标题 7 Char"/>
    <w:link w:val="Heading7"/>
    <w:autoRedefine/>
    <w:qFormat/>
    <w:rPr>
      <w:rFonts w:ascii="Times New Roman" w:eastAsia="宋体" w:hAnsi="Times New Roman" w:cs="Times New Roman"/>
      <w:b/>
      <w:bCs/>
      <w:kern w:val="2"/>
      <w:sz w:val="24"/>
      <w:szCs w:val="24"/>
      <w:lang w:val="en-US" w:eastAsia="zh-CN" w:bidi="ar-SA"/>
    </w:rPr>
  </w:style>
  <w:style w:type="character" w:customStyle="1" w:styleId="8Char">
    <w:name w:val="标题 8 Char"/>
    <w:link w:val="Heading8"/>
    <w:autoRedefine/>
    <w:qFormat/>
    <w:rPr>
      <w:rFonts w:ascii="Arial" w:eastAsia="黑体" w:hAnsi="Arial" w:cs="Times New Roman"/>
      <w:kern w:val="2"/>
      <w:sz w:val="24"/>
      <w:szCs w:val="24"/>
      <w:lang w:val="en-US" w:eastAsia="zh-CN" w:bidi="ar-SA"/>
    </w:rPr>
  </w:style>
  <w:style w:type="character" w:customStyle="1" w:styleId="9Char">
    <w:name w:val="标题 9 Char"/>
    <w:link w:val="Heading9"/>
    <w:qFormat/>
    <w:rPr>
      <w:rFonts w:ascii="Arial" w:eastAsia="黑体" w:hAnsi="Arial" w:cs="Times New Roman"/>
      <w:kern w:val="2"/>
      <w:sz w:val="21"/>
      <w:szCs w:val="21"/>
      <w:lang w:val="en-US" w:eastAsia="zh-CN" w:bidi="ar-SA"/>
    </w:rPr>
  </w:style>
  <w:style w:type="character" w:customStyle="1" w:styleId="Char">
    <w:name w:val="文档结构图 Char"/>
    <w:link w:val="DocumentMap"/>
    <w:qFormat/>
    <w:rPr>
      <w:rFonts w:ascii="Times New Roman" w:eastAsia="宋体" w:hAnsi="Times New Roman" w:cs="Times New Roman"/>
      <w:szCs w:val="24"/>
      <w:shd w:val="clear" w:color="auto" w:fill="000080"/>
      <w:lang w:bidi="ar-SA"/>
    </w:rPr>
  </w:style>
  <w:style w:type="character" w:customStyle="1" w:styleId="Char0">
    <w:name w:val="正文文本 Char"/>
    <w:link w:val="BodyText"/>
    <w:autoRedefine/>
    <w:qFormat/>
    <w:rPr>
      <w:rFonts w:ascii="Times New Roman" w:eastAsia="宋体" w:hAnsi="Times New Roman" w:cs="Times New Roman"/>
      <w:kern w:val="2"/>
      <w:sz w:val="21"/>
      <w:szCs w:val="24"/>
      <w:lang w:val="en-US" w:eastAsia="zh-CN" w:bidi="ar-SA"/>
    </w:rPr>
  </w:style>
  <w:style w:type="character" w:customStyle="1" w:styleId="Char1">
    <w:name w:val="正文文本缩进 Char"/>
    <w:link w:val="BodyTextIndent"/>
    <w:autoRedefine/>
    <w:qFormat/>
    <w:rPr>
      <w:rFonts w:ascii="Times New Roman" w:eastAsia="宋体" w:hAnsi="Times New Roman" w:cs="Times New Roman"/>
      <w:lang w:bidi="ar-SA"/>
    </w:rPr>
  </w:style>
  <w:style w:type="character" w:customStyle="1" w:styleId="Char2">
    <w:name w:val="纯文本 Char"/>
    <w:link w:val="PlainText"/>
    <w:qFormat/>
    <w:rPr>
      <w:rFonts w:ascii="宋体" w:eastAsia="宋体" w:hAnsi="Courier New" w:cs="Times New Roman"/>
      <w:szCs w:val="21"/>
      <w:lang w:bidi="ar-SA"/>
    </w:rPr>
  </w:style>
  <w:style w:type="character" w:customStyle="1" w:styleId="Char3">
    <w:name w:val="日期 Char"/>
    <w:link w:val="Date"/>
    <w:qFormat/>
    <w:rPr>
      <w:rFonts w:ascii="Times New Roman" w:eastAsia="宋体" w:hAnsi="Times New Roman" w:cs="Times New Roman"/>
      <w:szCs w:val="24"/>
      <w:lang w:bidi="ar-SA"/>
    </w:rPr>
  </w:style>
  <w:style w:type="character" w:customStyle="1" w:styleId="2Char">
    <w:name w:val="正文文本缩进 2 Char"/>
    <w:link w:val="BodyTextIndent2"/>
    <w:autoRedefine/>
    <w:qFormat/>
    <w:rPr>
      <w:rFonts w:ascii="宋体" w:eastAsia="宋体" w:hAnsi="Times New Roman" w:cs="Times New Roman"/>
      <w:sz w:val="28"/>
      <w:lang w:bidi="ar-SA"/>
    </w:rPr>
  </w:style>
  <w:style w:type="character" w:customStyle="1" w:styleId="Char4">
    <w:name w:val="批注框文本 Char"/>
    <w:link w:val="BalloonText"/>
    <w:qFormat/>
    <w:rPr>
      <w:rFonts w:ascii="Times New Roman" w:eastAsia="宋体" w:hAnsi="Times New Roman" w:cs="Times New Roman"/>
      <w:sz w:val="18"/>
      <w:szCs w:val="18"/>
      <w:lang w:bidi="ar-SA"/>
    </w:rPr>
  </w:style>
  <w:style w:type="character" w:customStyle="1" w:styleId="Char5">
    <w:name w:val="页脚 Char"/>
    <w:link w:val="Footer"/>
    <w:qFormat/>
    <w:rPr>
      <w:rFonts w:ascii="Times New Roman" w:eastAsia="宋体" w:hAnsi="Times New Roman" w:cs="Times New Roman"/>
      <w:sz w:val="18"/>
      <w:szCs w:val="24"/>
      <w:lang w:bidi="ar-SA"/>
    </w:rPr>
  </w:style>
  <w:style w:type="character" w:customStyle="1" w:styleId="Char6">
    <w:name w:val="页眉 Char"/>
    <w:link w:val="Header"/>
    <w:autoRedefine/>
    <w:qFormat/>
    <w:rPr>
      <w:rFonts w:ascii="Times New Roman" w:eastAsia="宋体" w:hAnsi="Times New Roman" w:cs="Times New Roman"/>
      <w:sz w:val="18"/>
      <w:szCs w:val="18"/>
      <w:lang w:bidi="ar-SA"/>
    </w:rPr>
  </w:style>
  <w:style w:type="character" w:customStyle="1" w:styleId="3Char0">
    <w:name w:val="正文文本缩进 3 Char"/>
    <w:link w:val="BodyTextIndent3"/>
    <w:autoRedefine/>
    <w:qFormat/>
    <w:rPr>
      <w:rFonts w:ascii="Times New Roman" w:eastAsia="宋体" w:hAnsi="Times New Roman" w:cs="Times New Roman"/>
      <w:sz w:val="24"/>
      <w:lang w:bidi="ar-SA"/>
    </w:rPr>
  </w:style>
  <w:style w:type="character" w:customStyle="1" w:styleId="2Char0">
    <w:name w:val="正文文本 2 Char"/>
    <w:link w:val="BodyText2"/>
    <w:autoRedefine/>
    <w:qFormat/>
    <w:rPr>
      <w:rFonts w:ascii="仿宋_GB2312" w:eastAsia="仿宋_GB2312" w:hAnsi="Times New Roman" w:cs="Times New Roman"/>
      <w:sz w:val="28"/>
      <w:lang w:bidi="ar-SA"/>
    </w:rPr>
  </w:style>
  <w:style w:type="character" w:customStyle="1" w:styleId="Char7">
    <w:name w:val="标题 Char"/>
    <w:link w:val="Title"/>
    <w:autoRedefine/>
    <w:qFormat/>
    <w:rPr>
      <w:rFonts w:ascii="Cambria" w:eastAsia="宋体" w:hAnsi="Cambria" w:cs="Times New Roman"/>
      <w:b/>
      <w:bCs/>
      <w:sz w:val="32"/>
      <w:szCs w:val="32"/>
      <w:lang w:bidi="ar-SA"/>
    </w:rPr>
  </w:style>
  <w:style w:type="character" w:customStyle="1" w:styleId="Char8">
    <w:name w:val="正文首行缩进 Char"/>
    <w:link w:val="BodyTextFirstIndent"/>
    <w:autoRedefine/>
    <w:qFormat/>
    <w:rPr>
      <w:rFonts w:ascii="Times New Roman" w:eastAsia="宋体" w:hAnsi="Times New Roman" w:cs="Times New Roman"/>
      <w:szCs w:val="24"/>
      <w:lang w:bidi="ar-SA"/>
    </w:rPr>
  </w:style>
  <w:style w:type="character" w:customStyle="1" w:styleId="StyleBlackChar">
    <w:name w:val="Style .. + 宋体 五号 Black Char"/>
    <w:link w:val="StyleBlack"/>
    <w:autoRedefine/>
    <w:qFormat/>
    <w:rPr>
      <w:rFonts w:ascii="宋体" w:eastAsia="宋体" w:hAnsi="宋体" w:cs="Times New Roman"/>
      <w:color w:val="000000"/>
      <w:sz w:val="24"/>
      <w:lang w:bidi="ar-SA"/>
    </w:rPr>
  </w:style>
  <w:style w:type="paragraph" w:customStyle="1" w:styleId="StyleBlack">
    <w:name w:val="Style .. + 宋体 五号 Black"/>
    <w:basedOn w:val="Normal"/>
    <w:link w:val="StyleBlackChar"/>
    <w:autoRedefine/>
    <w:qFormat/>
    <w:pPr>
      <w:autoSpaceDE w:val="0"/>
      <w:autoSpaceDN w:val="0"/>
      <w:adjustRightInd w:val="0"/>
      <w:spacing w:line="360" w:lineRule="auto"/>
      <w:jc w:val="left"/>
    </w:pPr>
    <w:rPr>
      <w:rFonts w:ascii="宋体" w:eastAsia="宋体" w:hAnsi="宋体" w:cs="Times New Roman"/>
      <w:color w:val="000000"/>
      <w:kern w:val="0"/>
      <w:sz w:val="24"/>
      <w:szCs w:val="20"/>
    </w:rPr>
  </w:style>
  <w:style w:type="character" w:customStyle="1" w:styleId="gjfg">
    <w:name w:val="gjfg"/>
    <w:basedOn w:val="DefaultParagraphFont"/>
    <w:autoRedefine/>
    <w:qFormat/>
  </w:style>
  <w:style w:type="character" w:customStyle="1" w:styleId="cfdate">
    <w:name w:val="cfdate"/>
    <w:autoRedefine/>
    <w:qFormat/>
    <w:rPr>
      <w:rFonts w:ascii="Times New Roman" w:eastAsia="宋体" w:hAnsi="Times New Roman" w:cs="Times New Roman"/>
      <w:color w:val="333333"/>
      <w:sz w:val="12"/>
      <w:szCs w:val="12"/>
    </w:rPr>
  </w:style>
  <w:style w:type="character" w:customStyle="1" w:styleId="Char9">
    <w:name w:val="正文文字 Char"/>
    <w:link w:val="a"/>
    <w:autoRedefine/>
    <w:qFormat/>
    <w:rPr>
      <w:rFonts w:ascii="Times New Roman" w:eastAsia="宋体" w:hAnsi="Times New Roman" w:cs="Times New Roman"/>
      <w:sz w:val="24"/>
      <w:szCs w:val="24"/>
      <w:lang w:bidi="ar-SA"/>
    </w:rPr>
  </w:style>
  <w:style w:type="paragraph" w:customStyle="1" w:styleId="a">
    <w:name w:val="正文文字"/>
    <w:basedOn w:val="Normal"/>
    <w:link w:val="Char9"/>
    <w:autoRedefine/>
    <w:qFormat/>
    <w:pPr>
      <w:spacing w:before="60" w:after="60" w:line="360" w:lineRule="auto"/>
      <w:ind w:firstLine="200" w:firstLineChars="200"/>
      <w:jc w:val="left"/>
    </w:pPr>
    <w:rPr>
      <w:rFonts w:ascii="Times New Roman" w:eastAsia="宋体" w:hAnsi="Times New Roman" w:cs="Times New Roman"/>
      <w:kern w:val="0"/>
      <w:sz w:val="24"/>
    </w:rPr>
  </w:style>
  <w:style w:type="character" w:customStyle="1" w:styleId="ll2CharChar">
    <w:name w:val="ll2 Char Char"/>
    <w:link w:val="ll2"/>
    <w:autoRedefine/>
    <w:qFormat/>
    <w:rPr>
      <w:rFonts w:ascii="宋体" w:eastAsia="Times New Roman" w:hAnsi="宋体" w:cs="Times New Roman"/>
      <w:bCs/>
      <w:color w:val="000000"/>
      <w:sz w:val="24"/>
      <w:szCs w:val="32"/>
      <w:lang w:val="en-US" w:eastAsia="zh-CN" w:bidi="ar-SA"/>
    </w:rPr>
  </w:style>
  <w:style w:type="paragraph" w:customStyle="1" w:styleId="ll2">
    <w:name w:val="ll2"/>
    <w:link w:val="ll2CharChar"/>
    <w:autoRedefine/>
    <w:qFormat/>
    <w:pPr>
      <w:numPr>
        <w:ilvl w:val="0"/>
        <w:numId w:val="3"/>
      </w:numPr>
      <w:tabs>
        <w:tab w:val="left" w:pos="0"/>
      </w:tabs>
      <w:snapToGrid w:val="0"/>
      <w:spacing w:after="160" w:line="240" w:lineRule="atLeast"/>
      <w:ind w:left="0" w:firstLine="0"/>
    </w:pPr>
    <w:rPr>
      <w:rFonts w:ascii="宋体" w:eastAsia="Times New Roman" w:hAnsi="宋体" w:cs="Times New Roman"/>
      <w:bCs/>
      <w:color w:val="000000"/>
      <w:sz w:val="24"/>
      <w:szCs w:val="32"/>
      <w:lang w:val="en-US" w:eastAsia="zh-CN" w:bidi="ar-SA"/>
    </w:rPr>
  </w:style>
  <w:style w:type="character" w:customStyle="1" w:styleId="Char10">
    <w:name w:val="正文文本 Char1"/>
    <w:qFormat/>
    <w:rPr>
      <w:rFonts w:ascii="Times New Roman" w:eastAsia="宋体" w:hAnsi="Times New Roman" w:cs="Times New Roman"/>
      <w:szCs w:val="24"/>
    </w:rPr>
  </w:style>
  <w:style w:type="character" w:customStyle="1" w:styleId="qxdate">
    <w:name w:val="qxdate"/>
    <w:qFormat/>
    <w:rPr>
      <w:rFonts w:ascii="Times New Roman" w:eastAsia="宋体" w:hAnsi="Times New Roman" w:cs="Times New Roman"/>
      <w:color w:val="333333"/>
      <w:sz w:val="12"/>
      <w:szCs w:val="12"/>
    </w:rPr>
  </w:style>
  <w:style w:type="character" w:customStyle="1" w:styleId="redfilefwwh">
    <w:name w:val="redfilefwwh"/>
    <w:autoRedefine/>
    <w:qFormat/>
    <w:rPr>
      <w:rFonts w:ascii="Times New Roman" w:eastAsia="宋体" w:hAnsi="Times New Roman" w:cs="Times New Roman"/>
      <w:color w:val="BA2636"/>
      <w:sz w:val="12"/>
      <w:szCs w:val="12"/>
    </w:rPr>
  </w:style>
  <w:style w:type="character" w:customStyle="1" w:styleId="redfilenumber">
    <w:name w:val="redfilenumber"/>
    <w:qFormat/>
    <w:rPr>
      <w:rFonts w:ascii="Times New Roman" w:eastAsia="宋体" w:hAnsi="Times New Roman" w:cs="Times New Roman"/>
      <w:color w:val="BA2636"/>
      <w:sz w:val="12"/>
      <w:szCs w:val="12"/>
    </w:rPr>
  </w:style>
  <w:style w:type="character" w:customStyle="1" w:styleId="displayarti">
    <w:name w:val="displayarti"/>
    <w:autoRedefine/>
    <w:qFormat/>
    <w:rPr>
      <w:rFonts w:ascii="Times New Roman" w:eastAsia="宋体" w:hAnsi="Times New Roman" w:cs="Times New Roman"/>
      <w:color w:val="FFFFFF"/>
      <w:shd w:val="clear" w:color="auto" w:fill="A00000"/>
    </w:rPr>
  </w:style>
  <w:style w:type="character" w:customStyle="1" w:styleId="Char11">
    <w:name w:val="文档正文 Char"/>
    <w:link w:val="a0"/>
    <w:qFormat/>
    <w:rPr>
      <w:rFonts w:ascii="长城仿宋" w:eastAsia="宋体" w:hAnsi="Times New Roman" w:cs="Times New Roman"/>
      <w:sz w:val="24"/>
      <w:lang w:bidi="ar-SA"/>
    </w:rPr>
  </w:style>
  <w:style w:type="paragraph" w:customStyle="1" w:styleId="a0">
    <w:name w:val="文档正文"/>
    <w:basedOn w:val="Normal"/>
    <w:link w:val="Char11"/>
    <w:autoRedefine/>
    <w:qFormat/>
    <w:pPr>
      <w:adjustRightInd w:val="0"/>
      <w:spacing w:line="480" w:lineRule="atLeast"/>
      <w:ind w:firstLine="567"/>
    </w:pPr>
    <w:rPr>
      <w:rFonts w:ascii="长城仿宋" w:eastAsia="宋体" w:hAnsi="Times New Roman" w:cs="Times New Roman"/>
      <w:kern w:val="0"/>
      <w:sz w:val="24"/>
      <w:szCs w:val="20"/>
    </w:rPr>
  </w:style>
  <w:style w:type="paragraph" w:customStyle="1" w:styleId="Char12">
    <w:name w:val="Char"/>
    <w:basedOn w:val="Normal"/>
    <w:qFormat/>
    <w:rPr>
      <w:rFonts w:ascii="Tahoma" w:eastAsia="宋体" w:hAnsi="Tahoma" w:cs="Times New Roman"/>
      <w:sz w:val="24"/>
      <w:szCs w:val="20"/>
    </w:rPr>
  </w:style>
  <w:style w:type="paragraph" w:customStyle="1" w:styleId="CharCharChar">
    <w:name w:val=" Char Char Char"/>
    <w:basedOn w:val="Normal"/>
    <w:qFormat/>
    <w:rPr>
      <w:rFonts w:ascii="Tahoma" w:eastAsia="宋体" w:hAnsi="Tahoma" w:cs="Times New Roman"/>
      <w:sz w:val="24"/>
      <w:szCs w:val="20"/>
    </w:rPr>
  </w:style>
  <w:style w:type="paragraph" w:customStyle="1" w:styleId="a1">
    <w:name w:val="正文（绿盟科技）"/>
    <w:autoRedefine/>
    <w:qFormat/>
    <w:pPr>
      <w:spacing w:after="160" w:line="300" w:lineRule="auto"/>
    </w:pPr>
    <w:rPr>
      <w:rFonts w:ascii="Arial" w:eastAsia="宋体" w:hAnsi="Arial" w:cs="黑体"/>
      <w:sz w:val="21"/>
      <w:szCs w:val="21"/>
      <w:lang w:val="en-US" w:eastAsia="zh-CN" w:bidi="ar-SA"/>
    </w:rPr>
  </w:style>
  <w:style w:type="paragraph" w:customStyle="1" w:styleId="1">
    <w:name w:val="样式1"/>
    <w:basedOn w:val="Normal"/>
    <w:autoRedefine/>
    <w:qFormat/>
    <w:pPr>
      <w:numPr>
        <w:ilvl w:val="0"/>
        <w:numId w:val="4"/>
      </w:numPr>
      <w:adjustRightInd w:val="0"/>
    </w:pPr>
    <w:rPr>
      <w:rFonts w:ascii="宋体" w:eastAsia="宋体" w:hAnsi="宋体" w:cs="Times New Roman"/>
      <w:kern w:val="0"/>
      <w:szCs w:val="20"/>
    </w:rPr>
  </w:style>
  <w:style w:type="paragraph" w:customStyle="1" w:styleId="5">
    <w:name w:val="标题 5（有编号）（绿盟科技）"/>
    <w:basedOn w:val="Normal"/>
    <w:next w:val="a1"/>
    <w:autoRedefine/>
    <w:qFormat/>
    <w:pPr>
      <w:keepNext/>
      <w:keepLines/>
      <w:numPr>
        <w:ilvl w:val="4"/>
        <w:numId w:val="5"/>
      </w:numPr>
      <w:spacing w:before="280" w:after="156" w:line="377" w:lineRule="auto"/>
      <w:jc w:val="left"/>
      <w:outlineLvl w:val="4"/>
    </w:pPr>
    <w:rPr>
      <w:rFonts w:ascii="Arial" w:eastAsia="黑体" w:hAnsi="Arial" w:cs="黑体"/>
      <w:b/>
      <w:kern w:val="0"/>
      <w:sz w:val="24"/>
      <w:szCs w:val="28"/>
    </w:rPr>
  </w:style>
  <w:style w:type="paragraph" w:customStyle="1" w:styleId="a2">
    <w:name w:val="正常"/>
    <w:basedOn w:val="a3"/>
    <w:autoRedefine/>
    <w:qFormat/>
    <w:rPr>
      <w:sz w:val="24"/>
    </w:rPr>
  </w:style>
  <w:style w:type="paragraph" w:customStyle="1" w:styleId="a3">
    <w:name w:val="小正常"/>
    <w:basedOn w:val="Normal"/>
    <w:qFormat/>
    <w:rPr>
      <w:rFonts w:cs="Times New Roman"/>
      <w:sz w:val="20"/>
      <w:szCs w:val="20"/>
    </w:rPr>
  </w:style>
  <w:style w:type="table" w:customStyle="1" w:styleId="TableNormal0">
    <w:name w:val="Table Normal_0"/>
    <w:autoRedefine/>
    <w:semiHidden/>
    <w:unhideWhenUsed/>
    <w:qFormat/>
    <w:pPr>
      <w:spacing w:after="160" w:line="259" w:lineRule="auto"/>
    </w:pPr>
    <w:tblPr>
      <w:tblCellMar>
        <w:top w:w="0" w:type="dxa"/>
        <w:left w:w="0" w:type="dxa"/>
        <w:bottom w:w="0" w:type="dxa"/>
        <w:right w:w="0" w:type="dxa"/>
      </w:tblCellMar>
    </w:tblPr>
  </w:style>
  <w:style w:type="paragraph" w:styleId="ListParagraph">
    <w:name w:val="List Paragraph"/>
    <w:basedOn w:val="Normal"/>
    <w:uiPriority w:val="34"/>
    <w:qFormat/>
    <w:pPr>
      <w:ind w:firstLine="420"/>
    </w:pPr>
    <w:rPr>
      <w:kern w:val="0"/>
      <w:szCs w:val="21"/>
    </w:rPr>
  </w:style>
  <w:style w:type="paragraph" w:customStyle="1" w:styleId="10">
    <w:name w:val="列出段落1"/>
    <w:basedOn w:val="Normal"/>
    <w:qFormat/>
    <w:pPr>
      <w:spacing w:line="360" w:lineRule="auto"/>
      <w:ind w:firstLine="420" w:firstLineChars="200"/>
      <w:jc w:val="left"/>
    </w:pPr>
    <w:rPr>
      <w:rFonts w:ascii="Calibri" w:hAnsi="Calibri"/>
      <w:kern w:val="0"/>
      <w:szCs w:val="22"/>
      <w:lang w:bidi="en-US"/>
    </w:rPr>
  </w:style>
  <w:style w:type="paragraph" w:customStyle="1" w:styleId="26012">
    <w:name w:val="样式 样式 样式 标题 2 + 宋体 五号 非加粗 黑色 + 段前: 6 磅 段后: 0 磅 行距: 单倍行距 + 段前: 12..."/>
    <w:basedOn w:val="Normal"/>
    <w:autoRedefine/>
    <w:qFormat/>
    <w:pPr>
      <w:keepNext/>
      <w:keepLines/>
      <w:tabs>
        <w:tab w:val="left" w:pos="1875"/>
      </w:tabs>
      <w:adjustRightInd w:val="0"/>
      <w:spacing w:before="240"/>
      <w:ind w:left="1875" w:hanging="435"/>
      <w:jc w:val="left"/>
      <w:outlineLvl w:val="1"/>
    </w:pPr>
    <w:rPr>
      <w:rFonts w:ascii="宋体" w:hAnsi="宋体"/>
      <w:color w:val="000000"/>
      <w:kern w:val="0"/>
      <w:szCs w:val="20"/>
    </w:rPr>
  </w:style>
  <w:style w:type="character" w:customStyle="1" w:styleId="2Char1">
    <w:name w:val="标题 2 Char"/>
    <w:link w:val="Heading2"/>
    <w:autoRedefine/>
    <w:qFormat/>
    <w:rPr>
      <w:rFonts w:ascii="Arial" w:eastAsia="黑体" w:hAnsi="Arial" w:cs="Calibri"/>
      <w:sz w:val="32"/>
      <w:szCs w:val="32"/>
      <w:lang w:val="en-US" w:eastAsia="zh-CN"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numbering" Target="numbering.xml" /><Relationship Id="rId11"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customXml" Target="../customXml/item1.xml" /><Relationship Id="rId5" Type="http://schemas.openxmlformats.org/officeDocument/2006/relationships/footer" Target="footer1.xml" /><Relationship Id="rId6" Type="http://schemas.openxmlformats.org/officeDocument/2006/relationships/footer" Target="footer2.xml" /><Relationship Id="rId7" Type="http://schemas.openxmlformats.org/officeDocument/2006/relationships/footer" Target="footer3.xml" /><Relationship Id="rId8" Type="http://schemas.openxmlformats.org/officeDocument/2006/relationships/footer" Target="footer4.xml" /><Relationship Id="rId9" Type="http://schemas.openxmlformats.org/officeDocument/2006/relationships/theme" Target="theme/theme1.xml" /></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ype="http://schemas.openxmlformats.org/officeDocument/2006/relationships/customXmlProps" Target="itemProps1.xml" /></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otalTime>0</TotalTime>
  <Pages>51</Pages>
  <Words>6414</Words>
  <Characters>6747</Characters>
  <Application>Microsoft Office Word</Application>
  <DocSecurity>0</DocSecurity>
  <Lines>217</Lines>
  <Paragraphs>61</Paragraphs>
  <ScaleCrop>false</ScaleCrop>
  <Company>China</Company>
  <LinksUpToDate>false</LinksUpToDate>
  <CharactersWithSpaces>6890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招 标 文 件</dc:title>
  <dc:creator>Administrator</dc:creator>
  <cp:lastModifiedBy>王韩宝</cp:lastModifiedBy>
  <cp:revision>0</cp:revision>
  <cp:lastPrinted>2020-10-14T19:19:00Z</cp:lastPrinted>
  <dcterms:created xsi:type="dcterms:W3CDTF">2020-04-23T23:26:00Z</dcterms:created>
  <dcterms:modified xsi:type="dcterms:W3CDTF">2025-03-17T01:52:07Z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DB73CE3B199B42AB9EBCB903E3E759DA</vt:lpwstr>
  </property>
  <property fmtid="{D5CDD505-2E9C-101B-9397-08002B2CF9AE}" pid="3" name="KSOProductBuildVer">
    <vt:lpwstr>2052-12.1.0.20305</vt:lpwstr>
  </property>
  <property fmtid="{D5CDD505-2E9C-101B-9397-08002B2CF9AE}" pid="4" name="KSOTemplateDocerSaveRecord">
    <vt:lpwstr>eyJoZGlkIjoiZDQ1MzcwZmQyZjg1MjVhMTgxZjhhZjE0MmViZDI4NWIiLCJ1c2VySWQiOiI2MzM5NDgzOTIifQ==</vt:lpwstr>
  </property>
</Properties>
</file>