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rsidR="00BD6A54" w14:paraId="51C321CE" w14:textId="77777777">
      <w:pPr>
        <w:jc w:val="left"/>
        <w:rPr>
          <w:rFonts w:hAnsi="SimSun"/>
          <w:b/>
          <w:sz w:val="96"/>
          <w:szCs w:val="96"/>
        </w:rPr>
      </w:pPr>
    </w:p>
    <w:p w:rsidR="00BD6A54" w14:paraId="45F4BCF1" w14:textId="77777777">
      <w:pPr>
        <w:topLinePunct/>
        <w:autoSpaceDE w:val="0"/>
        <w:autoSpaceDN w:val="0"/>
        <w:jc w:val="center"/>
        <w:rPr>
          <w:rFonts w:hAnsi="SimSun"/>
          <w:b/>
          <w:sz w:val="96"/>
          <w:szCs w:val="96"/>
        </w:rPr>
      </w:pPr>
      <w:r>
        <w:rPr>
          <w:rFonts w:hAnsi="SimSun" w:hint="eastAsia"/>
          <w:b/>
          <w:sz w:val="96"/>
          <w:szCs w:val="96"/>
        </w:rPr>
        <w:t>招</w:t>
      </w:r>
      <w:r>
        <w:rPr>
          <w:rFonts w:hAnsi="SimSun" w:hint="eastAsia"/>
          <w:b/>
          <w:sz w:val="96"/>
          <w:szCs w:val="96"/>
        </w:rPr>
        <w:t xml:space="preserve"> </w:t>
      </w:r>
      <w:r>
        <w:rPr>
          <w:rFonts w:hAnsi="SimSun" w:hint="eastAsia"/>
          <w:b/>
          <w:sz w:val="96"/>
          <w:szCs w:val="96"/>
        </w:rPr>
        <w:t>标</w:t>
      </w:r>
      <w:r>
        <w:rPr>
          <w:rFonts w:hAnsi="SimSun" w:hint="eastAsia"/>
          <w:b/>
          <w:sz w:val="96"/>
          <w:szCs w:val="96"/>
        </w:rPr>
        <w:t xml:space="preserve"> </w:t>
      </w:r>
      <w:r>
        <w:rPr>
          <w:rFonts w:hAnsi="SimSun" w:hint="eastAsia"/>
          <w:b/>
          <w:sz w:val="96"/>
          <w:szCs w:val="96"/>
        </w:rPr>
        <w:t>文</w:t>
      </w:r>
      <w:r>
        <w:rPr>
          <w:rFonts w:hAnsi="SimSun" w:hint="eastAsia"/>
          <w:b/>
          <w:sz w:val="96"/>
          <w:szCs w:val="96"/>
        </w:rPr>
        <w:t xml:space="preserve"> </w:t>
      </w:r>
      <w:r>
        <w:rPr>
          <w:rFonts w:hAnsi="SimSun" w:hint="eastAsia"/>
          <w:b/>
          <w:sz w:val="96"/>
          <w:szCs w:val="96"/>
        </w:rPr>
        <w:t>件</w:t>
      </w:r>
    </w:p>
    <w:p w:rsidR="00BD6A54" w14:paraId="590152F9" w14:textId="77777777">
      <w:pPr>
        <w:topLinePunct/>
        <w:autoSpaceDE w:val="0"/>
        <w:autoSpaceDN w:val="0"/>
        <w:spacing w:line="60" w:lineRule="exact"/>
        <w:jc w:val="center"/>
        <w:rPr>
          <w:rFonts w:hAnsi="SimSun"/>
          <w:sz w:val="96"/>
          <w:szCs w:val="96"/>
        </w:rPr>
      </w:pPr>
    </w:p>
    <w:p w:rsidR="00BD6A54" w14:paraId="22D90A1A" w14:textId="77777777">
      <w:pPr>
        <w:topLinePunct/>
        <w:autoSpaceDE w:val="0"/>
        <w:autoSpaceDN w:val="0"/>
        <w:snapToGrid w:val="0"/>
        <w:jc w:val="center"/>
        <w:rPr>
          <w:rFonts w:ascii="SimSun" w:hAnsi="SimSun"/>
          <w:sz w:val="96"/>
          <w:szCs w:val="96"/>
        </w:rPr>
      </w:pPr>
      <w:r>
        <w:rPr>
          <w:rFonts w:hAnsi="SimSun" w:hint="eastAsia"/>
          <w:b/>
          <w:sz w:val="56"/>
          <w:szCs w:val="56"/>
        </w:rPr>
        <w:t>（技术部分）</w:t>
      </w:r>
    </w:p>
    <w:p w:rsidR="00BD6A54" w14:paraId="7B6553A5"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7946D6BA"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2DA88C17" w14:textId="6E0FC461">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项目名称：</w:t>
      </w:r>
      <w:bookmarkStart w:id="0" w:name="项目名称_fa_planName"/>
      <w:r w:rsidRPr="00381FED" w:rsidR="00381FED">
        <w:rPr>
          <w:rFonts w:ascii="SimSun" w:hint="eastAsia"/>
          <w:b/>
          <w:bCs/>
          <w:sz w:val="28"/>
          <w:szCs w:val="28"/>
        </w:rPr>
        <w:t>国家税务总局吉林省税务局2025年统一工作平台—退税减税政策大数据平台指标升级改造项目</w:t>
      </w:r>
      <w:bookmarkEnd w:id="0"/>
    </w:p>
    <w:p w:rsidR="00BD6A54" w14:paraId="36132533" w14:textId="40A2B885">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项目编号：</w:t>
      </w:r>
      <w:bookmarkStart w:id="1" w:name="项目编号_fa_planNo"/>
      <w:r w:rsidRPr="00381FED" w:rsidR="00381FED">
        <w:rPr>
          <w:rFonts w:ascii="SimSun" w:hint="eastAsia"/>
          <w:b/>
          <w:bCs/>
          <w:sz w:val="28"/>
          <w:szCs w:val="28"/>
        </w:rPr>
        <w:t>JL2025-ZXGK-C0101-B00</w:t>
      </w:r>
      <w:bookmarkEnd w:id="1"/>
    </w:p>
    <w:p w:rsidR="00BD6A54" w14:paraId="1786DD03" w14:textId="77777777">
      <w:pPr>
        <w:topLinePunct/>
        <w:autoSpaceDE w:val="0"/>
        <w:autoSpaceDN w:val="0"/>
        <w:snapToGrid w:val="0"/>
        <w:spacing w:line="360" w:lineRule="auto"/>
        <w:ind w:firstLine="1120" w:firstLineChars="400"/>
        <w:rPr>
          <w:rFonts w:ascii="SimSun"/>
          <w:b/>
          <w:bCs/>
          <w:sz w:val="28"/>
          <w:szCs w:val="28"/>
        </w:rPr>
      </w:pPr>
    </w:p>
    <w:p w:rsidR="00BD6A54" w14:paraId="2BD97A82" w14:textId="77777777">
      <w:pPr>
        <w:topLinePunct/>
        <w:autoSpaceDE w:val="0"/>
        <w:autoSpaceDN w:val="0"/>
        <w:snapToGrid w:val="0"/>
        <w:spacing w:line="360" w:lineRule="auto"/>
        <w:rPr>
          <w:rFonts w:ascii="SimSun"/>
          <w:b/>
          <w:bCs/>
          <w:sz w:val="28"/>
          <w:szCs w:val="28"/>
        </w:rPr>
      </w:pPr>
    </w:p>
    <w:p w:rsidR="00BD6A54" w14:paraId="513D8C77" w14:textId="77777777">
      <w:pPr>
        <w:topLinePunct/>
        <w:autoSpaceDE w:val="0"/>
        <w:autoSpaceDN w:val="0"/>
        <w:spacing w:line="460" w:lineRule="exact"/>
        <w:rPr>
          <w:rFonts w:ascii="SimHei" w:eastAsia="SimHei"/>
          <w:b/>
          <w:sz w:val="52"/>
        </w:rPr>
      </w:pPr>
    </w:p>
    <w:p w:rsidR="00BD6A54" w14:paraId="414296C2" w14:textId="77777777">
      <w:pPr>
        <w:topLinePunct/>
        <w:autoSpaceDE w:val="0"/>
        <w:autoSpaceDN w:val="0"/>
        <w:spacing w:line="460" w:lineRule="exact"/>
        <w:rPr>
          <w:rFonts w:ascii="SimHei" w:eastAsia="SimHei"/>
          <w:b/>
          <w:sz w:val="36"/>
          <w:szCs w:val="36"/>
        </w:rPr>
      </w:pPr>
    </w:p>
    <w:p w:rsidR="00BD6A54" w14:paraId="329E6F0A" w14:textId="77777777">
      <w:pPr>
        <w:topLinePunct/>
        <w:autoSpaceDE w:val="0"/>
        <w:autoSpaceDN w:val="0"/>
        <w:spacing w:line="460" w:lineRule="exact"/>
        <w:rPr>
          <w:rFonts w:ascii="SimHei" w:eastAsia="SimHei"/>
          <w:b/>
          <w:sz w:val="36"/>
          <w:szCs w:val="36"/>
        </w:rPr>
      </w:pPr>
    </w:p>
    <w:p w:rsidR="00BD6A54" w14:paraId="03168EF4" w14:textId="77777777">
      <w:pPr>
        <w:topLinePunct/>
        <w:autoSpaceDE w:val="0"/>
        <w:autoSpaceDN w:val="0"/>
        <w:spacing w:line="460" w:lineRule="exact"/>
        <w:jc w:val="center"/>
        <w:rPr>
          <w:rFonts w:ascii="SimHei" w:eastAsia="SimHei"/>
          <w:sz w:val="36"/>
          <w:szCs w:val="36"/>
        </w:rPr>
      </w:pPr>
    </w:p>
    <w:p w:rsidR="00BD6A54" w14:paraId="1376E296" w14:textId="77777777">
      <w:pPr>
        <w:topLinePunct/>
        <w:autoSpaceDE w:val="0"/>
        <w:autoSpaceDN w:val="0"/>
        <w:spacing w:line="460" w:lineRule="exact"/>
        <w:jc w:val="center"/>
        <w:rPr>
          <w:rFonts w:ascii="SimHei" w:eastAsia="SimHei"/>
          <w:sz w:val="36"/>
          <w:szCs w:val="36"/>
        </w:rPr>
      </w:pPr>
    </w:p>
    <w:p w:rsidR="00BD6A54" w14:paraId="52DF53F5" w14:textId="77777777">
      <w:pPr>
        <w:topLinePunct/>
        <w:autoSpaceDE w:val="0"/>
        <w:autoSpaceDN w:val="0"/>
        <w:spacing w:line="460" w:lineRule="exact"/>
        <w:jc w:val="center"/>
        <w:rPr>
          <w:rFonts w:ascii="SimHei" w:eastAsia="SimHei"/>
          <w:sz w:val="36"/>
          <w:szCs w:val="36"/>
        </w:rPr>
      </w:pPr>
    </w:p>
    <w:p w:rsidR="00BD6A54" w14:paraId="5CA4C913" w14:textId="77777777">
      <w:pPr>
        <w:topLinePunct/>
        <w:autoSpaceDE w:val="0"/>
        <w:autoSpaceDN w:val="0"/>
        <w:spacing w:line="460" w:lineRule="exact"/>
        <w:jc w:val="center"/>
        <w:rPr>
          <w:rFonts w:ascii="SimHei" w:eastAsia="SimHei"/>
          <w:sz w:val="36"/>
          <w:szCs w:val="36"/>
        </w:rPr>
      </w:pPr>
      <w:bookmarkStart w:id="2" w:name="采购人名称_cgrmc"/>
      <w:r>
        <w:rPr>
          <w:rFonts w:ascii="SimHei" w:eastAsia="SimHei" w:hint="eastAsia"/>
          <w:sz w:val="36"/>
          <w:szCs w:val="36"/>
        </w:rPr>
        <w:t>国家税务总局吉林省税务局</w:t>
      </w:r>
      <w:bookmarkEnd w:id="2"/>
    </w:p>
    <w:p w:rsidR="00BD6A54" w14:paraId="244E8052" w14:textId="77777777">
      <w:pPr>
        <w:widowControl/>
        <w:topLinePunct/>
        <w:autoSpaceDE w:val="0"/>
        <w:autoSpaceDN w:val="0"/>
        <w:jc w:val="center"/>
        <w:rPr>
          <w:rFonts w:ascii="SimSun" w:hAnsi="SimSun" w:cs="SimSun"/>
        </w:rPr>
        <w:sectPr>
          <w:pgSz w:w="11906" w:h="16838"/>
          <w:pgMar w:top="1440" w:right="1508" w:bottom="1440" w:left="1588" w:header="851" w:footer="851" w:gutter="0"/>
          <w:cols w:space="720"/>
          <w:titlePg/>
          <w:docGrid w:type="lines" w:linePitch="312"/>
        </w:sectPr>
      </w:pPr>
      <w:bookmarkStart w:id="3" w:name="生成日期_currentDateTime_ymd"/>
      <w:r>
        <w:rPr>
          <w:rFonts w:ascii="SimHei" w:eastAsia="SimHei" w:hAnsi="Courier New" w:cs="Courier New" w:hint="eastAsia"/>
          <w:sz w:val="36"/>
          <w:szCs w:val="36"/>
        </w:rPr>
        <w:t>2025年11月</w:t>
      </w:r>
      <w:bookmarkEnd w:id="3"/>
    </w:p>
    <w:p w:rsidR="00A77B3E">
      <w:pPr>
        <w:pStyle w:val="Normal0"/>
        <w:spacing w:before="0" w:after="0" w:line="360" w:lineRule="auto"/>
        <w:jc w:val="center"/>
        <w:rPr>
          <w:rFonts w:ascii="SimSun" w:eastAsia="SimSun" w:hAnsi="SimSun" w:cs="SimSun"/>
          <w:sz w:val="32"/>
        </w:rPr>
      </w:pPr>
      <w:r>
        <w:rPr>
          <w:rFonts w:ascii="SimSun" w:eastAsia="SimSun" w:hAnsi="SimSun" w:cs="SimSun"/>
          <w:sz w:val="32"/>
        </w:rPr>
        <w:t>目 录</w:t>
      </w:r>
    </w:p>
    <w:p>
      <w:pPr>
        <w:pStyle w:val="TOC1"/>
        <w:tabs>
          <w:tab w:val="right" w:leader="dot" w:pos="9016"/>
        </w:tabs>
        <w:spacing w:before="0" w:after="0" w:line="360" w:lineRule="auto"/>
        <w:rPr>
          <w:rFonts w:asciiTheme="minorHAnsi" w:hAnsiTheme="minorHAnsi"/>
          <w:noProof/>
          <w:sz w:val="22"/>
        </w:rPr>
      </w:pPr>
      <w:r w:rsidR="00A77B3E">
        <w:rPr>
          <w:rFonts w:ascii="SimSun" w:eastAsia="SimSun" w:hAnsi="SimSun" w:cs="SimSun"/>
          <w:sz w:val="32"/>
        </w:rPr>
        <w:fldChar w:fldCharType="begin"/>
      </w:r>
      <w:r w:rsidR="00A77B3E">
        <w:rPr>
          <w:rFonts w:ascii="SimSun" w:eastAsia="SimSun" w:hAnsi="SimSun" w:cs="SimSun"/>
          <w:sz w:val="32"/>
        </w:rPr>
        <w:instrText>TOC \o "1-3" \h \z \u</w:instrText>
      </w:r>
      <w:r w:rsidR="00A77B3E">
        <w:rPr>
          <w:rFonts w:ascii="SimSun" w:eastAsia="SimSun" w:hAnsi="SimSun" w:cs="SimSun"/>
          <w:sz w:val="32"/>
        </w:rPr>
        <w:fldChar w:fldCharType="separate"/>
      </w:r>
      <w:hyperlink w:anchor="_Toc256000000" w:history="1">
        <w:r>
          <w:rPr>
            <w:rStyle w:val="Hyperlink"/>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1" w:history="1">
        <w:r>
          <w:rPr>
            <w:rStyle w:val="Hyperlink"/>
            <w:rFonts w:ascii="仿宋_GB2312" w:eastAsia="仿宋_GB2312" w:hAnsi="仿宋_GB2312" w:cs="仿宋_GB2312"/>
          </w:rPr>
          <w:t>1.1项目背景</w:t>
        </w:r>
        <w:r>
          <w:tab/>
        </w:r>
        <w:r>
          <w:fldChar w:fldCharType="begin"/>
        </w:r>
        <w:r>
          <w:instrText xml:space="preserve"> PAGEREF _Toc256000001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2" w:history="1">
        <w:r>
          <w:rPr>
            <w:rStyle w:val="Hyperlink"/>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3" w:history="1">
        <w:r>
          <w:rPr>
            <w:rStyle w:val="Hyperlink"/>
            <w:rFonts w:ascii="仿宋_GB2312" w:eastAsia="仿宋_GB2312" w:hAnsi="仿宋_GB2312" w:cs="仿宋_GB2312"/>
          </w:rPr>
          <w:t>1.2项目内容</w:t>
        </w:r>
        <w:r>
          <w:tab/>
        </w:r>
        <w:r>
          <w:fldChar w:fldCharType="begin"/>
        </w:r>
        <w:r>
          <w:instrText xml:space="preserve"> PAGEREF _Toc256000003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4" w:history="1">
        <w:r>
          <w:rPr>
            <w:rStyle w:val="Hyperlink"/>
            <w:rFonts w:ascii="仿宋_GB2312" w:eastAsia="仿宋_GB2312" w:hAnsi="仿宋_GB2312" w:cs="仿宋_GB2312"/>
          </w:rPr>
          <w:t>1.2.1项目建设思路</w:t>
        </w:r>
        <w:r>
          <w:tab/>
        </w:r>
        <w:r>
          <w:fldChar w:fldCharType="begin"/>
        </w:r>
        <w:r>
          <w:instrText xml:space="preserve"> PAGEREF _Toc256000004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5" w:history="1">
        <w:r>
          <w:rPr>
            <w:rStyle w:val="Hyperlink"/>
            <w:rFonts w:ascii="仿宋_GB2312" w:eastAsia="仿宋_GB2312" w:hAnsi="仿宋_GB2312" w:cs="仿宋_GB2312"/>
          </w:rPr>
          <w:t>1.2.2采购内容</w:t>
        </w:r>
        <w:r>
          <w:tab/>
        </w:r>
        <w:r>
          <w:fldChar w:fldCharType="begin"/>
        </w:r>
        <w:r>
          <w:instrText xml:space="preserve"> PAGEREF _Toc256000005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6" w:history="1">
        <w:r>
          <w:rPr>
            <w:rStyle w:val="Hyperlink"/>
            <w:rFonts w:ascii="仿宋_GB2312" w:eastAsia="仿宋_GB2312" w:hAnsi="仿宋_GB2312" w:cs="仿宋_GB2312"/>
          </w:rPr>
          <w:t>1.2.3项目实施要求</w:t>
        </w:r>
        <w:r>
          <w:tab/>
        </w:r>
        <w:r>
          <w:fldChar w:fldCharType="begin"/>
        </w:r>
        <w:r>
          <w:instrText xml:space="preserve"> PAGEREF _Toc256000006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7" w:history="1">
        <w:r>
          <w:rPr>
            <w:rStyle w:val="Hyperlink"/>
            <w:rFonts w:ascii="仿宋_GB2312" w:eastAsia="仿宋_GB2312" w:hAnsi="仿宋_GB2312" w:cs="仿宋_GB2312"/>
          </w:rPr>
          <w:t>1.2.4系统情况</w:t>
        </w:r>
        <w:r>
          <w:tab/>
        </w:r>
        <w:r>
          <w:fldChar w:fldCharType="begin"/>
        </w:r>
        <w:r>
          <w:instrText xml:space="preserve"> PAGEREF _Toc256000007 \h </w:instrText>
        </w:r>
        <w:r>
          <w:fldChar w:fldCharType="separate"/>
        </w:r>
        <w:r>
          <w:t>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08" w:history="1">
        <w:r>
          <w:rPr>
            <w:rStyle w:val="Hyperlink"/>
            <w:rFonts w:ascii="仿宋_GB2312" w:eastAsia="仿宋_GB2312" w:hAnsi="仿宋_GB2312" w:cs="仿宋_GB2312"/>
            <w:kern w:val="36"/>
          </w:rPr>
          <w:t>2投标/响应要求</w:t>
        </w:r>
        <w:r>
          <w:tab/>
        </w:r>
        <w:r>
          <w:fldChar w:fldCharType="begin"/>
        </w:r>
        <w:r>
          <w:instrText xml:space="preserve"> PAGEREF _Toc256000008 \h </w:instrText>
        </w:r>
        <w:r>
          <w:fldChar w:fldCharType="separate"/>
        </w:r>
        <w:r>
          <w:t>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9" w:history="1">
        <w:r>
          <w:rPr>
            <w:rStyle w:val="Hyperlink"/>
            <w:rFonts w:ascii="仿宋_GB2312" w:eastAsia="仿宋_GB2312" w:hAnsi="仿宋_GB2312" w:cs="仿宋_GB2312"/>
          </w:rPr>
          <w:t>2.1对供应商的要求</w:t>
        </w:r>
        <w:r>
          <w:tab/>
        </w:r>
        <w:r>
          <w:fldChar w:fldCharType="begin"/>
        </w:r>
        <w:r>
          <w:instrText xml:space="preserve"> PAGEREF _Toc256000009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0" w:history="1">
        <w:r>
          <w:rPr>
            <w:rStyle w:val="Hyperlink"/>
            <w:rFonts w:ascii="仿宋_GB2312" w:eastAsia="仿宋_GB2312" w:hAnsi="仿宋_GB2312" w:cs="仿宋_GB2312"/>
          </w:rPr>
          <w:t>2.1.1必备资质</w:t>
        </w:r>
        <w:r>
          <w:tab/>
        </w:r>
        <w:r>
          <w:fldChar w:fldCharType="begin"/>
        </w:r>
        <w:r>
          <w:instrText xml:space="preserve"> PAGEREF _Toc256000010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1" w:history="1">
        <w:r>
          <w:rPr>
            <w:rStyle w:val="Hyperlink"/>
            <w:rFonts w:ascii="仿宋_GB2312" w:eastAsia="仿宋_GB2312" w:hAnsi="仿宋_GB2312" w:cs="仿宋_GB2312"/>
          </w:rPr>
          <w:t>2.1.2优选资质/优选指标</w:t>
        </w:r>
        <w:r>
          <w:tab/>
        </w:r>
        <w:r>
          <w:fldChar w:fldCharType="begin"/>
        </w:r>
        <w:r>
          <w:instrText xml:space="preserve"> PAGEREF _Toc256000011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2" w:history="1">
        <w:r>
          <w:rPr>
            <w:rStyle w:val="Hyperlink"/>
            <w:rFonts w:ascii="仿宋_GB2312" w:eastAsia="仿宋_GB2312" w:hAnsi="仿宋_GB2312" w:cs="仿宋_GB2312"/>
          </w:rPr>
          <w:t>2.1.3是否允许联合体</w:t>
        </w:r>
        <w:r>
          <w:tab/>
        </w:r>
        <w:r>
          <w:fldChar w:fldCharType="begin"/>
        </w:r>
        <w:r>
          <w:instrText xml:space="preserve"> PAGEREF _Toc256000012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3" w:history="1">
        <w:r>
          <w:rPr>
            <w:rStyle w:val="Hyperlink"/>
            <w:rFonts w:ascii="仿宋_GB2312" w:eastAsia="仿宋_GB2312" w:hAnsi="仿宋_GB2312" w:cs="仿宋_GB2312"/>
          </w:rPr>
          <w:t>2.1.4是否专门面向中小企业</w:t>
        </w:r>
        <w:r>
          <w:tab/>
        </w:r>
        <w:r>
          <w:fldChar w:fldCharType="begin"/>
        </w:r>
        <w:r>
          <w:instrText xml:space="preserve"> PAGEREF _Toc256000013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4" w:history="1">
        <w:r>
          <w:rPr>
            <w:rStyle w:val="Hyperlink"/>
            <w:rFonts w:ascii="仿宋_GB2312" w:eastAsia="仿宋_GB2312" w:hAnsi="仿宋_GB2312" w:cs="仿宋_GB2312"/>
          </w:rPr>
          <w:t>2.1.5其他要求</w:t>
        </w:r>
        <w:r>
          <w:tab/>
        </w:r>
        <w:r>
          <w:fldChar w:fldCharType="begin"/>
        </w:r>
        <w:r>
          <w:instrText xml:space="preserve"> PAGEREF _Toc256000014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5" w:history="1">
        <w:r>
          <w:rPr>
            <w:rStyle w:val="Hyperlink"/>
            <w:rFonts w:ascii="仿宋_GB2312" w:eastAsia="仿宋_GB2312" w:hAnsi="仿宋_GB2312" w:cs="仿宋_GB2312"/>
          </w:rPr>
          <w:t>2.2技术部分投标/响应内容</w:t>
        </w:r>
        <w:r>
          <w:tab/>
        </w:r>
        <w:r>
          <w:fldChar w:fldCharType="begin"/>
        </w:r>
        <w:r>
          <w:instrText xml:space="preserve"> PAGEREF _Toc256000015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6" w:history="1">
        <w:r>
          <w:rPr>
            <w:rStyle w:val="Hyperlink"/>
            <w:rFonts w:ascii="仿宋_GB2312" w:eastAsia="仿宋_GB2312" w:hAnsi="仿宋_GB2312" w:cs="仿宋_GB2312"/>
          </w:rPr>
          <w:t>2.2.1投标/响应方案要求</w:t>
        </w:r>
        <w:r>
          <w:tab/>
        </w:r>
        <w:r>
          <w:fldChar w:fldCharType="begin"/>
        </w:r>
        <w:r>
          <w:instrText xml:space="preserve"> PAGEREF _Toc256000016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7" w:history="1">
        <w:r>
          <w:rPr>
            <w:rStyle w:val="Hyperlink"/>
            <w:rFonts w:ascii="仿宋_GB2312" w:eastAsia="仿宋_GB2312" w:hAnsi="仿宋_GB2312" w:cs="仿宋_GB2312"/>
          </w:rPr>
          <w:t>2.2.2技术开发服务方案要求</w:t>
        </w:r>
        <w:r>
          <w:tab/>
        </w:r>
        <w:r>
          <w:fldChar w:fldCharType="begin"/>
        </w:r>
        <w:r>
          <w:instrText xml:space="preserve"> PAGEREF _Toc256000017 \h </w:instrText>
        </w:r>
        <w:r>
          <w:fldChar w:fldCharType="separate"/>
        </w:r>
        <w:r>
          <w:t>7</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8" w:history="1">
        <w:r>
          <w:rPr>
            <w:rStyle w:val="Hyperlink"/>
            <w:rFonts w:ascii="仿宋_GB2312" w:eastAsia="仿宋_GB2312" w:hAnsi="仿宋_GB2312" w:cs="仿宋_GB2312"/>
            <w:kern w:val="36"/>
          </w:rPr>
          <w:t>3项目需求</w:t>
        </w:r>
        <w:r>
          <w:tab/>
        </w:r>
        <w:r>
          <w:fldChar w:fldCharType="begin"/>
        </w:r>
        <w:r>
          <w:instrText xml:space="preserve"> PAGEREF _Toc256000018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9" w:history="1">
        <w:r>
          <w:rPr>
            <w:rStyle w:val="Hyperlink"/>
            <w:rFonts w:ascii="仿宋_GB2312" w:eastAsia="仿宋_GB2312" w:hAnsi="仿宋_GB2312" w:cs="仿宋_GB2312"/>
          </w:rPr>
          <w:t>3.1总体要求</w:t>
        </w:r>
        <w:r>
          <w:tab/>
        </w:r>
        <w:r>
          <w:fldChar w:fldCharType="begin"/>
        </w:r>
        <w:r>
          <w:instrText xml:space="preserve"> PAGEREF _Toc256000019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0" w:history="1">
        <w:r>
          <w:rPr>
            <w:rStyle w:val="Hyperlink"/>
            <w:rFonts w:ascii="仿宋_GB2312" w:eastAsia="仿宋_GB2312" w:hAnsi="仿宋_GB2312" w:cs="仿宋_GB2312"/>
          </w:rPr>
          <w:t>3.2服务内容和要求</w:t>
        </w:r>
        <w:r>
          <w:tab/>
        </w:r>
        <w:r>
          <w:fldChar w:fldCharType="begin"/>
        </w:r>
        <w:r>
          <w:instrText xml:space="preserve"> PAGEREF _Toc256000020 \h </w:instrText>
        </w:r>
        <w:r>
          <w:fldChar w:fldCharType="separate"/>
        </w:r>
        <w:r>
          <w:t>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1" w:history="1">
        <w:r>
          <w:rPr>
            <w:rStyle w:val="Hyperlink"/>
            <w:rFonts w:ascii="仿宋_GB2312" w:eastAsia="仿宋_GB2312" w:hAnsi="仿宋_GB2312" w:cs="仿宋_GB2312"/>
          </w:rPr>
          <w:t>3.2.1技术和服务客观指标</w:t>
        </w:r>
        <w:r>
          <w:tab/>
        </w:r>
        <w:r>
          <w:fldChar w:fldCharType="begin"/>
        </w:r>
        <w:r>
          <w:instrText xml:space="preserve"> PAGEREF _Toc256000021 \h </w:instrText>
        </w:r>
        <w:r>
          <w:fldChar w:fldCharType="separate"/>
        </w:r>
        <w:r>
          <w:t>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2" w:history="1">
        <w:r>
          <w:rPr>
            <w:rStyle w:val="Hyperlink"/>
            <w:rFonts w:ascii="仿宋_GB2312" w:eastAsia="仿宋_GB2312" w:hAnsi="仿宋_GB2312" w:cs="仿宋_GB2312"/>
          </w:rPr>
          <w:t>3.2.2技术和服务其他要求</w:t>
        </w:r>
        <w:r>
          <w:tab/>
        </w:r>
        <w:r>
          <w:fldChar w:fldCharType="begin"/>
        </w:r>
        <w:r>
          <w:instrText xml:space="preserve"> PAGEREF _Toc256000022 \h </w:instrText>
        </w:r>
        <w:r>
          <w:fldChar w:fldCharType="separate"/>
        </w:r>
        <w:r>
          <w:t>11</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3" w:history="1">
        <w:r>
          <w:rPr>
            <w:rStyle w:val="Hyperlink"/>
            <w:rFonts w:ascii="仿宋_GB2312" w:eastAsia="仿宋_GB2312" w:hAnsi="仿宋_GB2312" w:cs="仿宋_GB2312"/>
            <w:kern w:val="36"/>
          </w:rPr>
          <w:t>4人员要求</w:t>
        </w:r>
        <w:r>
          <w:tab/>
        </w:r>
        <w:r>
          <w:fldChar w:fldCharType="begin"/>
        </w:r>
        <w:r>
          <w:instrText xml:space="preserve"> PAGEREF _Toc256000023 \h </w:instrText>
        </w:r>
        <w:r>
          <w:fldChar w:fldCharType="separate"/>
        </w:r>
        <w:r>
          <w:t>11</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4" w:history="1">
        <w:r>
          <w:rPr>
            <w:rStyle w:val="Hyperlink"/>
            <w:rFonts w:ascii="仿宋_GB2312" w:eastAsia="仿宋_GB2312" w:hAnsi="仿宋_GB2312" w:cs="仿宋_GB2312"/>
          </w:rPr>
          <w:t>4.1总体要求</w:t>
        </w:r>
        <w:r>
          <w:tab/>
        </w:r>
        <w:r>
          <w:fldChar w:fldCharType="begin"/>
        </w:r>
        <w:r>
          <w:instrText xml:space="preserve"> PAGEREF _Toc256000024 \h </w:instrText>
        </w:r>
        <w:r>
          <w:fldChar w:fldCharType="separate"/>
        </w:r>
        <w:r>
          <w:t>11</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5" w:history="1">
        <w:r>
          <w:rPr>
            <w:rStyle w:val="Hyperlink"/>
            <w:rFonts w:ascii="仿宋_GB2312" w:eastAsia="仿宋_GB2312" w:hAnsi="仿宋_GB2312" w:cs="仿宋_GB2312"/>
          </w:rPr>
          <w:t>4.2管理团队</w:t>
        </w:r>
        <w:r>
          <w:tab/>
        </w:r>
        <w:r>
          <w:fldChar w:fldCharType="begin"/>
        </w:r>
        <w:r>
          <w:instrText xml:space="preserve"> PAGEREF _Toc256000025 \h </w:instrText>
        </w:r>
        <w:r>
          <w:fldChar w:fldCharType="separate"/>
        </w:r>
        <w:r>
          <w:t>11</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6" w:history="1">
        <w:r>
          <w:rPr>
            <w:rStyle w:val="Hyperlink"/>
            <w:rFonts w:ascii="仿宋_GB2312" w:eastAsia="仿宋_GB2312" w:hAnsi="仿宋_GB2312" w:cs="仿宋_GB2312"/>
          </w:rPr>
          <w:t>4.2.1项目经理</w:t>
        </w:r>
        <w:r>
          <w:tab/>
        </w:r>
        <w:r>
          <w:fldChar w:fldCharType="begin"/>
        </w:r>
        <w:r>
          <w:instrText xml:space="preserve"> PAGEREF _Toc256000026 \h </w:instrText>
        </w:r>
        <w:r>
          <w:fldChar w:fldCharType="separate"/>
        </w:r>
        <w:r>
          <w:t>11</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7" w:history="1">
        <w:r>
          <w:rPr>
            <w:rStyle w:val="Hyperlink"/>
            <w:rFonts w:ascii="仿宋_GB2312" w:eastAsia="仿宋_GB2312" w:hAnsi="仿宋_GB2312" w:cs="仿宋_GB2312"/>
          </w:rPr>
          <w:t>4.3技术团队</w:t>
        </w:r>
        <w:r>
          <w:tab/>
        </w:r>
        <w:r>
          <w:fldChar w:fldCharType="begin"/>
        </w:r>
        <w:r>
          <w:instrText xml:space="preserve"> PAGEREF _Toc256000027 \h </w:instrText>
        </w:r>
        <w:r>
          <w:fldChar w:fldCharType="separate"/>
        </w:r>
        <w:r>
          <w:t>12</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8" w:history="1">
        <w:r>
          <w:rPr>
            <w:rStyle w:val="Hyperlink"/>
            <w:rFonts w:ascii="仿宋_GB2312" w:eastAsia="仿宋_GB2312" w:hAnsi="仿宋_GB2312" w:cs="仿宋_GB2312"/>
          </w:rPr>
          <w:t>4.4优选资质/优选指标</w:t>
        </w:r>
        <w:r>
          <w:tab/>
        </w:r>
        <w:r>
          <w:fldChar w:fldCharType="begin"/>
        </w:r>
        <w:r>
          <w:instrText xml:space="preserve"> PAGEREF _Toc256000028 \h </w:instrText>
        </w:r>
        <w:r>
          <w:fldChar w:fldCharType="separate"/>
        </w:r>
        <w:r>
          <w:t>12</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9" w:history="1">
        <w:r>
          <w:rPr>
            <w:rStyle w:val="Hyperlink"/>
            <w:rFonts w:ascii="仿宋_GB2312" w:eastAsia="仿宋_GB2312" w:hAnsi="仿宋_GB2312" w:cs="仿宋_GB2312"/>
            <w:kern w:val="36"/>
          </w:rPr>
          <w:t>5管理实施要求</w:t>
        </w:r>
        <w:r>
          <w:tab/>
        </w:r>
        <w:r>
          <w:fldChar w:fldCharType="begin"/>
        </w:r>
        <w:r>
          <w:instrText xml:space="preserve"> PAGEREF _Toc256000029 \h </w:instrText>
        </w:r>
        <w:r>
          <w:fldChar w:fldCharType="separate"/>
        </w:r>
        <w:r>
          <w:t>12</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0" w:history="1">
        <w:r>
          <w:rPr>
            <w:rStyle w:val="Hyperlink"/>
            <w:rFonts w:ascii="仿宋_GB2312" w:eastAsia="仿宋_GB2312" w:hAnsi="仿宋_GB2312" w:cs="仿宋_GB2312"/>
            <w:kern w:val="36"/>
          </w:rPr>
          <w:t>6保密要求</w:t>
        </w:r>
        <w:r>
          <w:tab/>
        </w:r>
        <w:r>
          <w:fldChar w:fldCharType="begin"/>
        </w:r>
        <w:r>
          <w:instrText xml:space="preserve"> PAGEREF _Toc256000030 \h </w:instrText>
        </w:r>
        <w:r>
          <w:fldChar w:fldCharType="separate"/>
        </w:r>
        <w:r>
          <w:t>12</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1" w:history="1">
        <w:r>
          <w:rPr>
            <w:rStyle w:val="Hyperlink"/>
            <w:rFonts w:ascii="仿宋_GB2312" w:eastAsia="仿宋_GB2312" w:hAnsi="仿宋_GB2312" w:cs="仿宋_GB2312"/>
            <w:kern w:val="36"/>
          </w:rPr>
          <w:t>7知识转移要求</w:t>
        </w:r>
        <w:r>
          <w:tab/>
        </w:r>
        <w:r>
          <w:fldChar w:fldCharType="begin"/>
        </w:r>
        <w:r>
          <w:instrText xml:space="preserve"> PAGEREF _Toc256000031 \h </w:instrText>
        </w:r>
        <w:r>
          <w:fldChar w:fldCharType="separate"/>
        </w:r>
        <w:r>
          <w:t>13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2" w:history="1">
        <w:r>
          <w:rPr>
            <w:rStyle w:val="Hyperlink"/>
            <w:rFonts w:ascii="仿宋_GB2312" w:eastAsia="仿宋_GB2312" w:hAnsi="仿宋_GB2312" w:cs="仿宋_GB2312"/>
            <w:kern w:val="36"/>
          </w:rPr>
          <w:t>8风险管控要求</w:t>
        </w:r>
        <w:r>
          <w:tab/>
        </w:r>
        <w:r>
          <w:fldChar w:fldCharType="begin"/>
        </w:r>
        <w:r>
          <w:instrText xml:space="preserve"> PAGEREF _Toc256000032 \h </w:instrText>
        </w:r>
        <w:r>
          <w:fldChar w:fldCharType="separate"/>
        </w:r>
        <w:r>
          <w:t>13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3" w:history="1">
        <w:r>
          <w:rPr>
            <w:rStyle w:val="Hyperlink"/>
            <w:rFonts w:ascii="仿宋_GB2312" w:eastAsia="仿宋_GB2312" w:hAnsi="仿宋_GB2312" w:cs="仿宋_GB2312"/>
            <w:kern w:val="36"/>
          </w:rPr>
          <w:t>9履约验收要求</w:t>
        </w:r>
        <w:r>
          <w:tab/>
        </w:r>
        <w:r>
          <w:fldChar w:fldCharType="begin"/>
        </w:r>
        <w:r>
          <w:instrText xml:space="preserve"> PAGEREF _Toc256000033 \h </w:instrText>
        </w:r>
        <w:r>
          <w:fldChar w:fldCharType="separate"/>
        </w:r>
        <w:r>
          <w:t>13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4" w:history="1">
        <w:r>
          <w:rPr>
            <w:rStyle w:val="Hyperlink"/>
            <w:rFonts w:ascii="仿宋_GB2312" w:eastAsia="仿宋_GB2312" w:hAnsi="仿宋_GB2312" w:cs="仿宋_GB2312"/>
          </w:rPr>
          <w:t>9.1总体要求</w:t>
        </w:r>
        <w:r>
          <w:tab/>
        </w:r>
        <w:r>
          <w:fldChar w:fldCharType="begin"/>
        </w:r>
        <w:r>
          <w:instrText xml:space="preserve"> PAGEREF _Toc256000034 \h </w:instrText>
        </w:r>
        <w:r>
          <w:fldChar w:fldCharType="separate"/>
        </w:r>
        <w:r>
          <w:t>13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5" w:history="1">
        <w:r>
          <w:rPr>
            <w:rStyle w:val="Hyperlink"/>
            <w:rFonts w:ascii="仿宋_GB2312" w:eastAsia="仿宋_GB2312" w:hAnsi="仿宋_GB2312" w:cs="仿宋_GB2312"/>
          </w:rPr>
          <w:t>9.2具体要求</w:t>
        </w:r>
        <w:r>
          <w:tab/>
        </w:r>
        <w:r>
          <w:fldChar w:fldCharType="begin"/>
        </w:r>
        <w:r>
          <w:instrText xml:space="preserve"> PAGEREF _Toc256000035 \h </w:instrText>
        </w:r>
        <w:r>
          <w:fldChar w:fldCharType="separate"/>
        </w:r>
        <w:r>
          <w:t>14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6" w:history="1">
        <w:r>
          <w:rPr>
            <w:rStyle w:val="Hyperlink"/>
            <w:rFonts w:ascii="仿宋_GB2312" w:eastAsia="仿宋_GB2312" w:hAnsi="仿宋_GB2312" w:cs="仿宋_GB2312"/>
            <w:kern w:val="36"/>
          </w:rPr>
          <w:t>10其他要求</w:t>
        </w:r>
        <w:r>
          <w:tab/>
        </w:r>
        <w:r>
          <w:fldChar w:fldCharType="begin"/>
        </w:r>
        <w:r>
          <w:instrText xml:space="preserve"> PAGEREF _Toc256000036 \h </w:instrText>
        </w:r>
        <w:r>
          <w:fldChar w:fldCharType="separate"/>
        </w:r>
        <w:r>
          <w:t>15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7" w:history="1">
        <w:r>
          <w:rPr>
            <w:rStyle w:val="Hyperlink"/>
            <w:rFonts w:ascii="仿宋_GB2312" w:eastAsia="仿宋_GB2312" w:hAnsi="仿宋_GB2312" w:cs="仿宋_GB2312"/>
          </w:rPr>
          <w:t>10.1必备要求</w:t>
        </w:r>
        <w:r>
          <w:tab/>
        </w:r>
        <w:r>
          <w:fldChar w:fldCharType="begin"/>
        </w:r>
        <w:r>
          <w:instrText xml:space="preserve"> PAGEREF _Toc256000037 \h </w:instrText>
        </w:r>
        <w:r>
          <w:fldChar w:fldCharType="separate"/>
        </w:r>
        <w:r>
          <w:t>15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8" w:history="1">
        <w:r>
          <w:rPr>
            <w:rStyle w:val="Hyperlink"/>
            <w:rFonts w:ascii="仿宋_GB2312" w:eastAsia="仿宋_GB2312" w:hAnsi="仿宋_GB2312" w:cs="仿宋_GB2312"/>
          </w:rPr>
          <w:t>10.1.1★税收信息化项目开发和应用管理工作要求</w:t>
        </w:r>
        <w:r>
          <w:tab/>
        </w:r>
        <w:r>
          <w:fldChar w:fldCharType="begin"/>
        </w:r>
        <w:r>
          <w:instrText xml:space="preserve"> PAGEREF _Toc256000038 \h </w:instrText>
        </w:r>
        <w:r>
          <w:fldChar w:fldCharType="separate"/>
        </w:r>
        <w:r>
          <w:t>15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9" w:history="1">
        <w:r>
          <w:rPr>
            <w:rStyle w:val="Hyperlink"/>
            <w:rFonts w:ascii="仿宋_GB2312" w:eastAsia="仿宋_GB2312" w:hAnsi="仿宋_GB2312" w:cs="仿宋_GB2312"/>
          </w:rPr>
          <w:t>10.1.2★税收信息化项目廉政要求</w:t>
        </w:r>
        <w:r>
          <w:tab/>
        </w:r>
        <w:r>
          <w:fldChar w:fldCharType="begin"/>
        </w:r>
        <w:r>
          <w:instrText xml:space="preserve"> PAGEREF _Toc256000039 \h </w:instrText>
        </w:r>
        <w:r>
          <w:fldChar w:fldCharType="separate"/>
        </w:r>
        <w:r>
          <w:t>15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0" w:history="1">
        <w:r>
          <w:rPr>
            <w:rStyle w:val="Hyperlink"/>
            <w:rFonts w:ascii="仿宋_GB2312" w:eastAsia="仿宋_GB2312" w:hAnsi="仿宋_GB2312" w:cs="仿宋_GB2312"/>
          </w:rPr>
          <w:t>10.1.3★供应链安全管理要求</w:t>
        </w:r>
        <w:r>
          <w:tab/>
        </w:r>
        <w:r>
          <w:fldChar w:fldCharType="begin"/>
        </w:r>
        <w:r>
          <w:instrText xml:space="preserve"> PAGEREF _Toc256000040 \h </w:instrText>
        </w:r>
        <w:r>
          <w:fldChar w:fldCharType="separate"/>
        </w:r>
        <w:r>
          <w:t>18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1" w:history="1">
        <w:r>
          <w:rPr>
            <w:rStyle w:val="Hyperlink"/>
            <w:rFonts w:ascii="仿宋_GB2312" w:eastAsia="仿宋_GB2312" w:hAnsi="仿宋_GB2312" w:cs="仿宋_GB2312"/>
          </w:rPr>
          <w:t>10.1.4★信息化服务运维人员要求</w:t>
        </w:r>
        <w:r>
          <w:tab/>
        </w:r>
        <w:r>
          <w:fldChar w:fldCharType="begin"/>
        </w:r>
        <w:r>
          <w:instrText xml:space="preserve"> PAGEREF _Toc256000041 \h </w:instrText>
        </w:r>
        <w:r>
          <w:fldChar w:fldCharType="separate"/>
        </w:r>
        <w:r>
          <w:t>21</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2" w:history="1">
        <w:r>
          <w:rPr>
            <w:rStyle w:val="Hyperlink"/>
            <w:rFonts w:ascii="仿宋_GB2312" w:eastAsia="仿宋_GB2312" w:hAnsi="仿宋_GB2312" w:cs="仿宋_GB2312"/>
          </w:rPr>
          <w:t>10.1.5其他</w:t>
        </w:r>
        <w:r>
          <w:tab/>
        </w:r>
        <w:r>
          <w:fldChar w:fldCharType="begin"/>
        </w:r>
        <w:r>
          <w:instrText xml:space="preserve"> PAGEREF _Toc256000042 \h </w:instrText>
        </w:r>
        <w:r>
          <w:fldChar w:fldCharType="separate"/>
        </w:r>
        <w:r>
          <w:t>21</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3" w:history="1">
        <w:r>
          <w:rPr>
            <w:rStyle w:val="Hyperlink"/>
            <w:rFonts w:ascii="仿宋_GB2312" w:eastAsia="仿宋_GB2312" w:hAnsi="仿宋_GB2312" w:cs="仿宋_GB2312"/>
          </w:rPr>
          <w:t>10.2知识产权要求</w:t>
        </w:r>
        <w:r>
          <w:tab/>
        </w:r>
        <w:r>
          <w:fldChar w:fldCharType="begin"/>
        </w:r>
        <w:r>
          <w:instrText xml:space="preserve"> PAGEREF _Toc256000043 \h </w:instrText>
        </w:r>
        <w:r>
          <w:fldChar w:fldCharType="separate"/>
        </w:r>
        <w:r>
          <w:t>21</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4" w:history="1">
        <w:r>
          <w:rPr>
            <w:rStyle w:val="Hyperlink"/>
            <w:rFonts w:ascii="仿宋_GB2312" w:eastAsia="仿宋_GB2312" w:hAnsi="仿宋_GB2312" w:cs="仿宋_GB2312"/>
          </w:rPr>
          <w:t>10.3付款安排建议</w:t>
        </w:r>
        <w:r>
          <w:tab/>
        </w:r>
        <w:r>
          <w:fldChar w:fldCharType="begin"/>
        </w:r>
        <w:r>
          <w:instrText xml:space="preserve"> PAGEREF _Toc256000044 \h </w:instrText>
        </w:r>
        <w:r>
          <w:fldChar w:fldCharType="separate"/>
        </w:r>
        <w:r>
          <w:t>22</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5" w:history="1">
        <w:r>
          <w:rPr>
            <w:rStyle w:val="Hyperlink"/>
            <w:rFonts w:ascii="仿宋_GB2312" w:eastAsia="仿宋_GB2312" w:hAnsi="仿宋_GB2312" w:cs="仿宋_GB2312"/>
          </w:rPr>
          <w:t>10.4其他</w:t>
        </w:r>
        <w:r>
          <w:tab/>
        </w:r>
        <w:r>
          <w:fldChar w:fldCharType="begin"/>
        </w:r>
        <w:r>
          <w:instrText xml:space="preserve"> PAGEREF _Toc256000045 \h </w:instrText>
        </w:r>
        <w:r>
          <w:fldChar w:fldCharType="separate"/>
        </w:r>
        <w:r>
          <w:t>22</w:t>
        </w:r>
        <w:r>
          <w:fldChar w:fldCharType="end"/>
        </w:r>
      </w:hyperlink>
    </w:p>
    <w:p>
      <w:pPr>
        <w:pStyle w:val="Normal0"/>
        <w:spacing w:before="0" w:after="0" w:line="360" w:lineRule="auto"/>
        <w:jc w:val="left"/>
      </w:pPr>
      <w:r w:rsidR="00A77B3E">
        <w:rPr>
          <w:rFonts w:ascii="SimSun" w:eastAsia="SimSun" w:hAnsi="SimSun" w:cs="SimSun"/>
          <w:sz w:val="32"/>
        </w:rPr>
        <w:fldChar w:fldCharType="end"/>
      </w:r>
      <w:r>
        <w:br w:type="page"/>
      </w:r>
    </w:p>
    <w:p>
      <w:pPr>
        <w:pStyle w:val="Heading10"/>
        <w:keepNext w:val="0"/>
        <w:spacing w:before="0" w:after="0" w:line="360" w:lineRule="auto"/>
        <w:jc w:val="center"/>
        <w:rPr>
          <w:rFonts w:ascii="仿宋_GB2312" w:eastAsia="仿宋_GB2312" w:hAnsi="仿宋_GB2312" w:cs="仿宋_GB2312"/>
          <w:b/>
          <w:bCs/>
          <w:sz w:val="32"/>
          <w:szCs w:val="32"/>
        </w:rPr>
      </w:pPr>
      <w:bookmarkStart w:id="4" w:name="_Toc256000000"/>
      <w:r>
        <w:rPr>
          <w:rFonts w:ascii="仿宋_GB2312" w:eastAsia="仿宋_GB2312" w:hAnsi="仿宋_GB2312" w:cs="仿宋_GB2312"/>
          <w:kern w:val="36"/>
        </w:rPr>
        <w:t>1项目概述</w:t>
      </w:r>
      <w:bookmarkEnd w:id="4"/>
    </w:p>
    <w:p>
      <w:pPr>
        <w:pStyle w:val="Heading20"/>
        <w:keepNext w:val="0"/>
        <w:spacing w:before="0" w:after="0" w:line="360" w:lineRule="auto"/>
        <w:rPr>
          <w:rFonts w:ascii="仿宋_GB2312" w:eastAsia="仿宋_GB2312" w:hAnsi="仿宋_GB2312" w:cs="仿宋_GB2312"/>
          <w:b/>
          <w:bCs/>
          <w:sz w:val="28"/>
          <w:szCs w:val="28"/>
        </w:rPr>
      </w:pPr>
      <w:bookmarkStart w:id="5" w:name="_Toc256000001"/>
      <w:r>
        <w:rPr>
          <w:rFonts w:ascii="仿宋_GB2312" w:eastAsia="仿宋_GB2312" w:hAnsi="仿宋_GB2312" w:cs="仿宋_GB2312"/>
          <w:i w:val="0"/>
          <w:iCs w:val="0"/>
        </w:rPr>
        <w:t>1.1项目背景</w:t>
      </w:r>
      <w:bookmarkEnd w:id="5"/>
    </w:p>
    <w:p>
      <w:pPr>
        <w:pStyle w:val="Heading30"/>
        <w:keepNext w:val="0"/>
        <w:spacing w:before="0" w:after="0" w:line="360" w:lineRule="auto"/>
        <w:rPr>
          <w:rFonts w:ascii="仿宋_GB2312" w:eastAsia="仿宋_GB2312" w:hAnsi="仿宋_GB2312" w:cs="仿宋_GB2312"/>
          <w:b/>
          <w:bCs/>
          <w:sz w:val="28"/>
          <w:szCs w:val="28"/>
        </w:rPr>
      </w:pPr>
      <w:bookmarkStart w:id="6" w:name="_Toc256000002"/>
      <w:r>
        <w:rPr>
          <w:rFonts w:ascii="仿宋_GB2312" w:eastAsia="仿宋_GB2312" w:hAnsi="仿宋_GB2312" w:cs="仿宋_GB2312"/>
          <w:sz w:val="28"/>
          <w:szCs w:val="28"/>
        </w:rPr>
        <w:t>1.1.1项目目的、意义及背景</w:t>
      </w:r>
      <w:bookmarkEnd w:id="6"/>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减税降费风险提醒平台自上线运行至今，有效发挥了风险提醒平台服务业务工作、方便基层和服务基层的作用。系统目前已升级为</w:t>
      </w:r>
      <w:r>
        <w:rPr>
          <w:rFonts w:ascii="仿宋_GB2312" w:eastAsia="仿宋_GB2312" w:hAnsi="仿宋_GB2312" w:cs="仿宋_GB2312"/>
          <w:sz w:val="28"/>
          <w:szCs w:val="28"/>
        </w:rPr>
        <w:t>3.0版本的退税减税政策大数据监控平台（以下简称退税减税监控平台），根据各业务处室（财行处、资环处、非税处、货劳处、收规处、企业所得税处、个人所得税处、征管和科技发展处等部门）日常监控指标管理需要，退税减税监控平台需要针对新增的96项指标进行分析、加载，以及完善监控指标数据展示功能。</w:t>
      </w:r>
    </w:p>
    <w:p>
      <w:pPr>
        <w:pStyle w:val="Heading20"/>
        <w:keepNext w:val="0"/>
        <w:spacing w:before="0" w:after="0" w:line="360" w:lineRule="auto"/>
        <w:rPr>
          <w:rFonts w:ascii="仿宋_GB2312" w:eastAsia="仿宋_GB2312" w:hAnsi="仿宋_GB2312" w:cs="仿宋_GB2312"/>
          <w:b/>
          <w:bCs/>
          <w:sz w:val="28"/>
          <w:szCs w:val="28"/>
        </w:rPr>
      </w:pPr>
      <w:bookmarkStart w:id="7" w:name="_Toc256000003"/>
      <w:r>
        <w:rPr>
          <w:rFonts w:ascii="仿宋_GB2312" w:eastAsia="仿宋_GB2312" w:hAnsi="仿宋_GB2312" w:cs="仿宋_GB2312"/>
          <w:i w:val="0"/>
          <w:iCs w:val="0"/>
        </w:rPr>
        <w:t>1.2项目内容</w:t>
      </w:r>
      <w:bookmarkEnd w:id="7"/>
    </w:p>
    <w:p>
      <w:pPr>
        <w:pStyle w:val="Heading30"/>
        <w:keepNext w:val="0"/>
        <w:spacing w:before="0" w:after="0" w:line="360" w:lineRule="auto"/>
        <w:rPr>
          <w:rFonts w:ascii="仿宋_GB2312" w:eastAsia="仿宋_GB2312" w:hAnsi="仿宋_GB2312" w:cs="仿宋_GB2312"/>
          <w:b/>
          <w:bCs/>
          <w:sz w:val="28"/>
          <w:szCs w:val="28"/>
        </w:rPr>
      </w:pPr>
      <w:bookmarkStart w:id="8" w:name="_Toc256000004"/>
      <w:r>
        <w:rPr>
          <w:rFonts w:ascii="仿宋_GB2312" w:eastAsia="仿宋_GB2312" w:hAnsi="仿宋_GB2312" w:cs="仿宋_GB2312"/>
          <w:sz w:val="28"/>
          <w:szCs w:val="28"/>
        </w:rPr>
        <w:t>1.2.1项目建设思路</w:t>
      </w:r>
      <w:bookmarkEnd w:id="8"/>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完成退税减税政策大数据监控平台的指标升级改造。</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按照吉林新税务局各业务处室对各项税费指标的日常监控工作要求，完成新增指标的分析、数据展示，以及功能增设工作，持续发挥退税减税监控平台提醒管理风险和防范管理风险的作用。</w:t>
      </w:r>
    </w:p>
    <w:p>
      <w:pPr>
        <w:pStyle w:val="Heading30"/>
        <w:keepNext w:val="0"/>
        <w:spacing w:before="0" w:after="0" w:line="360" w:lineRule="auto"/>
        <w:rPr>
          <w:rFonts w:ascii="仿宋_GB2312" w:eastAsia="仿宋_GB2312" w:hAnsi="仿宋_GB2312" w:cs="仿宋_GB2312"/>
          <w:b/>
          <w:bCs/>
          <w:sz w:val="28"/>
          <w:szCs w:val="28"/>
        </w:rPr>
      </w:pPr>
      <w:bookmarkStart w:id="9" w:name="_Toc256000005"/>
      <w:r>
        <w:rPr>
          <w:rFonts w:ascii="仿宋_GB2312" w:eastAsia="仿宋_GB2312" w:hAnsi="仿宋_GB2312" w:cs="仿宋_GB2312"/>
          <w:sz w:val="28"/>
          <w:szCs w:val="28"/>
        </w:rPr>
        <w:t>1.2.2采购内容</w:t>
      </w:r>
      <w:bookmarkEnd w:id="9"/>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监控指标分析工作，完成系统新增的</w:t>
      </w:r>
      <w:r>
        <w:rPr>
          <w:rFonts w:ascii="仿宋_GB2312" w:eastAsia="仿宋_GB2312" w:hAnsi="仿宋_GB2312" w:cs="仿宋_GB2312"/>
          <w:sz w:val="28"/>
          <w:szCs w:val="28"/>
        </w:rPr>
        <w:t>96项监控指标的分析工作。包括：监控指标的数据加工、汇算、指标加载、数据同步、数据检验等工作。</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优化指标展示菜单及相关查询统计功能，升级优化、现运行的实时数据分析展示平台，涵盖省局各业务处室关心的核心指标的多维度展示以及数据分析。</w:t>
      </w:r>
    </w:p>
    <w:p>
      <w:pPr>
        <w:pStyle w:val="Heading30"/>
        <w:keepNext w:val="0"/>
        <w:spacing w:before="0" w:after="0" w:line="360" w:lineRule="auto"/>
        <w:rPr>
          <w:rFonts w:ascii="仿宋_GB2312" w:eastAsia="仿宋_GB2312" w:hAnsi="仿宋_GB2312" w:cs="仿宋_GB2312"/>
          <w:b/>
          <w:bCs/>
          <w:sz w:val="28"/>
          <w:szCs w:val="28"/>
        </w:rPr>
      </w:pPr>
      <w:bookmarkStart w:id="10" w:name="_Toc256000006"/>
      <w:r>
        <w:rPr>
          <w:rFonts w:ascii="仿宋_GB2312" w:eastAsia="仿宋_GB2312" w:hAnsi="仿宋_GB2312" w:cs="仿宋_GB2312"/>
          <w:sz w:val="28"/>
          <w:szCs w:val="28"/>
        </w:rPr>
        <w:t>1.2.3项目实施要求</w:t>
      </w:r>
      <w:bookmarkEnd w:id="10"/>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1.2.3.1实施范围要求</w:t>
      </w:r>
    </w:p>
    <w:p>
      <w:pPr>
        <w:pStyle w:val="150"/>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32"/>
          <w:szCs w:val="32"/>
        </w:rPr>
        <w:t>    </w:t>
      </w:r>
      <w:r>
        <w:rPr>
          <w:rFonts w:ascii="仿宋_GB2312" w:eastAsia="仿宋_GB2312" w:hAnsi="仿宋_GB2312" w:cs="仿宋_GB2312"/>
          <w:sz w:val="28"/>
          <w:szCs w:val="28"/>
        </w:rPr>
        <w:t>本次需建设的全部功能的开发上线。系统升级改造要求</w:t>
      </w:r>
      <w:r>
        <w:rPr>
          <w:rFonts w:ascii="仿宋_GB2312" w:eastAsia="仿宋_GB2312" w:hAnsi="仿宋_GB2312" w:cs="仿宋_GB2312"/>
          <w:sz w:val="28"/>
          <w:szCs w:val="28"/>
        </w:rPr>
        <w:t>3个月内完成项目实施上线及项目终验，包括需求分析、概要设计、代码开发、软件测试、上线部署实施、验收等阶段。</w:t>
      </w:r>
    </w:p>
    <w:p>
      <w:pPr>
        <w:pStyle w:val="150"/>
        <w:spacing w:before="0" w:after="0" w:line="360" w:lineRule="auto"/>
        <w:ind w:left="0" w:right="0"/>
        <w:rPr>
          <w:rFonts w:ascii="Times New Roman" w:eastAsia="Times New Roman" w:hAnsi="Times New Roman" w:cs="Times New Roman"/>
        </w:rPr>
      </w:pPr>
      <w:r>
        <w:rPr>
          <w:rFonts w:ascii="Times New Roman" w:eastAsia="Times New Roman" w:hAnsi="Times New Roman" w:cs="Times New Roman"/>
        </w:rPr>
        <w:t> </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1.2.3.2实施时间要求</w:t>
      </w:r>
    </w:p>
    <w:p>
      <w:pPr>
        <w:pStyle w:val="150"/>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自合同签订之日起</w:t>
      </w:r>
      <w:r>
        <w:rPr>
          <w:rFonts w:ascii="仿宋_GB2312" w:eastAsia="仿宋_GB2312" w:hAnsi="仿宋_GB2312" w:cs="仿宋_GB2312"/>
          <w:sz w:val="28"/>
          <w:szCs w:val="28"/>
        </w:rPr>
        <w:t>，</w:t>
      </w:r>
      <w:r>
        <w:rPr>
          <w:rFonts w:ascii="仿宋_GB2312" w:eastAsia="仿宋_GB2312" w:hAnsi="仿宋_GB2312" w:cs="仿宋_GB2312"/>
          <w:sz w:val="28"/>
          <w:szCs w:val="28"/>
        </w:rPr>
        <w:t>3个月内</w:t>
      </w:r>
      <w:r>
        <w:rPr>
          <w:rFonts w:ascii="仿宋_GB2312" w:eastAsia="仿宋_GB2312" w:hAnsi="仿宋_GB2312" w:cs="仿宋_GB2312"/>
          <w:sz w:val="28"/>
          <w:szCs w:val="28"/>
        </w:rPr>
        <w:t>完成</w:t>
      </w:r>
      <w:r>
        <w:rPr>
          <w:rFonts w:ascii="仿宋_GB2312" w:eastAsia="仿宋_GB2312" w:hAnsi="仿宋_GB2312" w:cs="仿宋_GB2312"/>
          <w:sz w:val="28"/>
          <w:szCs w:val="28"/>
        </w:rPr>
        <w:t>。</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1.2.3.3实施地点要求</w:t>
      </w:r>
    </w:p>
    <w:p>
      <w:pPr>
        <w:pStyle w:val="MsoNormal"/>
        <w:spacing w:before="0" w:after="0" w:line="360" w:lineRule="auto"/>
        <w:ind w:left="0" w:right="0"/>
      </w:pPr>
      <w:r>
        <w:rPr>
          <w:rFonts w:ascii="仿宋_GB2312" w:eastAsia="仿宋_GB2312" w:hAnsi="仿宋_GB2312" w:cs="仿宋_GB2312"/>
          <w:sz w:val="28"/>
          <w:szCs w:val="28"/>
        </w:rPr>
        <w:t>    国家税务总局吉林省税务局。</w:t>
      </w:r>
    </w:p>
    <w:p>
      <w:pPr>
        <w:pStyle w:val="Heading30"/>
        <w:keepNext w:val="0"/>
        <w:spacing w:before="0" w:after="0" w:line="360" w:lineRule="auto"/>
        <w:rPr>
          <w:rFonts w:ascii="仿宋_GB2312" w:eastAsia="仿宋_GB2312" w:hAnsi="仿宋_GB2312" w:cs="仿宋_GB2312"/>
          <w:b/>
          <w:bCs/>
          <w:sz w:val="28"/>
          <w:szCs w:val="28"/>
        </w:rPr>
      </w:pPr>
      <w:bookmarkStart w:id="11" w:name="_Toc256000007"/>
      <w:r>
        <w:rPr>
          <w:rFonts w:ascii="仿宋_GB2312" w:eastAsia="仿宋_GB2312" w:hAnsi="仿宋_GB2312" w:cs="仿宋_GB2312"/>
          <w:sz w:val="28"/>
          <w:szCs w:val="28"/>
        </w:rPr>
        <w:t>1.2.4系统情况</w:t>
      </w:r>
      <w:bookmarkEnd w:id="11"/>
    </w:p>
    <w:p>
      <w:pPr>
        <w:pStyle w:val="Normal0"/>
        <w:spacing w:before="0" w:after="0" w:line="360" w:lineRule="auto"/>
        <w:rPr>
          <w:rFonts w:ascii="Times New Roman" w:eastAsia="Times New Roman" w:hAnsi="Times New Roman" w:cs="Times New Roman"/>
        </w:rPr>
      </w:pPr>
      <w:r>
        <w:rPr>
          <w:rFonts w:ascii="Times New Roman" w:eastAsia="Times New Roman" w:hAnsi="Times New Roman" w:cs="Times New Roman"/>
          <w:sz w:val="32"/>
          <w:szCs w:val="32"/>
        </w:rPr>
        <w:t>  </w:t>
      </w:r>
      <w:r>
        <w:rPr>
          <w:rFonts w:ascii="Times New Roman" w:eastAsia="Times New Roman" w:hAnsi="Times New Roman" w:cs="Times New Roman"/>
          <w:sz w:val="32"/>
          <w:szCs w:val="32"/>
        </w:rPr>
        <w:t xml:space="preserve">  </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1.2.4.1现有软件系统的主要功能</w:t>
      </w:r>
    </w:p>
    <w:p>
      <w:pPr>
        <w:pStyle w:val="Normal0"/>
        <w:spacing w:before="0" w:after="0" w:line="360" w:lineRule="auto"/>
        <w:rPr>
          <w:rFonts w:ascii="Times New Roman" w:eastAsia="Times New Roman" w:hAnsi="Times New Roman" w:cs="Times New Roman"/>
        </w:rPr>
      </w:pPr>
      <w:r>
        <w:rPr>
          <w:rFonts w:ascii="Times New Roman" w:eastAsia="Times New Roman" w:hAnsi="Times New Roman" w:cs="Times New Roman"/>
          <w:sz w:val="32"/>
          <w:szCs w:val="32"/>
        </w:rPr>
        <w:t>    </w:t>
      </w:r>
      <w:r>
        <w:rPr>
          <w:rFonts w:ascii="仿宋_GB2312" w:eastAsia="仿宋_GB2312" w:hAnsi="仿宋_GB2312" w:cs="仿宋_GB2312"/>
          <w:sz w:val="28"/>
          <w:szCs w:val="28"/>
        </w:rPr>
        <w:t>覆盖</w:t>
      </w:r>
      <w:r>
        <w:rPr>
          <w:rFonts w:ascii="仿宋_GB2312" w:eastAsia="仿宋_GB2312" w:hAnsi="仿宋_GB2312" w:cs="仿宋_GB2312"/>
          <w:sz w:val="28"/>
          <w:szCs w:val="28"/>
        </w:rPr>
        <w:t>2019年以来的税费优惠政策，通过扫描全省纳税申报、税费减免、税费退抵税等数据，重点查找纳税人可能存在应享未享的情况作为疑点数据向全省税务机关进行提醒展示。对纳税人应享未享税收优惠政策疑点，提供手工勾选处理选项，税务人员将疑点查实后，为纳税人履行退税手续。另外，还包括：待办事项提醒及预警。税务人员日常限时办结的退抵税业务，提供手工勾选处理选项，并在指标规定办结时间5日内，进行预警及提醒，以控管税务人员按期办结退税流程。模块的退税减税政策大数据监控，分为驾驶舱展示总体数据统计、减税降费处理预警图、分地区统计、分税种统计、即将到期未办结指标提醒、税费支持政策文件、疑点数据处理结果分析、月份趋势图，共计8项大屏展示功能栏目。大屏中的各类图表统计页面，提供数据下钻功能，可逐级下钻定位到具体某户纳税人，查看基层人员对疑点数据的处理情况。</w:t>
      </w:r>
    </w:p>
    <w:p>
      <w:pPr>
        <w:pStyle w:val="MsoNormal"/>
        <w:spacing w:before="0" w:after="0" w:line="360" w:lineRule="auto"/>
        <w:ind w:firstLine="640"/>
        <w:jc w:val="both"/>
        <w:rPr>
          <w:rFonts w:ascii="Times New Roman" w:eastAsia="Times New Roman" w:hAnsi="Times New Roman" w:cs="Times New Roman"/>
        </w:rPr>
      </w:pPr>
      <w:r>
        <w:rPr>
          <w:rFonts w:ascii="Times New Roman" w:eastAsia="Times New Roman" w:hAnsi="Times New Roman" w:cs="Times New Roman"/>
        </w:rPr>
        <w:t> </w:t>
      </w:r>
    </w:p>
    <w:p>
      <w:pPr>
        <w:pStyle w:val="Heading10"/>
        <w:keepNext w:val="0"/>
        <w:spacing w:before="0" w:after="0" w:line="360" w:lineRule="auto"/>
        <w:jc w:val="center"/>
        <w:rPr>
          <w:rFonts w:ascii="仿宋_GB2312" w:eastAsia="仿宋_GB2312" w:hAnsi="仿宋_GB2312" w:cs="仿宋_GB2312"/>
          <w:b/>
          <w:bCs/>
          <w:sz w:val="32"/>
          <w:szCs w:val="32"/>
        </w:rPr>
      </w:pPr>
      <w:bookmarkStart w:id="12" w:name="_Toc256000008"/>
      <w:r>
        <w:rPr>
          <w:rFonts w:ascii="仿宋_GB2312" w:eastAsia="仿宋_GB2312" w:hAnsi="仿宋_GB2312" w:cs="仿宋_GB2312"/>
          <w:kern w:val="36"/>
        </w:rPr>
        <w:t>2投标/响应要求</w:t>
      </w:r>
      <w:bookmarkEnd w:id="12"/>
    </w:p>
    <w:p>
      <w:pPr>
        <w:pStyle w:val="Heading20"/>
        <w:keepNext w:val="0"/>
        <w:spacing w:before="0" w:after="0" w:line="360" w:lineRule="auto"/>
        <w:rPr>
          <w:rFonts w:ascii="仿宋_GB2312" w:eastAsia="仿宋_GB2312" w:hAnsi="仿宋_GB2312" w:cs="仿宋_GB2312"/>
          <w:b/>
          <w:bCs/>
          <w:sz w:val="28"/>
          <w:szCs w:val="28"/>
        </w:rPr>
      </w:pPr>
      <w:bookmarkStart w:id="13" w:name="_Toc256000009"/>
      <w:r>
        <w:rPr>
          <w:rFonts w:ascii="仿宋_GB2312" w:eastAsia="仿宋_GB2312" w:hAnsi="仿宋_GB2312" w:cs="仿宋_GB2312"/>
          <w:i w:val="0"/>
          <w:iCs w:val="0"/>
        </w:rPr>
        <w:t>2.1对供应商的要求</w:t>
      </w:r>
      <w:bookmarkEnd w:id="13"/>
    </w:p>
    <w:p>
      <w:pPr>
        <w:pStyle w:val="Heading30"/>
        <w:keepNext w:val="0"/>
        <w:spacing w:before="0" w:after="0" w:line="360" w:lineRule="auto"/>
        <w:rPr>
          <w:rFonts w:ascii="仿宋_GB2312" w:eastAsia="仿宋_GB2312" w:hAnsi="仿宋_GB2312" w:cs="仿宋_GB2312"/>
          <w:b/>
          <w:bCs/>
          <w:sz w:val="28"/>
          <w:szCs w:val="28"/>
        </w:rPr>
      </w:pPr>
      <w:bookmarkStart w:id="14" w:name="_Toc256000010"/>
      <w:r>
        <w:rPr>
          <w:rFonts w:ascii="仿宋_GB2312" w:eastAsia="仿宋_GB2312" w:hAnsi="仿宋_GB2312" w:cs="仿宋_GB2312"/>
          <w:sz w:val="28"/>
          <w:szCs w:val="28"/>
        </w:rPr>
        <w:t>2.1.1必备资质</w:t>
      </w:r>
      <w:bookmarkEnd w:id="14"/>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2.1.1.2本项目的特定资格要求</w:t>
      </w:r>
    </w:p>
    <w:p>
      <w:pPr>
        <w:pStyle w:val="150"/>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1）法人或者其他组织的营业执照等证明文件（复印件）；</w:t>
      </w:r>
    </w:p>
    <w:p>
      <w:pPr>
        <w:pStyle w:val="150"/>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2024年度经会计师事务所审计的财务报告，包括资产负债表、利润表(损益表、收益表)、现金流量表、所有者权益变动表及其附注（复印件）；开业不满一年的提供验资报告或银行出具的资信证明或公司成立之日后的财务报表（复印件）；财务报告中要求提供内容为实质性要求条款(即重要条款)，缺少相关资料，在评标时将其视为无效投标；</w:t>
      </w:r>
    </w:p>
    <w:p>
      <w:pPr>
        <w:pStyle w:val="150"/>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3）近6个月并不少于2个月依法缴纳税收的相关材料，如依法免税或不需要纳税的，则应提供相应文件证明（复印件）；</w:t>
      </w:r>
    </w:p>
    <w:p>
      <w:pPr>
        <w:pStyle w:val="150"/>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4）近6个月并不少于2个月依法缴纳社会保障资金的相关材料，如依法不需要缴纳社会保障资金的，则应提供相应文件证明（复印件）；</w:t>
      </w:r>
    </w:p>
    <w:p>
      <w:pPr>
        <w:pStyle w:val="150"/>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5）参加本项目投标前三年内，在经营活动中没有重大违法记录（指供应商因违法经营受到刑事处罚或者责令停产停业、吊销许可证或者执照、较大数额罚款等行政处罚）的书面声明；</w:t>
      </w:r>
      <w:r>
        <w:rPr>
          <w:sz w:val="28"/>
          <w:szCs w:val="28"/>
        </w:rPr>
        <w:t> </w:t>
      </w:r>
    </w:p>
    <w:p>
      <w:pPr>
        <w:pStyle w:val="150"/>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6）具备履行合同所必需的设备和专业技术能力的证明材料(由供应商根据项目需求提供说明材料或者承诺)。</w:t>
      </w:r>
    </w:p>
    <w:p>
      <w:pPr>
        <w:pStyle w:val="Heading30"/>
        <w:keepNext w:val="0"/>
        <w:spacing w:before="0" w:after="0" w:line="360" w:lineRule="auto"/>
        <w:rPr>
          <w:rFonts w:ascii="仿宋_GB2312" w:eastAsia="仿宋_GB2312" w:hAnsi="仿宋_GB2312" w:cs="仿宋_GB2312"/>
          <w:b/>
          <w:bCs/>
          <w:sz w:val="28"/>
          <w:szCs w:val="28"/>
        </w:rPr>
      </w:pPr>
      <w:bookmarkStart w:id="15" w:name="_Toc256000011"/>
      <w:r>
        <w:rPr>
          <w:rFonts w:ascii="仿宋_GB2312" w:eastAsia="仿宋_GB2312" w:hAnsi="仿宋_GB2312" w:cs="仿宋_GB2312"/>
          <w:sz w:val="28"/>
          <w:szCs w:val="28"/>
        </w:rPr>
        <w:t>2.1.2优选资质/优选指标</w:t>
      </w:r>
      <w:bookmarkEnd w:id="15"/>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tbl>
      <w:tblPr>
        <w:tblStyle w:val="TableNormal"/>
        <w:tblW w:w="5000" w:type="pct"/>
        <w:tblInd w:w="30" w:type="dxa"/>
        <w:tblCellMar>
          <w:top w:w="15" w:type="dxa"/>
          <w:left w:w="15" w:type="dxa"/>
          <w:bottom w:w="15" w:type="dxa"/>
          <w:right w:w="15" w:type="dxa"/>
        </w:tblCellMar>
      </w:tblPr>
      <w:tblGrid>
        <w:gridCol w:w="219"/>
        <w:gridCol w:w="1638"/>
        <w:gridCol w:w="7213"/>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备注</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信息安全管理体系认证(ISO/IEC 27001)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 xml:space="preserve">颁发部门：颁发证书的认证机构必需是经过CNCA国家认证监督委员会(认监委)认可的认证机构方可在国内进行审核发证，所有通过认证且合法的证书均可在CNCA的网站上进行查询。 </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相关要求：证书在有效期内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信息技术服务管理体系认证(ISO/IEC 20000)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 xml:space="preserve">颁发部门：颁发证书的认证机构必需是经过CNCA国家认证监督委员会(认监委)认可的认证机构方可在国内进行审核发证，所有通过认证且合法的证书均可在CNCA的网站上进行查询。 </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相关要求：证书在有效期内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质量管理体系认证证书(ISO9001)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 xml:space="preserve">颁发部门：颁发证书的认证机构必需是经过CNCA国家认证监督委员会(认监委)认可的认证机构方可在国内进行审核发证，所有通过认证且合法的证书均可在CNCA的网站上进行查询。 </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相关要求：证书在有效期内</w:t>
            </w:r>
          </w:p>
        </w:tc>
      </w:tr>
    </w:tbl>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2.1.2.2成功案例</w:t>
      </w:r>
    </w:p>
    <w:p>
      <w:pPr>
        <w:pStyle w:val="MsoNormal"/>
        <w:spacing w:before="0" w:after="0" w:line="360" w:lineRule="auto"/>
        <w:ind w:left="0" w:right="0" w:firstLine="480"/>
      </w:pPr>
      <w:r>
        <w:rPr>
          <w:rFonts w:ascii="仿宋_GB2312" w:eastAsia="仿宋_GB2312" w:hAnsi="仿宋_GB2312" w:cs="仿宋_GB2312"/>
          <w:sz w:val="28"/>
          <w:szCs w:val="28"/>
        </w:rPr>
        <w:t>提供</w:t>
      </w:r>
      <w:r>
        <w:rPr>
          <w:rFonts w:ascii="仿宋_GB2312" w:eastAsia="仿宋_GB2312" w:hAnsi="仿宋_GB2312" w:cs="仿宋_GB2312"/>
          <w:sz w:val="28"/>
          <w:szCs w:val="28"/>
        </w:rPr>
        <w:t>2022年1月1日以来（以合同签订日期为准）独立承担实施的相似或类似升级改造项目成功案例。</w:t>
      </w:r>
    </w:p>
    <w:p>
      <w:pPr>
        <w:pStyle w:val="150"/>
        <w:spacing w:before="0" w:after="0" w:line="360" w:lineRule="auto"/>
        <w:ind w:left="0" w:right="0" w:firstLine="0"/>
        <w:rPr>
          <w:rFonts w:ascii="Times New Roman" w:eastAsia="Times New Roman" w:hAnsi="Times New Roman" w:cs="Times New Roman"/>
        </w:rPr>
      </w:pPr>
      <w:r>
        <w:rPr>
          <w:rFonts w:ascii="Times New Roman" w:eastAsia="Times New Roman" w:hAnsi="Times New Roman" w:cs="Times New Roman"/>
        </w:rPr>
        <w:t> </w:t>
      </w:r>
    </w:p>
    <w:p>
      <w:pPr>
        <w:pStyle w:val="Heading30"/>
        <w:keepNext w:val="0"/>
        <w:spacing w:before="0" w:after="0" w:line="360" w:lineRule="auto"/>
        <w:rPr>
          <w:rFonts w:ascii="仿宋_GB2312" w:eastAsia="仿宋_GB2312" w:hAnsi="仿宋_GB2312" w:cs="仿宋_GB2312"/>
          <w:b/>
          <w:bCs/>
          <w:sz w:val="28"/>
          <w:szCs w:val="28"/>
        </w:rPr>
      </w:pPr>
      <w:bookmarkStart w:id="16" w:name="_Toc256000012"/>
      <w:r>
        <w:rPr>
          <w:rFonts w:ascii="仿宋_GB2312" w:eastAsia="仿宋_GB2312" w:hAnsi="仿宋_GB2312" w:cs="仿宋_GB2312"/>
          <w:sz w:val="28"/>
          <w:szCs w:val="28"/>
        </w:rPr>
        <w:t>2.1.3是否允许联合体</w:t>
      </w:r>
      <w:bookmarkEnd w:id="16"/>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0"/>
        <w:keepNext w:val="0"/>
        <w:spacing w:before="0" w:after="0" w:line="360" w:lineRule="auto"/>
        <w:rPr>
          <w:rFonts w:ascii="仿宋_GB2312" w:eastAsia="仿宋_GB2312" w:hAnsi="仿宋_GB2312" w:cs="仿宋_GB2312"/>
          <w:b/>
          <w:bCs/>
          <w:sz w:val="28"/>
          <w:szCs w:val="28"/>
        </w:rPr>
      </w:pPr>
      <w:bookmarkStart w:id="17" w:name="_Toc256000013"/>
      <w:r>
        <w:rPr>
          <w:rFonts w:ascii="仿宋_GB2312" w:eastAsia="仿宋_GB2312" w:hAnsi="仿宋_GB2312" w:cs="仿宋_GB2312"/>
          <w:sz w:val="28"/>
          <w:szCs w:val="28"/>
        </w:rPr>
        <w:t>2.1.4是否专门面向中小企业</w:t>
      </w:r>
      <w:bookmarkEnd w:id="17"/>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本项目专门面向中小企业采购项目</w:t>
      </w:r>
    </w:p>
    <w:p>
      <w:pPr>
        <w:pStyle w:val="Heading30"/>
        <w:keepNext w:val="0"/>
        <w:spacing w:before="0" w:after="0" w:line="360" w:lineRule="auto"/>
        <w:rPr>
          <w:rFonts w:ascii="仿宋_GB2312" w:eastAsia="仿宋_GB2312" w:hAnsi="仿宋_GB2312" w:cs="仿宋_GB2312"/>
          <w:b/>
          <w:bCs/>
          <w:sz w:val="28"/>
          <w:szCs w:val="28"/>
        </w:rPr>
      </w:pPr>
      <w:bookmarkStart w:id="18" w:name="_Toc256000014"/>
      <w:r>
        <w:rPr>
          <w:rFonts w:ascii="仿宋_GB2312" w:eastAsia="仿宋_GB2312" w:hAnsi="仿宋_GB2312" w:cs="仿宋_GB2312"/>
          <w:sz w:val="28"/>
          <w:szCs w:val="28"/>
        </w:rPr>
        <w:t>2.1.5其他要求</w:t>
      </w:r>
      <w:bookmarkEnd w:id="18"/>
    </w:p>
    <w:p>
      <w:pPr>
        <w:pStyle w:val="150"/>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技术力量要求：</w:t>
      </w:r>
    </w:p>
    <w:p>
      <w:pPr>
        <w:pStyle w:val="150"/>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根据各投标人拟投入本项目技术人员定位、岗位职责、合理。</w:t>
      </w:r>
    </w:p>
    <w:p>
      <w:pPr>
        <w:pStyle w:val="150"/>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投标人拟投入本项目技术人员资质、专业程度、工作经验。</w:t>
      </w:r>
    </w:p>
    <w:p>
      <w:pPr>
        <w:pStyle w:val="150"/>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项目经理的工作年限、类似项目管理经验丰富。</w:t>
      </w:r>
    </w:p>
    <w:p>
      <w:pPr>
        <w:pStyle w:val="Heading20"/>
        <w:keepNext w:val="0"/>
        <w:spacing w:before="0" w:after="0" w:line="360" w:lineRule="auto"/>
        <w:rPr>
          <w:rFonts w:ascii="仿宋_GB2312" w:eastAsia="仿宋_GB2312" w:hAnsi="仿宋_GB2312" w:cs="仿宋_GB2312"/>
          <w:b/>
          <w:bCs/>
          <w:sz w:val="28"/>
          <w:szCs w:val="28"/>
        </w:rPr>
      </w:pPr>
      <w:bookmarkStart w:id="19" w:name="_Toc256000015"/>
      <w:r>
        <w:rPr>
          <w:rFonts w:ascii="仿宋_GB2312" w:eastAsia="仿宋_GB2312" w:hAnsi="仿宋_GB2312" w:cs="仿宋_GB2312"/>
          <w:i w:val="0"/>
          <w:iCs w:val="0"/>
        </w:rPr>
        <w:t>2.2技术部分投标/响应内容</w:t>
      </w:r>
      <w:bookmarkEnd w:id="19"/>
    </w:p>
    <w:p>
      <w:pPr>
        <w:pStyle w:val="Heading30"/>
        <w:keepNext w:val="0"/>
        <w:spacing w:before="0" w:after="0" w:line="360" w:lineRule="auto"/>
        <w:rPr>
          <w:rFonts w:ascii="仿宋_GB2312" w:eastAsia="仿宋_GB2312" w:hAnsi="仿宋_GB2312" w:cs="仿宋_GB2312"/>
          <w:b/>
          <w:bCs/>
          <w:sz w:val="28"/>
          <w:szCs w:val="28"/>
        </w:rPr>
      </w:pPr>
      <w:bookmarkStart w:id="20" w:name="_Toc256000016"/>
      <w:r>
        <w:rPr>
          <w:rFonts w:ascii="仿宋_GB2312" w:eastAsia="仿宋_GB2312" w:hAnsi="仿宋_GB2312" w:cs="仿宋_GB2312"/>
          <w:sz w:val="28"/>
          <w:szCs w:val="28"/>
        </w:rPr>
        <w:t>2.2.1投标/响应方案要求</w:t>
      </w:r>
      <w:bookmarkEnd w:id="20"/>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以下相关方案，若作为评审因素，则投标人应在满足★关键指标项要求的前提下，根据项目特点和采购需求，制定更为完整、详细、可操作性强的方案。</w:t>
      </w:r>
    </w:p>
    <w:p>
      <w:pPr>
        <w:pStyle w:val="MsoNormal"/>
        <w:spacing w:before="0" w:after="0" w:line="360" w:lineRule="auto"/>
        <w:ind w:left="0" w:right="0" w:firstLine="561"/>
      </w:pPr>
      <w:r>
        <w:rPr>
          <w:rFonts w:ascii="仿宋_GB2312" w:eastAsia="仿宋_GB2312" w:hAnsi="仿宋_GB2312" w:cs="仿宋_GB2312"/>
          <w:sz w:val="28"/>
          <w:szCs w:val="28"/>
        </w:rPr>
        <w:t>以下相关方案，若作为评审因素，则投标人应在满足</w:t>
      </w:r>
      <w:r>
        <w:rPr>
          <w:rFonts w:ascii="仿宋_GB2312" w:eastAsia="仿宋_GB2312" w:hAnsi="仿宋_GB2312" w:cs="仿宋_GB2312"/>
          <w:sz w:val="28"/>
          <w:szCs w:val="28"/>
        </w:rPr>
        <w:t>★关键指标项要求的前提下，根据项目特点和采购需求，制定更为完整、详细、可操作性强的方案。</w:t>
      </w:r>
    </w:p>
    <w:p>
      <w:pPr>
        <w:pStyle w:val="16"/>
        <w:spacing w:before="0" w:after="0" w:line="360" w:lineRule="auto"/>
        <w:ind w:left="0" w:right="0" w:firstLine="480"/>
        <w:jc w:val="both"/>
        <w:rPr>
          <w:rFonts w:ascii="Times New Roman" w:eastAsia="Times New Roman" w:hAnsi="Times New Roman" w:cs="Times New Roman"/>
        </w:rPr>
      </w:pPr>
      <w:r>
        <w:rPr>
          <w:rFonts w:ascii="仿宋" w:eastAsia="仿宋" w:hAnsi="仿宋" w:cs="仿宋"/>
          <w:sz w:val="28"/>
          <w:szCs w:val="28"/>
        </w:rPr>
        <w:t>投标人必须针对招标文件（技术部分）中有关章节的需求逐个或分块作出实质性响应，其响应应与需求书内容采用同样的顺序。对每个需求的响应必须遵循如下规则：</w:t>
      </w:r>
    </w:p>
    <w:p>
      <w:pPr>
        <w:pStyle w:val="16"/>
        <w:spacing w:before="0" w:after="0" w:line="360" w:lineRule="auto"/>
        <w:ind w:left="0" w:right="0" w:firstLine="480"/>
        <w:jc w:val="both"/>
        <w:rPr>
          <w:rFonts w:ascii="Times New Roman" w:eastAsia="Times New Roman" w:hAnsi="Times New Roman" w:cs="Times New Roman"/>
        </w:rPr>
      </w:pPr>
      <w:r>
        <w:rPr>
          <w:rFonts w:ascii="仿宋" w:eastAsia="仿宋" w:hAnsi="仿宋" w:cs="仿宋"/>
          <w:sz w:val="28"/>
          <w:szCs w:val="28"/>
        </w:rPr>
        <w:t>1.重复该需求；</w:t>
      </w:r>
    </w:p>
    <w:p>
      <w:pPr>
        <w:pStyle w:val="16"/>
        <w:spacing w:before="0" w:after="0" w:line="360" w:lineRule="auto"/>
        <w:ind w:left="0" w:right="0" w:firstLine="480"/>
        <w:jc w:val="both"/>
        <w:rPr>
          <w:rFonts w:ascii="Times New Roman" w:eastAsia="Times New Roman" w:hAnsi="Times New Roman" w:cs="Times New Roman"/>
        </w:rPr>
      </w:pPr>
      <w:r>
        <w:rPr>
          <w:rFonts w:ascii="仿宋" w:eastAsia="仿宋" w:hAnsi="仿宋" w:cs="仿宋"/>
          <w:sz w:val="28"/>
          <w:szCs w:val="28"/>
        </w:rPr>
        <w:t>2.简要描述应答书或应答方案如何满足该需求，如果该响应在应答书其他部分有详述，可在该处简单应答，但必须给出确切的位置索引；</w:t>
      </w:r>
    </w:p>
    <w:p>
      <w:pPr>
        <w:pStyle w:val="16"/>
        <w:spacing w:before="0" w:after="0" w:line="360" w:lineRule="auto"/>
        <w:ind w:left="0" w:right="0" w:firstLine="480"/>
        <w:jc w:val="both"/>
        <w:rPr>
          <w:rFonts w:ascii="Times New Roman" w:eastAsia="Times New Roman" w:hAnsi="Times New Roman" w:cs="Times New Roman"/>
        </w:rPr>
      </w:pPr>
      <w:r>
        <w:rPr>
          <w:rFonts w:ascii="仿宋" w:eastAsia="仿宋" w:hAnsi="仿宋" w:cs="仿宋"/>
          <w:sz w:val="28"/>
          <w:szCs w:val="28"/>
        </w:rPr>
        <w:t>3.解释应答书或应答方案与国家税务总局吉林省税务局需求之前的偏差；用数量来表示的需求，必须用确切的数字、单位来响应；</w:t>
      </w:r>
    </w:p>
    <w:p>
      <w:pPr>
        <w:pStyle w:val="16"/>
        <w:spacing w:before="0" w:after="0" w:line="360" w:lineRule="auto"/>
        <w:ind w:left="0" w:right="0" w:firstLine="480"/>
        <w:jc w:val="both"/>
        <w:rPr>
          <w:rFonts w:ascii="Times New Roman" w:eastAsia="Times New Roman" w:hAnsi="Times New Roman" w:cs="Times New Roman"/>
        </w:rPr>
      </w:pPr>
      <w:r>
        <w:rPr>
          <w:rFonts w:ascii="仿宋" w:eastAsia="仿宋" w:hAnsi="仿宋" w:cs="仿宋"/>
          <w:sz w:val="28"/>
          <w:szCs w:val="28"/>
        </w:rPr>
        <w:t>4.投标人应提供实质性确切响应，并有详细的文字描述和说明，任何仅采用“符合”、“满足”或非确定性数值（如“&gt;=”或“&lt;=”）的响应均将被视为没有对本需求书的实质性响应，从而可能导致严重后果；有关表格部分的响应应按商务部分规定的格式列出。</w:t>
      </w:r>
    </w:p>
    <w:p>
      <w:pPr>
        <w:pStyle w:val="16"/>
        <w:spacing w:before="0" w:after="0" w:line="360" w:lineRule="auto"/>
        <w:ind w:left="0" w:right="0" w:firstLine="480"/>
        <w:jc w:val="both"/>
        <w:rPr>
          <w:rFonts w:ascii="Times New Roman" w:eastAsia="Times New Roman" w:hAnsi="Times New Roman" w:cs="Times New Roman"/>
        </w:rPr>
      </w:pPr>
      <w:r>
        <w:rPr>
          <w:rFonts w:ascii="仿宋" w:eastAsia="仿宋" w:hAnsi="仿宋" w:cs="仿宋"/>
          <w:sz w:val="28"/>
          <w:szCs w:val="28"/>
        </w:rPr>
        <w:t>5.招标文件（技术部分）中有标注★号的，为必备服务需求，必须满足，如未作出响应或响应不满足的，将导致投标无效。△为重要服务内容，满足在评审时将予以加分。</w:t>
      </w:r>
    </w:p>
    <w:p>
      <w:pPr>
        <w:pStyle w:val="16"/>
        <w:spacing w:before="0" w:after="0" w:line="360" w:lineRule="auto"/>
        <w:ind w:left="0" w:right="0" w:firstLine="480"/>
        <w:jc w:val="both"/>
        <w:rPr>
          <w:rFonts w:ascii="Times New Roman" w:eastAsia="Times New Roman" w:hAnsi="Times New Roman" w:cs="Times New Roman"/>
        </w:rPr>
      </w:pPr>
      <w:r>
        <w:rPr>
          <w:rFonts w:ascii="Times New Roman" w:eastAsia="Times New Roman" w:hAnsi="Times New Roman" w:cs="Times New Roman"/>
        </w:rPr>
        <w:t> </w:t>
      </w:r>
    </w:p>
    <w:p>
      <w:pPr>
        <w:pStyle w:val="Heading30"/>
        <w:keepNext w:val="0"/>
        <w:spacing w:before="0" w:after="0" w:line="360" w:lineRule="auto"/>
        <w:rPr>
          <w:rFonts w:ascii="仿宋_GB2312" w:eastAsia="仿宋_GB2312" w:hAnsi="仿宋_GB2312" w:cs="仿宋_GB2312"/>
          <w:b/>
          <w:bCs/>
          <w:sz w:val="28"/>
          <w:szCs w:val="28"/>
        </w:rPr>
      </w:pPr>
      <w:bookmarkStart w:id="21" w:name="_Toc256000017"/>
      <w:r>
        <w:rPr>
          <w:rFonts w:ascii="仿宋_GB2312" w:eastAsia="仿宋_GB2312" w:hAnsi="仿宋_GB2312" w:cs="仿宋_GB2312"/>
          <w:sz w:val="28"/>
          <w:szCs w:val="28"/>
        </w:rPr>
        <w:t>2.2.2技术开发服务方案要求</w:t>
      </w:r>
      <w:bookmarkEnd w:id="21"/>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以下相关方案，若作为评审因素，则投标人应在满足</w:t>
      </w:r>
      <w:r>
        <w:rPr>
          <w:rFonts w:ascii="仿宋_GB2312" w:eastAsia="仿宋_GB2312" w:hAnsi="仿宋_GB2312" w:cs="仿宋_GB2312"/>
          <w:sz w:val="28"/>
          <w:szCs w:val="28"/>
        </w:rPr>
        <w:t>★关键指标项要求的前提下，根据项目特点和采购需求，制定更为完整、详细、可操作性强的方案。</w:t>
      </w:r>
    </w:p>
    <w:p>
      <w:pPr>
        <w:pStyle w:val="150"/>
        <w:spacing w:before="0" w:after="0" w:line="360" w:lineRule="auto"/>
        <w:ind w:left="0" w:right="0" w:firstLine="480"/>
        <w:jc w:val="both"/>
        <w:rPr>
          <w:rFonts w:ascii="Times New Roman" w:eastAsia="Times New Roman" w:hAnsi="Times New Roman" w:cs="Times New Roman"/>
        </w:rPr>
      </w:pPr>
      <w:r>
        <w:rPr>
          <w:rFonts w:ascii="Times New Roman" w:eastAsia="Times New Roman" w:hAnsi="Times New Roman" w:cs="Times New Roman"/>
          <w:sz w:val="28"/>
          <w:szCs w:val="28"/>
        </w:rPr>
        <w:t>1.项目管理实施方案：投标人提供的方案内容应包含项目管理实施总要求、项目实施进度及项目质量管理。</w:t>
      </w:r>
    </w:p>
    <w:p>
      <w:pPr>
        <w:pStyle w:val="150"/>
        <w:spacing w:before="0" w:after="0" w:line="360" w:lineRule="auto"/>
        <w:ind w:left="0" w:right="0" w:firstLine="480"/>
        <w:jc w:val="both"/>
        <w:rPr>
          <w:rFonts w:ascii="Times New Roman" w:eastAsia="Times New Roman" w:hAnsi="Times New Roman" w:cs="Times New Roman"/>
        </w:rPr>
      </w:pPr>
      <w:r>
        <w:rPr>
          <w:rFonts w:ascii="Times New Roman" w:eastAsia="Times New Roman" w:hAnsi="Times New Roman" w:cs="Times New Roman"/>
          <w:sz w:val="28"/>
          <w:szCs w:val="28"/>
        </w:rPr>
        <w:t>2.升级改造方案：投标人提供的方案内容应包含需求分析、升级计划、技术评估及服务。</w:t>
      </w:r>
    </w:p>
    <w:p>
      <w:pPr>
        <w:pStyle w:val="150"/>
        <w:spacing w:before="0" w:after="0" w:line="360" w:lineRule="auto"/>
        <w:ind w:left="0" w:right="0" w:firstLine="480"/>
        <w:jc w:val="both"/>
        <w:rPr>
          <w:rFonts w:ascii="Times New Roman" w:eastAsia="Times New Roman" w:hAnsi="Times New Roman" w:cs="Times New Roman"/>
        </w:rPr>
      </w:pPr>
      <w:r>
        <w:rPr>
          <w:rFonts w:ascii="Times New Roman" w:eastAsia="Times New Roman" w:hAnsi="Times New Roman" w:cs="Times New Roman"/>
          <w:sz w:val="28"/>
          <w:szCs w:val="28"/>
        </w:rPr>
        <w:t>3.应急及安全保障方案：投标人提供的方案内容应包含安全保障方法、预警和预防机制、应急响应及处置措施。</w:t>
      </w:r>
    </w:p>
    <w:p>
      <w:pPr>
        <w:pStyle w:val="150"/>
        <w:spacing w:before="0" w:after="0" w:line="360" w:lineRule="auto"/>
        <w:ind w:left="0" w:right="0" w:firstLine="480"/>
        <w:jc w:val="both"/>
        <w:rPr>
          <w:rFonts w:ascii="Times New Roman" w:eastAsia="Times New Roman" w:hAnsi="Times New Roman" w:cs="Times New Roman"/>
        </w:rPr>
      </w:pPr>
      <w:r>
        <w:rPr>
          <w:rFonts w:ascii="Times New Roman" w:eastAsia="Times New Roman" w:hAnsi="Times New Roman" w:cs="Times New Roman"/>
          <w:sz w:val="28"/>
          <w:szCs w:val="28"/>
        </w:rPr>
        <w:t>4.保密方案：投标人提供的方案内容应包含保密组织管理、保密制度及保密措施。</w:t>
      </w:r>
    </w:p>
    <w:p>
      <w:pPr>
        <w:pStyle w:val="150"/>
        <w:spacing w:before="0" w:after="0" w:line="360" w:lineRule="auto"/>
        <w:ind w:left="0" w:right="0" w:firstLine="480"/>
        <w:jc w:val="both"/>
        <w:rPr>
          <w:rFonts w:ascii="Times New Roman" w:eastAsia="Times New Roman" w:hAnsi="Times New Roman" w:cs="Times New Roman"/>
        </w:rPr>
      </w:pPr>
      <w:r>
        <w:rPr>
          <w:rFonts w:ascii="Times New Roman" w:eastAsia="Times New Roman" w:hAnsi="Times New Roman" w:cs="Times New Roman"/>
          <w:sz w:val="28"/>
          <w:szCs w:val="28"/>
        </w:rPr>
        <w:t>5.项目验收方案：投标人提供的方案内容应包含验收组织流程、验收依据和标准、验收中出现问题的解决办法及补救措施。</w:t>
      </w:r>
    </w:p>
    <w:p>
      <w:pPr>
        <w:pStyle w:val="Heading10"/>
        <w:keepNext w:val="0"/>
        <w:spacing w:before="0" w:after="0" w:line="360" w:lineRule="auto"/>
        <w:jc w:val="center"/>
        <w:rPr>
          <w:rFonts w:ascii="仿宋_GB2312" w:eastAsia="仿宋_GB2312" w:hAnsi="仿宋_GB2312" w:cs="仿宋_GB2312"/>
          <w:b/>
          <w:bCs/>
          <w:sz w:val="32"/>
          <w:szCs w:val="32"/>
        </w:rPr>
      </w:pPr>
      <w:bookmarkStart w:id="22" w:name="_Toc256000018"/>
      <w:r>
        <w:rPr>
          <w:rFonts w:ascii="仿宋_GB2312" w:eastAsia="仿宋_GB2312" w:hAnsi="仿宋_GB2312" w:cs="仿宋_GB2312"/>
          <w:kern w:val="36"/>
        </w:rPr>
        <w:t>3项目需求</w:t>
      </w:r>
      <w:bookmarkEnd w:id="22"/>
    </w:p>
    <w:p>
      <w:pPr>
        <w:pStyle w:val="Heading20"/>
        <w:keepNext w:val="0"/>
        <w:spacing w:before="0" w:after="0" w:line="360" w:lineRule="auto"/>
        <w:rPr>
          <w:rFonts w:ascii="仿宋_GB2312" w:eastAsia="仿宋_GB2312" w:hAnsi="仿宋_GB2312" w:cs="仿宋_GB2312"/>
          <w:b/>
          <w:bCs/>
          <w:sz w:val="28"/>
          <w:szCs w:val="28"/>
        </w:rPr>
      </w:pPr>
      <w:bookmarkStart w:id="23" w:name="_Toc256000019"/>
      <w:r>
        <w:rPr>
          <w:rFonts w:ascii="仿宋_GB2312" w:eastAsia="仿宋_GB2312" w:hAnsi="仿宋_GB2312" w:cs="仿宋_GB2312"/>
          <w:i w:val="0"/>
          <w:iCs w:val="0"/>
        </w:rPr>
        <w:t>3.1总体要求</w:t>
      </w:r>
      <w:bookmarkEnd w:id="23"/>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完成退税减税政策大数据监控平台的指标升级改造。</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1、原有功能介绍</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1）退税减税政策风险提醒</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税覆盖</w:t>
      </w:r>
      <w:r>
        <w:rPr>
          <w:rFonts w:ascii="仿宋_GB2312" w:eastAsia="仿宋_GB2312" w:hAnsi="仿宋_GB2312" w:cs="仿宋_GB2312"/>
          <w:sz w:val="28"/>
          <w:szCs w:val="28"/>
        </w:rPr>
        <w:t>2019年以来的税费优惠政策，通过扫描全省纳税申报、税费减免、税费退抵税等数据，重点查找纳税人可能存在应享未享的情况作为疑点数据向全省税务机关进行提醒展示。对纳税人应享未享税收优惠政策疑点，提供手工勾选处理选项，税务人员将疑点查实后，为纳税人履行退税手续。</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2）待办事项提醒及预警</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税务人员日常限时办结的退抵税业务，提供手工勾选处理选项，并在指标规定办结时间</w:t>
      </w:r>
      <w:r>
        <w:rPr>
          <w:rFonts w:ascii="仿宋_GB2312" w:eastAsia="仿宋_GB2312" w:hAnsi="仿宋_GB2312" w:cs="仿宋_GB2312"/>
          <w:sz w:val="28"/>
          <w:szCs w:val="28"/>
        </w:rPr>
        <w:t>5日内，进行预警及提醒，以控管税务人员按期办结退税流程。</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3）退税减税政策大数据可视化监控</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分为驾驶舱展示总体数据统计、减税降费处理预警图、分地区统计、分税种统计、即将到期未办结指标提醒、税费支持政策文件、疑点数据处理结果分析、月份趋势图，共计</w:t>
      </w:r>
      <w:r>
        <w:rPr>
          <w:rFonts w:ascii="仿宋_GB2312" w:eastAsia="仿宋_GB2312" w:hAnsi="仿宋_GB2312" w:cs="仿宋_GB2312"/>
          <w:sz w:val="28"/>
          <w:szCs w:val="28"/>
        </w:rPr>
        <w:t>8项大屏展示功能栏目。大屏中的各类图表统计页面，提供数据下钻功能，可逐级下钻定位到具体某户纳税人，查看基层人员对疑点数据的处理情况。</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2、升级改造具体内容</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监控指标分析工作，完成系统新增的</w:t>
      </w:r>
      <w:r>
        <w:rPr>
          <w:rFonts w:ascii="仿宋_GB2312" w:eastAsia="仿宋_GB2312" w:hAnsi="仿宋_GB2312" w:cs="仿宋_GB2312"/>
          <w:sz w:val="28"/>
          <w:szCs w:val="28"/>
        </w:rPr>
        <w:t>96项监控指标的分析工作。包括：监控指标的数据加工、汇算、指标加载、数据同步、数据检验等工作。</w:t>
      </w:r>
    </w:p>
    <w:p>
      <w:pPr>
        <w:pStyle w:val="150"/>
        <w:spacing w:before="0" w:after="0" w:line="360" w:lineRule="auto"/>
        <w:ind w:left="0" w:right="0" w:firstLine="640"/>
        <w:jc w:val="both"/>
        <w:rPr>
          <w:rFonts w:ascii="Times New Roman" w:eastAsia="Times New Roman" w:hAnsi="Times New Roman" w:cs="Times New Roman"/>
        </w:rPr>
      </w:pPr>
      <w:r>
        <w:rPr>
          <w:sz w:val="28"/>
          <w:szCs w:val="28"/>
        </w:rPr>
        <w:t> </w:t>
      </w:r>
      <w:r>
        <w:rPr>
          <w:rFonts w:ascii="仿宋_GB2312" w:eastAsia="仿宋_GB2312" w:hAnsi="仿宋_GB2312" w:cs="仿宋_GB2312"/>
          <w:sz w:val="28"/>
          <w:szCs w:val="28"/>
        </w:rPr>
        <w:t>优化指标展示菜单及相关查询统计功能，升级优化、现运行的实时数据分析展示平台，涵盖省局各业务处室关心的核心指标的多维度展示以及数据分析。</w:t>
      </w:r>
    </w:p>
    <w:p>
      <w:pPr>
        <w:pStyle w:val="Heading20"/>
        <w:keepNext w:val="0"/>
        <w:spacing w:before="0" w:after="0" w:line="360" w:lineRule="auto"/>
        <w:rPr>
          <w:rFonts w:ascii="仿宋_GB2312" w:eastAsia="仿宋_GB2312" w:hAnsi="仿宋_GB2312" w:cs="仿宋_GB2312"/>
          <w:b/>
          <w:bCs/>
          <w:sz w:val="28"/>
          <w:szCs w:val="28"/>
        </w:rPr>
      </w:pPr>
      <w:bookmarkStart w:id="24" w:name="_Toc256000020"/>
      <w:r>
        <w:rPr>
          <w:rFonts w:ascii="仿宋_GB2312" w:eastAsia="仿宋_GB2312" w:hAnsi="仿宋_GB2312" w:cs="仿宋_GB2312"/>
          <w:i w:val="0"/>
          <w:iCs w:val="0"/>
        </w:rPr>
        <w:t>3.2服务内容和要求</w:t>
      </w:r>
      <w:bookmarkEnd w:id="24"/>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采购文件（技术部分）中有标注★号的，为必备服务要求，必须满足，如未作出响应，将导致响应无效；#为重要服务内容、△为一般服务内容。</w:t>
      </w:r>
    </w:p>
    <w:p>
      <w:pPr>
        <w:pStyle w:val="Heading30"/>
        <w:keepNext w:val="0"/>
        <w:spacing w:before="0" w:after="0" w:line="360" w:lineRule="auto"/>
        <w:rPr>
          <w:rFonts w:ascii="仿宋_GB2312" w:eastAsia="仿宋_GB2312" w:hAnsi="仿宋_GB2312" w:cs="仿宋_GB2312"/>
          <w:b/>
          <w:bCs/>
          <w:sz w:val="28"/>
          <w:szCs w:val="28"/>
        </w:rPr>
      </w:pPr>
      <w:bookmarkStart w:id="25" w:name="_Toc256000021"/>
      <w:r>
        <w:rPr>
          <w:rFonts w:ascii="仿宋_GB2312" w:eastAsia="仿宋_GB2312" w:hAnsi="仿宋_GB2312" w:cs="仿宋_GB2312"/>
          <w:sz w:val="28"/>
          <w:szCs w:val="28"/>
        </w:rPr>
        <w:t>3.2.1技术和服务客观指标</w:t>
      </w:r>
      <w:bookmarkEnd w:id="25"/>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3.2.1.1服务1</w:t>
      </w:r>
    </w:p>
    <w:p>
      <w:pPr>
        <w:pStyle w:val="17"/>
        <w:keepNext/>
        <w:spacing w:before="0" w:after="0" w:line="360" w:lineRule="auto"/>
        <w:ind w:left="0" w:firstLine="643"/>
        <w:jc w:val="both"/>
        <w:textAlignment w:val="baseline"/>
        <w:rPr>
          <w:rFonts w:ascii="Times New Roman" w:eastAsia="Times New Roman" w:hAnsi="Times New Roman" w:cs="Times New Roman"/>
        </w:rPr>
      </w:pPr>
      <w:r>
        <w:rPr>
          <w:rFonts w:ascii="仿宋_GB2312" w:eastAsia="仿宋_GB2312" w:hAnsi="仿宋_GB2312" w:cs="仿宋_GB2312"/>
          <w:b/>
          <w:bCs/>
          <w:sz w:val="28"/>
          <w:szCs w:val="28"/>
        </w:rPr>
        <w:t>（一）退税减税政策大数据监控平台指标升级改造功能性需求</w:t>
      </w:r>
    </w:p>
    <w:p>
      <w:pPr>
        <w:pStyle w:val="17"/>
        <w:keepNext/>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1.监控指标分析及加载</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完成新增的</w:t>
      </w:r>
      <w:r>
        <w:rPr>
          <w:rFonts w:ascii="仿宋_GB2312" w:eastAsia="仿宋_GB2312" w:hAnsi="仿宋_GB2312" w:cs="仿宋_GB2312"/>
          <w:sz w:val="28"/>
          <w:szCs w:val="28"/>
        </w:rPr>
        <w:t>96项监控指标的分析工作、指标加载工作。包括：监控指标的数据加工、汇算、指标加载等工作。</w:t>
      </w:r>
    </w:p>
    <w:p>
      <w:pPr>
        <w:pStyle w:val="17"/>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1.1数据加工、汇算</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能够提供新增指标的数据提取公式，证明可实现新增指标的数据加工、汇算。</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新增的</w:t>
      </w:r>
      <w:r>
        <w:rPr>
          <w:rFonts w:ascii="仿宋_GB2312" w:eastAsia="仿宋_GB2312" w:hAnsi="仿宋_GB2312" w:cs="仿宋_GB2312"/>
          <w:sz w:val="28"/>
          <w:szCs w:val="28"/>
        </w:rPr>
        <w:t>96项的指标，在应用系统核心系统中没有成型的数据能够直接利用的情况下，具体数据加工如下：</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1）分析数据源</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根据监控指标的风险识别条件、指标公式，从核心征管系统中筛查数据来源，并与实际工作进行比对，找出需要利用的核心数据库表，建立数据源。</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2）利用核心征管系统数据库表</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编写</w:t>
      </w:r>
      <w:r>
        <w:rPr>
          <w:rFonts w:ascii="仿宋_GB2312" w:eastAsia="仿宋_GB2312" w:hAnsi="仿宋_GB2312" w:cs="仿宋_GB2312"/>
          <w:sz w:val="28"/>
          <w:szCs w:val="28"/>
        </w:rPr>
        <w:t>SQL取数脚本，并对数据进行抽取、转换、加载等操作，形成的退税减税监控平台的监控指标表。</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3）创建存储过程</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提高监控指标汇数执行速度，可以在程序中被多次调用而不必重新编写该存储过程的</w:t>
      </w:r>
      <w:r>
        <w:rPr>
          <w:rFonts w:ascii="仿宋_GB2312" w:eastAsia="仿宋_GB2312" w:hAnsi="仿宋_GB2312" w:cs="仿宋_GB2312"/>
          <w:sz w:val="28"/>
          <w:szCs w:val="28"/>
        </w:rPr>
        <w:t>SQL汇数脚本语句。</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4）数据同步</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使用</w:t>
      </w:r>
      <w:r>
        <w:rPr>
          <w:rFonts w:ascii="仿宋_GB2312" w:eastAsia="仿宋_GB2312" w:hAnsi="仿宋_GB2312" w:cs="仿宋_GB2312"/>
          <w:sz w:val="28"/>
          <w:szCs w:val="28"/>
        </w:rPr>
        <w:t>GoldenGate软件从核心征管系统业务分发数据库实时同步系统所需的业务及代码表数据到减税降费数据仓库。</w:t>
      </w:r>
    </w:p>
    <w:p>
      <w:pPr>
        <w:pStyle w:val="16"/>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5）自动销号</w:t>
      </w:r>
    </w:p>
    <w:p>
      <w:pPr>
        <w:pStyle w:val="16"/>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系统每天晚间从核心征管系统中提取数据进行更新，纳税人、缴费人按照提示提醒提出享受优惠申请后，平台中疑点数据自动剔除，不需要基层人员另做反馈业务处理。</w:t>
      </w:r>
    </w:p>
    <w:p>
      <w:pPr>
        <w:pStyle w:val="16"/>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6）数据质量自动检查</w:t>
      </w:r>
    </w:p>
    <w:p>
      <w:pPr>
        <w:pStyle w:val="16"/>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系统晚间加工数据完成后，按照预先制定的规则对各环节的处理数据自动进行数据质量的检查，以确保数据的准确性。</w:t>
      </w:r>
    </w:p>
    <w:p>
      <w:pPr>
        <w:pStyle w:val="17"/>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1.2指标加载</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对每一项新增指标，在现运行的退税减税监控平台中添加明细指标功能菜单以及完善对应的数据统计功能。每个指标加工完毕以后，提取疑点数据报送给主管处室，主管处室验证无误后，将指标挂载到系统生产环境中。在验证的过程中，数据服务方需要配合主管处室进行指标汇算口径的反复论证、修改、校准。</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★需要提供全部新增指标的取数来源、业务域、征收项目、办结时限清单。</w:t>
      </w:r>
    </w:p>
    <w:p>
      <w:pPr>
        <w:pStyle w:val="17"/>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1.2.1 添加指标明细功能菜单</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1）风险提醒</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在现运行的退税减税监控平台中，添加</w:t>
      </w:r>
      <w:r>
        <w:rPr>
          <w:rFonts w:ascii="仿宋_GB2312" w:eastAsia="仿宋_GB2312" w:hAnsi="仿宋_GB2312" w:cs="仿宋_GB2312"/>
          <w:sz w:val="28"/>
          <w:szCs w:val="28"/>
        </w:rPr>
        <w:t>96项监控指标的明细菜单，提取的疑点数据显示在系统前端页面，并对每个疑点数据的涉税事项受理机关进行风险提醒。</w:t>
      </w:r>
    </w:p>
    <w:p>
      <w:pPr>
        <w:pStyle w:val="16"/>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2）数据筛选</w:t>
      </w:r>
    </w:p>
    <w:p>
      <w:pPr>
        <w:pStyle w:val="150"/>
        <w:spacing w:before="0" w:after="0" w:line="360" w:lineRule="auto"/>
        <w:ind w:left="0"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在系统前端页面，显示各项指标的未处理疑点数据明细表格。针对未处理疑点数据明细，提供多种查询条件，包括：申报日期起止、税款所属期起止、税务机关、申报方式等。用户可以通过上述查询条件，组合进行数据筛选。</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3）指标明细展示</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在系统前端页面，显示各项指标的未处理疑点数据明细表格。</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输出项包括：指标名称、登记序号、纳税人识别号、纳税人名称、地区、征收项目、征收品目、纳税申报日期、税款所属期起、税款所属期止、计税依据、减免税额、应补退税额、入库日期、申报方式、应征凭证种类、主管税务局代码、主管税务局名称、抽取时间。</w:t>
      </w:r>
    </w:p>
    <w:p>
      <w:pPr>
        <w:pStyle w:val="16"/>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4）报表导出</w:t>
      </w:r>
    </w:p>
    <w:p>
      <w:pPr>
        <w:pStyle w:val="16"/>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各项指标明细功能菜单所自动展示的报表，均支持报表的导出功能。</w:t>
      </w:r>
    </w:p>
    <w:p>
      <w:pPr>
        <w:pStyle w:val="17"/>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1.2.2 增设指标数据处理功能</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对新增的监控指标功能模块，每个功能模块中都可以对任意一条未处理疑点数据进行手工勾选处理，处理完毕后，疑点数据状态由未处理变为已处理。</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1）数据下钻</w:t>
      </w:r>
    </w:p>
    <w:p>
      <w:pPr>
        <w:pStyle w:val="150"/>
        <w:spacing w:before="0" w:after="0" w:line="360" w:lineRule="auto"/>
        <w:ind w:left="0"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每个指标明细的功能菜单中都可以对任意一条未处理疑点数据，点击登记序号，下钻跳转至数据处理页面。</w:t>
      </w:r>
    </w:p>
    <w:p>
      <w:pPr>
        <w:pStyle w:val="16"/>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2）数据处理</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能够提供功能设计界面原型图，</w:t>
      </w:r>
      <w:r>
        <w:rPr>
          <w:rFonts w:ascii="仿宋" w:eastAsia="仿宋" w:hAnsi="仿宋" w:cs="仿宋"/>
          <w:sz w:val="28"/>
          <w:szCs w:val="28"/>
        </w:rPr>
        <w:t>实现</w:t>
      </w:r>
      <w:r>
        <w:rPr>
          <w:rFonts w:ascii="仿宋_GB2312" w:eastAsia="仿宋_GB2312" w:hAnsi="仿宋_GB2312" w:cs="仿宋_GB2312"/>
          <w:sz w:val="28"/>
          <w:szCs w:val="28"/>
        </w:rPr>
        <w:t>对任意一条未处理疑点数据进行手工勾选处理。</w:t>
      </w:r>
    </w:p>
    <w:p>
      <w:pPr>
        <w:pStyle w:val="17"/>
        <w:keepNext/>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2.优化指标展示菜单及相关查询统计功能</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升级优化、现运行的实时数据分析展示平台，涵盖省局各业务处室关心的核心指标的多维度展示以及数据分析。</w:t>
      </w:r>
    </w:p>
    <w:p>
      <w:pPr>
        <w:pStyle w:val="17"/>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2.1优化指标展示菜单</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各税费种主管处室历年来多次上线指标，目前平台中指标显示的比较分散，不利于各税费种主管处室查看。</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需要对平台指标目录结构进行调整，按处室、年度进行分类挂载。</w:t>
      </w:r>
    </w:p>
    <w:p>
      <w:pPr>
        <w:pStyle w:val="17"/>
        <w:spacing w:before="0" w:after="0" w:line="360" w:lineRule="auto"/>
        <w:ind w:left="0" w:firstLine="643"/>
        <w:jc w:val="both"/>
        <w:rPr>
          <w:rFonts w:ascii="Times New Roman" w:eastAsia="Times New Roman" w:hAnsi="Times New Roman" w:cs="Times New Roman"/>
        </w:rPr>
      </w:pPr>
      <w:r>
        <w:rPr>
          <w:rFonts w:ascii="仿宋_GB2312" w:eastAsia="仿宋_GB2312" w:hAnsi="仿宋_GB2312" w:cs="仿宋_GB2312"/>
          <w:b/>
          <w:bCs/>
          <w:sz w:val="28"/>
          <w:szCs w:val="28"/>
        </w:rPr>
        <w:t>2.2优化问题处理统计功能</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实现对风险提醒数据的处理情况进行实时监控，省、市、县区三级查看权限向下兼容，逐级下钻。</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1）数据筛选</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输入项：税务机关、业务种类、指标年度、推送日期起、推送日期止。支持对查询参数组合结果进行查询。</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2）数据展示</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按照吉林省各市、州及各征收项目进行统计，包括推送数据笔数、已处理数据笔数、未处理数据笔数。</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3）逐级下钻</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可从统计页面首层，依次下钻至市州级、县区级、科所三个层级的数据展示页面。</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4）数字链接</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统计页面首层、市州级、县区级、科所级，</w:t>
      </w:r>
      <w:r>
        <w:rPr>
          <w:rFonts w:ascii="仿宋_GB2312" w:eastAsia="仿宋_GB2312" w:hAnsi="仿宋_GB2312" w:cs="仿宋_GB2312"/>
          <w:sz w:val="28"/>
          <w:szCs w:val="28"/>
        </w:rPr>
        <w:t>4个层级页面上的已处理数字、未处理数字，均添加链接，点击后数据下钻到纳税人明细页面。</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5）数据处理</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纳税人明细页面，可对任意一条未处理疑点数据进行手工勾选处理，处理完毕后，疑点数据状态由未处理变为已处理。</w:t>
      </w:r>
    </w:p>
    <w:p>
      <w:pPr>
        <w:pStyle w:val="17"/>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6）报表导出</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本模块自动展示的报表，支持报表的导出功能。</w:t>
      </w:r>
    </w:p>
    <w:p>
      <w:pPr>
        <w:pStyle w:val="17"/>
        <w:keepNext/>
        <w:spacing w:before="0" w:after="0" w:line="360" w:lineRule="auto"/>
        <w:ind w:left="0" w:firstLine="643"/>
        <w:jc w:val="both"/>
        <w:textAlignment w:val="baseline"/>
        <w:rPr>
          <w:rFonts w:ascii="Times New Roman" w:eastAsia="Times New Roman" w:hAnsi="Times New Roman" w:cs="Times New Roman"/>
        </w:rPr>
      </w:pPr>
      <w:r>
        <w:rPr>
          <w:rFonts w:ascii="仿宋_GB2312" w:eastAsia="仿宋_GB2312" w:hAnsi="仿宋_GB2312" w:cs="仿宋_GB2312"/>
          <w:b/>
          <w:bCs/>
          <w:sz w:val="28"/>
          <w:szCs w:val="28"/>
        </w:rPr>
        <w:t>（二）项目非功能性需求</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1.扩展性</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当数据容量发生变化时，目标系统能通过在横向（</w:t>
      </w:r>
      <w:r>
        <w:rPr>
          <w:rFonts w:ascii="仿宋_GB2312" w:eastAsia="仿宋_GB2312" w:hAnsi="仿宋_GB2312" w:cs="仿宋_GB2312"/>
          <w:sz w:val="28"/>
          <w:szCs w:val="28"/>
        </w:rPr>
        <w:t>Tiers）和纵向(Layers)的各个层次的扩充，保证系统合理的响应时间和负载能力。</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2.安全性</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需采用稳定、可靠的数据存储系统，需对应用系统进行源代码、安全功能的检查与测试。</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3.可靠性</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1）对系统进行改进维护或升级等的时间。</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2）系统应不受任何单点故障的影响。</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4.可用性</w:t>
      </w:r>
    </w:p>
    <w:p>
      <w:pPr>
        <w:pStyle w:val="17"/>
        <w:spacing w:before="0" w:after="0" w:line="360" w:lineRule="auto"/>
        <w:ind w:left="0" w:firstLine="640"/>
        <w:jc w:val="both"/>
        <w:rPr>
          <w:rFonts w:ascii="Times New Roman" w:eastAsia="Times New Roman" w:hAnsi="Times New Roman" w:cs="Times New Roman"/>
        </w:rPr>
      </w:pPr>
      <w:r>
        <w:rPr>
          <w:rFonts w:ascii="仿宋_GB2312" w:eastAsia="仿宋_GB2312" w:hAnsi="仿宋_GB2312" w:cs="仿宋_GB2312"/>
          <w:sz w:val="28"/>
          <w:szCs w:val="28"/>
        </w:rPr>
        <w:t>系统应满足</w:t>
      </w:r>
      <w:r>
        <w:rPr>
          <w:rFonts w:ascii="仿宋_GB2312" w:eastAsia="仿宋_GB2312" w:hAnsi="仿宋_GB2312" w:cs="仿宋_GB2312"/>
          <w:sz w:val="28"/>
          <w:szCs w:val="28"/>
        </w:rPr>
        <w:t>7×24小时可以使用。</w:t>
      </w:r>
    </w:p>
    <w:p>
      <w:pPr>
        <w:pStyle w:val="17"/>
        <w:keepNext/>
        <w:spacing w:before="0" w:after="0" w:line="360" w:lineRule="auto"/>
        <w:ind w:left="0" w:firstLine="643"/>
        <w:jc w:val="both"/>
        <w:textAlignment w:val="baseline"/>
        <w:rPr>
          <w:rFonts w:ascii="Times New Roman" w:eastAsia="Times New Roman" w:hAnsi="Times New Roman" w:cs="Times New Roman"/>
        </w:rPr>
      </w:pPr>
      <w:r>
        <w:rPr>
          <w:rFonts w:ascii="仿宋_GB2312" w:eastAsia="仿宋_GB2312" w:hAnsi="仿宋_GB2312" w:cs="仿宋_GB2312"/>
          <w:b/>
          <w:bCs/>
          <w:sz w:val="28"/>
          <w:szCs w:val="28"/>
        </w:rPr>
        <w:t>（三）关于本项目接口情况说明</w:t>
      </w:r>
    </w:p>
    <w:p>
      <w:pPr>
        <w:pStyle w:val="16"/>
        <w:spacing w:before="0" w:after="0" w:line="360" w:lineRule="auto"/>
        <w:ind w:left="0" w:firstLine="640"/>
        <w:rPr>
          <w:rFonts w:ascii="Times New Roman" w:eastAsia="Times New Roman" w:hAnsi="Times New Roman" w:cs="Times New Roman"/>
        </w:rPr>
      </w:pPr>
      <w:r>
        <w:rPr>
          <w:rFonts w:ascii="仿宋_GB2312" w:eastAsia="仿宋_GB2312" w:hAnsi="仿宋_GB2312" w:cs="仿宋_GB2312"/>
          <w:sz w:val="28"/>
          <w:szCs w:val="28"/>
        </w:rPr>
        <w:t>无。</w:t>
      </w:r>
    </w:p>
    <w:p>
      <w:pPr>
        <w:pStyle w:val="Heading30"/>
        <w:keepNext w:val="0"/>
        <w:spacing w:before="0" w:after="0" w:line="360" w:lineRule="auto"/>
        <w:rPr>
          <w:rFonts w:ascii="仿宋_GB2312" w:eastAsia="仿宋_GB2312" w:hAnsi="仿宋_GB2312" w:cs="仿宋_GB2312"/>
          <w:b/>
          <w:bCs/>
          <w:sz w:val="28"/>
          <w:szCs w:val="28"/>
        </w:rPr>
      </w:pPr>
      <w:bookmarkStart w:id="26" w:name="_Toc256000022"/>
      <w:r>
        <w:rPr>
          <w:rFonts w:ascii="仿宋_GB2312" w:eastAsia="仿宋_GB2312" w:hAnsi="仿宋_GB2312" w:cs="仿宋_GB2312"/>
          <w:sz w:val="28"/>
          <w:szCs w:val="28"/>
        </w:rPr>
        <w:t>3.2.2技术和服务其他要求</w:t>
      </w:r>
      <w:bookmarkEnd w:id="26"/>
    </w:p>
    <w:p>
      <w:pPr>
        <w:pStyle w:val="MsoBodyTextFirstIndent"/>
        <w:spacing w:before="0" w:after="0" w:line="360" w:lineRule="auto"/>
        <w:ind w:left="0" w:firstLine="640"/>
        <w:rPr>
          <w:rFonts w:ascii="Times New Roman" w:eastAsia="Times New Roman" w:hAnsi="Times New Roman" w:cs="Times New Roman"/>
        </w:rPr>
      </w:pPr>
      <w:r>
        <w:rPr>
          <w:rFonts w:ascii="仿宋_GB2312" w:eastAsia="仿宋_GB2312" w:hAnsi="仿宋_GB2312" w:cs="仿宋_GB2312"/>
          <w:sz w:val="28"/>
          <w:szCs w:val="28"/>
        </w:rPr>
        <w:t>无。</w:t>
      </w:r>
    </w:p>
    <w:p>
      <w:pPr>
        <w:pStyle w:val="Heading10"/>
        <w:keepNext w:val="0"/>
        <w:spacing w:before="0" w:after="0" w:line="360" w:lineRule="auto"/>
        <w:jc w:val="center"/>
        <w:rPr>
          <w:rFonts w:ascii="仿宋_GB2312" w:eastAsia="仿宋_GB2312" w:hAnsi="仿宋_GB2312" w:cs="仿宋_GB2312"/>
          <w:b/>
          <w:bCs/>
          <w:sz w:val="32"/>
          <w:szCs w:val="32"/>
        </w:rPr>
      </w:pPr>
      <w:bookmarkStart w:id="27" w:name="_Toc256000023"/>
      <w:r>
        <w:rPr>
          <w:rFonts w:ascii="仿宋_GB2312" w:eastAsia="仿宋_GB2312" w:hAnsi="仿宋_GB2312" w:cs="仿宋_GB2312"/>
          <w:kern w:val="36"/>
        </w:rPr>
        <w:t>4人员要求</w:t>
      </w:r>
      <w:bookmarkEnd w:id="27"/>
    </w:p>
    <w:p>
      <w:pPr>
        <w:pStyle w:val="Heading20"/>
        <w:keepNext w:val="0"/>
        <w:spacing w:before="0" w:after="0" w:line="360" w:lineRule="auto"/>
        <w:rPr>
          <w:rFonts w:ascii="仿宋_GB2312" w:eastAsia="仿宋_GB2312" w:hAnsi="仿宋_GB2312" w:cs="仿宋_GB2312"/>
          <w:b/>
          <w:bCs/>
          <w:sz w:val="28"/>
          <w:szCs w:val="28"/>
        </w:rPr>
      </w:pPr>
      <w:bookmarkStart w:id="28" w:name="_Toc256000024"/>
      <w:r>
        <w:rPr>
          <w:rFonts w:ascii="仿宋_GB2312" w:eastAsia="仿宋_GB2312" w:hAnsi="仿宋_GB2312" w:cs="仿宋_GB2312"/>
          <w:i w:val="0"/>
          <w:iCs w:val="0"/>
        </w:rPr>
        <w:t>4.1总体要求</w:t>
      </w:r>
      <w:bookmarkEnd w:id="28"/>
    </w:p>
    <w:p>
      <w:pPr>
        <w:pStyle w:val="150"/>
        <w:spacing w:before="0" w:after="0" w:line="360" w:lineRule="auto"/>
        <w:ind w:left="0" w:right="0"/>
        <w:jc w:val="both"/>
        <w:rPr>
          <w:rFonts w:ascii="Times New Roman" w:eastAsia="Times New Roman" w:hAnsi="Times New Roman" w:cs="Times New Roman"/>
        </w:rPr>
      </w:pPr>
      <w:r>
        <w:rPr>
          <w:rFonts w:ascii="仿宋_GB2312" w:eastAsia="仿宋_GB2312" w:hAnsi="仿宋_GB2312" w:cs="仿宋_GB2312"/>
          <w:sz w:val="32"/>
          <w:szCs w:val="32"/>
        </w:rPr>
        <w:t>    </w:t>
      </w:r>
      <w:r>
        <w:rPr>
          <w:rFonts w:ascii="仿宋_GB2312" w:eastAsia="仿宋_GB2312" w:hAnsi="仿宋_GB2312" w:cs="仿宋_GB2312"/>
          <w:sz w:val="28"/>
          <w:szCs w:val="28"/>
        </w:rPr>
        <w:t>中标人须承诺向采购人提供有经验的项目实施队伍，至少一人为</w:t>
      </w:r>
      <w:r>
        <w:rPr>
          <w:rFonts w:ascii="仿宋_GB2312" w:eastAsia="仿宋_GB2312" w:hAnsi="仿宋_GB2312" w:cs="仿宋_GB2312"/>
          <w:sz w:val="28"/>
          <w:szCs w:val="28"/>
        </w:rPr>
        <w:t>1人为高级信息系统项目管理师。对于不满足采购人要求的人员，采购人有权要求成交供应商无条件更换人员，且不能影响项目进度；如中标方不能及时更换，视为违约，采购人有权解除本项目合同。</w:t>
      </w:r>
    </w:p>
    <w:p>
      <w:pPr>
        <w:pStyle w:val="16"/>
        <w:spacing w:before="0" w:after="0" w:line="360" w:lineRule="auto"/>
        <w:ind w:left="0" w:right="0"/>
        <w:jc w:val="both"/>
        <w:rPr>
          <w:rFonts w:ascii="Times New Roman" w:eastAsia="Times New Roman" w:hAnsi="Times New Roman" w:cs="Times New Roman"/>
        </w:rPr>
      </w:pPr>
      <w:r>
        <w:rPr>
          <w:rFonts w:ascii="仿宋_GB2312" w:eastAsia="仿宋_GB2312" w:hAnsi="仿宋_GB2312" w:cs="仿宋_GB2312"/>
          <w:sz w:val="28"/>
          <w:szCs w:val="28"/>
        </w:rPr>
        <w:t>    1．根据各投标人拟投入本项目技术人员定位、岗位职责、合理。</w:t>
      </w:r>
    </w:p>
    <w:p>
      <w:pPr>
        <w:pStyle w:val="150"/>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2．投标人拟投入本项目技术人员资质、专业程度、工作经验。</w:t>
      </w:r>
    </w:p>
    <w:p>
      <w:pPr>
        <w:pStyle w:val="150"/>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3．项目经理的工作年限、类似项目管理经验丰富。</w:t>
      </w:r>
    </w:p>
    <w:p>
      <w:pPr>
        <w:pStyle w:val="150"/>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4．投标人拟投入的高级、中级技术人员的数量、比例及稳定性情况。</w:t>
      </w:r>
    </w:p>
    <w:p>
      <w:pPr>
        <w:pStyle w:val="Heading20"/>
        <w:keepNext w:val="0"/>
        <w:spacing w:before="0" w:after="0" w:line="360" w:lineRule="auto"/>
        <w:rPr>
          <w:rFonts w:ascii="仿宋_GB2312" w:eastAsia="仿宋_GB2312" w:hAnsi="仿宋_GB2312" w:cs="仿宋_GB2312"/>
          <w:b/>
          <w:bCs/>
          <w:sz w:val="28"/>
          <w:szCs w:val="28"/>
        </w:rPr>
      </w:pPr>
      <w:bookmarkStart w:id="29" w:name="_Toc256000025"/>
      <w:r>
        <w:rPr>
          <w:rFonts w:ascii="仿宋_GB2312" w:eastAsia="仿宋_GB2312" w:hAnsi="仿宋_GB2312" w:cs="仿宋_GB2312"/>
          <w:i w:val="0"/>
          <w:iCs w:val="0"/>
        </w:rPr>
        <w:t>4.2管理团队</w:t>
      </w:r>
      <w:bookmarkEnd w:id="29"/>
    </w:p>
    <w:p>
      <w:pPr>
        <w:pStyle w:val="Heading30"/>
        <w:keepNext w:val="0"/>
        <w:spacing w:before="0" w:after="0" w:line="360" w:lineRule="auto"/>
        <w:rPr>
          <w:rFonts w:ascii="仿宋_GB2312" w:eastAsia="仿宋_GB2312" w:hAnsi="仿宋_GB2312" w:cs="仿宋_GB2312"/>
          <w:b/>
          <w:bCs/>
          <w:sz w:val="28"/>
          <w:szCs w:val="28"/>
        </w:rPr>
      </w:pPr>
      <w:bookmarkStart w:id="30" w:name="_Toc256000026"/>
      <w:r>
        <w:rPr>
          <w:rFonts w:ascii="仿宋_GB2312" w:eastAsia="仿宋_GB2312" w:hAnsi="仿宋_GB2312" w:cs="仿宋_GB2312"/>
          <w:sz w:val="28"/>
          <w:szCs w:val="28"/>
        </w:rPr>
        <w:t>4.2.1项目经理</w:t>
      </w:r>
      <w:bookmarkEnd w:id="30"/>
    </w:p>
    <w:p>
      <w:pPr>
        <w:pStyle w:val="MsoNormal"/>
        <w:spacing w:before="0" w:after="0" w:line="360" w:lineRule="auto"/>
        <w:ind w:left="0" w:right="0"/>
      </w:pPr>
      <w:r>
        <w:rPr>
          <w:rFonts w:ascii="仿宋_GB2312" w:eastAsia="仿宋_GB2312" w:hAnsi="仿宋_GB2312" w:cs="仿宋_GB2312"/>
          <w:sz w:val="32"/>
          <w:szCs w:val="32"/>
        </w:rPr>
        <w:t>    </w:t>
      </w:r>
      <w:r>
        <w:rPr>
          <w:rFonts w:ascii="仿宋_GB2312" w:eastAsia="仿宋_GB2312" w:hAnsi="仿宋_GB2312" w:cs="仿宋_GB2312"/>
          <w:sz w:val="28"/>
          <w:szCs w:val="28"/>
        </w:rPr>
        <w:t xml:space="preserve"> 投标人须选择工作责任心强、技术水平高、业务熟练、管理敬业丰富的专业技术人员担任项目经理。</w:t>
      </w:r>
    </w:p>
    <w:p>
      <w:pPr>
        <w:pStyle w:val="150"/>
        <w:spacing w:before="0" w:after="0" w:line="360" w:lineRule="auto"/>
        <w:ind w:left="0" w:right="0"/>
        <w:rPr>
          <w:rFonts w:ascii="Times New Roman" w:eastAsia="Times New Roman" w:hAnsi="Times New Roman" w:cs="Times New Roman"/>
        </w:rPr>
      </w:pPr>
      <w:r>
        <w:rPr>
          <w:rFonts w:ascii="Times New Roman" w:eastAsia="Times New Roman" w:hAnsi="Times New Roman" w:cs="Times New Roman"/>
        </w:rPr>
        <w:t> </w:t>
      </w:r>
    </w:p>
    <w:p>
      <w:pPr>
        <w:pStyle w:val="Heading20"/>
        <w:keepNext w:val="0"/>
        <w:spacing w:before="0" w:after="0" w:line="360" w:lineRule="auto"/>
        <w:rPr>
          <w:rFonts w:ascii="仿宋_GB2312" w:eastAsia="仿宋_GB2312" w:hAnsi="仿宋_GB2312" w:cs="仿宋_GB2312"/>
          <w:b/>
          <w:bCs/>
          <w:sz w:val="28"/>
          <w:szCs w:val="28"/>
        </w:rPr>
      </w:pPr>
      <w:bookmarkStart w:id="31" w:name="_Toc256000027"/>
      <w:r>
        <w:rPr>
          <w:rFonts w:ascii="仿宋_GB2312" w:eastAsia="仿宋_GB2312" w:hAnsi="仿宋_GB2312" w:cs="仿宋_GB2312"/>
          <w:i w:val="0"/>
          <w:iCs w:val="0"/>
        </w:rPr>
        <w:t>4.3技术团队</w:t>
      </w:r>
      <w:bookmarkEnd w:id="31"/>
    </w:p>
    <w:p>
      <w:pPr>
        <w:pStyle w:val="150"/>
        <w:spacing w:before="0" w:after="0" w:line="360" w:lineRule="auto"/>
        <w:ind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本项目涉及信息化服务技术人员的，技术人员应当是服务单位的正式人员，常驻技术人员应当为技术骨干。</w:t>
      </w:r>
    </w:p>
    <w:p>
      <w:pPr>
        <w:pStyle w:val="Heading20"/>
        <w:keepNext w:val="0"/>
        <w:spacing w:before="0" w:after="0" w:line="360" w:lineRule="auto"/>
        <w:rPr>
          <w:rFonts w:ascii="仿宋_GB2312" w:eastAsia="仿宋_GB2312" w:hAnsi="仿宋_GB2312" w:cs="仿宋_GB2312"/>
          <w:b/>
          <w:bCs/>
          <w:sz w:val="28"/>
          <w:szCs w:val="28"/>
        </w:rPr>
      </w:pPr>
      <w:bookmarkStart w:id="32" w:name="_Toc256000028"/>
      <w:r>
        <w:rPr>
          <w:rFonts w:ascii="仿宋_GB2312" w:eastAsia="仿宋_GB2312" w:hAnsi="仿宋_GB2312" w:cs="仿宋_GB2312"/>
          <w:i w:val="0"/>
          <w:iCs w:val="0"/>
        </w:rPr>
        <w:t>4.4优选资质/优选指标</w:t>
      </w:r>
      <w:bookmarkEnd w:id="32"/>
    </w:p>
    <w:tbl>
      <w:tblPr>
        <w:tblStyle w:val="TableNormal"/>
        <w:tblW w:w="5000" w:type="pct"/>
        <w:tblInd w:w="30" w:type="dxa"/>
        <w:tblCellMar>
          <w:top w:w="15" w:type="dxa"/>
          <w:left w:w="15" w:type="dxa"/>
          <w:bottom w:w="15" w:type="dxa"/>
          <w:right w:w="15" w:type="dxa"/>
        </w:tblCellMar>
      </w:tblPr>
      <w:tblGrid>
        <w:gridCol w:w="186"/>
        <w:gridCol w:w="762"/>
        <w:gridCol w:w="474"/>
        <w:gridCol w:w="7102"/>
        <w:gridCol w:w="546"/>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人员岗位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是否作为加分项</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信息系统项目管理师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项目经理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投标人应安排1名综合技术实力较强的项目经理，与采购人共同统筹及协调一切与本项目有关的事项，领导并监督项目组中投标人人员的工作情况，与采购人定时审查及监督项目实施过程，处理项目实施中的各项变更事宜。</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项目经理应具备信息系统项目管理师证书。</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高级信息技术专业人员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高级技术人员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具有计算机技术与软件专业技术高级资格证书（包括信息系统项目管理师、系统分析师、系统架构设计师）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中级信息技术专业人员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中级技术人员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具有计算机技术与软件专业技术中级资格证书（包括软件评测师、软件设计师、软件过程能力评估师、系统集成项目管理工程师、信息系统监理师、信息安全工程师、数据库系统工程师、信息系统管理工程师）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初级信息技术专业人员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普通技术人员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具有计算机技术与软件专业技术初级资格证书（包括程序员、信息系统运行管理员）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10"/>
        <w:keepNext w:val="0"/>
        <w:spacing w:before="0" w:after="0" w:line="360" w:lineRule="auto"/>
        <w:jc w:val="center"/>
        <w:rPr>
          <w:rFonts w:ascii="仿宋_GB2312" w:eastAsia="仿宋_GB2312" w:hAnsi="仿宋_GB2312" w:cs="仿宋_GB2312"/>
          <w:b/>
          <w:bCs/>
          <w:sz w:val="32"/>
          <w:szCs w:val="32"/>
        </w:rPr>
      </w:pPr>
      <w:bookmarkStart w:id="33" w:name="_Toc256000029"/>
      <w:r>
        <w:rPr>
          <w:rFonts w:ascii="仿宋_GB2312" w:eastAsia="仿宋_GB2312" w:hAnsi="仿宋_GB2312" w:cs="仿宋_GB2312"/>
          <w:kern w:val="36"/>
        </w:rPr>
        <w:t>5管理实施要求</w:t>
      </w:r>
      <w:bookmarkEnd w:id="33"/>
    </w:p>
    <w:p>
      <w:pPr>
        <w:pStyle w:val="150"/>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（一）安全及保密要求</w:t>
      </w:r>
    </w:p>
    <w:p>
      <w:pPr>
        <w:pStyle w:val="150"/>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项目合同期内，中标方要严格遵守局方的各项管理规章制度，做好数据保密和信息安全工作，严禁非法修改和外泄数据，因中标方工作人员人为造成数据和技术文档泄密的，中标方应承担全部责任。因工作失误造成重大故障损失的，或者对事故处理不当、不及时等造成税务局损失的，中标方应承担全部责任。</w:t>
      </w:r>
    </w:p>
    <w:p>
      <w:pPr>
        <w:pStyle w:val="150"/>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（二）考核要求</w:t>
      </w:r>
    </w:p>
    <w:p>
      <w:pPr>
        <w:pStyle w:val="150"/>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中标方应严格按照采购方相关应用信息系统管理要求开展工作，接受采购方的定期考核，并承诺接受采购方考核要求。对采购方提出的按照考核成绩与合同款项支付挂钩的安排不提出异议。</w:t>
      </w:r>
    </w:p>
    <w:p>
      <w:pPr>
        <w:pStyle w:val="150"/>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（三）服务响应时间要求</w:t>
      </w:r>
    </w:p>
    <w:p>
      <w:pPr>
        <w:pStyle w:val="150"/>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合同履行期间，所负责运维系统一旦有紧急事件发生，中标方应立即逐级上报并启动应急预案，填写《应用信息系统故障排查任务单》。若发生重大事项，故障恢复后要填写《</w:t>
      </w:r>
      <w:r>
        <w:rPr>
          <w:rFonts w:ascii="仿宋_GB2312" w:eastAsia="仿宋_GB2312" w:hAnsi="仿宋_GB2312" w:cs="仿宋_GB2312"/>
          <w:sz w:val="28"/>
          <w:szCs w:val="28"/>
        </w:rPr>
        <w:t>××税务局征期信息系统运行重大事项说明（××月第×次）》并上报吉林省税务局网络安全和信息化领导小组办公室。</w:t>
      </w:r>
    </w:p>
    <w:p>
      <w:pPr>
        <w:pStyle w:val="150"/>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信息系统重大事项是指出现业务阻断、系统停机、系统卡顿</w:t>
      </w:r>
      <w:r>
        <w:rPr>
          <w:rFonts w:ascii="仿宋_GB2312" w:eastAsia="仿宋_GB2312" w:hAnsi="仿宋_GB2312" w:cs="仿宋_GB2312"/>
          <w:sz w:val="28"/>
          <w:szCs w:val="28"/>
        </w:rPr>
        <w:t>30分钟以上的情况，或者出现重大安全事件，以及引发负面舆情、法定或重点工作无法按期完成的问题。</w:t>
      </w:r>
    </w:p>
    <w:p>
      <w:pPr>
        <w:pStyle w:val="Heading10"/>
        <w:keepNext w:val="0"/>
        <w:spacing w:before="0" w:after="0" w:line="360" w:lineRule="auto"/>
        <w:jc w:val="center"/>
        <w:rPr>
          <w:rFonts w:ascii="仿宋_GB2312" w:eastAsia="仿宋_GB2312" w:hAnsi="仿宋_GB2312" w:cs="仿宋_GB2312"/>
          <w:b/>
          <w:bCs/>
          <w:sz w:val="32"/>
          <w:szCs w:val="32"/>
        </w:rPr>
      </w:pPr>
      <w:bookmarkStart w:id="34" w:name="_Toc256000030"/>
      <w:r>
        <w:rPr>
          <w:rFonts w:ascii="仿宋_GB2312" w:eastAsia="仿宋_GB2312" w:hAnsi="仿宋_GB2312" w:cs="仿宋_GB2312"/>
          <w:kern w:val="36"/>
        </w:rPr>
        <w:t>6保密要求</w:t>
      </w:r>
      <w:bookmarkEnd w:id="34"/>
    </w:p>
    <w:p>
      <w:pPr>
        <w:pStyle w:val="150"/>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1.双方应对在合同签订或履行过程中所接触的对方信息，包括但不限于知识产权、技术资料、技术诀窍、内部管理及其他相关信息，负有保密义务。</w:t>
      </w:r>
    </w:p>
    <w:p>
      <w:pPr>
        <w:pStyle w:val="150"/>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2.投标人在使用用户方为其提供的数据、程序、用户名、口令、资料及甲方相关的业务和技术文档，包括方案设计细节、程序文件、数据结构，以及相关业务系统的硬软件、文档、测试和测试产生的数据时，应遵循以下约定:</w:t>
      </w:r>
    </w:p>
    <w:p>
      <w:pPr>
        <w:pStyle w:val="150"/>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1）应以审慎态度避免泄露、公开或传播用户方的信息;</w:t>
      </w:r>
    </w:p>
    <w:p>
      <w:pPr>
        <w:pStyle w:val="150"/>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2）未经用户方书面许可，不得对有关信息进行修改、补充、复制;</w:t>
      </w:r>
    </w:p>
    <w:p>
      <w:pPr>
        <w:pStyle w:val="150"/>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3）未经用户方书面许可，不得将信息以任何方式(如E-mail)携带出甲方场所;</w:t>
      </w:r>
    </w:p>
    <w:p>
      <w:pPr>
        <w:pStyle w:val="150"/>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4）未经用户方书面许可，不得将信息透露给任何其他人;</w:t>
      </w:r>
    </w:p>
    <w:p>
      <w:pPr>
        <w:pStyle w:val="150"/>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5）用户方以书面形式提出的其他保密措施。</w:t>
      </w:r>
    </w:p>
    <w:p>
      <w:pPr>
        <w:pStyle w:val="150"/>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3.保密期限不受合同有效期的限制，在合同有效期结束后，信息接受方仍应承担保密义务，直至该等信息成为公开信息。</w:t>
      </w:r>
    </w:p>
    <w:p>
      <w:pPr>
        <w:pStyle w:val="150"/>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4.双方如出现泄密行为，泄密方应承担相关的法律责任并承担由此给对方造成的经济损失。</w:t>
      </w:r>
    </w:p>
    <w:p>
      <w:pPr>
        <w:pStyle w:val="Heading10"/>
        <w:keepNext w:val="0"/>
        <w:spacing w:before="0" w:after="0" w:line="360" w:lineRule="auto"/>
        <w:jc w:val="center"/>
        <w:rPr>
          <w:rFonts w:ascii="仿宋_GB2312" w:eastAsia="仿宋_GB2312" w:hAnsi="仿宋_GB2312" w:cs="仿宋_GB2312"/>
          <w:b/>
          <w:bCs/>
          <w:sz w:val="32"/>
          <w:szCs w:val="32"/>
        </w:rPr>
      </w:pPr>
      <w:bookmarkStart w:id="35" w:name="_Toc256000031"/>
      <w:r>
        <w:rPr>
          <w:rFonts w:ascii="仿宋_GB2312" w:eastAsia="仿宋_GB2312" w:hAnsi="仿宋_GB2312" w:cs="仿宋_GB2312"/>
          <w:kern w:val="36"/>
        </w:rPr>
        <w:t>7知识转移要求</w:t>
      </w:r>
      <w:bookmarkEnd w:id="35"/>
    </w:p>
    <w:p>
      <w:pPr>
        <w:pStyle w:val="150"/>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28"/>
          <w:szCs w:val="28"/>
        </w:rPr>
        <w:t>本项目所有知识产权归国家税务总局吉林省税务局所有。投标人需保证所提供的服务不侵犯第三方的知识产权（专利权、商标权、版权等），因侵害第三方知识产权而产生的法律责任，全部由投标人承担。</w:t>
      </w:r>
    </w:p>
    <w:p>
      <w:pPr>
        <w:pStyle w:val="Heading10"/>
        <w:keepNext w:val="0"/>
        <w:spacing w:before="0" w:after="0" w:line="360" w:lineRule="auto"/>
        <w:jc w:val="center"/>
        <w:rPr>
          <w:rFonts w:ascii="仿宋_GB2312" w:eastAsia="仿宋_GB2312" w:hAnsi="仿宋_GB2312" w:cs="仿宋_GB2312"/>
          <w:b/>
          <w:bCs/>
          <w:sz w:val="32"/>
          <w:szCs w:val="32"/>
        </w:rPr>
      </w:pPr>
      <w:bookmarkStart w:id="36" w:name="_Toc256000032"/>
      <w:r>
        <w:rPr>
          <w:rFonts w:ascii="仿宋_GB2312" w:eastAsia="仿宋_GB2312" w:hAnsi="仿宋_GB2312" w:cs="仿宋_GB2312"/>
          <w:kern w:val="36"/>
        </w:rPr>
        <w:t>8风险管控要求</w:t>
      </w:r>
      <w:bookmarkEnd w:id="36"/>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本项目中，应实行两级检查、两级验收制度。一级检查、二级检查和一级验收由实施小组组织完成；二级验收由省局组织实施。各级检查验收严格按项目实施中制订的相应的检查验收规定和质量评定标准执行。对实施和验收过程中出现的重大技术问题，将上报用户协调处理，对一般质量问题的处理应予以书面记录。</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（一）职责分工控制措施。本项目的前台操作页面，按照数据管理权限和菜单管理权限分别进行控制，符合应用系统岗责权限管理控制的要求，对不同级别不同范围的数据按照岗责要求和数据权限进行细分。</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（二）不相容岗位（职责）分离控制措施。系统岗位设置符合不相容岗位（职责）分离的要求，避免一人履职发生错误或舞弊风险。</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（三）授权审批控制措施。本项目按照国家税务总局吉林省税务局统一要求集成至统一工作平台，平台分配用户岗位，审核、复审、发布流程符合授权审批控制，符合</w:t>
      </w:r>
      <w:r>
        <w:rPr>
          <w:rFonts w:ascii="仿宋_GB2312" w:eastAsia="仿宋_GB2312" w:hAnsi="仿宋_GB2312" w:cs="仿宋_GB2312"/>
          <w:sz w:val="28"/>
          <w:szCs w:val="28"/>
        </w:rPr>
        <w:t>“职责明确、分权制衡”的原则和有关制度规定。</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（四）</w:t>
      </w:r>
      <w:r>
        <w:rPr>
          <w:rFonts w:ascii="仿宋_GB2312" w:eastAsia="仿宋_GB2312" w:hAnsi="仿宋_GB2312" w:cs="仿宋_GB2312"/>
          <w:sz w:val="28"/>
          <w:szCs w:val="28"/>
        </w:rPr>
        <w:t xml:space="preserve"> </w:t>
      </w:r>
      <w:r>
        <w:rPr>
          <w:rFonts w:ascii="仿宋_GB2312" w:eastAsia="仿宋_GB2312" w:hAnsi="仿宋_GB2312" w:cs="仿宋_GB2312"/>
          <w:sz w:val="28"/>
          <w:szCs w:val="28"/>
        </w:rPr>
        <w:t>流程控制措施。本项目的操作步骤、处理时限等应当符合相关工作规程。</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（五）公开运行控制措施。本项目对规定和实际需要公开的事项，做到对具体对象公开。</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（六）痕迹记录控制措施。本项目涉及的数据操作要有记录留存后台数据库。</w:t>
      </w:r>
    </w:p>
    <w:p>
      <w:pPr>
        <w:pStyle w:val="Heading10"/>
        <w:keepNext w:val="0"/>
        <w:spacing w:before="0" w:after="0" w:line="360" w:lineRule="auto"/>
        <w:jc w:val="center"/>
        <w:rPr>
          <w:rFonts w:ascii="仿宋_GB2312" w:eastAsia="仿宋_GB2312" w:hAnsi="仿宋_GB2312" w:cs="仿宋_GB2312"/>
          <w:b/>
          <w:bCs/>
          <w:sz w:val="32"/>
          <w:szCs w:val="32"/>
        </w:rPr>
      </w:pPr>
      <w:bookmarkStart w:id="37" w:name="_Toc256000033"/>
      <w:r>
        <w:rPr>
          <w:rFonts w:ascii="仿宋_GB2312" w:eastAsia="仿宋_GB2312" w:hAnsi="仿宋_GB2312" w:cs="仿宋_GB2312"/>
          <w:kern w:val="36"/>
        </w:rPr>
        <w:t>9履约验收要求</w:t>
      </w:r>
      <w:bookmarkEnd w:id="37"/>
    </w:p>
    <w:p>
      <w:pPr>
        <w:pStyle w:val="Heading20"/>
        <w:keepNext w:val="0"/>
        <w:spacing w:before="0" w:after="0" w:line="360" w:lineRule="auto"/>
        <w:rPr>
          <w:rFonts w:ascii="仿宋_GB2312" w:eastAsia="仿宋_GB2312" w:hAnsi="仿宋_GB2312" w:cs="仿宋_GB2312"/>
          <w:b/>
          <w:bCs/>
          <w:sz w:val="28"/>
          <w:szCs w:val="28"/>
        </w:rPr>
      </w:pPr>
      <w:bookmarkStart w:id="38" w:name="_Toc256000034"/>
      <w:r>
        <w:rPr>
          <w:rFonts w:ascii="仿宋_GB2312" w:eastAsia="仿宋_GB2312" w:hAnsi="仿宋_GB2312" w:cs="仿宋_GB2312"/>
          <w:i w:val="0"/>
          <w:iCs w:val="0"/>
        </w:rPr>
        <w:t>9.1总体要求</w:t>
      </w:r>
      <w:bookmarkEnd w:id="38"/>
    </w:p>
    <w:tbl>
      <w:tblPr>
        <w:tblStyle w:val="TableNormal"/>
        <w:tblW w:w="5000" w:type="pct"/>
        <w:tblInd w:w="30" w:type="dxa"/>
        <w:tblCellMar>
          <w:top w:w="15" w:type="dxa"/>
          <w:left w:w="15" w:type="dxa"/>
          <w:bottom w:w="15" w:type="dxa"/>
          <w:right w:w="15" w:type="dxa"/>
        </w:tblCellMar>
      </w:tblPr>
      <w:tblGrid>
        <w:gridCol w:w="654"/>
        <w:gridCol w:w="8416"/>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本项目的系统升级改造，中标供应商应在3个月内完成全部功能模块的开发，达到预期目标后，中标供应商需向采购方验收小组提供要求提供的验收材料进行验收。</w:t>
            </w:r>
          </w:p>
        </w:tc>
      </w:tr>
    </w:tbl>
    <w:p>
      <w:pPr>
        <w:pStyle w:val="Heading20"/>
        <w:keepNext w:val="0"/>
        <w:spacing w:before="0" w:after="0" w:line="360" w:lineRule="auto"/>
        <w:rPr>
          <w:rFonts w:ascii="仿宋_GB2312" w:eastAsia="仿宋_GB2312" w:hAnsi="仿宋_GB2312" w:cs="仿宋_GB2312"/>
          <w:b/>
          <w:bCs/>
          <w:sz w:val="28"/>
          <w:szCs w:val="28"/>
        </w:rPr>
      </w:pPr>
      <w:bookmarkStart w:id="39" w:name="_Toc256000035"/>
      <w:r>
        <w:rPr>
          <w:rFonts w:ascii="仿宋_GB2312" w:eastAsia="仿宋_GB2312" w:hAnsi="仿宋_GB2312" w:cs="仿宋_GB2312"/>
          <w:i w:val="0"/>
          <w:iCs w:val="0"/>
        </w:rPr>
        <w:t>9.2具体要求</w:t>
      </w:r>
      <w:bookmarkEnd w:id="39"/>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本项目的系统升级改造，中标供应商应在</w:t>
      </w:r>
      <w:r>
        <w:rPr>
          <w:rFonts w:ascii="仿宋_GB2312" w:eastAsia="仿宋_GB2312" w:hAnsi="仿宋_GB2312" w:cs="仿宋_GB2312"/>
          <w:sz w:val="28"/>
          <w:szCs w:val="28"/>
        </w:rPr>
        <w:t>3个月内完成全部功能模块的开发，达到预期目标后，中标供应商需向采购方验收小组提供以下验收材料：</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（一）合同书（复印件）；</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（二）项目工作总结（加盖公章）；</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（三）项目需求分析报告终稿；</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（四）项目概要设计、详细设计终稿（建设方案包括数据安全建设方案）；</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（五）项目建设报告，包括目标实现情况、计划进度执行情况、网络安全、数据安全建设报告等；</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（六）系统测试报告，包括性能测试、功能测试、安全测试的方案、用例、结果和反馈等；</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（七）系统试运行报告，包括试运行方案、问题和结论等；</w:t>
      </w:r>
    </w:p>
    <w:p>
      <w:pPr>
        <w:pStyle w:val="150"/>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（八）技术方案白皮书，包括项目建设难点及解决方案，对今后的工作的建议；</w:t>
      </w:r>
    </w:p>
    <w:p>
      <w:pPr>
        <w:pStyle w:val="150"/>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（九）用户操作手册；</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（十）系统安装维护手册；</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（十一）项目源代码及注释；</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（十二）接口协议及注释；</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（十三）完整的数据字典；</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（十四）备份恢复手册；</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（十五）信息系统拟定级工作报告（项目规划阶段）；</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（十六）信息系统等级保护测评报告（项目上线前），本项目等级保护测评与省局统一工作平台年度等级保护测评一并进行；</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（十七）信息系统源代码审计报告，相关费用由中标公司承担；</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（十八）漏洞扫描、安全基线报告和渗透测试报告；</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（十九）内控内生化方案（包括内控内生化方案中的各项功能，是否事前预警、事中阻断、事后筛查等风险防控措施能够嵌入到软件中，保证正常运行。）；</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（二十一）内控内生化报告；</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（二十二）技术检测报告（运用技术、系统部署、数据流向等是否符合合同和需求说明，性能是否达标）等；</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（二十三）必要时，需要提供项目费用使用情况；</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（二十四）若项目为公开招标，提供相关招标文件。</w:t>
      </w:r>
    </w:p>
    <w:p>
      <w:pPr>
        <w:pStyle w:val="Heading10"/>
        <w:keepNext w:val="0"/>
        <w:spacing w:before="0" w:after="0" w:line="360" w:lineRule="auto"/>
        <w:jc w:val="center"/>
        <w:rPr>
          <w:rFonts w:ascii="仿宋_GB2312" w:eastAsia="仿宋_GB2312" w:hAnsi="仿宋_GB2312" w:cs="仿宋_GB2312"/>
          <w:b/>
          <w:bCs/>
          <w:sz w:val="32"/>
          <w:szCs w:val="32"/>
        </w:rPr>
      </w:pPr>
      <w:bookmarkStart w:id="40" w:name="_Toc256000036"/>
      <w:r>
        <w:rPr>
          <w:rFonts w:ascii="仿宋_GB2312" w:eastAsia="仿宋_GB2312" w:hAnsi="仿宋_GB2312" w:cs="仿宋_GB2312"/>
          <w:kern w:val="36"/>
        </w:rPr>
        <w:t>10其他要求</w:t>
      </w:r>
      <w:bookmarkEnd w:id="40"/>
    </w:p>
    <w:p>
      <w:pPr>
        <w:pStyle w:val="Heading20"/>
        <w:keepNext w:val="0"/>
        <w:spacing w:before="0" w:after="0" w:line="360" w:lineRule="auto"/>
        <w:rPr>
          <w:rFonts w:ascii="仿宋_GB2312" w:eastAsia="仿宋_GB2312" w:hAnsi="仿宋_GB2312" w:cs="仿宋_GB2312"/>
          <w:b/>
          <w:bCs/>
          <w:sz w:val="28"/>
          <w:szCs w:val="28"/>
        </w:rPr>
      </w:pPr>
      <w:bookmarkStart w:id="41" w:name="_Toc256000037"/>
      <w:r>
        <w:rPr>
          <w:rFonts w:ascii="仿宋_GB2312" w:eastAsia="仿宋_GB2312" w:hAnsi="仿宋_GB2312" w:cs="仿宋_GB2312"/>
          <w:i w:val="0"/>
          <w:iCs w:val="0"/>
        </w:rPr>
        <w:t>10.1必备要求</w:t>
      </w:r>
      <w:bookmarkEnd w:id="41"/>
    </w:p>
    <w:p>
      <w:pPr>
        <w:pStyle w:val="Heading30"/>
        <w:keepNext w:val="0"/>
        <w:spacing w:before="0" w:after="0" w:line="360" w:lineRule="auto"/>
        <w:rPr>
          <w:rFonts w:ascii="仿宋_GB2312" w:eastAsia="仿宋_GB2312" w:hAnsi="仿宋_GB2312" w:cs="仿宋_GB2312"/>
          <w:b/>
          <w:bCs/>
          <w:sz w:val="28"/>
          <w:szCs w:val="28"/>
        </w:rPr>
      </w:pPr>
      <w:bookmarkStart w:id="42" w:name="_Toc256000038"/>
      <w:r>
        <w:rPr>
          <w:rFonts w:ascii="仿宋_GB2312" w:eastAsia="仿宋_GB2312" w:hAnsi="仿宋_GB2312" w:cs="仿宋_GB2312"/>
          <w:sz w:val="28"/>
          <w:szCs w:val="28"/>
        </w:rPr>
        <w:t>10.1.1★税收信息化项目开发和应用管理工作要求</w:t>
      </w:r>
      <w:bookmarkEnd w:id="42"/>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供应商在采购以及后续项目实施过程中，应严格遵守税务总局税收信息化项目开发和应用管理工作要求。对于违反合同约定的，依据合同约定及政府采购有关规定，采购人可采取要求限期改正、在应付合同金额中扣除违约金、解除合同等措施；对于存在严重违法失信行为的，由采购人按规定推送财政部纳入政府采购严重违法失信行为记录名单。</w:t>
      </w:r>
    </w:p>
    <w:p>
      <w:pPr>
        <w:pStyle w:val="Heading30"/>
        <w:keepNext w:val="0"/>
        <w:spacing w:before="0" w:after="0" w:line="360" w:lineRule="auto"/>
        <w:rPr>
          <w:rFonts w:ascii="仿宋_GB2312" w:eastAsia="仿宋_GB2312" w:hAnsi="仿宋_GB2312" w:cs="仿宋_GB2312"/>
          <w:b/>
          <w:bCs/>
          <w:sz w:val="28"/>
          <w:szCs w:val="28"/>
        </w:rPr>
      </w:pPr>
      <w:bookmarkStart w:id="43" w:name="_Toc256000039"/>
      <w:r>
        <w:rPr>
          <w:rFonts w:ascii="仿宋_GB2312" w:eastAsia="仿宋_GB2312" w:hAnsi="仿宋_GB2312" w:cs="仿宋_GB2312"/>
          <w:sz w:val="28"/>
          <w:szCs w:val="28"/>
        </w:rPr>
        <w:t>10.1.2★税收信息化项目廉政要求</w:t>
      </w:r>
      <w:bookmarkEnd w:id="43"/>
    </w:p>
    <w:p>
      <w:pPr>
        <w:pStyle w:val="15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中标人在参与税务部门信息化项目工作过程中，需严格遵守法律法规、规范履行合同，积极协助税务部门开展廉政风险防控工作。请严格遵守并落实如下要求：</w:t>
      </w:r>
    </w:p>
    <w:p>
      <w:pPr>
        <w:pStyle w:val="15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一、积极发挥廉政风险防控正向作用。中标人有义务配合税务部门在信息化项目工作中加强廉政风险防控，执行有关措施。</w:t>
      </w:r>
    </w:p>
    <w:p>
      <w:pPr>
        <w:pStyle w:val="15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二、健全廉政风险防控机制。中标人有责任在项目管理机制中健全内部廉政防控措施，包括但不限于：对参与本项目的员工提出廉洁行为规范；指定专人对项目实施各环节进行廉政监督；在项目验收过程中提交本项目廉政情况报告等。</w:t>
      </w:r>
    </w:p>
    <w:p>
      <w:pPr>
        <w:pStyle w:val="15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三、杜绝违纪违法行为。中标人及相关项目人员必须严格遵守党纪国法，坚守职业道德，杜绝任何形式的利益输送、权力寻租等违纪违法行为，对甲方工作人员不得实施以下行为</w:t>
      </w:r>
      <w:r>
        <w:rPr>
          <w:rFonts w:ascii="仿宋_GB2312" w:eastAsia="仿宋_GB2312" w:hAnsi="仿宋_GB2312" w:cs="仿宋_GB2312"/>
          <w:sz w:val="28"/>
          <w:szCs w:val="28"/>
        </w:rPr>
        <w:t>:</w:t>
      </w:r>
    </w:p>
    <w:p>
      <w:pPr>
        <w:pStyle w:val="15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（一）以各种形式和名义提供礼品、礼金、电子红包、支付凭证、商业预付卡、名贵特产、有价证券、股权、其他金融产品等财物。</w:t>
      </w:r>
    </w:p>
    <w:p>
      <w:pPr>
        <w:pStyle w:val="15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（二）以各种形式和名义提供宴请、旅游、健身、娱乐、私人会所等活动安排；代付加班餐费、打车费等。</w:t>
      </w:r>
    </w:p>
    <w:p>
      <w:pPr>
        <w:pStyle w:val="15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（三）以讲课费、咨询费等名义，提供或变相提供报酬。</w:t>
      </w:r>
    </w:p>
    <w:p>
      <w:pPr>
        <w:pStyle w:val="15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（四）借款、借房、借车，报销应由个人负担的费用。</w:t>
      </w:r>
    </w:p>
    <w:p>
      <w:pPr>
        <w:pStyle w:val="15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（五）以无偿、象征性地收取费用等方式提供家政、司机等服务劳务。</w:t>
      </w:r>
    </w:p>
    <w:p>
      <w:pPr>
        <w:pStyle w:val="15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（六）其他通过任何形式行贿或输送利益的行为。</w:t>
      </w:r>
    </w:p>
    <w:p>
      <w:pPr>
        <w:pStyle w:val="15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四、信守承诺。中标人应承诺在项目实施过程中，严格遵守国家法律法规合法、诚信经营，杜绝商业贿赂、规范经营活动、公开透明合作、严格内部管理，并签订《税务信息化项目服务商廉洁承诺书》提交甲方负责项目实施的单位。</w:t>
      </w:r>
    </w:p>
    <w:p>
      <w:pPr>
        <w:pStyle w:val="15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五、自觉接受监管。中标人有义务配合税务机关的正常业务监管以及纪检监察、外部审计、督察内审等监督机构对税务信息化项目全过程的监督检查工作，如实提供相关资料和信息，不得隐瞒、篡改或销毁与项目建设有关的文件、数据等资料。</w:t>
      </w:r>
    </w:p>
    <w:p>
      <w:pPr>
        <w:pStyle w:val="15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六、举报和反馈意见。项目执行过程中，中标人有权举报、反馈甲方索贿受贿、吃拿卡要、违反中央八项规定精神等违纪违法行为。项目验收前，应填写《税务信息化项目服务商廉政反馈书》，提交甲方税务机关网络安全和信息化领导小组办公室。</w:t>
      </w:r>
    </w:p>
    <w:p>
      <w:pPr>
        <w:pStyle w:val="17"/>
        <w:spacing w:before="0" w:after="0" w:line="360" w:lineRule="auto"/>
        <w:jc w:val="center"/>
        <w:rPr>
          <w:rFonts w:ascii="Times New Roman" w:eastAsia="Times New Roman" w:hAnsi="Times New Roman" w:cs="Times New Roman"/>
        </w:rPr>
      </w:pPr>
      <w:r>
        <w:rPr>
          <w:rFonts w:ascii="方正小标宋简体" w:eastAsia="方正小标宋简体" w:hAnsi="方正小标宋简体" w:cs="方正小标宋简体"/>
          <w:sz w:val="36"/>
          <w:szCs w:val="36"/>
        </w:rPr>
        <w:t>税务信息化服务商廉洁承诺书</w:t>
      </w:r>
    </w:p>
    <w:p>
      <w:pPr>
        <w:pStyle w:val="17"/>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为深入贯彻落实党中央关于全面从严治党的决策部署，进一步加强税务信息化项目合作中的廉政建设，防范廉政风险发生，确保项目公开、公平、公正推进，我司郑重承诺如下：</w:t>
      </w:r>
    </w:p>
    <w:p>
      <w:pPr>
        <w:pStyle w:val="17"/>
        <w:spacing w:before="0" w:after="0" w:line="360" w:lineRule="auto"/>
        <w:rPr>
          <w:rFonts w:ascii="Times New Roman" w:eastAsia="Times New Roman" w:hAnsi="Times New Roman" w:cs="Times New Roman"/>
        </w:rPr>
      </w:pPr>
      <w:r>
        <w:rPr>
          <w:rFonts w:ascii="黑体" w:eastAsia="黑体" w:hAnsi="黑体" w:cs="黑体"/>
          <w:sz w:val="32"/>
          <w:szCs w:val="32"/>
        </w:rPr>
        <w:t>一、合法合规经营。</w:t>
      </w:r>
      <w:r>
        <w:rPr>
          <w:rFonts w:ascii="仿宋_GB2312" w:eastAsia="仿宋_GB2312" w:hAnsi="仿宋_GB2312" w:cs="仿宋_GB2312"/>
          <w:sz w:val="32"/>
          <w:szCs w:val="32"/>
        </w:rPr>
        <w:t>严格遵守国家法律法规及税务部门的相关规定，坚持廉洁从业、诚信经营的原则。在合作过程中不以任何形式进行利益输送，维护良好的政商关系。</w:t>
      </w:r>
    </w:p>
    <w:p>
      <w:pPr>
        <w:pStyle w:val="17"/>
        <w:spacing w:before="0" w:after="0" w:line="360" w:lineRule="auto"/>
        <w:rPr>
          <w:rFonts w:ascii="Times New Roman" w:eastAsia="Times New Roman" w:hAnsi="Times New Roman" w:cs="Times New Roman"/>
        </w:rPr>
      </w:pPr>
      <w:r>
        <w:rPr>
          <w:rFonts w:ascii="黑体" w:eastAsia="黑体" w:hAnsi="黑体" w:cs="黑体"/>
          <w:sz w:val="32"/>
          <w:szCs w:val="32"/>
        </w:rPr>
        <w:t>二、杜绝商业贿赂。</w:t>
      </w:r>
      <w:r>
        <w:rPr>
          <w:rFonts w:ascii="仿宋_GB2312" w:eastAsia="仿宋_GB2312" w:hAnsi="仿宋_GB2312" w:cs="仿宋_GB2312"/>
          <w:sz w:val="32"/>
          <w:szCs w:val="32"/>
        </w:rPr>
        <w:t>加强内部管理，我司及我司员工均不对甲方工作人员实施以下行为：</w:t>
      </w:r>
    </w:p>
    <w:p>
      <w:pPr>
        <w:pStyle w:val="17"/>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（一）以各种形式和名义提供礼品、礼金、电子红包、支付凭证、商业预付卡、名贵特产、有价证券、股权、其他金融产品等财物。</w:t>
      </w:r>
    </w:p>
    <w:p>
      <w:pPr>
        <w:pStyle w:val="17"/>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（二）以各种形式和名义提供宴请、旅游、健身、娱乐、私人会所等活动安排；代付加班餐费、打车费等。</w:t>
      </w:r>
    </w:p>
    <w:p>
      <w:pPr>
        <w:pStyle w:val="17"/>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（三）以讲课费、咨询费等名义，提供或变相提供报酬。</w:t>
      </w:r>
    </w:p>
    <w:p>
      <w:pPr>
        <w:pStyle w:val="17"/>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（四）借款、借房、借车，报销应由个人负担的费用。</w:t>
      </w:r>
    </w:p>
    <w:p>
      <w:pPr>
        <w:pStyle w:val="17"/>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（五）以无偿、象征性地收取费用等方式提供家政、司机等服务劳务。</w:t>
      </w:r>
    </w:p>
    <w:p>
      <w:pPr>
        <w:pStyle w:val="17"/>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（六）其他通过任何形式行贿或输送利益的行为。</w:t>
      </w:r>
    </w:p>
    <w:p>
      <w:pPr>
        <w:pStyle w:val="17"/>
        <w:spacing w:before="0" w:after="0" w:line="360" w:lineRule="auto"/>
        <w:rPr>
          <w:rFonts w:ascii="Times New Roman" w:eastAsia="Times New Roman" w:hAnsi="Times New Roman" w:cs="Times New Roman"/>
        </w:rPr>
      </w:pPr>
      <w:r>
        <w:rPr>
          <w:rFonts w:ascii="黑体" w:eastAsia="黑体" w:hAnsi="黑体" w:cs="黑体"/>
          <w:sz w:val="32"/>
          <w:szCs w:val="32"/>
        </w:rPr>
        <w:t>三、规范经营活动。</w:t>
      </w:r>
      <w:r>
        <w:rPr>
          <w:rFonts w:ascii="仿宋_GB2312" w:eastAsia="仿宋_GB2312" w:hAnsi="仿宋_GB2312" w:cs="仿宋_GB2312"/>
          <w:sz w:val="32"/>
          <w:szCs w:val="32"/>
        </w:rPr>
        <w:t>严格按照合同约定履行义务，保证项目质量，按时完成建设任务；在合作过程中不以任何借口拖延工期、虚报成本或谋取私利。</w:t>
      </w:r>
    </w:p>
    <w:p>
      <w:pPr>
        <w:pStyle w:val="17"/>
        <w:spacing w:before="0" w:after="0" w:line="360" w:lineRule="auto"/>
        <w:rPr>
          <w:rFonts w:ascii="Times New Roman" w:eastAsia="Times New Roman" w:hAnsi="Times New Roman" w:cs="Times New Roman"/>
        </w:rPr>
      </w:pPr>
      <w:r>
        <w:rPr>
          <w:rFonts w:ascii="黑体" w:eastAsia="黑体" w:hAnsi="黑体" w:cs="黑体"/>
          <w:sz w:val="32"/>
          <w:szCs w:val="32"/>
        </w:rPr>
        <w:t>四、公开透明合作。</w:t>
      </w:r>
      <w:r>
        <w:rPr>
          <w:rFonts w:ascii="仿宋_GB2312" w:eastAsia="仿宋_GB2312" w:hAnsi="仿宋_GB2312" w:cs="仿宋_GB2312"/>
          <w:sz w:val="32"/>
          <w:szCs w:val="32"/>
        </w:rPr>
        <w:t>我司承诺在项目实施过程中保持公开透明，主动接受税务部门及纪检监察机构的全程监督，并积极配合任何有关廉洁从业的调查工作。</w:t>
      </w:r>
    </w:p>
    <w:p>
      <w:pPr>
        <w:pStyle w:val="17"/>
        <w:spacing w:before="0" w:after="0" w:line="360" w:lineRule="auto"/>
        <w:rPr>
          <w:rFonts w:ascii="Times New Roman" w:eastAsia="Times New Roman" w:hAnsi="Times New Roman" w:cs="Times New Roman"/>
        </w:rPr>
      </w:pPr>
      <w:r>
        <w:rPr>
          <w:rFonts w:ascii="黑体" w:eastAsia="黑体" w:hAnsi="黑体" w:cs="黑体"/>
          <w:sz w:val="32"/>
          <w:szCs w:val="32"/>
        </w:rPr>
        <w:t>五、严格内部管理。</w:t>
      </w:r>
      <w:r>
        <w:rPr>
          <w:rFonts w:ascii="仿宋_GB2312" w:eastAsia="仿宋_GB2312" w:hAnsi="仿宋_GB2312" w:cs="仿宋_GB2312"/>
          <w:sz w:val="32"/>
          <w:szCs w:val="32"/>
        </w:rPr>
        <w:t>加强企业内部廉洁教育，确保员工知晓并遵守相关法律法规及廉洁要求；加强项目实施全过程廉洁监督；对于违反廉洁承诺的员工，将严肃处理，并承担相应责任。</w:t>
      </w:r>
    </w:p>
    <w:p>
      <w:pPr>
        <w:pStyle w:val="17"/>
        <w:spacing w:before="0" w:after="0" w:line="360" w:lineRule="auto"/>
        <w:rPr>
          <w:rFonts w:ascii="Times New Roman" w:eastAsia="Times New Roman" w:hAnsi="Times New Roman" w:cs="Times New Roman"/>
        </w:rPr>
      </w:pPr>
      <w:r>
        <w:rPr>
          <w:rFonts w:ascii="黑体" w:eastAsia="黑体" w:hAnsi="黑体" w:cs="黑体"/>
          <w:sz w:val="32"/>
          <w:szCs w:val="32"/>
        </w:rPr>
        <w:t>六、积极参与监督。</w:t>
      </w:r>
      <w:r>
        <w:rPr>
          <w:rFonts w:ascii="仿宋_GB2312" w:eastAsia="仿宋_GB2312" w:hAnsi="仿宋_GB2312" w:cs="仿宋_GB2312"/>
          <w:sz w:val="32"/>
          <w:szCs w:val="32"/>
        </w:rPr>
        <w:t>在税务信息化项目实施过程中，如发现任何违纪违法行为，将如实反馈问题和意见。</w:t>
      </w:r>
    </w:p>
    <w:p>
      <w:pPr>
        <w:pStyle w:val="17"/>
        <w:spacing w:before="0" w:after="0" w:line="360" w:lineRule="auto"/>
        <w:rPr>
          <w:rFonts w:ascii="Times New Roman" w:eastAsia="Times New Roman" w:hAnsi="Times New Roman" w:cs="Times New Roman"/>
        </w:rPr>
      </w:pPr>
      <w:r>
        <w:t> </w:t>
      </w:r>
    </w:p>
    <w:p>
      <w:pPr>
        <w:pStyle w:val="17"/>
        <w:spacing w:before="0" w:after="0" w:line="360" w:lineRule="auto"/>
        <w:rPr>
          <w:rFonts w:ascii="Times New Roman" w:eastAsia="Times New Roman" w:hAnsi="Times New Roman" w:cs="Times New Roman"/>
        </w:rPr>
      </w:pPr>
      <w:r>
        <w:t> </w:t>
      </w:r>
    </w:p>
    <w:p>
      <w:pPr>
        <w:pStyle w:val="17"/>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承诺单位（盖章）：</w:t>
      </w:r>
      <w:r>
        <w:rPr>
          <w:rFonts w:ascii="仿宋_GB2312" w:eastAsia="仿宋_GB2312" w:hAnsi="仿宋_GB2312" w:cs="仿宋_GB2312"/>
          <w:sz w:val="32"/>
          <w:szCs w:val="32"/>
        </w:rPr>
        <w:t>________________________</w:t>
      </w:r>
    </w:p>
    <w:p>
      <w:pPr>
        <w:pStyle w:val="17"/>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法定代表人或授权代表签字：</w:t>
      </w:r>
      <w:r>
        <w:rPr>
          <w:rFonts w:ascii="仿宋_GB2312" w:eastAsia="仿宋_GB2312" w:hAnsi="仿宋_GB2312" w:cs="仿宋_GB2312"/>
          <w:sz w:val="32"/>
          <w:szCs w:val="32"/>
        </w:rPr>
        <w:t>_______________</w:t>
      </w:r>
    </w:p>
    <w:p>
      <w:pPr>
        <w:pStyle w:val="17"/>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日期：</w:t>
      </w:r>
      <w:r>
        <w:rPr>
          <w:rFonts w:ascii="仿宋_GB2312" w:eastAsia="仿宋_GB2312" w:hAnsi="仿宋_GB2312" w:cs="仿宋_GB2312"/>
          <w:sz w:val="32"/>
          <w:szCs w:val="32"/>
        </w:rPr>
        <w:t>XX年XX月XX日</w:t>
      </w:r>
    </w:p>
    <w:p>
      <w:pPr>
        <w:pStyle w:val="17"/>
        <w:spacing w:before="0" w:after="0" w:line="360" w:lineRule="auto"/>
        <w:rPr>
          <w:rFonts w:ascii="Times New Roman" w:eastAsia="Times New Roman" w:hAnsi="Times New Roman" w:cs="Times New Roman"/>
        </w:rPr>
      </w:pPr>
      <w:r>
        <w:rPr>
          <w:rFonts w:ascii="仿宋_GB2312" w:eastAsia="仿宋_GB2312" w:hAnsi="仿宋_GB2312" w:cs="仿宋_GB2312"/>
          <w:sz w:val="21"/>
          <w:szCs w:val="21"/>
        </w:rPr>
        <w:t>备注：本承诺书一式两份，一份由承诺单位留存，另一份交税务部门备案。</w:t>
      </w:r>
    </w:p>
    <w:p>
      <w:pPr>
        <w:pStyle w:val="17"/>
        <w:spacing w:before="0" w:after="0" w:line="360" w:lineRule="auto"/>
        <w:rPr>
          <w:rFonts w:ascii="Times New Roman" w:eastAsia="Times New Roman" w:hAnsi="Times New Roman" w:cs="Times New Roman"/>
        </w:rPr>
      </w:pPr>
      <w:r>
        <w:t> </w:t>
      </w:r>
    </w:p>
    <w:p>
      <w:pPr>
        <w:pStyle w:val="17"/>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项目终验前提交《税务信息化项目服务商廉政反馈书》</w:t>
      </w:r>
    </w:p>
    <w:p>
      <w:pPr>
        <w:pStyle w:val="17"/>
        <w:spacing w:before="0" w:after="0" w:line="360" w:lineRule="auto"/>
        <w:jc w:val="center"/>
        <w:rPr>
          <w:rFonts w:ascii="Times New Roman" w:eastAsia="Times New Roman" w:hAnsi="Times New Roman" w:cs="Times New Roman"/>
        </w:rPr>
      </w:pPr>
      <w:r>
        <w:rPr>
          <w:rFonts w:ascii="方正小标宋简体" w:eastAsia="方正小标宋简体" w:hAnsi="方正小标宋简体" w:cs="方正小标宋简体"/>
          <w:sz w:val="36"/>
          <w:szCs w:val="36"/>
        </w:rPr>
        <w:t>税务信息化廉政情况反馈书</w:t>
      </w:r>
    </w:p>
    <w:tbl>
      <w:tblPr>
        <w:tblStyle w:val="18"/>
        <w:tblW w:w="9270" w:type="dxa"/>
        <w:tblCellSpacing w:w="0" w:type="dxa"/>
        <w:tblInd w:w="324" w:type="dxa"/>
        <w:tblCellMar>
          <w:top w:w="15" w:type="dxa"/>
          <w:left w:w="15" w:type="dxa"/>
          <w:bottom w:w="15" w:type="dxa"/>
          <w:right w:w="15" w:type="dxa"/>
        </w:tblCellMar>
        <w:tblLook w:val="05E0"/>
      </w:tblPr>
      <w:tblGrid>
        <w:gridCol w:w="2392"/>
        <w:gridCol w:w="6878"/>
      </w:tblGrid>
      <w:tr>
        <w:tblPrEx>
          <w:tblW w:w="9270" w:type="dxa"/>
          <w:tblCellSpacing w:w="0" w:type="dxa"/>
          <w:tblInd w:w="324" w:type="dxa"/>
          <w:tblCellMar>
            <w:top w:w="15" w:type="dxa"/>
            <w:left w:w="15" w:type="dxa"/>
            <w:bottom w:w="15" w:type="dxa"/>
            <w:right w:w="15" w:type="dxa"/>
          </w:tblCellMar>
          <w:tblLook w:val="05E0"/>
        </w:tblPrEx>
        <w:trPr>
          <w:trHeight w:val="840"/>
          <w:tblCellSpacing w:w="0" w:type="dxa"/>
        </w:trPr>
        <w:tc>
          <w:tcPr>
            <w:tcW w:w="10278" w:type="dxa"/>
            <w:gridSpan w:val="2"/>
            <w:tcBorders>
              <w:top w:val="single" w:sz="8" w:space="0" w:color="000000"/>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ind w:firstLine="632"/>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32"/>
                <w:szCs w:val="32"/>
              </w:rPr>
              <w:t>项目基本情况</w:t>
            </w:r>
          </w:p>
        </w:tc>
      </w:tr>
      <w:tr>
        <w:tblPrEx>
          <w:tblW w:w="9270" w:type="dxa"/>
          <w:tblCellSpacing w:w="0" w:type="dxa"/>
          <w:tblInd w:w="324" w:type="dxa"/>
          <w:tblCellMar>
            <w:top w:w="15" w:type="dxa"/>
            <w:left w:w="15" w:type="dxa"/>
            <w:bottom w:w="15" w:type="dxa"/>
            <w:right w:w="15" w:type="dxa"/>
          </w:tblCellMar>
          <w:tblLook w:val="05E0"/>
        </w:tblPrEx>
        <w:trPr>
          <w:trHeight w:val="285"/>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333333"/>
                <w:sz w:val="21"/>
                <w:szCs w:val="21"/>
              </w:rPr>
              <w:t>项目名称（编号）</w:t>
            </w:r>
          </w:p>
        </w:tc>
        <w:tc>
          <w:tcPr>
            <w:tcW w:w="7433" w:type="dxa"/>
            <w:tcBorders>
              <w:top w:val="single" w:sz="8" w:space="0" w:color="000000"/>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ind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sz w:val="21"/>
                <w:szCs w:val="21"/>
              </w:rPr>
              <w:t>XXX税务信息化项目  项目编号</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服务商名称</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ind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XXX公司</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联系人及电话</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ind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联系人：  职务：   电话：123-4567890</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项目情况概述</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ind w:firstLine="472"/>
              <w:jc w:val="center"/>
              <w:textAlignment w:val="baseline"/>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r>
      <w:tr>
        <w:tblPrEx>
          <w:tblW w:w="9270" w:type="dxa"/>
          <w:tblCellSpacing w:w="0" w:type="dxa"/>
          <w:tblInd w:w="324" w:type="dxa"/>
          <w:tblCellMar>
            <w:top w:w="15" w:type="dxa"/>
            <w:left w:w="15" w:type="dxa"/>
            <w:bottom w:w="15" w:type="dxa"/>
            <w:right w:w="15" w:type="dxa"/>
          </w:tblCellMar>
          <w:tblLook w:val="05E0"/>
        </w:tblPrEx>
        <w:trPr>
          <w:trHeight w:val="700"/>
          <w:tblCellSpacing w:w="0" w:type="dxa"/>
        </w:trPr>
        <w:tc>
          <w:tcPr>
            <w:gridSpan w:val="2"/>
            <w:tcBorders>
              <w:left w:val="single" w:sz="8" w:space="0" w:color="000000"/>
              <w:bottom w:val="single" w:sz="8" w:space="0" w:color="000000"/>
              <w:right w:val="single" w:sz="8" w:space="0" w:color="000000"/>
            </w:tcBorders>
            <w:noWrap/>
            <w:tcMar>
              <w:top w:w="0" w:type="dxa"/>
              <w:left w:w="168" w:type="dxa"/>
              <w:bottom w:w="0" w:type="dxa"/>
              <w:right w:w="168" w:type="dxa"/>
            </w:tcMar>
            <w:vAlign w:val="center"/>
            <w:hideMark/>
          </w:tcPr>
          <w:p>
            <w:pPr>
              <w:pStyle w:val="16"/>
              <w:spacing w:after="0" w:line="580" w:lineRule="atLeast"/>
              <w:ind w:firstLine="632"/>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32"/>
                <w:szCs w:val="32"/>
              </w:rPr>
              <w:t>廉洁承诺履行情况</w:t>
            </w:r>
          </w:p>
        </w:tc>
      </w:tr>
      <w:tr>
        <w:tblPrEx>
          <w:tblW w:w="9270" w:type="dxa"/>
          <w:tblCellSpacing w:w="0" w:type="dxa"/>
          <w:tblInd w:w="324" w:type="dxa"/>
          <w:tblCellMar>
            <w:top w:w="15" w:type="dxa"/>
            <w:left w:w="15" w:type="dxa"/>
            <w:bottom w:w="15" w:type="dxa"/>
            <w:right w:w="15" w:type="dxa"/>
          </w:tblCellMar>
          <w:tblLook w:val="05E0"/>
        </w:tblPrEx>
        <w:trPr>
          <w:trHeight w:val="285"/>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333333"/>
                <w:sz w:val="21"/>
                <w:szCs w:val="21"/>
              </w:rPr>
              <w:t>反馈项</w:t>
            </w:r>
          </w:p>
        </w:tc>
        <w:tc>
          <w:tcPr>
            <w:tcW w:w="7433" w:type="dxa"/>
            <w:tcBorders>
              <w:top w:val="single" w:sz="8" w:space="0" w:color="000000"/>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ind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sz w:val="21"/>
                <w:szCs w:val="21"/>
              </w:rPr>
              <w:t>反馈内容</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杜绝商业贿赂</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向税务工作人员及其家属赠送礼品、礼金或提供任何形式的宴请、娱乐活动情况。</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规范经营活动</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按照合同要求，按时完成各阶段任务，确保项目质量和进度情况。</w:t>
            </w:r>
          </w:p>
        </w:tc>
      </w:tr>
      <w:tr>
        <w:tblPrEx>
          <w:tblW w:w="9270" w:type="dxa"/>
          <w:tblCellSpacing w:w="0" w:type="dxa"/>
          <w:tblInd w:w="324" w:type="dxa"/>
          <w:tblCellMar>
            <w:top w:w="15" w:type="dxa"/>
            <w:left w:w="15" w:type="dxa"/>
            <w:bottom w:w="15" w:type="dxa"/>
            <w:right w:w="15" w:type="dxa"/>
          </w:tblCellMar>
          <w:tblLook w:val="05E0"/>
        </w:tblPrEx>
        <w:trPr>
          <w:trHeight w:val="570"/>
          <w:tblCellSpacing w:w="0" w:type="dxa"/>
        </w:trPr>
        <w:tc>
          <w:tcPr>
            <w:tcW w:w="3643"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公开透明合作</w:t>
            </w:r>
          </w:p>
        </w:tc>
        <w:tc>
          <w:tcPr>
            <w:tcW w:w="7433"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在项目实施过程中保持信息公开透明，主动接受相关部门的监督和检查情况。</w:t>
            </w:r>
          </w:p>
        </w:tc>
      </w:tr>
      <w:tr>
        <w:tblPrEx>
          <w:tblW w:w="9270" w:type="dxa"/>
          <w:tblCellSpacing w:w="0" w:type="dxa"/>
          <w:tblInd w:w="324" w:type="dxa"/>
          <w:tblCellMar>
            <w:top w:w="15" w:type="dxa"/>
            <w:left w:w="15" w:type="dxa"/>
            <w:bottom w:w="15" w:type="dxa"/>
            <w:right w:w="15" w:type="dxa"/>
          </w:tblCellMar>
          <w:tblLook w:val="05E0"/>
        </w:tblPrEx>
        <w:trPr>
          <w:trHeight w:val="405"/>
          <w:tblCellSpacing w:w="0" w:type="dxa"/>
        </w:trPr>
        <w:tc>
          <w:tcPr>
            <w:gridSpan w:val="2"/>
            <w:tcBorders>
              <w:left w:val="single" w:sz="8" w:space="0" w:color="000000"/>
              <w:bottom w:val="single" w:sz="8" w:space="0" w:color="000000"/>
              <w:right w:val="single" w:sz="8" w:space="0" w:color="000000"/>
            </w:tcBorders>
            <w:noWrap/>
            <w:tcMar>
              <w:top w:w="0" w:type="dxa"/>
              <w:left w:w="168" w:type="dxa"/>
              <w:bottom w:w="0" w:type="dxa"/>
              <w:right w:w="168" w:type="dxa"/>
            </w:tcMar>
            <w:vAlign w:val="center"/>
            <w:hideMark/>
          </w:tcPr>
          <w:p>
            <w:pPr>
              <w:pStyle w:val="16"/>
              <w:spacing w:after="0" w:line="580" w:lineRule="atLeast"/>
              <w:ind w:firstLine="632"/>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32"/>
                <w:szCs w:val="32"/>
              </w:rPr>
              <w:t>税务人员履职期间廉政情况</w:t>
            </w:r>
          </w:p>
        </w:tc>
      </w:tr>
      <w:tr>
        <w:tblPrEx>
          <w:tblW w:w="9270" w:type="dxa"/>
          <w:tblCellSpacing w:w="0" w:type="dxa"/>
          <w:tblInd w:w="324" w:type="dxa"/>
          <w:tblCellMar>
            <w:top w:w="15" w:type="dxa"/>
            <w:left w:w="15" w:type="dxa"/>
            <w:bottom w:w="15" w:type="dxa"/>
            <w:right w:w="15" w:type="dxa"/>
          </w:tblCellMar>
          <w:tblLook w:val="05E0"/>
        </w:tblPrEx>
        <w:trPr>
          <w:trHeight w:val="505"/>
          <w:tblCellSpacing w:w="0" w:type="dxa"/>
        </w:trPr>
        <w:tc>
          <w:tcPr>
            <w:tcW w:w="3643" w:type="dxa"/>
            <w:vMerge w:val="restart"/>
            <w:tcBorders>
              <w:left w:val="single" w:sz="8" w:space="0" w:color="000000"/>
              <w:right w:val="single" w:sz="8" w:space="0" w:color="000000"/>
            </w:tcBorders>
            <w:noWrap w:val="0"/>
            <w:tcMar>
              <w:top w:w="0" w:type="dxa"/>
              <w:left w:w="168" w:type="dxa"/>
              <w:bottom w:w="0" w:type="dxa"/>
              <w:right w:w="168" w:type="dxa"/>
            </w:tcMar>
            <w:vAlign w:val="center"/>
            <w:hideMark/>
          </w:tcPr>
          <w:p>
            <w:pPr>
              <w:pStyle w:val="16"/>
              <w:spacing w:after="0" w:line="580" w:lineRule="atLeast"/>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税务人员履职过程存在违纪违规行为</w:t>
            </w:r>
          </w:p>
        </w:tc>
        <w:tc>
          <w:tcPr>
            <w:tcW w:w="7433" w:type="dxa"/>
            <w:tcBorders>
              <w:top w:val="single" w:sz="8" w:space="0" w:color="000000"/>
              <w:bottom w:val="single" w:sz="8" w:space="0" w:color="000000"/>
              <w:right w:val="single" w:sz="8" w:space="0" w:color="000000"/>
            </w:tcBorders>
            <w:noWrap w:val="0"/>
            <w:tcMar>
              <w:top w:w="0" w:type="dxa"/>
              <w:left w:w="108" w:type="dxa"/>
              <w:bottom w:w="0" w:type="dxa"/>
              <w:right w:w="168" w:type="dxa"/>
            </w:tcMar>
            <w:vAlign w:val="center"/>
            <w:hideMark/>
          </w:tcPr>
          <w:p>
            <w:pPr>
              <w:pStyle w:val="16"/>
              <w:spacing w:after="0" w:line="580" w:lineRule="atLeast"/>
              <w:ind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sz w:val="21"/>
                <w:szCs w:val="21"/>
              </w:rPr>
              <w:t>否</w:t>
            </w:r>
          </w:p>
        </w:tc>
      </w:tr>
      <w:tr>
        <w:tblPrEx>
          <w:tblW w:w="9270" w:type="dxa"/>
          <w:tblCellSpacing w:w="0" w:type="dxa"/>
          <w:tblInd w:w="324" w:type="dxa"/>
          <w:tblCellMar>
            <w:top w:w="15" w:type="dxa"/>
            <w:left w:w="15" w:type="dxa"/>
            <w:bottom w:w="15" w:type="dxa"/>
            <w:right w:w="15" w:type="dxa"/>
          </w:tblCellMar>
          <w:tblLook w:val="05E0"/>
        </w:tblPrEx>
        <w:trPr>
          <w:trHeight w:val="475"/>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333333"/>
                <w:sz w:val="21"/>
                <w:szCs w:val="21"/>
              </w:rPr>
            </w:pPr>
          </w:p>
        </w:tc>
        <w:tc>
          <w:tcPr>
            <w:tcW w:w="7433" w:type="dxa"/>
            <w:vMerge w:val="restart"/>
            <w:tcBorders>
              <w:right w:val="single" w:sz="8" w:space="0" w:color="000000"/>
            </w:tcBorders>
            <w:noWrap w:val="0"/>
            <w:tcMar>
              <w:top w:w="0" w:type="dxa"/>
              <w:left w:w="108" w:type="dxa"/>
              <w:bottom w:w="0" w:type="dxa"/>
              <w:right w:w="168" w:type="dxa"/>
            </w:tcMar>
            <w:vAlign w:val="center"/>
            <w:hideMark/>
          </w:tcPr>
          <w:p>
            <w:pPr>
              <w:pStyle w:val="16"/>
              <w:spacing w:after="0" w:line="580" w:lineRule="atLeast"/>
              <w:ind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是（说明具体情况）</w:t>
            </w:r>
          </w:p>
        </w:tc>
      </w:tr>
      <w:tr>
        <w:tblPrEx>
          <w:tblW w:w="9270" w:type="dxa"/>
          <w:tblCellSpacing w:w="0" w:type="dxa"/>
          <w:tblInd w:w="324" w:type="dxa"/>
          <w:tblCellMar>
            <w:top w:w="15" w:type="dxa"/>
            <w:left w:w="15" w:type="dxa"/>
            <w:bottom w:w="15" w:type="dxa"/>
            <w:right w:w="15" w:type="dxa"/>
          </w:tblCellMar>
          <w:tblLook w:val="05E0"/>
        </w:tblPrEx>
        <w:trPr>
          <w:trHeight w:val="537"/>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1"/>
                <w:szCs w:val="21"/>
              </w:rPr>
            </w:pPr>
          </w:p>
        </w:tc>
      </w:tr>
    </w:tbl>
    <w:p>
      <w:pPr>
        <w:pStyle w:val="17"/>
        <w:spacing w:before="0" w:after="0" w:line="360" w:lineRule="auto"/>
        <w:rPr>
          <w:rFonts w:ascii="Times New Roman" w:eastAsia="Times New Roman" w:hAnsi="Times New Roman" w:cs="Times New Roman"/>
        </w:rPr>
      </w:pPr>
      <w:r>
        <w:t> </w:t>
      </w:r>
    </w:p>
    <w:p>
      <w:pPr>
        <w:pStyle w:val="17"/>
        <w:spacing w:before="0" w:after="0" w:line="360" w:lineRule="auto"/>
        <w:rPr>
          <w:rFonts w:ascii="Times New Roman" w:eastAsia="Times New Roman" w:hAnsi="Times New Roman" w:cs="Times New Roman"/>
        </w:rPr>
      </w:pPr>
      <w:r>
        <w:t> </w:t>
      </w:r>
      <w:r>
        <w:rPr>
          <w:rStyle w:val="15Character"/>
          <w:rFonts w:ascii="仿宋_GB2312" w:eastAsia="仿宋_GB2312" w:hAnsi="仿宋_GB2312" w:cs="仿宋_GB2312"/>
          <w:sz w:val="32"/>
          <w:szCs w:val="32"/>
          <w:shd w:val="clear" w:color="auto" w:fill="FFFFFF"/>
        </w:rPr>
        <w:t>提交单位（盖章）：</w:t>
      </w:r>
      <w:r>
        <w:rPr>
          <w:rStyle w:val="15Character"/>
          <w:rFonts w:ascii="仿宋_GB2312" w:eastAsia="仿宋_GB2312" w:hAnsi="仿宋_GB2312" w:cs="仿宋_GB2312"/>
          <w:sz w:val="32"/>
          <w:szCs w:val="32"/>
          <w:shd w:val="clear" w:color="auto" w:fill="FFFFFF"/>
        </w:rPr>
        <w:t>XXX公司</w:t>
      </w:r>
    </w:p>
    <w:p>
      <w:pPr>
        <w:pStyle w:val="17"/>
        <w:spacing w:before="0" w:after="0" w:line="360" w:lineRule="auto"/>
        <w:rPr>
          <w:rFonts w:ascii="Times New Roman" w:eastAsia="Times New Roman" w:hAnsi="Times New Roman" w:cs="Times New Roman"/>
        </w:rPr>
      </w:pPr>
      <w:r>
        <w:rPr>
          <w:rStyle w:val="15Character"/>
          <w:rFonts w:ascii="仿宋_GB2312" w:eastAsia="仿宋_GB2312" w:hAnsi="仿宋_GB2312" w:cs="仿宋_GB2312"/>
          <w:sz w:val="32"/>
          <w:szCs w:val="32"/>
          <w:shd w:val="clear" w:color="auto" w:fill="FFFFFF"/>
        </w:rPr>
        <w:t>法定代表人或授权代表签字：</w:t>
      </w:r>
      <w:r>
        <w:rPr>
          <w:rStyle w:val="15Character"/>
          <w:rFonts w:ascii="仿宋_GB2312" w:eastAsia="仿宋_GB2312" w:hAnsi="仿宋_GB2312" w:cs="仿宋_GB2312"/>
          <w:sz w:val="32"/>
          <w:szCs w:val="32"/>
          <w:shd w:val="clear" w:color="auto" w:fill="FFFFFF"/>
        </w:rPr>
        <w:t>_______________________</w:t>
      </w:r>
    </w:p>
    <w:p>
      <w:pPr>
        <w:pStyle w:val="17"/>
        <w:spacing w:before="0" w:after="0" w:line="360" w:lineRule="auto"/>
        <w:rPr>
          <w:rFonts w:ascii="Times New Roman" w:eastAsia="Times New Roman" w:hAnsi="Times New Roman" w:cs="Times New Roman"/>
        </w:rPr>
      </w:pPr>
      <w:r>
        <w:t> </w:t>
      </w:r>
      <w:r>
        <w:rPr>
          <w:rStyle w:val="15Character"/>
          <w:rFonts w:ascii="仿宋_GB2312" w:eastAsia="仿宋_GB2312" w:hAnsi="仿宋_GB2312" w:cs="仿宋_GB2312"/>
          <w:sz w:val="32"/>
          <w:szCs w:val="32"/>
          <w:shd w:val="clear" w:color="auto" w:fill="FFFFFF"/>
        </w:rPr>
        <w:t>日期：</w:t>
      </w:r>
      <w:r>
        <w:rPr>
          <w:rStyle w:val="15Character"/>
          <w:rFonts w:ascii="仿宋_GB2312" w:eastAsia="仿宋_GB2312" w:hAnsi="仿宋_GB2312" w:cs="仿宋_GB2312"/>
          <w:sz w:val="32"/>
          <w:szCs w:val="32"/>
          <w:shd w:val="clear" w:color="auto" w:fill="FFFFFF"/>
        </w:rPr>
        <w:t>XX年XX月XX日</w:t>
      </w:r>
    </w:p>
    <w:p>
      <w:pPr>
        <w:pStyle w:val="Heading30"/>
        <w:keepNext w:val="0"/>
        <w:spacing w:before="0" w:after="0" w:line="360" w:lineRule="auto"/>
        <w:rPr>
          <w:rFonts w:ascii="仿宋_GB2312" w:eastAsia="仿宋_GB2312" w:hAnsi="仿宋_GB2312" w:cs="仿宋_GB2312"/>
          <w:b/>
          <w:bCs/>
          <w:sz w:val="28"/>
          <w:szCs w:val="28"/>
        </w:rPr>
      </w:pPr>
      <w:bookmarkStart w:id="44" w:name="_Toc256000040"/>
      <w:r>
        <w:rPr>
          <w:rFonts w:ascii="仿宋_GB2312" w:eastAsia="仿宋_GB2312" w:hAnsi="仿宋_GB2312" w:cs="仿宋_GB2312"/>
          <w:sz w:val="28"/>
          <w:szCs w:val="28"/>
        </w:rPr>
        <w:t>10.1.3★供应链安全管理要求</w:t>
      </w:r>
      <w:bookmarkEnd w:id="44"/>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1、人员资格要求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（1）签订承诺书。供应商应严格落实国家税务总局网络安全和保密管理要求，承担技术支持人员的网络安全和保密管理责任，按采购人要求签订协议和承诺书。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（2）开展背景审查。供应商承担技术支持人员背景审查工作，提供其身份证明、履历、家庭成员及主要社会关系、无犯罪记录证明等材料，并提交采购人进行备案。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设置网络安全负责人（由驻场运维人员兼任）。供应商为本项目配备一名网络安全负责人，该负责人具备独立决策能力并保持相对稳定，在项目实施的全过程负责网络安全工作，组织落实各项网络安全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2、日常行为规范要求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工作能力要求。供应商负责对技术支持人员进行资格条件、工作胜任力以及网络安全能力评估，对技术支持人员承担的工作进行安全保密风险分析，明确技术支持人员工作范围和边界，重点防范设备和资料失窃、误操作导致的软硬件故障、工作秘密和税费数据等信息泄露、信息系统越权访问和网络攻击等风险。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（2）教育培训要求。供应商负责对技术支持人员进行网络和数据安全法律法规、网络安全意识、网络安全管理、网络安全技能、保密意识以及网络安全警示教育等培训，上岗前对其进行考核。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3、违约惩戒措施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供应商对供应链安全管理责任落实不到位，造成安全事件或产生不良影响的，采购人按照法律法规及合同约定进行处理。</w:t>
      </w:r>
    </w:p>
    <w:p>
      <w:pPr>
        <w:pStyle w:val="16"/>
        <w:spacing w:before="0" w:after="0" w:line="360" w:lineRule="auto"/>
        <w:ind w:left="0" w:right="0" w:firstLine="640"/>
        <w:jc w:val="both"/>
        <w:rPr>
          <w:rFonts w:ascii="Times New Roman" w:eastAsia="Times New Roman" w:hAnsi="Times New Roman" w:cs="Times New Roman"/>
        </w:rPr>
      </w:pPr>
      <w:r>
        <w:rPr>
          <w:rFonts w:ascii="FangSong_GB2312" w:eastAsia="FangSong_GB2312" w:hAnsi="FangSong_GB2312" w:cs="FangSong_GB2312"/>
          <w:spacing w:val="0"/>
          <w:sz w:val="28"/>
          <w:szCs w:val="28"/>
        </w:rPr>
        <w:t>（一）厂商及人员安全管理需求</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1.供应链厂商和人员要遵守国家网络安全政策法规和税务机关各项网络安全规章制度情况，供应链厂商要与税务机关签订《厂商网络安全承诺书》，向税务机关提交供应链厂商人员的《个人网络安全承诺书》及《无犯罪记录证明》。</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2.供应链厂商要配合税务机关对涉及税务机关税务信息化项目（以下简称项目）的人员做好背景审查。</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3.供应链厂商要定期对聘用离职税务人员情况进行排查，建立相关资料档案，确保人员安全可信。</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4.供应链厂商要建立网络安全负责人制度，并配备一名具备独立决策能力并保持相对稳定的负责人，在项目实施的全过程负责网络安全和数据安全工作，组织落实各项网络安全和数据安全要求。</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5.供应链厂商在项目实施前，要对参与人员开展网络和数据安全法律法规、税务机关供应链厂商及人员网络数据相关安全守则、安全技能、保密常识等方面的教育培训并考核合格；在项目开展期间，供应链厂商要定期开展相关培训、考核及警示教育，供应链厂商要通过教育培训不断提高厂商人员的网络和数据安全意识及保密意识。供应链厂商要对在项目开展期间离开涉及税务项目的人员进行离项审计。</w:t>
      </w:r>
    </w:p>
    <w:p>
      <w:pPr>
        <w:pStyle w:val="150"/>
        <w:spacing w:before="0" w:after="0" w:line="360" w:lineRule="auto"/>
        <w:ind w:left="0" w:right="0" w:firstLine="640"/>
        <w:jc w:val="both"/>
        <w:rPr>
          <w:rFonts w:ascii="Times New Roman" w:eastAsia="Times New Roman" w:hAnsi="Times New Roman" w:cs="Times New Roman"/>
        </w:rPr>
      </w:pPr>
      <w:r>
        <w:rPr>
          <w:rFonts w:ascii="FangSong_GB2312" w:eastAsia="FangSong_GB2312" w:hAnsi="FangSong_GB2312" w:cs="FangSong_GB2312"/>
          <w:spacing w:val="0"/>
          <w:sz w:val="28"/>
          <w:szCs w:val="28"/>
        </w:rPr>
        <w:t>6.供应链厂商要及时向税务机关报告可能发生影响网络安全的重大事项，包括负责人及重要工作人员变更、业务转型、合并重组、投资并购等。</w:t>
      </w:r>
    </w:p>
    <w:p>
      <w:pPr>
        <w:pStyle w:val="150"/>
        <w:spacing w:before="0" w:after="0" w:line="360" w:lineRule="auto"/>
        <w:ind w:left="0" w:right="0" w:firstLine="640"/>
        <w:jc w:val="both"/>
        <w:rPr>
          <w:rFonts w:ascii="Times New Roman" w:eastAsia="Times New Roman" w:hAnsi="Times New Roman" w:cs="Times New Roman"/>
        </w:rPr>
      </w:pPr>
      <w:r>
        <w:rPr>
          <w:rFonts w:ascii="FangSong_GB2312" w:eastAsia="FangSong_GB2312" w:hAnsi="FangSong_GB2312" w:cs="FangSong_GB2312"/>
          <w:spacing w:val="0"/>
          <w:sz w:val="28"/>
          <w:szCs w:val="28"/>
        </w:rPr>
        <w:t>7.供应链厂商要在项目启动前向税务机关提供基于项目场景的供应链《安全事件应急响应预案》，明确相关职责和应急处置流程；供应链厂商每年要向税务机关报送《供应链厂商应急演练记录》，确保快速有效处置供应链安全事件。</w:t>
      </w:r>
    </w:p>
    <w:p>
      <w:pPr>
        <w:pStyle w:val="16"/>
        <w:spacing w:before="0" w:after="0" w:line="360" w:lineRule="auto"/>
        <w:ind w:left="0" w:right="0" w:firstLine="640"/>
        <w:jc w:val="both"/>
        <w:rPr>
          <w:rFonts w:ascii="Times New Roman" w:eastAsia="Times New Roman" w:hAnsi="Times New Roman" w:cs="Times New Roman"/>
        </w:rPr>
      </w:pPr>
      <w:r>
        <w:rPr>
          <w:rFonts w:ascii="FangSong_GB2312" w:eastAsia="FangSong_GB2312" w:hAnsi="FangSong_GB2312" w:cs="FangSong_GB2312"/>
          <w:spacing w:val="0"/>
          <w:sz w:val="28"/>
          <w:szCs w:val="28"/>
        </w:rPr>
        <w:t>8.供应链厂商及人员要严格遵守采购合同、协议、承诺书等文件中的安全相关条款。</w:t>
      </w:r>
    </w:p>
    <w:p>
      <w:pPr>
        <w:pStyle w:val="16"/>
        <w:spacing w:before="0" w:after="0" w:line="360" w:lineRule="auto"/>
        <w:ind w:left="0" w:right="0" w:firstLine="640"/>
        <w:jc w:val="both"/>
        <w:rPr>
          <w:rFonts w:ascii="Times New Roman" w:eastAsia="Times New Roman" w:hAnsi="Times New Roman" w:cs="Times New Roman"/>
        </w:rPr>
      </w:pPr>
      <w:r>
        <w:rPr>
          <w:rFonts w:ascii="FangSong_GB2312" w:eastAsia="FangSong_GB2312" w:hAnsi="FangSong_GB2312" w:cs="FangSong_GB2312"/>
          <w:spacing w:val="0"/>
          <w:sz w:val="28"/>
          <w:szCs w:val="28"/>
        </w:rPr>
        <w:t>9.供应链厂商要按照税务机关相关要求，对关键信息基础设施和重要信息系统进行自查，不利用提供产品和服务的便利条件非法获取数据、非法控制和操纵设备，不中断产品供应或必要的技术支持服务等。</w:t>
      </w:r>
    </w:p>
    <w:p>
      <w:pPr>
        <w:pStyle w:val="16"/>
        <w:spacing w:before="0" w:after="0" w:line="360" w:lineRule="auto"/>
        <w:ind w:left="0" w:right="0" w:firstLine="640"/>
        <w:jc w:val="both"/>
        <w:rPr>
          <w:rFonts w:ascii="Times New Roman" w:eastAsia="Times New Roman" w:hAnsi="Times New Roman" w:cs="Times New Roman"/>
        </w:rPr>
      </w:pPr>
      <w:r>
        <w:rPr>
          <w:rFonts w:ascii="FangSong_GB2312" w:eastAsia="FangSong_GB2312" w:hAnsi="FangSong_GB2312" w:cs="FangSong_GB2312"/>
          <w:spacing w:val="0"/>
          <w:sz w:val="28"/>
          <w:szCs w:val="28"/>
        </w:rPr>
        <w:t>10.供应链厂商要加强人员违规违纪管理，对违规违纪行为按签订合同、协议、承诺书等相关条款进行处理，建立《违规违纪管理档案表》。对涉嫌违法犯罪的人员，要主动依照相应法律法规移交有关部门处理。</w:t>
      </w:r>
    </w:p>
    <w:p>
      <w:pPr>
        <w:pStyle w:val="150"/>
        <w:spacing w:before="0" w:after="0" w:line="360" w:lineRule="auto"/>
        <w:ind w:left="0" w:right="0" w:firstLine="640"/>
        <w:jc w:val="both"/>
        <w:rPr>
          <w:rFonts w:ascii="Times New Roman" w:eastAsia="Times New Roman" w:hAnsi="Times New Roman" w:cs="Times New Roman"/>
        </w:rPr>
      </w:pPr>
      <w:r>
        <w:rPr>
          <w:rFonts w:ascii="FangSong_GB2312" w:eastAsia="FangSong_GB2312" w:hAnsi="FangSong_GB2312" w:cs="FangSong_GB2312"/>
          <w:spacing w:val="0"/>
          <w:sz w:val="28"/>
          <w:szCs w:val="28"/>
        </w:rPr>
        <w:t>11.供应链厂商要严格落实风险控制、审计巡查、应急处置等方面的工作要求，确保系统安全稳定运行。供应链厂商要按着各项要求，撰写《年度供应链安全自查报告》并提交税务机关。</w:t>
      </w:r>
    </w:p>
    <w:p>
      <w:pPr>
        <w:pStyle w:val="16"/>
        <w:spacing w:before="0" w:after="0" w:line="360" w:lineRule="auto"/>
        <w:ind w:left="0" w:right="0" w:firstLine="640"/>
        <w:jc w:val="both"/>
        <w:rPr>
          <w:rFonts w:ascii="Times New Roman" w:eastAsia="Times New Roman" w:hAnsi="Times New Roman" w:cs="Times New Roman"/>
        </w:rPr>
      </w:pPr>
      <w:r>
        <w:rPr>
          <w:rFonts w:ascii="FangSong_GB2312" w:eastAsia="FangSong_GB2312" w:hAnsi="FangSong_GB2312" w:cs="FangSong_GB2312"/>
          <w:spacing w:val="0"/>
          <w:sz w:val="28"/>
          <w:szCs w:val="28"/>
        </w:rPr>
        <w:t>（二）进驻税务机关办公安全管理需求</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1.供应链厂商要加强驻场办公人员在日常工作中的行为安全管理，严格遵守运维场地管理规定及税务机关基础设施（机房）管理制度。</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2.驻场办公人员进驻运维场地期间不得携带个人电脑、个人存储介质（U盘）、未授权软件安装包等工具。</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3.驻场办公人员未经授权不允许访问、维护、维修基础设施。</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4.驻场办公人员严禁私自使用运维终端打印及刻录输出数据。</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5.驻场办公人员不得向第三方提供基础设施、场地设计图、设备部署图等有关信息。</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6.驻场办公人员使用的终端必须安装防病毒软件，定期开展终端病毒查杀，并形成病毒查杀文档。</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7.驻场办公人员不得将工作数据、工作内容、工作环境等任何与工作有关的信息传播至QQ、微信或任何与工作无关的地方。</w:t>
      </w:r>
    </w:p>
    <w:p>
      <w:pPr>
        <w:pStyle w:val="16"/>
        <w:spacing w:before="0" w:after="0" w:line="360" w:lineRule="auto"/>
        <w:ind w:left="0" w:right="0" w:firstLine="640"/>
        <w:jc w:val="both"/>
        <w:rPr>
          <w:rFonts w:ascii="Times New Roman" w:eastAsia="Times New Roman" w:hAnsi="Times New Roman" w:cs="Times New Roman"/>
        </w:rPr>
      </w:pPr>
      <w:r>
        <w:rPr>
          <w:rFonts w:ascii="FangSong_GB2312" w:eastAsia="FangSong_GB2312" w:hAnsi="FangSong_GB2312" w:cs="FangSong_GB2312"/>
          <w:spacing w:val="0"/>
          <w:sz w:val="28"/>
          <w:szCs w:val="28"/>
        </w:rPr>
        <w:t>（三）开发建设安全管理需求</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1.供应链厂商的软件研发工作场所需安全可控可信，要搭建专用的开发测试环境，配置安全可信的开发管理工具，设置可靠的权限管理策略，确保项目研发安全可控。</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2.供应链厂商在税务机关提供场所开展软件开发测试工作时，网络安全负责人要严格管理本单位人员，严禁供应链厂商人员使用自带电脑和移动存储介质，严禁私自变更办公场所和办公设备，严禁安装非必要的应用程序和组件，严禁擅自复制、使用和修改文档、数据以及其他开发测试资料。</w:t>
      </w:r>
    </w:p>
    <w:p>
      <w:pPr>
        <w:pStyle w:val="16"/>
        <w:spacing w:before="0" w:after="0" w:line="360" w:lineRule="auto"/>
        <w:ind w:left="0" w:right="0" w:firstLine="640"/>
        <w:jc w:val="both"/>
        <w:rPr>
          <w:rFonts w:ascii="Times New Roman" w:eastAsia="Times New Roman" w:hAnsi="Times New Roman" w:cs="Times New Roman"/>
        </w:rPr>
      </w:pPr>
      <w:r>
        <w:rPr>
          <w:rFonts w:ascii="FangSong_GB2312" w:eastAsia="FangSong_GB2312" w:hAnsi="FangSong_GB2312" w:cs="FangSong_GB2312"/>
          <w:spacing w:val="0"/>
          <w:sz w:val="28"/>
          <w:szCs w:val="28"/>
        </w:rPr>
        <w:t>3.供应链厂商要加强对提供的项目所涉软、硬件产品及服务的管理，产品及服务必须满足国家认可的网络安全规范和认证要求，供应链清单内的产品要具备销售许可证，定制开发软件必须开展网络安全“三同步”测评。采用源代码安全审计、开源组件安全检测、软件安全性深度测试等技术手段，对相关产品开展安全检查和技术检测，对存在的问题进行整改，最大限度消除风险隐患，并形成《供应链产品检查清单》，提交至税务机关。</w:t>
      </w:r>
    </w:p>
    <w:p>
      <w:pPr>
        <w:pStyle w:val="150"/>
        <w:spacing w:before="0" w:after="0" w:line="360" w:lineRule="auto"/>
        <w:ind w:left="0" w:right="0" w:firstLine="640"/>
        <w:jc w:val="both"/>
        <w:rPr>
          <w:rFonts w:ascii="Times New Roman" w:eastAsia="Times New Roman" w:hAnsi="Times New Roman" w:cs="Times New Roman"/>
        </w:rPr>
      </w:pPr>
      <w:r>
        <w:rPr>
          <w:rFonts w:ascii="FangSong_GB2312" w:eastAsia="FangSong_GB2312" w:hAnsi="FangSong_GB2312" w:cs="FangSong_GB2312"/>
          <w:spacing w:val="0"/>
          <w:sz w:val="28"/>
          <w:szCs w:val="28"/>
        </w:rPr>
        <w:t>4.供应链厂商对项目使用的重要供应链产品要定期核查，形成《供应链产品清单》。</w:t>
      </w:r>
    </w:p>
    <w:p>
      <w:pPr>
        <w:pStyle w:val="150"/>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5.供应链厂商要加强对引入的第三方组件的管理，配合税务机关做好安全风险评估、漏洞扫描，做好漏洞评估、漏洞修复和版本升级工作，形成《第三方组件清单》（可以将第三方组件内容加入《供应链产品清单》）和《安全风险分析报告》，及时更新第三方组件相关信息并报送税务机关，采取有效措施保障第三方组件安全。</w:t>
      </w:r>
    </w:p>
    <w:p>
      <w:pPr>
        <w:pStyle w:val="150"/>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6.供应链厂商禁止使用存在高安全风险隐患或已停止维护的第三方组件。</w:t>
      </w:r>
    </w:p>
    <w:p>
      <w:pPr>
        <w:pStyle w:val="150"/>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7.供应链厂商在产品中如使用了开源代码，应确保其符合开源许可协议要求。供应链厂商自行开发且多项目共用的基础框架及组件，一并参照管理。</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8.供应链厂商在项目开发建设时，要配置独立的、与互联网隔离的内部代码管理平台,并开展安全审查。严禁将源代码上传第三方平台，严禁使用互联网代码托管平台。</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9.供应链厂商在项目开发建设时，要搭建具备权限管控功能的统一版本控制系统，将全部源代码纳入管理，并制定安全编码规范，严禁开发人员未经授权或越权访问和违规开发。</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10.供应链厂商要开展源代码安全自查工作，设置专用代码审计场所，采用工具与人工核查相结合的方式开展工作，形成《源代码审计报告》提交税务机关。审计过程要确保源代码不外泄，对审计中发现的问题要及时解决。</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11.供应链厂商需要税务机关提供用于测试的脱敏数据时，应明确脱敏字段需求，要规范测试数据使用权限，切断数据拷出途径，确保测试数据安全。</w:t>
      </w:r>
    </w:p>
    <w:p>
      <w:pPr>
        <w:pStyle w:val="16"/>
        <w:spacing w:before="0" w:after="0" w:line="360" w:lineRule="auto"/>
        <w:ind w:left="0" w:right="0" w:firstLine="640"/>
        <w:jc w:val="both"/>
        <w:rPr>
          <w:rFonts w:ascii="Times New Roman" w:eastAsia="Times New Roman" w:hAnsi="Times New Roman" w:cs="Times New Roman"/>
        </w:rPr>
      </w:pPr>
      <w:r>
        <w:rPr>
          <w:rFonts w:ascii="FangSong_GB2312" w:eastAsia="FangSong_GB2312" w:hAnsi="FangSong_GB2312" w:cs="FangSong_GB2312"/>
          <w:spacing w:val="0"/>
          <w:sz w:val="28"/>
          <w:szCs w:val="28"/>
        </w:rPr>
        <w:t>12.供应链厂商要按照“三同步”工作要求，在应用系统开发上线前将《供应链产品清单》、《第三方组件使用清单》、《源代码审计报告》等相关内容，汇总至系统安全“三同步”材料一并提交税务机关审核，要从开发设计环节即全面落实安全管理要求。</w:t>
      </w:r>
    </w:p>
    <w:p>
      <w:pPr>
        <w:pStyle w:val="16"/>
        <w:spacing w:before="0" w:after="0" w:line="360" w:lineRule="auto"/>
        <w:ind w:left="0" w:right="0" w:firstLine="640"/>
        <w:jc w:val="both"/>
        <w:rPr>
          <w:rFonts w:ascii="Times New Roman" w:eastAsia="Times New Roman" w:hAnsi="Times New Roman" w:cs="Times New Roman"/>
        </w:rPr>
      </w:pPr>
      <w:r>
        <w:rPr>
          <w:rFonts w:ascii="FangSong_GB2312" w:eastAsia="FangSong_GB2312" w:hAnsi="FangSong_GB2312" w:cs="FangSong_GB2312"/>
          <w:spacing w:val="0"/>
          <w:sz w:val="28"/>
          <w:szCs w:val="28"/>
        </w:rPr>
        <w:t>（四）日常运维安全管理需求</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1.供应链厂商人员开展工作所需的各类账户，要依据税务系统税费数据查询账号权限管理要求，按照最小化授权的原则，向税务机关提前申请，获得批准后方能使用，供应链厂商不得申请超出工作所需范围的账号权限。账户要采用实名制管理，准确填写厂商、姓名等基本信息，人员与账户一一对应，严禁用他人账户进行数据维护，严禁运维账户存在“一人多户”或“一户多人”情况。</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2.供应链厂商要加强数据安全管理，规范供应链厂商人员的日常运维工作，不得擅自访问、修改或删除税费数据，严禁将生产环境的真实税费数据导入测试环境，测试系统中不能留有真实税费数据。</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3.供应链厂商及人员需要导出数据时要经过审批且符合规定，严禁私自导出数据。</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4.供应链厂商及人员不得私自截留涉税相关数据，不得变更用途、用法，不得公开、转让或向第三方提供。</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5.供应链厂商要及时发现风险隐患，对发现的网络安全漏洞、缺陷、数据泄露或其他重大网络安全风险，及时向税务机关报告，不得公开或向第三方提供。</w:t>
      </w:r>
    </w:p>
    <w:p>
      <w:pPr>
        <w:pStyle w:val="16"/>
        <w:spacing w:before="0" w:after="0" w:line="360" w:lineRule="auto"/>
        <w:ind w:left="0" w:right="0" w:firstLine="640"/>
        <w:rPr>
          <w:rFonts w:ascii="Times New Roman" w:eastAsia="Times New Roman" w:hAnsi="Times New Roman" w:cs="Times New Roman"/>
        </w:rPr>
      </w:pPr>
      <w:r>
        <w:rPr>
          <w:rFonts w:ascii="FangSong_GB2312" w:eastAsia="FangSong_GB2312" w:hAnsi="FangSong_GB2312" w:cs="FangSong_GB2312"/>
          <w:spacing w:val="0"/>
          <w:sz w:val="28"/>
          <w:szCs w:val="28"/>
        </w:rPr>
        <w:t>6.供应链厂商要定期检查所使用产品及第三方组件，存在高危漏洞的应及时通过限制访问、更新补丁、版本升级、设备防护等措施进行加固处置；对于停止维护的产品及第三方组件，要评估是否存在高危漏洞，如存在无法修复的高危漏洞，要升级版本或更换产品及第三方组件。</w:t>
      </w:r>
    </w:p>
    <w:p>
      <w:pPr>
        <w:pStyle w:val="Heading30"/>
        <w:keepNext w:val="0"/>
        <w:spacing w:before="0" w:after="0" w:line="360" w:lineRule="auto"/>
        <w:rPr>
          <w:rFonts w:ascii="仿宋_GB2312" w:eastAsia="仿宋_GB2312" w:hAnsi="仿宋_GB2312" w:cs="仿宋_GB2312"/>
          <w:b/>
          <w:bCs/>
          <w:sz w:val="28"/>
          <w:szCs w:val="28"/>
        </w:rPr>
      </w:pPr>
      <w:bookmarkStart w:id="45" w:name="_Toc256000041"/>
      <w:r>
        <w:rPr>
          <w:rFonts w:ascii="仿宋_GB2312" w:eastAsia="仿宋_GB2312" w:hAnsi="仿宋_GB2312" w:cs="仿宋_GB2312"/>
          <w:sz w:val="28"/>
          <w:szCs w:val="28"/>
        </w:rPr>
        <w:t>10.1.4★信息化服务运维人员要求</w:t>
      </w:r>
      <w:bookmarkEnd w:id="45"/>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本项目涉及信息化服务运维人员的，运维人员应当是运维单位的正式人员，或者是与运维单位签订1年以上劳动合同且实际工作满1年的人员，常驻运维人员应当为技术骨干。</w:t>
      </w:r>
    </w:p>
    <w:p>
      <w:pPr>
        <w:pStyle w:val="150"/>
        <w:spacing w:before="0" w:after="0" w:line="360" w:lineRule="auto"/>
        <w:ind w:left="0" w:right="0" w:firstLine="640"/>
        <w:textAlignment w:val="baseline"/>
        <w:rPr>
          <w:rFonts w:ascii="Times New Roman" w:eastAsia="Times New Roman" w:hAnsi="Times New Roman" w:cs="Times New Roman"/>
        </w:rPr>
      </w:pPr>
      <w:r>
        <w:rPr>
          <w:rFonts w:ascii="Times New Roman" w:eastAsia="Times New Roman" w:hAnsi="Times New Roman" w:cs="Times New Roman"/>
          <w:sz w:val="28"/>
          <w:szCs w:val="28"/>
        </w:rPr>
        <w:t>常驻运维人员不得在同一服务期内，为两个或以上信息化项目提供驻场、运维服务。</w:t>
      </w:r>
    </w:p>
    <w:p>
      <w:pPr>
        <w:pStyle w:val="Heading30"/>
        <w:keepNext w:val="0"/>
        <w:spacing w:before="0" w:after="0" w:line="360" w:lineRule="auto"/>
        <w:rPr>
          <w:rFonts w:ascii="仿宋_GB2312" w:eastAsia="仿宋_GB2312" w:hAnsi="仿宋_GB2312" w:cs="仿宋_GB2312"/>
          <w:b/>
          <w:bCs/>
          <w:sz w:val="28"/>
          <w:szCs w:val="28"/>
        </w:rPr>
      </w:pPr>
      <w:bookmarkStart w:id="46" w:name="_Toc256000042"/>
      <w:r>
        <w:rPr>
          <w:rFonts w:ascii="仿宋_GB2312" w:eastAsia="仿宋_GB2312" w:hAnsi="仿宋_GB2312" w:cs="仿宋_GB2312"/>
          <w:sz w:val="28"/>
          <w:szCs w:val="28"/>
        </w:rPr>
        <w:t>10.1.5其他</w:t>
      </w:r>
      <w:bookmarkEnd w:id="46"/>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Heading20"/>
        <w:keepNext w:val="0"/>
        <w:spacing w:before="0" w:after="0" w:line="360" w:lineRule="auto"/>
        <w:rPr>
          <w:rFonts w:ascii="仿宋_GB2312" w:eastAsia="仿宋_GB2312" w:hAnsi="仿宋_GB2312" w:cs="仿宋_GB2312"/>
          <w:b/>
          <w:bCs/>
          <w:sz w:val="28"/>
          <w:szCs w:val="28"/>
        </w:rPr>
      </w:pPr>
      <w:bookmarkStart w:id="47" w:name="_Toc256000043"/>
      <w:r>
        <w:rPr>
          <w:rFonts w:ascii="仿宋_GB2312" w:eastAsia="仿宋_GB2312" w:hAnsi="仿宋_GB2312" w:cs="仿宋_GB2312"/>
          <w:i w:val="0"/>
          <w:iCs w:val="0"/>
        </w:rPr>
        <w:t>10.2知识产权要求</w:t>
      </w:r>
      <w:bookmarkEnd w:id="47"/>
    </w:p>
    <w:p>
      <w:pPr>
        <w:pStyle w:val="150"/>
        <w:spacing w:before="0" w:after="0" w:line="360" w:lineRule="auto"/>
        <w:ind w:left="0" w:right="0" w:firstLine="640"/>
        <w:jc w:val="both"/>
        <w:rPr>
          <w:rFonts w:ascii="Times New Roman" w:eastAsia="Times New Roman" w:hAnsi="Times New Roman" w:cs="Times New Roman"/>
        </w:rPr>
      </w:pPr>
      <w:r>
        <w:rPr>
          <w:rFonts w:ascii="FangSong_GB2312" w:eastAsia="FangSong_GB2312" w:hAnsi="FangSong_GB2312" w:cs="FangSong_GB2312"/>
          <w:sz w:val="28"/>
          <w:szCs w:val="28"/>
        </w:rPr>
        <w:t>本项目所有知识产权归国家税务总局吉林省税务局所有。投标人需保证所提供的服务不侵犯第三方的知识产权（专利权、商标权、版权等），因侵害第三方知识产权而产生的法律责任，全部由投标人承担。</w:t>
      </w:r>
    </w:p>
    <w:p>
      <w:pPr>
        <w:pStyle w:val="Heading20"/>
        <w:keepNext w:val="0"/>
        <w:spacing w:before="0" w:after="0" w:line="360" w:lineRule="auto"/>
        <w:rPr>
          <w:rFonts w:ascii="仿宋_GB2312" w:eastAsia="仿宋_GB2312" w:hAnsi="仿宋_GB2312" w:cs="仿宋_GB2312"/>
          <w:b/>
          <w:bCs/>
          <w:sz w:val="28"/>
          <w:szCs w:val="28"/>
        </w:rPr>
      </w:pPr>
      <w:bookmarkStart w:id="48" w:name="_Toc256000044"/>
      <w:r>
        <w:rPr>
          <w:rFonts w:ascii="仿宋_GB2312" w:eastAsia="仿宋_GB2312" w:hAnsi="仿宋_GB2312" w:cs="仿宋_GB2312"/>
          <w:i w:val="0"/>
          <w:iCs w:val="0"/>
        </w:rPr>
        <w:t>10.3付款安排建议</w:t>
      </w:r>
      <w:bookmarkEnd w:id="48"/>
    </w:p>
    <w:tbl>
      <w:tblPr>
        <w:tblStyle w:val="TableNormal"/>
        <w:tblW w:w="5000" w:type="pct"/>
        <w:tblInd w:w="30" w:type="dxa"/>
        <w:tblCellMar>
          <w:top w:w="15" w:type="dxa"/>
          <w:left w:w="15" w:type="dxa"/>
          <w:bottom w:w="15" w:type="dxa"/>
          <w:right w:w="15" w:type="dxa"/>
        </w:tblCellMar>
      </w:tblPr>
      <w:tblGrid>
        <w:gridCol w:w="3622"/>
        <w:gridCol w:w="4867"/>
        <w:gridCol w:w="581"/>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国家税务总局吉林省税务局2025年统一工作平台—退税减税政策大数据监控平台指标升级改造项目</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在完成项目系统升级改造服务并终验合格后，中标供应商提出付款申请并出具合法等额发票后10个工作日内支付同总额100%的款项。</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100.0</w:t>
            </w:r>
          </w:p>
        </w:tc>
      </w:tr>
    </w:tbl>
    <w:p>
      <w:pPr>
        <w:pStyle w:val="Heading20"/>
        <w:keepNext w:val="0"/>
        <w:spacing w:before="0" w:after="0" w:line="360" w:lineRule="auto"/>
        <w:rPr>
          <w:rFonts w:ascii="仿宋_GB2312" w:eastAsia="仿宋_GB2312" w:hAnsi="仿宋_GB2312" w:cs="仿宋_GB2312"/>
          <w:b/>
          <w:bCs/>
          <w:sz w:val="28"/>
          <w:szCs w:val="28"/>
        </w:rPr>
      </w:pPr>
      <w:bookmarkStart w:id="49" w:name="_Toc256000045"/>
      <w:r>
        <w:rPr>
          <w:rFonts w:ascii="仿宋_GB2312" w:eastAsia="仿宋_GB2312" w:hAnsi="仿宋_GB2312" w:cs="仿宋_GB2312"/>
          <w:i w:val="0"/>
          <w:iCs w:val="0"/>
        </w:rPr>
        <w:t>10.4其他</w:t>
      </w:r>
      <w:bookmarkEnd w:id="49"/>
    </w:p>
    <w:p>
      <w:pPr>
        <w:pStyle w:val="17"/>
        <w:spacing w:before="0" w:after="0" w:line="360" w:lineRule="auto"/>
        <w:jc w:val="center"/>
        <w:rPr>
          <w:rFonts w:ascii="Times New Roman" w:eastAsia="Times New Roman" w:hAnsi="Times New Roman" w:cs="Times New Roman"/>
        </w:rPr>
      </w:pPr>
      <w:r>
        <w:rPr>
          <w:rFonts w:ascii="仿宋_GB2312" w:eastAsia="仿宋_GB2312" w:hAnsi="仿宋_GB2312" w:cs="仿宋_GB2312"/>
          <w:sz w:val="32"/>
          <w:szCs w:val="32"/>
        </w:rPr>
        <w:t>“满足指标要求情况”内容</w:t>
      </w:r>
    </w:p>
    <w:p>
      <w:pPr>
        <w:pStyle w:val="17"/>
        <w:spacing w:before="0" w:after="0" w:line="360" w:lineRule="auto"/>
        <w:jc w:val="center"/>
        <w:rPr>
          <w:rFonts w:ascii="Times New Roman" w:eastAsia="Times New Roman" w:hAnsi="Times New Roman" w:cs="Times New Roman"/>
        </w:rPr>
      </w:pPr>
      <w:r>
        <w:rPr>
          <w:rFonts w:ascii="仿宋_GB2312" w:eastAsia="仿宋_GB2312" w:hAnsi="仿宋_GB2312" w:cs="仿宋_GB2312"/>
          <w:sz w:val="30"/>
          <w:szCs w:val="30"/>
        </w:rPr>
        <w:t>（</w:t>
      </w:r>
      <w:r>
        <w:rPr>
          <w:rFonts w:ascii="仿宋_GB2312" w:eastAsia="仿宋_GB2312" w:hAnsi="仿宋_GB2312" w:cs="仿宋_GB2312"/>
          <w:sz w:val="30"/>
          <w:szCs w:val="30"/>
        </w:rPr>
        <w:t>统一工作平台</w:t>
      </w:r>
      <w:r>
        <w:rPr>
          <w:rFonts w:ascii="仿宋_GB2312" w:eastAsia="仿宋_GB2312" w:hAnsi="仿宋_GB2312" w:cs="仿宋_GB2312"/>
          <w:sz w:val="30"/>
          <w:szCs w:val="30"/>
        </w:rPr>
        <w:t>—退税减税政策大数据监控平台指标升级改造项目</w:t>
      </w:r>
      <w:r>
        <w:rPr>
          <w:rFonts w:ascii="仿宋_GB2312" w:eastAsia="仿宋_GB2312" w:hAnsi="仿宋_GB2312" w:cs="仿宋_GB2312"/>
          <w:sz w:val="30"/>
          <w:szCs w:val="30"/>
        </w:rPr>
        <w:t>）</w:t>
      </w:r>
    </w:p>
    <w:tbl>
      <w:tblPr>
        <w:tblStyle w:val="MsoNormalTable"/>
        <w:tblW w:w="4997" w:type="pct"/>
        <w:tblCellSpacing w:w="0" w:type="dxa"/>
        <w:tblInd w:w="128" w:type="dxa"/>
        <w:tblCellMar>
          <w:top w:w="15" w:type="dxa"/>
          <w:left w:w="15" w:type="dxa"/>
          <w:bottom w:w="15" w:type="dxa"/>
          <w:right w:w="15" w:type="dxa"/>
        </w:tblCellMar>
        <w:tblLook w:val="05E0"/>
      </w:tblPr>
      <w:tblGrid>
        <w:gridCol w:w="138"/>
        <w:gridCol w:w="1425"/>
        <w:gridCol w:w="219"/>
        <w:gridCol w:w="887"/>
        <w:gridCol w:w="4863"/>
        <w:gridCol w:w="1539"/>
      </w:tblGrid>
      <w:tr>
        <w:tblPrEx>
          <w:tblW w:w="4997" w:type="pct"/>
          <w:tblCellSpacing w:w="0" w:type="dxa"/>
          <w:tblInd w:w="128" w:type="dxa"/>
          <w:tblCellMar>
            <w:top w:w="15" w:type="dxa"/>
            <w:left w:w="15" w:type="dxa"/>
            <w:bottom w:w="15" w:type="dxa"/>
            <w:right w:w="15" w:type="dxa"/>
          </w:tblCellMar>
          <w:tblLook w:val="05E0"/>
        </w:tblPrEx>
        <w:trPr>
          <w:trHeight w:val="540"/>
          <w:tblCellSpacing w:w="0" w:type="dxa"/>
        </w:trPr>
        <w:tc>
          <w:tcPr>
            <w:tcW w:w="291" w:type="pct"/>
            <w:tcBorders>
              <w:top w:val="single" w:sz="8" w:space="0" w:color="000000"/>
              <w:left w:val="single" w:sz="8" w:space="0" w:color="000000"/>
              <w:bottom w:val="single" w:sz="8" w:space="0" w:color="000000"/>
              <w:right w:val="single" w:sz="8" w:space="0" w:color="000000"/>
            </w:tcBorders>
            <w:noWrap w:val="0"/>
            <w:tcMar>
              <w:top w:w="2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序号</w:t>
            </w:r>
          </w:p>
        </w:tc>
        <w:tc>
          <w:tcPr>
            <w:tcW w:w="482" w:type="pct"/>
            <w:tcBorders>
              <w:top w:val="single" w:sz="8" w:space="0" w:color="000000"/>
              <w:bottom w:val="single" w:sz="8" w:space="0" w:color="000000"/>
              <w:right w:val="single" w:sz="8" w:space="0" w:color="000000"/>
            </w:tcBorders>
            <w:noWrap w:val="0"/>
            <w:tcMar>
              <w:top w:w="2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产品名称</w:t>
            </w:r>
          </w:p>
        </w:tc>
        <w:tc>
          <w:tcPr>
            <w:tcW w:w="307" w:type="pct"/>
            <w:tcBorders>
              <w:top w:val="single" w:sz="8" w:space="0" w:color="000000"/>
              <w:bottom w:val="single" w:sz="8" w:space="0" w:color="000000"/>
              <w:right w:val="single" w:sz="8" w:space="0" w:color="000000"/>
            </w:tcBorders>
            <w:noWrap w:val="0"/>
            <w:tcMar>
              <w:top w:w="2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指标种类</w:t>
            </w:r>
          </w:p>
        </w:tc>
        <w:tc>
          <w:tcPr>
            <w:tcW w:w="1305" w:type="pct"/>
            <w:tcBorders>
              <w:top w:val="single" w:sz="8" w:space="0" w:color="000000"/>
              <w:bottom w:val="single" w:sz="8" w:space="0" w:color="000000"/>
              <w:right w:val="single" w:sz="8" w:space="0" w:color="000000"/>
            </w:tcBorders>
            <w:noWrap w:val="0"/>
            <w:tcMar>
              <w:top w:w="2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指标名称</w:t>
            </w:r>
          </w:p>
        </w:tc>
        <w:tc>
          <w:tcPr>
            <w:tcW w:w="1725" w:type="pct"/>
            <w:tcBorders>
              <w:top w:val="single" w:sz="8" w:space="0" w:color="000000"/>
              <w:bottom w:val="single" w:sz="8" w:space="0" w:color="000000"/>
              <w:right w:val="single" w:sz="8" w:space="0" w:color="000000"/>
            </w:tcBorders>
            <w:noWrap w:val="0"/>
            <w:tcMar>
              <w:top w:w="2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指标内容</w:t>
            </w:r>
          </w:p>
        </w:tc>
        <w:tc>
          <w:tcPr>
            <w:tcW w:w="887" w:type="pct"/>
            <w:tcBorders>
              <w:top w:val="single" w:sz="8" w:space="0" w:color="000000"/>
              <w:bottom w:val="single" w:sz="8" w:space="0" w:color="000000"/>
              <w:right w:val="single" w:sz="8" w:space="0" w:color="000000"/>
            </w:tcBorders>
            <w:noWrap w:val="0"/>
            <w:tcMar>
              <w:top w:w="2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证明材料要求（官网截图或产品说明书或白皮书或承诺书等证明材料）</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w:t>
            </w:r>
          </w:p>
        </w:tc>
        <w:tc>
          <w:tcPr>
            <w:tcW w:w="482" w:type="pct"/>
            <w:vMerge w:val="restart"/>
            <w:tcBorders>
              <w:bottom w:val="none" w:sz="0" w:space="0" w:color="auto"/>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统一工作平台—退税减税政策大数据监控平台指标升级改造项目</w:t>
            </w:r>
          </w:p>
        </w:tc>
        <w:tc>
          <w:tcPr>
            <w:tcW w:w="30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建立监控指标的指标公式</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能够提供新增指标的数据提取公式，证明可实现新增指标的数据加工、汇算。</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96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2</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分析数据源</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分析数据源，根据监控指标的风险识别条件、指标公式，从核心征管系统中筛查数据来源，并与实际工作进行比对，找出需要利用的核心数据库表，建立数据源。</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3</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数据加工汇算—编写SQL脚本</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利用核心征管系统数据库表，编写SQL取数脚本，</w:t>
            </w:r>
            <w:r>
              <w:rPr>
                <w:rStyle w:val="16Character"/>
                <w:rFonts w:ascii="宋体" w:eastAsia="宋体" w:hAnsi="宋体" w:cs="宋体"/>
                <w:b w:val="0"/>
                <w:bCs w:val="0"/>
                <w:i w:val="0"/>
                <w:iCs w:val="0"/>
                <w:smallCaps w:val="0"/>
                <w:color w:val="000000"/>
                <w:sz w:val="21"/>
                <w:szCs w:val="21"/>
              </w:rPr>
              <w:t>并对数据进行抽取、转换、</w:t>
            </w:r>
            <w:r>
              <w:rPr>
                <w:rStyle w:val="15Character"/>
                <w:rFonts w:ascii="宋体" w:eastAsia="宋体" w:hAnsi="宋体" w:cs="宋体"/>
                <w:b w:val="0"/>
                <w:bCs w:val="0"/>
                <w:i w:val="0"/>
                <w:iCs w:val="0"/>
                <w:smallCaps w:val="0"/>
                <w:color w:val="000000"/>
                <w:sz w:val="21"/>
                <w:szCs w:val="21"/>
              </w:rPr>
              <w:t>加载等操作，形成的退税减税监控平台的监控指标表。</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4</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数据加工汇算—创建存储过程</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创建存储过程，提高监控指标汇数执行速度，可以在程序中被多次调用而不必重新编写该存储过程的SQL汇数脚本语句。</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5</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数据加工汇算—数据同步</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数据同步，使用GoldenGate软件从核心征管系统业务分发数据库实时同步系统所需的业务及代码表数据到减税降费数据仓库。</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98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6</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数据加工汇算—自动销号</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每天从应用系统查询库中提取数据进行更新，纳税人、缴费人按照提示提醒提出享受优惠申请后，平台中疑点数据自动剔除，不需要基层人员另做反馈业务处理。</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98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7</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数据加工汇算—数据质量自动检查</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数据质量自动检查，系统晚间加工数据完成后，</w:t>
            </w:r>
            <w:r>
              <w:rPr>
                <w:rStyle w:val="16Character"/>
                <w:rFonts w:ascii="宋体" w:eastAsia="宋体" w:hAnsi="宋体" w:cs="宋体"/>
                <w:b w:val="0"/>
                <w:bCs w:val="0"/>
                <w:i w:val="0"/>
                <w:iCs w:val="0"/>
                <w:smallCaps w:val="0"/>
                <w:color w:val="000000"/>
                <w:sz w:val="21"/>
                <w:szCs w:val="21"/>
              </w:rPr>
              <w:t>按照预先制定的规则对各环节的处理数据自动进行数据质量的检查，以确保数据的准确性。</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92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8</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添加指标明细功能菜单—风险提醒</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在现运行的退税减税监控平台中，添加96项监控指标的明细菜单，提取的疑点数据显示在系统前端页面，并对每个疑点数据的涉税事项受理机关进行风险提醒。</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134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9</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添加指标明细功能菜单—数据筛选</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在系统前端页面，显示各项指标的未处理疑点数据明细表格。针对未处理疑点数据明细，提供多种查询条件，包括：申报日期起止、税款所属期起止、税务机关、申报方式等。用户可以通过上述查询条件，组合进行数据筛选。</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10</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添加指标明细功能菜单—指标明细展示</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在系统前端页面，显示各项指标的未处理疑点数据明细表格。</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11</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添加指标明细功能菜单—报表导出</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各项指标明细功能菜单所自动展示的报表，均支持报表的导出功能。</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12</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指标数据处理功能—数据下钻</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每个指标明细的功能菜单中都可以对任意一条未处理疑点数据，点击登记序号，下钻跳转至数据处理页面。</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13</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指标数据处理功能—数据处理</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能够提供功能设计界面原型图，实现对任意一条未处理疑点数据进行手工勾选处理。</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14</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优化指标展示菜单</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需要对平台指标目录结构进行调整，按处室、年度进行分类挂载</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15</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优化问题处理统计功能—数据筛选</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输入项：税务机关、业务种类、指标年度、推送日期起、推送日期止。支持对查询参数组合结果进行查询。</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16</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优化问题处理统计功能—数据展示</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按照吉林省各市、州及各征收项目进行统计，包括推送数据笔数、已处理数据笔数、未处理数据笔数。</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114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17</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优化问题处理统计功能—逐级下钻</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可从统计页面首层，依次下钻至市州级、县区级、科所三个层级的数据展示页面。</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18</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优化问题处理统计功能—数字链接</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统计页面首层、市州级、县区级、科所级，4个层级页面上的已处理数字、未处理数字，均添加链接，点击后数据下钻到纳税人明细页面。</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104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19</w:t>
            </w:r>
          </w:p>
        </w:tc>
        <w:tc>
          <w:tcPr>
            <w:vMerge/>
            <w:tcBorders>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优化问题处理统计功能—数据处理</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纳税人明细页面，可对任意一条未处理疑点数据进行手工勾选处理，处理完毕后，疑点数据状态由未处理变为已处理。</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r>
        <w:tblPrEx>
          <w:tblW w:w="4997" w:type="pct"/>
          <w:tblCellSpacing w:w="0" w:type="dxa"/>
          <w:tblInd w:w="128" w:type="dxa"/>
          <w:tblCellMar>
            <w:top w:w="15" w:type="dxa"/>
            <w:left w:w="15" w:type="dxa"/>
            <w:bottom w:w="15" w:type="dxa"/>
            <w:right w:w="15" w:type="dxa"/>
          </w:tblCellMar>
          <w:tblLook w:val="05E0"/>
        </w:tblPrEx>
        <w:trPr>
          <w:trHeight w:val="700"/>
          <w:tblCellSpacing w:w="0" w:type="dxa"/>
        </w:trPr>
        <w:tc>
          <w:tcPr>
            <w:tcW w:w="291" w:type="pct"/>
            <w:tcBorders>
              <w:left w:val="single" w:sz="8" w:space="0" w:color="000000"/>
              <w:bottom w:val="single" w:sz="8" w:space="0" w:color="000000"/>
              <w:right w:val="single" w:sz="8" w:space="0" w:color="000000"/>
            </w:tcBorders>
            <w:noWrap w:val="0"/>
            <w:tcMar>
              <w:top w:w="15" w:type="dxa"/>
              <w:left w:w="2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20</w:t>
            </w:r>
          </w:p>
        </w:tc>
        <w:tc>
          <w:tcPr>
            <w:vMerge/>
            <w:tcBorders>
              <w:bottom w:val="single" w:sz="8" w:space="0" w:color="000000"/>
              <w:right w:val="single" w:sz="8" w:space="0" w:color="000000"/>
            </w:tcBorders>
            <w:vAlign w:val="center"/>
            <w:hideMark/>
          </w:tcPr>
          <w:p>
            <w:pPr>
              <w:pStyle w:val="Normal0"/>
              <w:rPr>
                <w:rFonts w:ascii="宋体" w:eastAsia="宋体" w:hAnsi="宋体" w:cs="宋体"/>
                <w:b w:val="0"/>
                <w:bCs w:val="0"/>
                <w:i w:val="0"/>
                <w:iCs w:val="0"/>
                <w:smallCaps w:val="0"/>
                <w:color w:val="000000"/>
                <w:sz w:val="21"/>
                <w:szCs w:val="21"/>
              </w:rPr>
            </w:pPr>
          </w:p>
        </w:tc>
        <w:tc>
          <w:tcPr>
            <w:tcW w:w="307" w:type="pct"/>
            <w:tcBorders>
              <w:bottom w:val="single" w:sz="8" w:space="0" w:color="000000"/>
              <w:right w:val="single" w:sz="8" w:space="0" w:color="000000"/>
            </w:tcBorders>
            <w:noWrap/>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w:t>
            </w:r>
          </w:p>
        </w:tc>
        <w:tc>
          <w:tcPr>
            <w:tcW w:w="130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优化问题处理统计功能—报表导出</w:t>
            </w:r>
          </w:p>
        </w:tc>
        <w:tc>
          <w:tcPr>
            <w:tcW w:w="1725"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本模块自动展示的报表，支持报表的导出功能</w:t>
            </w:r>
          </w:p>
        </w:tc>
        <w:tc>
          <w:tcPr>
            <w:tcW w:w="887" w:type="pct"/>
            <w:tcBorders>
              <w:bottom w:val="single" w:sz="8" w:space="0" w:color="000000"/>
              <w:right w:val="single" w:sz="8" w:space="0" w:color="000000"/>
            </w:tcBorders>
            <w:noWrap w:val="0"/>
            <w:tcMar>
              <w:top w:w="15" w:type="dxa"/>
              <w:left w:w="15" w:type="dxa"/>
              <w:bottom w:w="0" w:type="dxa"/>
              <w:right w:w="25" w:type="dxa"/>
            </w:tcMar>
            <w:vAlign w:val="center"/>
            <w:hideMark/>
          </w:tcPr>
          <w:p>
            <w:pPr>
              <w:pStyle w:val="MsoNormal"/>
              <w:jc w:val="center"/>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1"/>
                <w:szCs w:val="21"/>
              </w:rPr>
              <w:t>提供承诺书</w:t>
            </w:r>
          </w:p>
        </w:tc>
      </w:tr>
    </w:tbl>
    <w:p>
      <w:pPr>
        <w:pStyle w:val="17"/>
        <w:spacing w:before="0" w:after="0" w:line="360" w:lineRule="auto"/>
        <w:jc w:val="both"/>
        <w:rPr>
          <w:rFonts w:ascii="Times New Roman" w:eastAsia="Times New Roman" w:hAnsi="Times New Roman" w:cs="Times New Roman"/>
        </w:rPr>
      </w:pPr>
      <w:r>
        <w:rPr>
          <w:rFonts w:ascii="仿宋_GB2312" w:eastAsia="仿宋_GB2312" w:hAnsi="仿宋_GB2312" w:cs="仿宋_GB2312"/>
          <w:sz w:val="30"/>
          <w:szCs w:val="30"/>
        </w:rPr>
        <w:t> </w:t>
      </w:r>
    </w:p>
    <w:p>
      <w:pPr>
        <w:pStyle w:val="Normal0"/>
        <w:spacing w:before="0" w:after="0" w:line="360" w:lineRule="auto"/>
        <w:jc w:val="left"/>
      </w:pPr>
    </w:p>
    <w:sectPr>
      <w:footerReference w:type="default" r:id="rI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FangSong_GB2312">
    <w:altName w:val="FangSong"/>
    <w:panose1 w:val="020B0604020202020204"/>
    <w:charset w:val="00"/>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Microsoft YaHei">
    <w:altName w:val="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pStyle w:val="Normal0"/>
      <w:spacing w:before="0" w:after="0" w:line="360" w:lineRule="auto"/>
      <w:jc w:val="center"/>
    </w:pPr>
    <w:r>
      <w:fldChar w:fldCharType="begin"/>
    </w:r>
    <w:r>
      <w:instrText xml:space="preserve"> PAGE </w:instrText>
    </w:r>
    <w:r>
      <w:fldChar w:fldCharType="separate"/>
    </w:r>
    <w:r>
      <w:t>23</w:t>
    </w:r>
    <w:r>
      <w:fldChar w:fldCharType="end"/>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1">
    <w:nsid w:val="00000002"/>
    <w:multiLevelType w:val="multilevel"/>
    <w:tmpl w:val="00000002"/>
    <w:lvl w:ilvl="0">
      <w:start w:val="1"/>
      <w:numFmt w:val="decimal"/>
      <w:pStyle w:val="10"/>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ocId w14:val="73E2B2E4"/>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atentStyles>
  <w:style w:type="paragraph" w:default="1" w:styleId="Normal">
    <w:name w:val="Normal"/>
    <w:next w:val="BodyText"/>
    <w:qFormat/>
    <w:pPr>
      <w:widowControl w:val="0"/>
      <w:spacing w:after="160" w:line="259" w:lineRule="auto"/>
      <w:jc w:val="both"/>
    </w:pPr>
    <w:rPr>
      <w:kern w:val="2"/>
      <w:sz w:val="21"/>
      <w:szCs w:val="24"/>
      <w:lang w:val="en-US"/>
    </w:rPr>
  </w:style>
  <w:style w:type="paragraph" w:styleId="Heading1">
    <w:name w:val="heading 1"/>
    <w:basedOn w:val="Normal"/>
    <w:next w:val="Normal"/>
    <w:link w:val="Heading1Char"/>
    <w:qFormat/>
    <w:pPr>
      <w:keepNext/>
      <w:keepLines/>
      <w:spacing w:before="340" w:after="330" w:line="576" w:lineRule="auto"/>
      <w:outlineLvl w:val="0"/>
    </w:pPr>
    <w:rPr>
      <w:b/>
      <w:bCs/>
      <w:kern w:val="44"/>
      <w:sz w:val="44"/>
      <w:szCs w:val="44"/>
    </w:rPr>
  </w:style>
  <w:style w:type="paragraph" w:styleId="Heading2">
    <w:name w:val="heading 2"/>
    <w:basedOn w:val="Heading1"/>
    <w:next w:val="Heading3"/>
    <w:qFormat/>
    <w:pPr>
      <w:numPr>
        <w:ilvl w:val="1"/>
        <w:numId w:val="1"/>
      </w:numPr>
      <w:tabs>
        <w:tab w:val="left" w:pos="2400"/>
      </w:tabs>
      <w:spacing w:before="260" w:afterLines="50" w:line="416" w:lineRule="auto"/>
      <w:outlineLvl w:val="1"/>
    </w:pPr>
    <w:rPr>
      <w:rFonts w:ascii="Arial" w:eastAsia="SimHei" w:hAnsi="Arial" w:cs="Calibri"/>
      <w:sz w:val="32"/>
      <w:szCs w:val="32"/>
    </w:rPr>
  </w:style>
  <w:style w:type="paragraph" w:styleId="Heading3">
    <w:name w:val="heading 3"/>
    <w:basedOn w:val="Normal"/>
    <w:next w:val="Normal"/>
    <w:link w:val="Heading3Char"/>
    <w:qFormat/>
    <w:pPr>
      <w:keepNext/>
      <w:keepLines/>
      <w:tabs>
        <w:tab w:val="left" w:pos="0"/>
      </w:tabs>
      <w:spacing w:before="260" w:after="260" w:line="415" w:lineRule="auto"/>
      <w:outlineLvl w:val="2"/>
    </w:pPr>
    <w:rPr>
      <w:b/>
      <w:sz w:val="32"/>
      <w:szCs w:val="32"/>
    </w:rPr>
  </w:style>
  <w:style w:type="paragraph" w:styleId="Heading4">
    <w:name w:val="heading 4"/>
    <w:basedOn w:val="Normal"/>
    <w:next w:val="Normal"/>
    <w:link w:val="Heading4Char"/>
    <w:qFormat/>
    <w:pPr>
      <w:keepNext/>
      <w:autoSpaceDE w:val="0"/>
      <w:autoSpaceDN w:val="0"/>
      <w:adjustRightInd w:val="0"/>
      <w:jc w:val="left"/>
      <w:outlineLvl w:val="3"/>
    </w:pPr>
    <w:rPr>
      <w:rFonts w:ascii="SimSun" w:hAnsi="SimSun"/>
      <w:color w:val="0000FF"/>
      <w:kern w:val="0"/>
      <w:sz w:val="28"/>
      <w:szCs w:val="20"/>
    </w:rPr>
  </w:style>
  <w:style w:type="paragraph" w:styleId="Heading5">
    <w:name w:val="heading 5"/>
    <w:basedOn w:val="Normal"/>
    <w:next w:val="Normal"/>
    <w:link w:val="Heading5Char"/>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Heading6">
    <w:name w:val="heading 6"/>
    <w:basedOn w:val="Normal"/>
    <w:next w:val="Normal"/>
    <w:link w:val="Heading6Char"/>
    <w:qFormat/>
    <w:pPr>
      <w:keepNext/>
      <w:keepLines/>
      <w:tabs>
        <w:tab w:val="left" w:pos="1152"/>
      </w:tabs>
      <w:spacing w:before="240" w:after="64" w:line="319" w:lineRule="auto"/>
      <w:ind w:left="1152" w:hanging="1152"/>
      <w:outlineLvl w:val="5"/>
    </w:pPr>
    <w:rPr>
      <w:rFonts w:ascii="Arial" w:eastAsia="SimHei" w:hAnsi="Arial"/>
      <w:b/>
      <w:bCs/>
      <w:sz w:val="24"/>
    </w:rPr>
  </w:style>
  <w:style w:type="paragraph" w:styleId="Heading7">
    <w:name w:val="heading 7"/>
    <w:basedOn w:val="Normal"/>
    <w:next w:val="Normal"/>
    <w:link w:val="Heading7Char"/>
    <w:qFormat/>
    <w:pPr>
      <w:keepNext/>
      <w:keepLines/>
      <w:tabs>
        <w:tab w:val="left" w:pos="1296"/>
      </w:tabs>
      <w:spacing w:before="240" w:after="64" w:line="319" w:lineRule="auto"/>
      <w:ind w:left="1296" w:hanging="1296"/>
      <w:outlineLvl w:val="6"/>
    </w:pPr>
    <w:rPr>
      <w:b/>
      <w:bCs/>
      <w:sz w:val="24"/>
    </w:rPr>
  </w:style>
  <w:style w:type="paragraph" w:styleId="Heading8">
    <w:name w:val="heading 8"/>
    <w:basedOn w:val="Normal"/>
    <w:next w:val="Normal"/>
    <w:link w:val="Heading8Char"/>
    <w:qFormat/>
    <w:pPr>
      <w:keepNext/>
      <w:keepLines/>
      <w:tabs>
        <w:tab w:val="left" w:pos="1440"/>
      </w:tabs>
      <w:spacing w:before="240" w:after="64" w:line="319" w:lineRule="auto"/>
      <w:ind w:left="1440" w:hanging="1440"/>
      <w:outlineLvl w:val="7"/>
    </w:pPr>
    <w:rPr>
      <w:rFonts w:ascii="Arial" w:eastAsia="SimHei" w:hAnsi="Arial"/>
      <w:sz w:val="24"/>
    </w:rPr>
  </w:style>
  <w:style w:type="paragraph" w:styleId="Heading9">
    <w:name w:val="heading 9"/>
    <w:basedOn w:val="Normal"/>
    <w:next w:val="Normal"/>
    <w:link w:val="Heading9Char"/>
    <w:qFormat/>
    <w:pPr>
      <w:keepNext/>
      <w:keepLines/>
      <w:tabs>
        <w:tab w:val="left" w:pos="1584"/>
      </w:tabs>
      <w:spacing w:before="240" w:after="64" w:line="319" w:lineRule="auto"/>
      <w:ind w:left="1584" w:hanging="1584"/>
      <w:outlineLvl w:val="8"/>
    </w:pPr>
    <w:rPr>
      <w:rFonts w:ascii="Arial" w:eastAsia="SimHei" w:hAnsi="Arial"/>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after="120"/>
    </w:pPr>
  </w:style>
  <w:style w:type="paragraph" w:styleId="BalloonText">
    <w:name w:val="Balloon Text"/>
    <w:basedOn w:val="Normal"/>
    <w:link w:val="BalloonTextChar"/>
    <w:qFormat/>
    <w:rPr>
      <w:kern w:val="0"/>
      <w:sz w:val="18"/>
      <w:szCs w:val="18"/>
    </w:rPr>
  </w:style>
  <w:style w:type="paragraph" w:styleId="BodyText2">
    <w:name w:val="Body Text 2"/>
    <w:basedOn w:val="Normal"/>
    <w:link w:val="BodyText2Char"/>
    <w:qFormat/>
    <w:rPr>
      <w:rFonts w:ascii="FangSong_GB2312" w:eastAsia="FangSong_GB2312"/>
      <w:kern w:val="0"/>
      <w:sz w:val="28"/>
      <w:szCs w:val="20"/>
    </w:rPr>
  </w:style>
  <w:style w:type="paragraph" w:styleId="BodyText3">
    <w:name w:val="Body Text 3"/>
    <w:basedOn w:val="Normal"/>
    <w:uiPriority w:val="99"/>
    <w:unhideWhenUsed/>
    <w:qFormat/>
    <w:pPr>
      <w:widowControl/>
      <w:kinsoku w:val="0"/>
      <w:autoSpaceDE w:val="0"/>
      <w:autoSpaceDN w:val="0"/>
      <w:adjustRightInd w:val="0"/>
      <w:snapToGrid w:val="0"/>
      <w:spacing w:after="120"/>
      <w:jc w:val="left"/>
      <w:textAlignment w:val="baseline"/>
    </w:pPr>
    <w:rPr>
      <w:rFonts w:ascii="Cambria" w:eastAsia="Microsoft YaHei" w:hAnsi="Cambria" w:cs="Arial"/>
      <w:snapToGrid w:val="0"/>
      <w:color w:val="595959"/>
      <w:kern w:val="20"/>
      <w:sz w:val="16"/>
      <w:szCs w:val="20"/>
      <w:lang w:val="zh-CN" w:eastAsia="en-US"/>
    </w:rPr>
  </w:style>
  <w:style w:type="paragraph" w:styleId="BodyTextFirstIndent">
    <w:name w:val="Body Text First Indent"/>
    <w:basedOn w:val="BodyText"/>
    <w:link w:val="BodyTextFirstIndentChar"/>
    <w:qFormat/>
    <w:pPr>
      <w:ind w:firstLine="420" w:firstLineChars="100"/>
    </w:pPr>
    <w:rPr>
      <w:kern w:val="0"/>
      <w:sz w:val="20"/>
    </w:rPr>
  </w:style>
  <w:style w:type="paragraph" w:styleId="BodyTextIndent">
    <w:name w:val="Body Text Indent"/>
    <w:basedOn w:val="Normal"/>
    <w:link w:val="BodyTextIndentChar"/>
    <w:qFormat/>
    <w:pPr>
      <w:ind w:firstLine="360"/>
    </w:pPr>
    <w:rPr>
      <w:kern w:val="0"/>
      <w:sz w:val="20"/>
      <w:szCs w:val="20"/>
    </w:rPr>
  </w:style>
  <w:style w:type="paragraph" w:styleId="BodyTextIndent2">
    <w:name w:val="Body Text Indent 2"/>
    <w:basedOn w:val="Normal"/>
    <w:link w:val="BodyTextIndent2Char"/>
    <w:qFormat/>
    <w:pPr>
      <w:ind w:firstLine="630"/>
    </w:pPr>
    <w:rPr>
      <w:rFonts w:ascii="SimSun"/>
      <w:kern w:val="0"/>
      <w:sz w:val="28"/>
      <w:szCs w:val="20"/>
    </w:rPr>
  </w:style>
  <w:style w:type="paragraph" w:styleId="BodyTextIndent3">
    <w:name w:val="Body Text Indent 3"/>
    <w:basedOn w:val="Normal"/>
    <w:link w:val="BodyTextIndent3Char"/>
    <w:qFormat/>
    <w:pPr>
      <w:spacing w:line="360" w:lineRule="auto"/>
      <w:ind w:firstLine="480" w:firstLineChars="200"/>
      <w:jc w:val="left"/>
    </w:pPr>
    <w:rPr>
      <w:kern w:val="0"/>
      <w:sz w:val="24"/>
      <w:szCs w:val="20"/>
    </w:rPr>
  </w:style>
  <w:style w:type="paragraph" w:styleId="CommentText">
    <w:name w:val="annotation text"/>
    <w:basedOn w:val="Normal"/>
    <w:qFormat/>
    <w:pPr>
      <w:jc w:val="left"/>
    </w:pPr>
  </w:style>
  <w:style w:type="paragraph" w:styleId="Date">
    <w:name w:val="Date"/>
    <w:basedOn w:val="Normal"/>
    <w:next w:val="Normal"/>
    <w:link w:val="DateChar"/>
    <w:qFormat/>
    <w:pPr>
      <w:ind w:left="100" w:leftChars="2500"/>
    </w:pPr>
    <w:rPr>
      <w:kern w:val="0"/>
      <w:sz w:val="20"/>
    </w:rPr>
  </w:style>
  <w:style w:type="paragraph" w:styleId="DocumentMap">
    <w:name w:val="Document Map"/>
    <w:basedOn w:val="Normal"/>
    <w:link w:val="DocumentMapChar"/>
    <w:qFormat/>
    <w:pPr>
      <w:shd w:val="clear" w:color="auto" w:fill="000080"/>
    </w:pPr>
    <w:rPr>
      <w:kern w:val="0"/>
      <w:sz w:val="20"/>
      <w:shd w:val="clear" w:color="auto" w:fill="000080"/>
    </w:rPr>
  </w:style>
  <w:style w:type="character" w:styleId="FollowedHyperlink">
    <w:name w:val="FollowedHyperlink"/>
    <w:qFormat/>
    <w:rPr>
      <w:rFonts w:ascii="Microsoft YaHei" w:eastAsia="Microsoft YaHei" w:hAnsi="Microsoft YaHei" w:cs="Microsoft YaHei" w:hint="eastAsia"/>
      <w:color w:val="02396F"/>
      <w:u w:val="single"/>
    </w:rPr>
  </w:style>
  <w:style w:type="paragraph" w:styleId="Footer">
    <w:name w:val="footer"/>
    <w:basedOn w:val="Normal"/>
    <w:link w:val="FooterChar"/>
    <w:qFormat/>
    <w:pPr>
      <w:tabs>
        <w:tab w:val="center" w:pos="4140"/>
        <w:tab w:val="right" w:pos="8300"/>
      </w:tabs>
      <w:snapToGrid w:val="0"/>
      <w:spacing w:after="0"/>
      <w:jc w:val="left"/>
    </w:pPr>
    <w:rPr>
      <w:kern w:val="0"/>
      <w:sz w:val="18"/>
    </w:rPr>
  </w:style>
  <w:style w:type="paragraph" w:styleId="Header">
    <w:name w:val="header"/>
    <w:basedOn w:val="Normal"/>
    <w:link w:val="HeaderChar"/>
    <w:qFormat/>
    <w:pPr>
      <w:pBdr>
        <w:bottom w:val="single" w:sz="6" w:space="1" w:color="auto"/>
      </w:pBdr>
      <w:tabs>
        <w:tab w:val="center" w:pos="4153"/>
        <w:tab w:val="right" w:pos="8306"/>
      </w:tabs>
      <w:snapToGrid w:val="0"/>
      <w:jc w:val="center"/>
    </w:pPr>
    <w:rPr>
      <w:kern w:val="0"/>
      <w:sz w:val="18"/>
      <w:szCs w:val="18"/>
    </w:rPr>
  </w:style>
  <w:style w:type="character" w:styleId="Hyperlink">
    <w:name w:val="Hyperlink"/>
    <w:qFormat/>
    <w:rPr>
      <w:rFonts w:ascii="Times New Roman" w:eastAsia="SimSun" w:hAnsi="Times New Roman" w:cs="Times New Roman"/>
      <w:color w:val="0000FF"/>
      <w:u w:val="single"/>
    </w:rPr>
  </w:style>
  <w:style w:type="paragraph" w:styleId="ListNumber2">
    <w:name w:val="List Number 2"/>
    <w:basedOn w:val="Normal"/>
    <w:qFormat/>
    <w:pPr>
      <w:numPr>
        <w:numId w:val="2"/>
      </w:numPr>
    </w:pPr>
  </w:style>
  <w:style w:type="paragraph" w:styleId="NormalWeb">
    <w:name w:val="Normal (Web)"/>
    <w:basedOn w:val="Normal"/>
    <w:qFormat/>
    <w:pPr>
      <w:spacing w:before="100" w:beforeAutospacing="1" w:after="100" w:afterAutospacing="1"/>
      <w:jc w:val="left"/>
    </w:pPr>
    <w:rPr>
      <w:kern w:val="0"/>
      <w:sz w:val="24"/>
    </w:rPr>
  </w:style>
  <w:style w:type="character" w:styleId="PageNumber">
    <w:name w:val="page number"/>
    <w:qFormat/>
    <w:rPr>
      <w:rFonts w:ascii="Times New Roman" w:eastAsia="SimSun" w:hAnsi="Times New Roman" w:cs="Times New Roman"/>
    </w:rPr>
  </w:style>
  <w:style w:type="paragraph" w:styleId="PlainText">
    <w:name w:val="Plain Text"/>
    <w:basedOn w:val="Normal"/>
    <w:link w:val="PlainTextChar"/>
    <w:qFormat/>
    <w:pPr>
      <w:spacing w:after="0"/>
    </w:pPr>
    <w:rPr>
      <w:rFonts w:ascii="SimSun" w:hAnsi="Courier New"/>
      <w:kern w:val="0"/>
      <w:sz w:val="20"/>
      <w:szCs w:val="21"/>
    </w:rPr>
  </w:style>
  <w:style w:type="character" w:styleId="Strong">
    <w:name w:val="Strong"/>
    <w:qFormat/>
    <w:rPr>
      <w:rFonts w:ascii="Times New Roman" w:eastAsia="SimSun" w:hAnsi="Times New Roman" w:cs="Times New Roman"/>
      <w:b/>
    </w:rPr>
  </w:style>
  <w:style w:type="paragraph" w:styleId="Title">
    <w:name w:val="Title"/>
    <w:basedOn w:val="Normal"/>
    <w:link w:val="TitleChar"/>
    <w:qFormat/>
    <w:pPr>
      <w:spacing w:before="240" w:after="60"/>
      <w:jc w:val="center"/>
      <w:outlineLvl w:val="0"/>
    </w:pPr>
    <w:rPr>
      <w:rFonts w:ascii="Cambria" w:hAnsi="Cambria"/>
      <w:b/>
      <w:bCs/>
      <w:kern w:val="0"/>
      <w:sz w:val="32"/>
      <w:szCs w:val="32"/>
    </w:rPr>
  </w:style>
  <w:style w:type="paragraph" w:styleId="TOC1">
    <w:name w:val="toc 1"/>
    <w:basedOn w:val="Normal"/>
    <w:next w:val="Normal"/>
    <w:qFormat/>
    <w:pPr>
      <w:spacing w:before="120" w:after="120"/>
      <w:jc w:val="left"/>
    </w:pPr>
    <w:rPr>
      <w:rFonts w:ascii="仿宋_GB2312" w:eastAsia="仿宋_GB2312" w:hAnsi="仿宋_GB2312" w:cs="仿宋_GB2312"/>
      <w:b w:val="0"/>
      <w:bCs/>
      <w:caps/>
      <w:color w:val="000000"/>
      <w:sz w:val="24"/>
      <w:szCs w:val="20"/>
    </w:rPr>
  </w:style>
  <w:style w:type="character" w:customStyle="1" w:styleId="BodyTextChar">
    <w:name w:val="Body Text Char"/>
    <w:link w:val="BodyText"/>
    <w:qFormat/>
    <w:rPr>
      <w:rFonts w:ascii="Times New Roman" w:eastAsia="SimSun" w:hAnsi="Times New Roman" w:cs="Times New Roman"/>
      <w:kern w:val="2"/>
      <w:sz w:val="21"/>
      <w:szCs w:val="24"/>
      <w:lang w:val="en-US" w:eastAsia="zh-CN" w:bidi="ar-SA"/>
    </w:rPr>
  </w:style>
  <w:style w:type="character" w:customStyle="1" w:styleId="Heading1Char">
    <w:name w:val="Heading 1 Char"/>
    <w:link w:val="Heading1"/>
    <w:qFormat/>
    <w:rPr>
      <w:rFonts w:ascii="Times New Roman" w:eastAsia="SimSun" w:hAnsi="Times New Roman" w:cs="Times New Roman"/>
      <w:b/>
      <w:bCs/>
      <w:kern w:val="44"/>
      <w:sz w:val="44"/>
      <w:szCs w:val="44"/>
      <w:lang w:val="en-US" w:eastAsia="zh-CN" w:bidi="ar-SA"/>
    </w:rPr>
  </w:style>
  <w:style w:type="character" w:customStyle="1" w:styleId="Heading3Char">
    <w:name w:val="Heading 3 Char"/>
    <w:link w:val="Heading3"/>
    <w:qFormat/>
    <w:rPr>
      <w:rFonts w:ascii="Times New Roman" w:eastAsia="SimSun" w:hAnsi="Times New Roman" w:cs="Times New Roman"/>
      <w:b/>
      <w:bCs/>
      <w:kern w:val="2"/>
      <w:sz w:val="32"/>
      <w:szCs w:val="32"/>
      <w:lang w:val="en-US" w:eastAsia="zh-CN" w:bidi="ar-SA"/>
    </w:rPr>
  </w:style>
  <w:style w:type="character" w:customStyle="1" w:styleId="Heading4Char">
    <w:name w:val="Heading 4 Char"/>
    <w:link w:val="Heading4"/>
    <w:qFormat/>
    <w:rPr>
      <w:rFonts w:ascii="SimSun" w:eastAsia="SimSun" w:hAnsi="SimSun" w:cs="Times New Roman"/>
      <w:color w:val="0000FF"/>
      <w:sz w:val="28"/>
      <w:lang w:val="en-US" w:eastAsia="zh-CN" w:bidi="ar-SA"/>
    </w:rPr>
  </w:style>
  <w:style w:type="character" w:customStyle="1" w:styleId="Heading5Char">
    <w:name w:val="Heading 5 Char"/>
    <w:link w:val="Heading5"/>
    <w:qFormat/>
    <w:rPr>
      <w:rFonts w:ascii="Verdana" w:eastAsia="SimSun" w:hAnsi="Verdana" w:cs="Times New Roman"/>
      <w:b/>
      <w:bCs/>
      <w:kern w:val="2"/>
      <w:sz w:val="28"/>
      <w:szCs w:val="28"/>
      <w:lang w:val="en-US" w:eastAsia="zh-CN" w:bidi="ar-SA"/>
    </w:rPr>
  </w:style>
  <w:style w:type="character" w:customStyle="1" w:styleId="Heading6Char">
    <w:name w:val="Heading 6 Char"/>
    <w:link w:val="Heading6"/>
    <w:qFormat/>
    <w:rPr>
      <w:rFonts w:ascii="Arial" w:eastAsia="SimHei" w:hAnsi="Arial" w:cs="Times New Roman"/>
      <w:b/>
      <w:bCs/>
      <w:kern w:val="2"/>
      <w:sz w:val="24"/>
      <w:szCs w:val="24"/>
      <w:lang w:val="en-US" w:eastAsia="zh-CN" w:bidi="ar-SA"/>
    </w:rPr>
  </w:style>
  <w:style w:type="character" w:customStyle="1" w:styleId="Heading7Char">
    <w:name w:val="Heading 7 Char"/>
    <w:link w:val="Heading7"/>
    <w:qFormat/>
    <w:rPr>
      <w:rFonts w:ascii="Times New Roman" w:eastAsia="SimSun" w:hAnsi="Times New Roman" w:cs="Times New Roman"/>
      <w:b/>
      <w:bCs/>
      <w:kern w:val="2"/>
      <w:sz w:val="24"/>
      <w:szCs w:val="24"/>
      <w:lang w:val="en-US" w:eastAsia="zh-CN" w:bidi="ar-SA"/>
    </w:rPr>
  </w:style>
  <w:style w:type="character" w:customStyle="1" w:styleId="Heading8Char">
    <w:name w:val="Heading 8 Char"/>
    <w:link w:val="Heading8"/>
    <w:qFormat/>
    <w:rPr>
      <w:rFonts w:ascii="Arial" w:eastAsia="SimHei" w:hAnsi="Arial" w:cs="Times New Roman"/>
      <w:kern w:val="2"/>
      <w:sz w:val="24"/>
      <w:szCs w:val="24"/>
      <w:lang w:val="en-US" w:eastAsia="zh-CN" w:bidi="ar-SA"/>
    </w:rPr>
  </w:style>
  <w:style w:type="character" w:customStyle="1" w:styleId="Heading9Char">
    <w:name w:val="Heading 9 Char"/>
    <w:link w:val="Heading9"/>
    <w:qFormat/>
    <w:rPr>
      <w:rFonts w:ascii="Arial" w:eastAsia="SimHei" w:hAnsi="Arial" w:cs="Times New Roman"/>
      <w:kern w:val="2"/>
      <w:sz w:val="21"/>
      <w:szCs w:val="21"/>
      <w:lang w:val="en-US" w:eastAsia="zh-CN" w:bidi="ar-SA"/>
    </w:rPr>
  </w:style>
  <w:style w:type="character" w:customStyle="1" w:styleId="DocumentMapChar">
    <w:name w:val="Document Map Char"/>
    <w:link w:val="DocumentMap"/>
    <w:qFormat/>
    <w:rPr>
      <w:rFonts w:ascii="Times New Roman" w:eastAsia="SimSun" w:hAnsi="Times New Roman" w:cs="Times New Roman"/>
      <w:szCs w:val="24"/>
      <w:shd w:val="clear" w:color="auto" w:fill="000080"/>
      <w:lang w:bidi="ar-SA"/>
    </w:rPr>
  </w:style>
  <w:style w:type="character" w:customStyle="1" w:styleId="BodyTextIndentChar">
    <w:name w:val="Body Text Indent Char"/>
    <w:link w:val="BodyTextIndent"/>
    <w:qFormat/>
    <w:rPr>
      <w:rFonts w:ascii="Times New Roman" w:eastAsia="SimSun" w:hAnsi="Times New Roman" w:cs="Times New Roman"/>
      <w:lang w:bidi="ar-SA"/>
    </w:rPr>
  </w:style>
  <w:style w:type="character" w:customStyle="1" w:styleId="PlainTextChar">
    <w:name w:val="Plain Text Char"/>
    <w:link w:val="PlainText"/>
    <w:qFormat/>
    <w:rPr>
      <w:rFonts w:ascii="SimSun" w:eastAsia="SimSun" w:hAnsi="Courier New" w:cs="Times New Roman"/>
      <w:szCs w:val="21"/>
      <w:lang w:bidi="ar-SA"/>
    </w:rPr>
  </w:style>
  <w:style w:type="character" w:customStyle="1" w:styleId="DateChar">
    <w:name w:val="Date Char"/>
    <w:link w:val="Date"/>
    <w:qFormat/>
    <w:rPr>
      <w:rFonts w:ascii="Times New Roman" w:eastAsia="SimSun" w:hAnsi="Times New Roman" w:cs="Times New Roman"/>
      <w:szCs w:val="24"/>
      <w:lang w:bidi="ar-SA"/>
    </w:rPr>
  </w:style>
  <w:style w:type="character" w:customStyle="1" w:styleId="BodyTextIndent2Char">
    <w:name w:val="Body Text Indent 2 Char"/>
    <w:link w:val="BodyTextIndent2"/>
    <w:qFormat/>
    <w:rPr>
      <w:rFonts w:ascii="SimSun" w:eastAsia="SimSun" w:hAnsi="Times New Roman" w:cs="Times New Roman"/>
      <w:sz w:val="28"/>
      <w:lang w:bidi="ar-SA"/>
    </w:rPr>
  </w:style>
  <w:style w:type="character" w:customStyle="1" w:styleId="BalloonTextChar">
    <w:name w:val="Balloon Text Char"/>
    <w:link w:val="BalloonText"/>
    <w:qFormat/>
    <w:rPr>
      <w:rFonts w:ascii="Times New Roman" w:eastAsia="SimSun" w:hAnsi="Times New Roman" w:cs="Times New Roman"/>
      <w:sz w:val="18"/>
      <w:szCs w:val="18"/>
      <w:lang w:bidi="ar-SA"/>
    </w:rPr>
  </w:style>
  <w:style w:type="character" w:customStyle="1" w:styleId="FooterChar">
    <w:name w:val="Footer Char"/>
    <w:link w:val="Footer"/>
    <w:qFormat/>
    <w:rPr>
      <w:rFonts w:ascii="Times New Roman" w:eastAsia="SimSun" w:hAnsi="Times New Roman" w:cs="Times New Roman"/>
      <w:sz w:val="18"/>
      <w:szCs w:val="24"/>
      <w:lang w:bidi="ar-SA"/>
    </w:rPr>
  </w:style>
  <w:style w:type="character" w:customStyle="1" w:styleId="HeaderChar">
    <w:name w:val="Header Char"/>
    <w:link w:val="Header"/>
    <w:qFormat/>
    <w:rPr>
      <w:rFonts w:ascii="Times New Roman" w:eastAsia="SimSun" w:hAnsi="Times New Roman" w:cs="Times New Roman"/>
      <w:sz w:val="18"/>
      <w:szCs w:val="18"/>
      <w:lang w:bidi="ar-SA"/>
    </w:rPr>
  </w:style>
  <w:style w:type="character" w:customStyle="1" w:styleId="BodyTextIndent3Char">
    <w:name w:val="Body Text Indent 3 Char"/>
    <w:link w:val="BodyTextIndent3"/>
    <w:qFormat/>
    <w:rPr>
      <w:rFonts w:ascii="Times New Roman" w:eastAsia="SimSun" w:hAnsi="Times New Roman" w:cs="Times New Roman"/>
      <w:sz w:val="24"/>
      <w:lang w:bidi="ar-SA"/>
    </w:rPr>
  </w:style>
  <w:style w:type="character" w:customStyle="1" w:styleId="BodyText2Char">
    <w:name w:val="Body Text 2 Char"/>
    <w:link w:val="BodyText2"/>
    <w:qFormat/>
    <w:rPr>
      <w:rFonts w:ascii="FangSong_GB2312" w:eastAsia="FangSong_GB2312" w:hAnsi="Times New Roman" w:cs="Times New Roman"/>
      <w:sz w:val="28"/>
      <w:lang w:bidi="ar-SA"/>
    </w:rPr>
  </w:style>
  <w:style w:type="character" w:customStyle="1" w:styleId="TitleChar">
    <w:name w:val="Title Char"/>
    <w:link w:val="Title"/>
    <w:qFormat/>
    <w:rPr>
      <w:rFonts w:ascii="Cambria" w:eastAsia="SimSun" w:hAnsi="Cambria" w:cs="Times New Roman"/>
      <w:b/>
      <w:bCs/>
      <w:sz w:val="32"/>
      <w:szCs w:val="32"/>
      <w:lang w:bidi="ar-SA"/>
    </w:rPr>
  </w:style>
  <w:style w:type="character" w:customStyle="1" w:styleId="BodyTextFirstIndentChar">
    <w:name w:val="Body Text First Indent Char"/>
    <w:link w:val="BodyTextFirstIndent"/>
    <w:qFormat/>
    <w:rPr>
      <w:rFonts w:ascii="Times New Roman" w:eastAsia="SimSun" w:hAnsi="Times New Roman" w:cs="Times New Roman"/>
      <w:szCs w:val="24"/>
      <w:lang w:bidi="ar-SA"/>
    </w:rPr>
  </w:style>
  <w:style w:type="character" w:customStyle="1" w:styleId="gjfg">
    <w:name w:val="gjfg"/>
    <w:basedOn w:val="DefaultParagraphFont"/>
    <w:qFormat/>
  </w:style>
  <w:style w:type="character" w:customStyle="1" w:styleId="cfdate">
    <w:name w:val="cfdate"/>
    <w:qFormat/>
    <w:rPr>
      <w:rFonts w:ascii="Times New Roman" w:eastAsia="SimSun" w:hAnsi="Times New Roman" w:cs="Times New Roman"/>
      <w:color w:val="333333"/>
      <w:sz w:val="12"/>
      <w:szCs w:val="12"/>
    </w:rPr>
  </w:style>
  <w:style w:type="character" w:customStyle="1" w:styleId="Char1">
    <w:name w:val="正文文本 Char1"/>
    <w:qFormat/>
    <w:rPr>
      <w:rFonts w:ascii="Times New Roman" w:eastAsia="SimSun" w:hAnsi="Times New Roman" w:cs="Times New Roman"/>
      <w:szCs w:val="24"/>
    </w:rPr>
  </w:style>
  <w:style w:type="character" w:customStyle="1" w:styleId="redfilenumber">
    <w:name w:val="redfilenumber"/>
    <w:qFormat/>
    <w:rPr>
      <w:rFonts w:ascii="Times New Roman" w:eastAsia="SimSun" w:hAnsi="Times New Roman" w:cs="Times New Roman"/>
      <w:color w:val="BA2636"/>
      <w:sz w:val="12"/>
      <w:szCs w:val="12"/>
    </w:rPr>
  </w:style>
  <w:style w:type="character" w:customStyle="1" w:styleId="ll2CharChar">
    <w:name w:val="ll2 Char Char"/>
    <w:link w:val="ll2"/>
    <w:qFormat/>
    <w:rPr>
      <w:rFonts w:ascii="SimSun" w:eastAsia="Times New Roman" w:hAnsi="SimSun"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SimSun" w:eastAsia="Times New Roman" w:hAnsi="SimSun"/>
      <w:bCs/>
      <w:color w:val="000000"/>
      <w:sz w:val="24"/>
      <w:szCs w:val="32"/>
      <w:lang w:val="en-US"/>
    </w:rPr>
  </w:style>
  <w:style w:type="character" w:customStyle="1" w:styleId="StyleBlackChar">
    <w:name w:val="Style .. + 宋体 五号 Black Char"/>
    <w:link w:val="StyleBlack"/>
    <w:qFormat/>
    <w:rPr>
      <w:rFonts w:ascii="SimSun" w:eastAsia="SimSun" w:hAnsi="SimSun" w:cs="Times New Roman"/>
      <w:color w:val="000000"/>
      <w:sz w:val="24"/>
      <w:lang w:bidi="ar-SA"/>
    </w:rPr>
  </w:style>
  <w:style w:type="paragraph" w:customStyle="1" w:styleId="StyleBlack">
    <w:name w:val="Style .. + 宋体 五号 Black"/>
    <w:basedOn w:val="Normal"/>
    <w:link w:val="StyleBlackChar"/>
    <w:qFormat/>
    <w:pPr>
      <w:autoSpaceDE w:val="0"/>
      <w:autoSpaceDN w:val="0"/>
      <w:adjustRightInd w:val="0"/>
      <w:spacing w:line="360" w:lineRule="auto"/>
      <w:jc w:val="left"/>
    </w:pPr>
    <w:rPr>
      <w:rFonts w:ascii="SimSun" w:hAnsi="SimSun"/>
      <w:color w:val="000000"/>
      <w:kern w:val="0"/>
      <w:sz w:val="24"/>
      <w:szCs w:val="20"/>
    </w:rPr>
  </w:style>
  <w:style w:type="character" w:customStyle="1" w:styleId="15">
    <w:name w:val="15"/>
    <w:basedOn w:val="DefaultParagraphFont"/>
    <w:qFormat/>
    <w:rPr>
      <w:rFonts w:ascii="Times New Roman" w:eastAsia="SimSun" w:hAnsi="Times New Roman" w:cs="Times New Roman" w:hint="default"/>
    </w:rPr>
  </w:style>
  <w:style w:type="character" w:customStyle="1" w:styleId="Char">
    <w:name w:val="正文文字 Char"/>
    <w:link w:val="a"/>
    <w:qFormat/>
    <w:rPr>
      <w:rFonts w:ascii="Times New Roman" w:eastAsia="SimSun" w:hAnsi="Times New Roman" w:cs="Times New Roman"/>
      <w:sz w:val="24"/>
      <w:szCs w:val="24"/>
      <w:lang w:bidi="ar-SA"/>
    </w:rPr>
  </w:style>
  <w:style w:type="paragraph" w:customStyle="1" w:styleId="a">
    <w:name w:val="正文文字"/>
    <w:basedOn w:val="Normal"/>
    <w:link w:val="Char"/>
    <w:qFormat/>
    <w:pPr>
      <w:spacing w:before="60" w:after="60" w:line="360" w:lineRule="auto"/>
      <w:ind w:firstLine="200" w:firstLineChars="200"/>
      <w:jc w:val="left"/>
    </w:pPr>
    <w:rPr>
      <w:kern w:val="0"/>
      <w:sz w:val="24"/>
    </w:rPr>
  </w:style>
  <w:style w:type="character" w:customStyle="1" w:styleId="Char0">
    <w:name w:val="文档正文 Char"/>
    <w:link w:val="a0"/>
    <w:qFormat/>
    <w:rPr>
      <w:rFonts w:ascii="长城仿宋" w:eastAsia="SimSun" w:hAnsi="Times New Roman" w:cs="Times New Roman"/>
      <w:sz w:val="24"/>
      <w:lang w:bidi="ar-SA"/>
    </w:rPr>
  </w:style>
  <w:style w:type="paragraph" w:customStyle="1" w:styleId="a0">
    <w:name w:val="文档正文"/>
    <w:basedOn w:val="Normal"/>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SimSun" w:hAnsi="Times New Roman" w:cs="Times New Roman"/>
      <w:color w:val="FFFFFF"/>
      <w:shd w:val="clear" w:color="auto" w:fill="A00000"/>
    </w:rPr>
  </w:style>
  <w:style w:type="character" w:customStyle="1" w:styleId="redfilefwwh">
    <w:name w:val="redfilefwwh"/>
    <w:qFormat/>
    <w:rPr>
      <w:rFonts w:ascii="Times New Roman" w:eastAsia="SimSun" w:hAnsi="Times New Roman" w:cs="Times New Roman"/>
      <w:color w:val="BA2636"/>
      <w:sz w:val="12"/>
      <w:szCs w:val="12"/>
    </w:rPr>
  </w:style>
  <w:style w:type="character" w:customStyle="1" w:styleId="qxdate">
    <w:name w:val="qxdate"/>
    <w:qFormat/>
    <w:rPr>
      <w:rFonts w:ascii="Times New Roman" w:eastAsia="SimSun" w:hAnsi="Times New Roman" w:cs="Times New Roman"/>
      <w:color w:val="333333"/>
      <w:sz w:val="12"/>
      <w:szCs w:val="12"/>
    </w:rPr>
  </w:style>
  <w:style w:type="paragraph" w:customStyle="1" w:styleId="Style3">
    <w:name w:val="_Style 3"/>
    <w:basedOn w:val="Heading1"/>
    <w:next w:val="Normal"/>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1">
    <w:name w:val="正文（绿盟科技）"/>
    <w:qFormat/>
    <w:pPr>
      <w:spacing w:after="160" w:line="300" w:lineRule="auto"/>
    </w:pPr>
    <w:rPr>
      <w:rFonts w:ascii="Arial" w:hAnsi="Arial" w:cs="SimHei"/>
      <w:sz w:val="21"/>
      <w:szCs w:val="21"/>
      <w:lang w:val="en-US"/>
    </w:rPr>
  </w:style>
  <w:style w:type="paragraph" w:customStyle="1" w:styleId="5">
    <w:name w:val="标题 5（有编号）（绿盟科技）"/>
    <w:basedOn w:val="Normal"/>
    <w:next w:val="a1"/>
    <w:qFormat/>
    <w:pPr>
      <w:keepNext/>
      <w:keepLines/>
      <w:numPr>
        <w:ilvl w:val="4"/>
        <w:numId w:val="4"/>
      </w:numPr>
      <w:spacing w:before="280" w:after="156" w:line="377" w:lineRule="auto"/>
      <w:jc w:val="left"/>
      <w:outlineLvl w:val="4"/>
    </w:pPr>
    <w:rPr>
      <w:rFonts w:ascii="Arial" w:eastAsia="SimHei" w:hAnsi="Arial" w:cs="SimHei"/>
      <w:b/>
      <w:kern w:val="0"/>
      <w:sz w:val="24"/>
      <w:szCs w:val="28"/>
    </w:rPr>
  </w:style>
  <w:style w:type="paragraph" w:customStyle="1" w:styleId="Char2">
    <w:name w:val="Char"/>
    <w:basedOn w:val="Normal"/>
    <w:qFormat/>
    <w:rPr>
      <w:rFonts w:ascii="Tahoma" w:hAnsi="Tahoma"/>
      <w:sz w:val="24"/>
      <w:szCs w:val="20"/>
    </w:rPr>
  </w:style>
  <w:style w:type="paragraph" w:styleId="ListParagraph">
    <w:name w:val="List Paragraph"/>
    <w:basedOn w:val="Normal"/>
    <w:uiPriority w:val="34"/>
    <w:qFormat/>
    <w:pPr>
      <w:ind w:firstLine="420"/>
    </w:pPr>
    <w:rPr>
      <w:kern w:val="0"/>
      <w:szCs w:val="21"/>
    </w:rPr>
  </w:style>
  <w:style w:type="paragraph" w:customStyle="1" w:styleId="a2">
    <w:name w:val="正常"/>
    <w:basedOn w:val="a3"/>
    <w:qFormat/>
    <w:rPr>
      <w:sz w:val="24"/>
    </w:rPr>
  </w:style>
  <w:style w:type="paragraph" w:customStyle="1" w:styleId="a3">
    <w:name w:val="小正常"/>
    <w:basedOn w:val="Normal"/>
    <w:qFormat/>
    <w:rPr>
      <w:sz w:val="20"/>
      <w:szCs w:val="20"/>
    </w:rPr>
  </w:style>
  <w:style w:type="paragraph" w:customStyle="1" w:styleId="26012">
    <w:name w:val="样式 样式 样式 标题 2 + 宋体 五号 非加粗 黑色 + 段前: 6 磅 段后: 0 磅 行距: 单倍行距 + 段前: 12..."/>
    <w:basedOn w:val="Normal"/>
    <w:qFormat/>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1">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10">
    <w:name w:val="样式1"/>
    <w:basedOn w:val="Normal"/>
    <w:qFormat/>
    <w:pPr>
      <w:numPr>
        <w:numId w:val="5"/>
      </w:numPr>
      <w:adjustRightInd w:val="0"/>
    </w:pPr>
    <w:rPr>
      <w:rFonts w:ascii="SimSun" w:hAnsi="SimSun"/>
      <w:kern w:val="0"/>
      <w:szCs w:val="20"/>
    </w:rPr>
  </w:style>
  <w:style w:type="paragraph" w:customStyle="1" w:styleId="CharCharChar">
    <w:name w:val="Char Char Char"/>
    <w:basedOn w:val="Normal"/>
    <w:qFormat/>
    <w:rPr>
      <w:rFonts w:ascii="Tahoma" w:hAnsi="Tahoma"/>
      <w:sz w:val="24"/>
      <w:szCs w:val="20"/>
    </w:rPr>
  </w:style>
  <w:style w:type="paragraph" w:customStyle="1" w:styleId="NormalIndent1">
    <w:name w:val="Normal Indent1"/>
    <w:qFormat/>
    <w:pPr>
      <w:spacing w:after="160" w:afterLines="50" w:line="360" w:lineRule="auto"/>
      <w:ind w:firstLine="420" w:firstLineChars="200"/>
    </w:pPr>
    <w:rPr>
      <w:lang w:val="en-US"/>
    </w:r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val="en-US" w:eastAsia="en-US"/>
    </w:rPr>
  </w:style>
  <w:style w:type="character" w:customStyle="1" w:styleId="Hyperlink0">
    <w:name w:val="Hyperlink_0"/>
    <w:basedOn w:val="DefaultParagraphFont"/>
    <w:rsid w:val="00EF7B96"/>
    <w:rPr>
      <w:color w:val="0000FF"/>
      <w:u w:val="single"/>
    </w:rPr>
  </w:style>
  <w:style w:type="paragraph" w:customStyle="1" w:styleId="TOC10">
    <w:name w:val="TOC 1_0"/>
    <w:basedOn w:val="Normal"/>
    <w:next w:val="Normal0"/>
    <w:autoRedefine/>
    <w:rsid w:val="00805BCE"/>
    <w:pPr>
      <w:widowControl/>
      <w:spacing w:after="0" w:line="240" w:lineRule="auto"/>
      <w:jc w:val="left"/>
    </w:pPr>
    <w:rPr>
      <w:rFonts w:eastAsia="Times New Roman"/>
      <w:kern w:val="0"/>
      <w:sz w:val="24"/>
      <w:lang w:eastAsia="en-US"/>
    </w:rPr>
  </w:style>
  <w:style w:type="paragraph" w:styleId="TOC2">
    <w:name w:val="toc 2"/>
    <w:basedOn w:val="Normal"/>
    <w:next w:val="Normal0"/>
    <w:autoRedefine/>
    <w:rsid w:val="00805BCE"/>
    <w:pPr>
      <w:widowControl/>
      <w:spacing w:after="0" w:line="240" w:lineRule="auto"/>
      <w:ind w:left="240"/>
      <w:jc w:val="left"/>
    </w:pPr>
    <w:rPr>
      <w:rFonts w:ascii="仿宋_GB2312" w:eastAsia="仿宋_GB2312" w:hAnsi="仿宋_GB2312" w:cs="仿宋_GB2312"/>
      <w:b w:val="0"/>
      <w:color w:val="000000"/>
      <w:kern w:val="0"/>
      <w:sz w:val="24"/>
      <w:lang w:eastAsia="en-US"/>
    </w:rPr>
  </w:style>
  <w:style w:type="paragraph" w:styleId="TOC3">
    <w:name w:val="toc 3"/>
    <w:basedOn w:val="Normal"/>
    <w:next w:val="Normal0"/>
    <w:autoRedefine/>
    <w:rsid w:val="00805BCE"/>
    <w:pPr>
      <w:widowControl/>
      <w:spacing w:after="0" w:line="240" w:lineRule="auto"/>
      <w:ind w:left="480"/>
      <w:jc w:val="left"/>
    </w:pPr>
    <w:rPr>
      <w:rFonts w:ascii="仿宋_GB2312" w:eastAsia="仿宋_GB2312" w:hAnsi="仿宋_GB2312" w:cs="仿宋_GB2312"/>
      <w:b w:val="0"/>
      <w:color w:val="000000"/>
      <w:kern w:val="0"/>
      <w:sz w:val="24"/>
      <w:lang w:eastAsia="en-US"/>
    </w:rPr>
  </w:style>
  <w:style w:type="paragraph" w:customStyle="1" w:styleId="Heading10">
    <w:name w:val="Heading 1_0"/>
    <w:basedOn w:val="Normal"/>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Normal"/>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Normal"/>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150">
    <w:name w:val="15_0"/>
    <w:basedOn w:val="Normal"/>
    <w:pPr>
      <w:widowControl/>
      <w:spacing w:after="0" w:line="240" w:lineRule="auto"/>
      <w:jc w:val="left"/>
    </w:pPr>
    <w:rPr>
      <w:rFonts w:eastAsia="Times New Roman"/>
      <w:kern w:val="0"/>
      <w:sz w:val="24"/>
      <w:lang w:eastAsia="en-US"/>
    </w:rPr>
  </w:style>
  <w:style w:type="paragraph" w:customStyle="1" w:styleId="Heading40">
    <w:name w:val="Heading 4_0"/>
    <w:basedOn w:val="Normal"/>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paragraph" w:customStyle="1" w:styleId="MsoNormal">
    <w:name w:val="MsoNormal"/>
    <w:basedOn w:val="Normal"/>
    <w:pPr>
      <w:widowControl/>
      <w:spacing w:after="0" w:line="240" w:lineRule="auto"/>
      <w:jc w:val="left"/>
    </w:pPr>
    <w:rPr>
      <w:rFonts w:eastAsia="Times New Roman"/>
      <w:kern w:val="0"/>
      <w:sz w:val="24"/>
      <w:lang w:eastAsia="en-US"/>
    </w:rPr>
  </w:style>
  <w:style w:type="paragraph" w:customStyle="1" w:styleId="16">
    <w:name w:val="16"/>
    <w:basedOn w:val="Normal"/>
    <w:pPr>
      <w:widowControl/>
      <w:spacing w:after="0" w:line="240" w:lineRule="auto"/>
      <w:jc w:val="left"/>
    </w:pPr>
    <w:rPr>
      <w:rFonts w:eastAsia="Times New Roman"/>
      <w:kern w:val="0"/>
      <w:sz w:val="24"/>
      <w:lang w:eastAsia="en-US"/>
    </w:rPr>
  </w:style>
  <w:style w:type="paragraph" w:customStyle="1" w:styleId="17">
    <w:name w:val="17"/>
    <w:basedOn w:val="Normal"/>
    <w:pPr>
      <w:widowControl/>
      <w:spacing w:after="0" w:line="240" w:lineRule="auto"/>
      <w:jc w:val="left"/>
    </w:pPr>
    <w:rPr>
      <w:rFonts w:eastAsia="Times New Roman"/>
      <w:kern w:val="0"/>
      <w:sz w:val="24"/>
      <w:lang w:eastAsia="en-US"/>
    </w:rPr>
  </w:style>
  <w:style w:type="paragraph" w:customStyle="1" w:styleId="MsoBodyTextFirstIndent">
    <w:name w:val="MsoBodyTextFirstIndent"/>
    <w:basedOn w:val="Normal"/>
    <w:pPr>
      <w:widowControl/>
      <w:spacing w:after="0" w:line="240" w:lineRule="auto"/>
      <w:jc w:val="left"/>
    </w:pPr>
    <w:rPr>
      <w:rFonts w:eastAsia="Times New Roman"/>
      <w:kern w:val="0"/>
      <w:sz w:val="24"/>
      <w:lang w:eastAsia="en-US"/>
    </w:rPr>
  </w:style>
  <w:style w:type="table" w:customStyle="1" w:styleId="18">
    <w:name w:val="18"/>
    <w:basedOn w:val="TableNormal"/>
    <w:rPr>
      <w:rFonts w:eastAsia="Times New Roman"/>
      <w:lang w:val="en-US" w:eastAsia="en-US"/>
    </w:rPr>
    <w:tblPr/>
  </w:style>
  <w:style w:type="character" w:customStyle="1" w:styleId="15Character">
    <w:name w:val="15 Character"/>
    <w:basedOn w:val="DefaultParagraphFont"/>
  </w:style>
  <w:style w:type="table" w:customStyle="1" w:styleId="MsoNormalTable">
    <w:name w:val="MsoNormalTable"/>
    <w:basedOn w:val="TableNormal"/>
    <w:rPr>
      <w:rFonts w:eastAsia="Times New Roman"/>
      <w:lang w:val="en-US" w:eastAsia="en-US"/>
    </w:rPr>
    <w:tblPr/>
  </w:style>
  <w:style w:type="character" w:customStyle="1" w:styleId="16Character">
    <w:name w:val="16 Character"/>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23</Pages>
  <Words>9</Words>
  <Characters>53</Characters>
  <Application>Microsoft Office Word</Application>
  <DocSecurity>0</DocSecurity>
  <Lines>1</Lines>
  <Paragraphs>1</Paragraphs>
  <ScaleCrop>false</ScaleCrop>
  <Company>China</Company>
  <LinksUpToDate>false</LinksUpToDate>
  <CharactersWithSpaces>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Chaoran Chen</cp:lastModifiedBy>
  <cp:revision>2</cp:revision>
  <cp:lastPrinted>2023-10-01T11:04:00Z</cp:lastPrinted>
  <dcterms:created xsi:type="dcterms:W3CDTF">2020-05-09T07:26:00Z</dcterms:created>
  <dcterms:modified xsi:type="dcterms:W3CDTF">2024-11-05T08:28:00Z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