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6A54" w:rsidRDefault="00BD6A54">
      <w:pPr>
        <w:jc w:val="left"/>
        <w:rPr>
          <w:rFonts w:hAnsi="宋体" w:hint="eastAsia"/>
          <w:b/>
          <w:sz w:val="96"/>
          <w:szCs w:val="96"/>
        </w:rPr>
      </w:pPr>
    </w:p>
    <w:p w:rsidR="00BD6A54" w:rsidRDefault="00EA50EC">
      <w:pPr>
        <w:topLinePunct/>
        <w:autoSpaceDE w:val="0"/>
        <w:autoSpaceDN w:val="0"/>
        <w:jc w:val="center"/>
        <w:rPr>
          <w:rFonts w:hAnsi="宋体"/>
          <w:b/>
          <w:sz w:val="96"/>
          <w:szCs w:val="96"/>
        </w:rPr>
      </w:pPr>
      <w:r>
        <w:rPr>
          <w:rFonts w:hAnsi="宋体" w:hint="eastAsia"/>
          <w:b/>
          <w:sz w:val="96"/>
          <w:szCs w:val="96"/>
        </w:rPr>
        <w:t>招</w:t>
      </w:r>
      <w:r>
        <w:rPr>
          <w:rFonts w:hAnsi="宋体" w:hint="eastAsia"/>
          <w:b/>
          <w:sz w:val="96"/>
          <w:szCs w:val="96"/>
        </w:rPr>
        <w:t xml:space="preserve"> </w:t>
      </w:r>
      <w:r>
        <w:rPr>
          <w:rFonts w:hAnsi="宋体" w:hint="eastAsia"/>
          <w:b/>
          <w:sz w:val="96"/>
          <w:szCs w:val="96"/>
        </w:rPr>
        <w:t>标</w:t>
      </w:r>
      <w:r>
        <w:rPr>
          <w:rFonts w:hAnsi="宋体" w:hint="eastAsia"/>
          <w:b/>
          <w:sz w:val="96"/>
          <w:szCs w:val="96"/>
        </w:rPr>
        <w:t xml:space="preserve"> </w:t>
      </w:r>
      <w:r>
        <w:rPr>
          <w:rFonts w:hAnsi="宋体" w:hint="eastAsia"/>
          <w:b/>
          <w:sz w:val="96"/>
          <w:szCs w:val="96"/>
        </w:rPr>
        <w:t>文</w:t>
      </w:r>
      <w:r>
        <w:rPr>
          <w:rFonts w:hAnsi="宋体" w:hint="eastAsia"/>
          <w:b/>
          <w:sz w:val="96"/>
          <w:szCs w:val="96"/>
        </w:rPr>
        <w:t xml:space="preserve"> </w:t>
      </w:r>
      <w:r>
        <w:rPr>
          <w:rFonts w:hAnsi="宋体" w:hint="eastAsia"/>
          <w:b/>
          <w:sz w:val="96"/>
          <w:szCs w:val="96"/>
        </w:rPr>
        <w:t>件</w:t>
      </w:r>
    </w:p>
    <w:p w:rsidR="00BD6A54" w:rsidRDefault="00BD6A54">
      <w:pPr>
        <w:topLinePunct/>
        <w:autoSpaceDE w:val="0"/>
        <w:autoSpaceDN w:val="0"/>
        <w:spacing w:line="60" w:lineRule="exact"/>
        <w:jc w:val="center"/>
        <w:rPr>
          <w:rFonts w:hAnsi="宋体"/>
          <w:sz w:val="96"/>
          <w:szCs w:val="96"/>
        </w:rPr>
      </w:pPr>
    </w:p>
    <w:p w:rsidR="00BD6A54" w:rsidRDefault="00EA50EC">
      <w:pPr>
        <w:topLinePunct/>
        <w:autoSpaceDE w:val="0"/>
        <w:autoSpaceDN w:val="0"/>
        <w:snapToGrid w:val="0"/>
        <w:jc w:val="center"/>
        <w:rPr>
          <w:rFonts w:ascii="宋体" w:hAnsi="宋体"/>
          <w:sz w:val="96"/>
          <w:szCs w:val="96"/>
        </w:rPr>
      </w:pPr>
      <w:r>
        <w:rPr>
          <w:rFonts w:hAnsi="宋体" w:hint="eastAsia"/>
          <w:b/>
          <w:sz w:val="56"/>
          <w:szCs w:val="56"/>
        </w:rPr>
        <w:t>（技术部分）</w:t>
      </w: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EA50EC">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项目名称：</w:t>
      </w:r>
      <w:bookmarkStart w:id="0" w:name="项目名称_fa_planName"/>
      <w:r w:rsidR="00381FED" w:rsidRPr="00381FED">
        <w:rPr>
          <w:rFonts w:ascii="宋体" w:hint="eastAsia"/>
          <w:b/>
          <w:bCs/>
          <w:sz w:val="28"/>
          <w:szCs w:val="28"/>
        </w:rPr>
        <w:t>国家税务总局吉林省税务局2025年区块链基础平台运维项目</w:t>
      </w:r>
      <w:bookmarkEnd w:id="0"/>
    </w:p>
    <w:p w:rsidR="00BD6A54" w:rsidRDefault="00EA50EC">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项目编号：</w:t>
      </w:r>
      <w:bookmarkStart w:id="1" w:name="项目编号_fa_planNo"/>
      <w:r w:rsidR="00381FED" w:rsidRPr="00381FED">
        <w:rPr>
          <w:rFonts w:ascii="宋体" w:hint="eastAsia"/>
          <w:b/>
          <w:bCs/>
          <w:sz w:val="28"/>
          <w:szCs w:val="28"/>
        </w:rPr>
        <w:t>JL2025-ZXGK-C0099-B00</w:t>
      </w:r>
      <w:bookmarkEnd w:id="1"/>
    </w:p>
    <w:p w:rsidR="00BD6A54" w:rsidRDefault="00BD6A54">
      <w:pPr>
        <w:topLinePunct/>
        <w:autoSpaceDE w:val="0"/>
        <w:autoSpaceDN w:val="0"/>
        <w:snapToGrid w:val="0"/>
        <w:spacing w:line="360" w:lineRule="auto"/>
        <w:ind w:firstLineChars="400" w:firstLine="1124"/>
        <w:rPr>
          <w:rFonts w:ascii="宋体"/>
          <w:b/>
          <w:bCs/>
          <w:sz w:val="28"/>
          <w:szCs w:val="28"/>
        </w:rPr>
      </w:pPr>
    </w:p>
    <w:p w:rsidR="00BD6A54" w:rsidRDefault="00BD6A54">
      <w:pPr>
        <w:topLinePunct/>
        <w:autoSpaceDE w:val="0"/>
        <w:autoSpaceDN w:val="0"/>
        <w:snapToGrid w:val="0"/>
        <w:spacing w:line="360" w:lineRule="auto"/>
        <w:rPr>
          <w:rFonts w:ascii="宋体"/>
          <w:b/>
          <w:bCs/>
          <w:sz w:val="28"/>
          <w:szCs w:val="28"/>
        </w:rPr>
      </w:pPr>
    </w:p>
    <w:p w:rsidR="00BD6A54" w:rsidRDefault="00BD6A54">
      <w:pPr>
        <w:topLinePunct/>
        <w:autoSpaceDE w:val="0"/>
        <w:autoSpaceDN w:val="0"/>
        <w:spacing w:line="460" w:lineRule="exact"/>
        <w:rPr>
          <w:rFonts w:ascii="黑体" w:eastAsia="黑体"/>
          <w:b/>
          <w:sz w:val="52"/>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EA50EC">
      <w:pPr>
        <w:topLinePunct/>
        <w:autoSpaceDE w:val="0"/>
        <w:autoSpaceDN w:val="0"/>
        <w:spacing w:line="460" w:lineRule="exact"/>
        <w:jc w:val="center"/>
        <w:rPr>
          <w:rFonts w:ascii="黑体" w:eastAsia="黑体"/>
          <w:sz w:val="36"/>
          <w:szCs w:val="36"/>
        </w:rPr>
      </w:pPr>
      <w:bookmarkStart w:id="2" w:name="采购人名称_cgrmc"/>
      <w:r>
        <w:rPr>
          <w:rFonts w:ascii="黑体" w:eastAsia="黑体" w:hint="eastAsia"/>
          <w:sz w:val="36"/>
          <w:szCs w:val="36"/>
        </w:rPr>
        <w:t>国家税务总局吉林省税务局</w:t>
      </w:r>
      <w:bookmarkEnd w:id="2"/>
    </w:p>
    <w:p w:rsidR="00BD6A54" w:rsidRDefault="00EA50EC">
      <w:pPr>
        <w:widowControl/>
        <w:topLinePunct/>
        <w:autoSpaceDE w:val="0"/>
        <w:autoSpaceDN w:val="0"/>
        <w:jc w:val="center"/>
        <w:rPr>
          <w:rFonts w:ascii="宋体" w:hAnsi="宋体" w:cs="宋体"/>
        </w:rPr>
        <w:sectPr w:rsidR="00BD6A54">
          <w:pgSz w:w="11906" w:h="16838"/>
          <w:pgMar w:top="1440" w:right="1508" w:bottom="1440" w:left="1588" w:header="851" w:footer="851" w:gutter="0"/>
          <w:cols w:space="720"/>
          <w:titlePg/>
          <w:docGrid w:type="lines" w:linePitch="312"/>
        </w:sectPr>
      </w:pPr>
      <w:bookmarkStart w:id="3" w:name="生成日期_currentDateTime_ymd"/>
      <w:r>
        <w:rPr>
          <w:rFonts w:ascii="黑体" w:eastAsia="黑体" w:hAnsi="Courier New" w:cs="Courier New" w:hint="eastAsia"/>
          <w:sz w:val="36"/>
          <w:szCs w:val="36"/>
        </w:rPr>
        <w:t>2025</w:t>
      </w:r>
      <w:r>
        <w:rPr>
          <w:rFonts w:ascii="黑体" w:eastAsia="黑体" w:hAnsi="Courier New" w:cs="Courier New" w:hint="eastAsia"/>
          <w:sz w:val="36"/>
          <w:szCs w:val="36"/>
        </w:rPr>
        <w:t>年</w:t>
      </w:r>
      <w:r>
        <w:rPr>
          <w:rFonts w:ascii="黑体" w:eastAsia="黑体" w:hAnsi="Courier New" w:cs="Courier New" w:hint="eastAsia"/>
          <w:sz w:val="36"/>
          <w:szCs w:val="36"/>
        </w:rPr>
        <w:t>11</w:t>
      </w:r>
      <w:r>
        <w:rPr>
          <w:rFonts w:ascii="黑体" w:eastAsia="黑体" w:hAnsi="Courier New" w:cs="Courier New" w:hint="eastAsia"/>
          <w:sz w:val="36"/>
          <w:szCs w:val="36"/>
        </w:rPr>
        <w:t>月</w:t>
      </w:r>
      <w:bookmarkEnd w:id="3"/>
    </w:p>
    <w:p w:rsidR="00A77B3E" w:rsidRDefault="00EA50EC">
      <w:pPr>
        <w:pStyle w:val="Normal0"/>
        <w:spacing w:line="360" w:lineRule="auto"/>
        <w:jc w:val="center"/>
        <w:rPr>
          <w:rFonts w:ascii="宋体" w:eastAsia="宋体" w:hAnsi="宋体" w:cs="宋体"/>
          <w:sz w:val="32"/>
        </w:rPr>
      </w:pPr>
      <w:r>
        <w:rPr>
          <w:rFonts w:ascii="宋体" w:eastAsia="宋体" w:hAnsi="宋体" w:cs="宋体"/>
          <w:sz w:val="32"/>
        </w:rPr>
        <w:lastRenderedPageBreak/>
        <w:t>目</w:t>
      </w:r>
      <w:r>
        <w:rPr>
          <w:rFonts w:ascii="宋体" w:eastAsia="宋体" w:hAnsi="宋体" w:cs="宋体"/>
          <w:sz w:val="32"/>
        </w:rPr>
        <w:t xml:space="preserve"> </w:t>
      </w:r>
      <w:r>
        <w:rPr>
          <w:rFonts w:ascii="宋体" w:eastAsia="宋体" w:hAnsi="宋体" w:cs="宋体"/>
          <w:sz w:val="32"/>
        </w:rPr>
        <w:t>录</w:t>
      </w:r>
    </w:p>
    <w:p w:rsidR="00446B0B" w:rsidRDefault="00A77B3E">
      <w:pPr>
        <w:pStyle w:val="12"/>
        <w:tabs>
          <w:tab w:val="right" w:leader="dot" w:pos="9016"/>
        </w:tabs>
        <w:spacing w:before="0" w:after="0" w:line="360" w:lineRule="auto"/>
        <w:rPr>
          <w:rFonts w:asciiTheme="minorHAnsi" w:hAnsiTheme="minorHAnsi"/>
          <w:noProof/>
          <w:sz w:val="22"/>
        </w:rPr>
      </w:pPr>
      <w:r>
        <w:rPr>
          <w:rFonts w:ascii="宋体" w:eastAsia="宋体" w:hAnsi="宋体" w:cs="宋体"/>
          <w:sz w:val="32"/>
        </w:rPr>
        <w:fldChar w:fldCharType="begin"/>
      </w:r>
      <w:r>
        <w:rPr>
          <w:rFonts w:ascii="宋体" w:eastAsia="宋体" w:hAnsi="宋体" w:cs="宋体"/>
          <w:sz w:val="32"/>
        </w:rPr>
        <w:instrText>TOC \o "1-3" \h \z \u</w:instrText>
      </w:r>
      <w:r>
        <w:rPr>
          <w:rFonts w:ascii="宋体" w:eastAsia="宋体" w:hAnsi="宋体" w:cs="宋体"/>
          <w:sz w:val="32"/>
        </w:rPr>
        <w:fldChar w:fldCharType="separate"/>
      </w:r>
      <w:hyperlink w:anchor="_Toc256000000" w:history="1">
        <w:r w:rsidR="00EA50EC">
          <w:rPr>
            <w:rStyle w:val="af5"/>
            <w:rFonts w:ascii="FangSong_GB2312" w:eastAsia="FangSong_GB2312" w:hAnsi="FangSong_GB2312" w:cs="FangSong_GB2312"/>
            <w:kern w:val="36"/>
          </w:rPr>
          <w:t>1</w:t>
        </w:r>
        <w:r w:rsidR="00EA50EC">
          <w:rPr>
            <w:rStyle w:val="af5"/>
            <w:rFonts w:ascii="FangSong_GB2312" w:eastAsia="FangSong_GB2312" w:hAnsi="FangSong_GB2312" w:cs="FangSong_GB2312"/>
            <w:kern w:val="36"/>
          </w:rPr>
          <w:t>项目概述</w:t>
        </w:r>
        <w:r w:rsidR="00EA50EC">
          <w:tab/>
        </w:r>
        <w:r w:rsidR="00EA50EC">
          <w:fldChar w:fldCharType="begin"/>
        </w:r>
        <w:r w:rsidR="00EA50EC">
          <w:instrText xml:space="preserve"> PAGEREF _Toc256000000 \h </w:instrText>
        </w:r>
        <w:r w:rsidR="00EA50EC">
          <w:fldChar w:fldCharType="separate"/>
        </w:r>
        <w:r w:rsidR="00EA50EC">
          <w:t>4</w:t>
        </w:r>
        <w:r w:rsidR="00EA50EC">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01" w:history="1">
        <w:r>
          <w:rPr>
            <w:rStyle w:val="af5"/>
            <w:rFonts w:ascii="FangSong_GB2312" w:eastAsia="FangSong_GB2312" w:hAnsi="FangSong_GB2312" w:cs="FangSong_GB2312"/>
          </w:rPr>
          <w:t>1.1</w:t>
        </w:r>
        <w:r>
          <w:rPr>
            <w:rStyle w:val="af5"/>
            <w:rFonts w:ascii="FangSong_GB2312" w:eastAsia="FangSong_GB2312" w:hAnsi="FangSong_GB2312" w:cs="FangSong_GB2312"/>
          </w:rPr>
          <w:t>项目背景</w:t>
        </w:r>
        <w:r>
          <w:tab/>
        </w:r>
        <w:r>
          <w:fldChar w:fldCharType="begin"/>
        </w:r>
        <w:r>
          <w:instrText xml:space="preserve"> PAGEREF _Toc256000001 \h </w:instrText>
        </w:r>
        <w:r>
          <w:fldChar w:fldCharType="separate"/>
        </w:r>
        <w:r>
          <w:t>4</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02" w:history="1">
        <w:r>
          <w:rPr>
            <w:rStyle w:val="af5"/>
            <w:rFonts w:ascii="FangSong_GB2312" w:eastAsia="FangSong_GB2312" w:hAnsi="FangSong_GB2312" w:cs="FangSong_GB2312"/>
          </w:rPr>
          <w:t>1.1.1</w:t>
        </w:r>
        <w:r>
          <w:rPr>
            <w:rStyle w:val="af5"/>
            <w:rFonts w:ascii="FangSong_GB2312" w:eastAsia="FangSong_GB2312" w:hAnsi="FangSong_GB2312" w:cs="FangSong_GB2312"/>
          </w:rPr>
          <w:t>项目目的、意义及背景</w:t>
        </w:r>
        <w:r>
          <w:tab/>
        </w:r>
        <w:r>
          <w:fldChar w:fldCharType="begin"/>
        </w:r>
        <w:r>
          <w:instrText xml:space="preserve"> PAGER</w:instrText>
        </w:r>
        <w:r>
          <w:instrText xml:space="preserve">EF _Toc256000002 \h </w:instrText>
        </w:r>
        <w:r>
          <w:fldChar w:fldCharType="separate"/>
        </w:r>
        <w:r>
          <w:t>4</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03" w:history="1">
        <w:r>
          <w:rPr>
            <w:rStyle w:val="af5"/>
            <w:rFonts w:ascii="FangSong_GB2312" w:eastAsia="FangSong_GB2312" w:hAnsi="FangSong_GB2312" w:cs="FangSong_GB2312"/>
          </w:rPr>
          <w:t>1.2</w:t>
        </w:r>
        <w:r>
          <w:rPr>
            <w:rStyle w:val="af5"/>
            <w:rFonts w:ascii="FangSong_GB2312" w:eastAsia="FangSong_GB2312" w:hAnsi="FangSong_GB2312" w:cs="FangSong_GB2312"/>
          </w:rPr>
          <w:t>项目内容</w:t>
        </w:r>
        <w:r>
          <w:tab/>
        </w:r>
        <w:r>
          <w:fldChar w:fldCharType="begin"/>
        </w:r>
        <w:r>
          <w:instrText xml:space="preserve"> PAGEREF _Toc256000003 \h </w:instrText>
        </w:r>
        <w:r>
          <w:fldChar w:fldCharType="separate"/>
        </w:r>
        <w:r>
          <w:t>4</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04" w:history="1">
        <w:r>
          <w:rPr>
            <w:rStyle w:val="af5"/>
            <w:rFonts w:ascii="FangSong_GB2312" w:eastAsia="FangSong_GB2312" w:hAnsi="FangSong_GB2312" w:cs="FangSong_GB2312"/>
          </w:rPr>
          <w:t>1.2.1</w:t>
        </w:r>
        <w:r>
          <w:rPr>
            <w:rStyle w:val="af5"/>
            <w:rFonts w:ascii="FangSong_GB2312" w:eastAsia="FangSong_GB2312" w:hAnsi="FangSong_GB2312" w:cs="FangSong_GB2312"/>
          </w:rPr>
          <w:t>采购内容</w:t>
        </w:r>
        <w:r>
          <w:tab/>
        </w:r>
        <w:r>
          <w:fldChar w:fldCharType="begin"/>
        </w:r>
        <w:r>
          <w:instrText xml:space="preserve"> PAGEREF _Toc256000004 \h </w:instrText>
        </w:r>
        <w:r>
          <w:fldChar w:fldCharType="separate"/>
        </w:r>
        <w:r>
          <w:t>4</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05" w:history="1">
        <w:r>
          <w:rPr>
            <w:rStyle w:val="af5"/>
            <w:rFonts w:ascii="FangSong_GB2312" w:eastAsia="FangSong_GB2312" w:hAnsi="FangSong_GB2312" w:cs="FangSong_GB2312"/>
          </w:rPr>
          <w:t>1.2.2</w:t>
        </w:r>
        <w:r>
          <w:rPr>
            <w:rStyle w:val="af5"/>
            <w:rFonts w:ascii="FangSong_GB2312" w:eastAsia="FangSong_GB2312" w:hAnsi="FangSong_GB2312" w:cs="FangSong_GB2312"/>
          </w:rPr>
          <w:t>项目实施要求</w:t>
        </w:r>
        <w:r>
          <w:tab/>
        </w:r>
        <w:r>
          <w:fldChar w:fldCharType="begin"/>
        </w:r>
        <w:r>
          <w:instrText xml:space="preserve"> PAGEREF _Toc256000005 \h </w:instrText>
        </w:r>
        <w:r>
          <w:fldChar w:fldCharType="separate"/>
        </w:r>
        <w:r>
          <w:t>4</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06" w:history="1">
        <w:r>
          <w:rPr>
            <w:rStyle w:val="af5"/>
            <w:rFonts w:ascii="FangSong_GB2312" w:eastAsia="FangSong_GB2312" w:hAnsi="FangSong_GB2312" w:cs="FangSong_GB2312"/>
          </w:rPr>
          <w:t>1.2.3</w:t>
        </w:r>
        <w:r>
          <w:rPr>
            <w:rStyle w:val="af5"/>
            <w:rFonts w:ascii="FangSong_GB2312" w:eastAsia="FangSong_GB2312" w:hAnsi="FangSong_GB2312" w:cs="FangSong_GB2312"/>
          </w:rPr>
          <w:t>系统情况</w:t>
        </w:r>
        <w:r>
          <w:tab/>
        </w:r>
        <w:r>
          <w:fldChar w:fldCharType="begin"/>
        </w:r>
        <w:r>
          <w:instrText xml:space="preserve"> PAGEREF _Toc256000006 \h </w:instrText>
        </w:r>
        <w:r>
          <w:fldChar w:fldCharType="separate"/>
        </w:r>
        <w:r>
          <w:t>4</w:t>
        </w:r>
        <w:r>
          <w:fldChar w:fldCharType="end"/>
        </w:r>
      </w:hyperlink>
    </w:p>
    <w:p w:rsidR="00446B0B" w:rsidRDefault="00EA50EC">
      <w:pPr>
        <w:pStyle w:val="12"/>
        <w:tabs>
          <w:tab w:val="right" w:leader="dot" w:pos="9016"/>
        </w:tabs>
        <w:spacing w:before="0" w:after="0" w:line="360" w:lineRule="auto"/>
        <w:rPr>
          <w:rFonts w:asciiTheme="minorHAnsi" w:hAnsiTheme="minorHAnsi"/>
          <w:noProof/>
          <w:sz w:val="22"/>
        </w:rPr>
      </w:pPr>
      <w:hyperlink w:anchor="_Toc256000007" w:history="1">
        <w:r>
          <w:rPr>
            <w:rStyle w:val="af5"/>
            <w:rFonts w:ascii="FangSong_GB2312" w:eastAsia="FangSong_GB2312" w:hAnsi="FangSong_GB2312" w:cs="FangSong_GB2312"/>
            <w:kern w:val="36"/>
          </w:rPr>
          <w:t>2</w:t>
        </w:r>
        <w:r>
          <w:rPr>
            <w:rStyle w:val="af5"/>
            <w:rFonts w:ascii="FangSong_GB2312" w:eastAsia="FangSong_GB2312" w:hAnsi="FangSong_GB2312" w:cs="FangSong_GB2312"/>
            <w:kern w:val="36"/>
          </w:rPr>
          <w:t>投标</w:t>
        </w:r>
        <w:r>
          <w:rPr>
            <w:rStyle w:val="af5"/>
            <w:rFonts w:ascii="FangSong_GB2312" w:eastAsia="FangSong_GB2312" w:hAnsi="FangSong_GB2312" w:cs="FangSong_GB2312"/>
            <w:kern w:val="36"/>
          </w:rPr>
          <w:t>/</w:t>
        </w:r>
        <w:r>
          <w:rPr>
            <w:rStyle w:val="af5"/>
            <w:rFonts w:ascii="FangSong_GB2312" w:eastAsia="FangSong_GB2312" w:hAnsi="FangSong_GB2312" w:cs="FangSong_GB2312"/>
            <w:kern w:val="36"/>
          </w:rPr>
          <w:t>响应要求</w:t>
        </w:r>
        <w:r>
          <w:tab/>
        </w:r>
        <w:r>
          <w:fldChar w:fldCharType="begin"/>
        </w:r>
        <w:r>
          <w:instrText xml:space="preserve"> PAGEREF _Toc256000007 \h </w:instrText>
        </w:r>
        <w:r>
          <w:fldChar w:fldCharType="separate"/>
        </w:r>
        <w:r>
          <w:t>4</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08" w:history="1">
        <w:r>
          <w:rPr>
            <w:rStyle w:val="af5"/>
            <w:rFonts w:ascii="FangSong_GB2312" w:eastAsia="FangSong_GB2312" w:hAnsi="FangSong_GB2312" w:cs="FangSong_GB2312"/>
          </w:rPr>
          <w:t>2.1</w:t>
        </w:r>
        <w:r>
          <w:rPr>
            <w:rStyle w:val="af5"/>
            <w:rFonts w:ascii="FangSong_GB2312" w:eastAsia="FangSong_GB2312" w:hAnsi="FangSong_GB2312" w:cs="FangSong_GB2312"/>
          </w:rPr>
          <w:t>对供应商的要求</w:t>
        </w:r>
        <w:r>
          <w:tab/>
        </w:r>
        <w:r>
          <w:fldChar w:fldCharType="begin"/>
        </w:r>
        <w:r>
          <w:instrText xml:space="preserve"> PAGEREF _Toc256000008 \h </w:instrText>
        </w:r>
        <w:r>
          <w:fldChar w:fldCharType="separate"/>
        </w:r>
        <w:r>
          <w:t>5</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09" w:history="1">
        <w:r>
          <w:rPr>
            <w:rStyle w:val="af5"/>
            <w:rFonts w:ascii="FangSong_GB2312" w:eastAsia="FangSong_GB2312" w:hAnsi="FangSong_GB2312" w:cs="FangSong_GB2312"/>
          </w:rPr>
          <w:t>2.1.1</w:t>
        </w:r>
        <w:r>
          <w:rPr>
            <w:rStyle w:val="af5"/>
            <w:rFonts w:ascii="FangSong_GB2312" w:eastAsia="FangSong_GB2312" w:hAnsi="FangSong_GB2312" w:cs="FangSong_GB2312"/>
          </w:rPr>
          <w:t>必备资质</w:t>
        </w:r>
        <w:r>
          <w:tab/>
        </w:r>
        <w:r>
          <w:fldChar w:fldCharType="begin"/>
        </w:r>
        <w:r>
          <w:instrText xml:space="preserve"> PAGEREF</w:instrText>
        </w:r>
        <w:r>
          <w:instrText xml:space="preserve"> _Toc256000009 \h </w:instrText>
        </w:r>
        <w:r>
          <w:fldChar w:fldCharType="separate"/>
        </w:r>
        <w:r>
          <w:t>5</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10" w:history="1">
        <w:r>
          <w:rPr>
            <w:rStyle w:val="af5"/>
            <w:rFonts w:ascii="FangSong_GB2312" w:eastAsia="FangSong_GB2312" w:hAnsi="FangSong_GB2312" w:cs="FangSong_GB2312"/>
          </w:rPr>
          <w:t>2.1.2</w:t>
        </w:r>
        <w:r>
          <w:rPr>
            <w:rStyle w:val="af5"/>
            <w:rFonts w:ascii="FangSong_GB2312" w:eastAsia="FangSong_GB2312" w:hAnsi="FangSong_GB2312" w:cs="FangSong_GB2312"/>
          </w:rPr>
          <w:t>优选资质</w:t>
        </w:r>
        <w:r>
          <w:rPr>
            <w:rStyle w:val="af5"/>
            <w:rFonts w:ascii="FangSong_GB2312" w:eastAsia="FangSong_GB2312" w:hAnsi="FangSong_GB2312" w:cs="FangSong_GB2312"/>
          </w:rPr>
          <w:t>/</w:t>
        </w:r>
        <w:r>
          <w:rPr>
            <w:rStyle w:val="af5"/>
            <w:rFonts w:ascii="FangSong_GB2312" w:eastAsia="FangSong_GB2312" w:hAnsi="FangSong_GB2312" w:cs="FangSong_GB2312"/>
          </w:rPr>
          <w:t>优选指标</w:t>
        </w:r>
        <w:r>
          <w:tab/>
        </w:r>
        <w:r>
          <w:fldChar w:fldCharType="begin"/>
        </w:r>
        <w:r>
          <w:instrText xml:space="preserve"> PAGEREF _Toc256000010 \h </w:instrText>
        </w:r>
        <w:r>
          <w:fldChar w:fldCharType="separate"/>
        </w:r>
        <w:r>
          <w:t>5</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11" w:history="1">
        <w:r>
          <w:rPr>
            <w:rStyle w:val="af5"/>
            <w:rFonts w:ascii="FangSong_GB2312" w:eastAsia="FangSong_GB2312" w:hAnsi="FangSong_GB2312" w:cs="FangSong_GB2312"/>
          </w:rPr>
          <w:t>2.1.3</w:t>
        </w:r>
        <w:r>
          <w:rPr>
            <w:rStyle w:val="af5"/>
            <w:rFonts w:ascii="FangSong_GB2312" w:eastAsia="FangSong_GB2312" w:hAnsi="FangSong_GB2312" w:cs="FangSong_GB2312"/>
          </w:rPr>
          <w:t>是否允许联合体</w:t>
        </w:r>
        <w:r>
          <w:tab/>
        </w:r>
        <w:r>
          <w:fldChar w:fldCharType="begin"/>
        </w:r>
        <w:r>
          <w:instrText xml:space="preserve"> PAGEREF _Toc256000011 \h </w:instrText>
        </w:r>
        <w:r>
          <w:fldChar w:fldCharType="separate"/>
        </w:r>
        <w:r>
          <w:t>5</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12" w:history="1">
        <w:r>
          <w:rPr>
            <w:rStyle w:val="af5"/>
            <w:rFonts w:ascii="FangSong_GB2312" w:eastAsia="FangSong_GB2312" w:hAnsi="FangSong_GB2312" w:cs="FangSong_GB2312"/>
          </w:rPr>
          <w:t>2.1.4</w:t>
        </w:r>
        <w:r>
          <w:rPr>
            <w:rStyle w:val="af5"/>
            <w:rFonts w:ascii="FangSong_GB2312" w:eastAsia="FangSong_GB2312" w:hAnsi="FangSong_GB2312" w:cs="FangSong_GB2312"/>
          </w:rPr>
          <w:t>是否专门面向中小企业</w:t>
        </w:r>
        <w:r>
          <w:tab/>
        </w:r>
        <w:r>
          <w:fldChar w:fldCharType="begin"/>
        </w:r>
        <w:r>
          <w:instrText xml:space="preserve"> PAGEREF _Toc256000012 \h </w:instrText>
        </w:r>
        <w:r>
          <w:fldChar w:fldCharType="separate"/>
        </w:r>
        <w:r>
          <w:t>5</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13" w:history="1">
        <w:r>
          <w:rPr>
            <w:rStyle w:val="af5"/>
            <w:rFonts w:ascii="FangSong_GB2312" w:eastAsia="FangSong_GB2312" w:hAnsi="FangSong_GB2312" w:cs="FangSong_GB2312"/>
          </w:rPr>
          <w:t>2.2</w:t>
        </w:r>
        <w:r>
          <w:rPr>
            <w:rStyle w:val="af5"/>
            <w:rFonts w:ascii="FangSong_GB2312" w:eastAsia="FangSong_GB2312" w:hAnsi="FangSong_GB2312" w:cs="FangSong_GB2312"/>
          </w:rPr>
          <w:t>技术部分投标</w:t>
        </w:r>
        <w:r>
          <w:rPr>
            <w:rStyle w:val="af5"/>
            <w:rFonts w:ascii="FangSong_GB2312" w:eastAsia="FangSong_GB2312" w:hAnsi="FangSong_GB2312" w:cs="FangSong_GB2312"/>
          </w:rPr>
          <w:t>/</w:t>
        </w:r>
        <w:r>
          <w:rPr>
            <w:rStyle w:val="af5"/>
            <w:rFonts w:ascii="FangSong_GB2312" w:eastAsia="FangSong_GB2312" w:hAnsi="FangSong_GB2312" w:cs="FangSong_GB2312"/>
          </w:rPr>
          <w:t>响应内容</w:t>
        </w:r>
        <w:r>
          <w:tab/>
        </w:r>
        <w:r>
          <w:fldChar w:fldCharType="begin"/>
        </w:r>
        <w:r>
          <w:instrText xml:space="preserve"> PAGEREF _Toc256000013 \h </w:instrText>
        </w:r>
        <w:r>
          <w:fldChar w:fldCharType="separate"/>
        </w:r>
        <w:r>
          <w:t>5</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14" w:history="1">
        <w:r>
          <w:rPr>
            <w:rStyle w:val="af5"/>
            <w:rFonts w:ascii="FangSong_GB2312" w:eastAsia="FangSong_GB2312" w:hAnsi="FangSong_GB2312" w:cs="FangSong_GB2312"/>
          </w:rPr>
          <w:t>2.2.1</w:t>
        </w:r>
        <w:r>
          <w:rPr>
            <w:rStyle w:val="af5"/>
            <w:rFonts w:ascii="FangSong_GB2312" w:eastAsia="FangSong_GB2312" w:hAnsi="FangSong_GB2312" w:cs="FangSong_GB2312"/>
          </w:rPr>
          <w:t>技术投标</w:t>
        </w:r>
        <w:r>
          <w:rPr>
            <w:rStyle w:val="af5"/>
            <w:rFonts w:ascii="FangSong_GB2312" w:eastAsia="FangSong_GB2312" w:hAnsi="FangSong_GB2312" w:cs="FangSong_GB2312"/>
          </w:rPr>
          <w:t>/</w:t>
        </w:r>
        <w:r>
          <w:rPr>
            <w:rStyle w:val="af5"/>
            <w:rFonts w:ascii="FangSong_GB2312" w:eastAsia="FangSong_GB2312" w:hAnsi="FangSong_GB2312" w:cs="FangSong_GB2312"/>
          </w:rPr>
          <w:t>响应总要求</w:t>
        </w:r>
        <w:r>
          <w:tab/>
        </w:r>
        <w:r>
          <w:fldChar w:fldCharType="begin"/>
        </w:r>
        <w:r>
          <w:instrText xml:space="preserve"> PAGEREF _Toc256000014 \h </w:instrText>
        </w:r>
        <w:r>
          <w:fldChar w:fldCharType="separate"/>
        </w:r>
        <w:r>
          <w:t>6</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15" w:history="1">
        <w:r>
          <w:rPr>
            <w:rStyle w:val="af5"/>
            <w:rFonts w:ascii="FangSong_GB2312" w:eastAsia="FangSong_GB2312" w:hAnsi="FangSong_GB2312" w:cs="FangSong_GB2312"/>
          </w:rPr>
          <w:t>2.2.2</w:t>
        </w:r>
        <w:r>
          <w:rPr>
            <w:rStyle w:val="af5"/>
            <w:rFonts w:ascii="FangSong_GB2312" w:eastAsia="FangSong_GB2312" w:hAnsi="FangSong_GB2312" w:cs="FangSong_GB2312"/>
          </w:rPr>
          <w:t>投标</w:t>
        </w:r>
        <w:r>
          <w:rPr>
            <w:rStyle w:val="af5"/>
            <w:rFonts w:ascii="FangSong_GB2312" w:eastAsia="FangSong_GB2312" w:hAnsi="FangSong_GB2312" w:cs="FangSong_GB2312"/>
          </w:rPr>
          <w:t>/</w:t>
        </w:r>
        <w:r>
          <w:rPr>
            <w:rStyle w:val="af5"/>
            <w:rFonts w:ascii="FangSong_GB2312" w:eastAsia="FangSong_GB2312" w:hAnsi="FangSong_GB2312" w:cs="FangSong_GB2312"/>
          </w:rPr>
          <w:t>响应方案要求</w:t>
        </w:r>
        <w:r>
          <w:tab/>
        </w:r>
        <w:r>
          <w:fldChar w:fldCharType="begin"/>
        </w:r>
        <w:r>
          <w:instrText xml:space="preserve"> PAGEREF _Toc256000015 \h </w:instrText>
        </w:r>
        <w:r>
          <w:fldChar w:fldCharType="separate"/>
        </w:r>
        <w:r>
          <w:t>6</w:t>
        </w:r>
        <w:r>
          <w:fldChar w:fldCharType="end"/>
        </w:r>
      </w:hyperlink>
    </w:p>
    <w:p w:rsidR="00446B0B" w:rsidRDefault="00EA50EC">
      <w:pPr>
        <w:pStyle w:val="12"/>
        <w:tabs>
          <w:tab w:val="right" w:leader="dot" w:pos="9016"/>
        </w:tabs>
        <w:spacing w:before="0" w:after="0" w:line="360" w:lineRule="auto"/>
        <w:rPr>
          <w:rFonts w:asciiTheme="minorHAnsi" w:hAnsiTheme="minorHAnsi"/>
          <w:noProof/>
          <w:sz w:val="22"/>
        </w:rPr>
      </w:pPr>
      <w:hyperlink w:anchor="_Toc256000016" w:history="1">
        <w:r>
          <w:rPr>
            <w:rStyle w:val="af5"/>
            <w:rFonts w:ascii="FangSong_GB2312" w:eastAsia="FangSong_GB2312" w:hAnsi="FangSong_GB2312" w:cs="FangSong_GB2312"/>
            <w:kern w:val="36"/>
          </w:rPr>
          <w:t>3</w:t>
        </w:r>
        <w:r>
          <w:rPr>
            <w:rStyle w:val="af5"/>
            <w:rFonts w:ascii="FangSong_GB2312" w:eastAsia="FangSong_GB2312" w:hAnsi="FangSong_GB2312" w:cs="FangSong_GB2312"/>
            <w:kern w:val="36"/>
          </w:rPr>
          <w:t>项目需求</w:t>
        </w:r>
        <w:r>
          <w:tab/>
        </w:r>
        <w:r>
          <w:fldChar w:fldCharType="begin"/>
        </w:r>
        <w:r>
          <w:instrText xml:space="preserve"> PAGEREF</w:instrText>
        </w:r>
        <w:r>
          <w:instrText xml:space="preserve"> _Toc256000016 \h </w:instrText>
        </w:r>
        <w:r>
          <w:fldChar w:fldCharType="separate"/>
        </w:r>
        <w:r>
          <w:t>6</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17" w:history="1">
        <w:r>
          <w:rPr>
            <w:rStyle w:val="af5"/>
            <w:rFonts w:ascii="FangSong_GB2312" w:eastAsia="FangSong_GB2312" w:hAnsi="FangSong_GB2312" w:cs="FangSong_GB2312"/>
          </w:rPr>
          <w:t>3.1</w:t>
        </w:r>
        <w:r>
          <w:rPr>
            <w:rStyle w:val="af5"/>
            <w:rFonts w:ascii="FangSong_GB2312" w:eastAsia="FangSong_GB2312" w:hAnsi="FangSong_GB2312" w:cs="FangSong_GB2312"/>
          </w:rPr>
          <w:t>总体要求</w:t>
        </w:r>
        <w:r>
          <w:tab/>
        </w:r>
        <w:r>
          <w:fldChar w:fldCharType="begin"/>
        </w:r>
        <w:r>
          <w:instrText xml:space="preserve"> PAGEREF _Toc256000017 \h </w:instrText>
        </w:r>
        <w:r>
          <w:fldChar w:fldCharType="separate"/>
        </w:r>
        <w:r>
          <w:t>6</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18" w:history="1">
        <w:r>
          <w:rPr>
            <w:rStyle w:val="af5"/>
            <w:rFonts w:ascii="FangSong_GB2312" w:eastAsia="FangSong_GB2312" w:hAnsi="FangSong_GB2312" w:cs="FangSong_GB2312"/>
          </w:rPr>
          <w:t>3.2</w:t>
        </w:r>
        <w:r>
          <w:rPr>
            <w:rStyle w:val="af5"/>
            <w:rFonts w:ascii="FangSong_GB2312" w:eastAsia="FangSong_GB2312" w:hAnsi="FangSong_GB2312" w:cs="FangSong_GB2312"/>
          </w:rPr>
          <w:t>服务内容和要求</w:t>
        </w:r>
        <w:r>
          <w:tab/>
        </w:r>
        <w:r>
          <w:fldChar w:fldCharType="begin"/>
        </w:r>
        <w:r>
          <w:instrText xml:space="preserve"> PAGEREF _Toc256000018 \h </w:instrText>
        </w:r>
        <w:r>
          <w:fldChar w:fldCharType="separate"/>
        </w:r>
        <w:r>
          <w:t>7</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19" w:history="1">
        <w:r>
          <w:rPr>
            <w:rStyle w:val="af5"/>
            <w:rFonts w:ascii="FangSong_GB2312" w:eastAsia="FangSong_GB2312" w:hAnsi="FangSong_GB2312" w:cs="FangSong_GB2312"/>
          </w:rPr>
          <w:t>3.2.1</w:t>
        </w:r>
        <w:r>
          <w:rPr>
            <w:rStyle w:val="af5"/>
            <w:rFonts w:ascii="FangSong_GB2312" w:eastAsia="FangSong_GB2312" w:hAnsi="FangSong_GB2312" w:cs="FangSong_GB2312"/>
          </w:rPr>
          <w:t>技术和服务客观指标</w:t>
        </w:r>
        <w:r>
          <w:tab/>
        </w:r>
        <w:r>
          <w:fldChar w:fldCharType="begin"/>
        </w:r>
        <w:r>
          <w:instrText xml:space="preserve"> PAGEREF _Toc256000019 \h </w:instrText>
        </w:r>
        <w:r>
          <w:fldChar w:fldCharType="separate"/>
        </w:r>
        <w:r>
          <w:t>7</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20" w:history="1">
        <w:r>
          <w:rPr>
            <w:rStyle w:val="af5"/>
            <w:rFonts w:ascii="FangSong_GB2312" w:eastAsia="FangSong_GB2312" w:hAnsi="FangSong_GB2312" w:cs="FangSong_GB2312"/>
          </w:rPr>
          <w:t>3.2.2</w:t>
        </w:r>
        <w:r>
          <w:rPr>
            <w:rStyle w:val="af5"/>
            <w:rFonts w:ascii="FangSong_GB2312" w:eastAsia="FangSong_GB2312" w:hAnsi="FangSong_GB2312" w:cs="FangSong_GB2312"/>
          </w:rPr>
          <w:t>技术和服务其他要求</w:t>
        </w:r>
        <w:r>
          <w:tab/>
        </w:r>
        <w:r>
          <w:fldChar w:fldCharType="begin"/>
        </w:r>
        <w:r>
          <w:instrText xml:space="preserve"> PAGEREF _Toc256000020 \h </w:instrText>
        </w:r>
        <w:r>
          <w:fldChar w:fldCharType="separate"/>
        </w:r>
        <w:r>
          <w:t>8</w:t>
        </w:r>
        <w:r>
          <w:fldChar w:fldCharType="end"/>
        </w:r>
      </w:hyperlink>
    </w:p>
    <w:p w:rsidR="00446B0B" w:rsidRDefault="00EA50EC">
      <w:pPr>
        <w:pStyle w:val="12"/>
        <w:tabs>
          <w:tab w:val="right" w:leader="dot" w:pos="9016"/>
        </w:tabs>
        <w:spacing w:before="0" w:after="0" w:line="360" w:lineRule="auto"/>
        <w:rPr>
          <w:rFonts w:asciiTheme="minorHAnsi" w:hAnsiTheme="minorHAnsi"/>
          <w:noProof/>
          <w:sz w:val="22"/>
        </w:rPr>
      </w:pPr>
      <w:hyperlink w:anchor="_Toc256000021" w:history="1">
        <w:r>
          <w:rPr>
            <w:rStyle w:val="af5"/>
            <w:rFonts w:ascii="FangSong_GB2312" w:eastAsia="FangSong_GB2312" w:hAnsi="FangSong_GB2312" w:cs="FangSong_GB2312"/>
            <w:kern w:val="36"/>
          </w:rPr>
          <w:t>4</w:t>
        </w:r>
        <w:r>
          <w:rPr>
            <w:rStyle w:val="af5"/>
            <w:rFonts w:ascii="FangSong_GB2312" w:eastAsia="FangSong_GB2312" w:hAnsi="FangSong_GB2312" w:cs="FangSong_GB2312"/>
            <w:kern w:val="36"/>
          </w:rPr>
          <w:t>人员要求</w:t>
        </w:r>
        <w:r>
          <w:tab/>
        </w:r>
        <w:r>
          <w:fldChar w:fldCharType="begin"/>
        </w:r>
        <w:r>
          <w:instrText xml:space="preserve"> PAGEREF</w:instrText>
        </w:r>
        <w:r>
          <w:instrText xml:space="preserve"> _Toc256000021 \h </w:instrText>
        </w:r>
        <w:r>
          <w:fldChar w:fldCharType="separate"/>
        </w:r>
        <w:r>
          <w:t>8</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22" w:history="1">
        <w:r>
          <w:rPr>
            <w:rStyle w:val="af5"/>
            <w:rFonts w:ascii="FangSong_GB2312" w:eastAsia="FangSong_GB2312" w:hAnsi="FangSong_GB2312" w:cs="FangSong_GB2312"/>
          </w:rPr>
          <w:t>4.1</w:t>
        </w:r>
        <w:r>
          <w:rPr>
            <w:rStyle w:val="af5"/>
            <w:rFonts w:ascii="FangSong_GB2312" w:eastAsia="FangSong_GB2312" w:hAnsi="FangSong_GB2312" w:cs="FangSong_GB2312"/>
          </w:rPr>
          <w:t>总体要求</w:t>
        </w:r>
        <w:r>
          <w:tab/>
        </w:r>
        <w:r>
          <w:fldChar w:fldCharType="begin"/>
        </w:r>
        <w:r>
          <w:instrText xml:space="preserve"> PAGEREF _Toc256000022 \h </w:instrText>
        </w:r>
        <w:r>
          <w:fldChar w:fldCharType="separate"/>
        </w:r>
        <w:r>
          <w:t>8</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23" w:history="1">
        <w:r>
          <w:rPr>
            <w:rStyle w:val="af5"/>
            <w:rFonts w:ascii="FangSong_GB2312" w:eastAsia="FangSong_GB2312" w:hAnsi="FangSong_GB2312" w:cs="FangSong_GB2312"/>
          </w:rPr>
          <w:t>4.2</w:t>
        </w:r>
        <w:r>
          <w:rPr>
            <w:rStyle w:val="af5"/>
            <w:rFonts w:ascii="FangSong_GB2312" w:eastAsia="FangSong_GB2312" w:hAnsi="FangSong_GB2312" w:cs="FangSong_GB2312"/>
          </w:rPr>
          <w:t>管理团队</w:t>
        </w:r>
        <w:r>
          <w:tab/>
        </w:r>
        <w:r>
          <w:fldChar w:fldCharType="begin"/>
        </w:r>
        <w:r>
          <w:instrText xml:space="preserve"> PAGEREF _Toc256000023 \h </w:instrText>
        </w:r>
        <w:r>
          <w:fldChar w:fldCharType="separate"/>
        </w:r>
        <w:r>
          <w:t>9</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24" w:history="1">
        <w:r>
          <w:rPr>
            <w:rStyle w:val="af5"/>
            <w:rFonts w:ascii="FangSong_GB2312" w:eastAsia="FangSong_GB2312" w:hAnsi="FangSong_GB2312" w:cs="FangSong_GB2312"/>
          </w:rPr>
          <w:t>4.3</w:t>
        </w:r>
        <w:r>
          <w:rPr>
            <w:rStyle w:val="af5"/>
            <w:rFonts w:ascii="FangSong_GB2312" w:eastAsia="FangSong_GB2312" w:hAnsi="FangSong_GB2312" w:cs="FangSong_GB2312"/>
          </w:rPr>
          <w:t>技术团队</w:t>
        </w:r>
        <w:r>
          <w:tab/>
        </w:r>
        <w:r>
          <w:fldChar w:fldCharType="begin"/>
        </w:r>
        <w:r>
          <w:instrText xml:space="preserve"> PAGEREF _Toc2</w:instrText>
        </w:r>
        <w:r>
          <w:instrText xml:space="preserve">56000024 \h </w:instrText>
        </w:r>
        <w:r>
          <w:fldChar w:fldCharType="separate"/>
        </w:r>
        <w:r>
          <w:t>9</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25" w:history="1">
        <w:r>
          <w:rPr>
            <w:rStyle w:val="af5"/>
            <w:rFonts w:ascii="FangSong_GB2312" w:eastAsia="FangSong_GB2312" w:hAnsi="FangSong_GB2312" w:cs="FangSong_GB2312"/>
          </w:rPr>
          <w:t>4.4</w:t>
        </w:r>
        <w:r>
          <w:rPr>
            <w:rStyle w:val="af5"/>
            <w:rFonts w:ascii="FangSong_GB2312" w:eastAsia="FangSong_GB2312" w:hAnsi="FangSong_GB2312" w:cs="FangSong_GB2312"/>
          </w:rPr>
          <w:t>优选资质</w:t>
        </w:r>
        <w:r>
          <w:rPr>
            <w:rStyle w:val="af5"/>
            <w:rFonts w:ascii="FangSong_GB2312" w:eastAsia="FangSong_GB2312" w:hAnsi="FangSong_GB2312" w:cs="FangSong_GB2312"/>
          </w:rPr>
          <w:t>/</w:t>
        </w:r>
        <w:r>
          <w:rPr>
            <w:rStyle w:val="af5"/>
            <w:rFonts w:ascii="FangSong_GB2312" w:eastAsia="FangSong_GB2312" w:hAnsi="FangSong_GB2312" w:cs="FangSong_GB2312"/>
          </w:rPr>
          <w:t>优选指标</w:t>
        </w:r>
        <w:r>
          <w:tab/>
        </w:r>
        <w:r>
          <w:fldChar w:fldCharType="begin"/>
        </w:r>
        <w:r>
          <w:instrText xml:space="preserve"> PAGEREF _Toc256000025 \h </w:instrText>
        </w:r>
        <w:r>
          <w:fldChar w:fldCharType="separate"/>
        </w:r>
        <w:r>
          <w:t>9</w:t>
        </w:r>
        <w:r>
          <w:fldChar w:fldCharType="end"/>
        </w:r>
      </w:hyperlink>
    </w:p>
    <w:p w:rsidR="00446B0B" w:rsidRDefault="00EA50EC">
      <w:pPr>
        <w:pStyle w:val="12"/>
        <w:tabs>
          <w:tab w:val="right" w:leader="dot" w:pos="9016"/>
        </w:tabs>
        <w:spacing w:before="0" w:after="0" w:line="360" w:lineRule="auto"/>
        <w:rPr>
          <w:rFonts w:asciiTheme="minorHAnsi" w:hAnsiTheme="minorHAnsi"/>
          <w:noProof/>
          <w:sz w:val="22"/>
        </w:rPr>
      </w:pPr>
      <w:hyperlink w:anchor="_Toc256000026" w:history="1">
        <w:r>
          <w:rPr>
            <w:rStyle w:val="af5"/>
            <w:rFonts w:ascii="FangSong_GB2312" w:eastAsia="FangSong_GB2312" w:hAnsi="FangSong_GB2312" w:cs="FangSong_GB2312"/>
            <w:kern w:val="36"/>
          </w:rPr>
          <w:t>5</w:t>
        </w:r>
        <w:r>
          <w:rPr>
            <w:rStyle w:val="af5"/>
            <w:rFonts w:ascii="FangSong_GB2312" w:eastAsia="FangSong_GB2312" w:hAnsi="FangSong_GB2312" w:cs="FangSong_GB2312"/>
            <w:kern w:val="36"/>
          </w:rPr>
          <w:t>管理实施要求</w:t>
        </w:r>
        <w:r>
          <w:tab/>
        </w:r>
        <w:r>
          <w:fldChar w:fldCharType="begin"/>
        </w:r>
        <w:r>
          <w:instrText xml:space="preserve"> PAGEREF _Toc256000026 \h </w:instrText>
        </w:r>
        <w:r>
          <w:fldChar w:fldCharType="separate"/>
        </w:r>
        <w:r>
          <w:t>9</w:t>
        </w:r>
        <w:r>
          <w:fldChar w:fldCharType="end"/>
        </w:r>
      </w:hyperlink>
    </w:p>
    <w:p w:rsidR="00446B0B" w:rsidRDefault="00EA50EC">
      <w:pPr>
        <w:pStyle w:val="12"/>
        <w:tabs>
          <w:tab w:val="right" w:leader="dot" w:pos="9016"/>
        </w:tabs>
        <w:spacing w:before="0" w:after="0" w:line="360" w:lineRule="auto"/>
        <w:rPr>
          <w:rFonts w:asciiTheme="minorHAnsi" w:hAnsiTheme="minorHAnsi"/>
          <w:noProof/>
          <w:sz w:val="22"/>
        </w:rPr>
      </w:pPr>
      <w:hyperlink w:anchor="_Toc256000027" w:history="1">
        <w:r>
          <w:rPr>
            <w:rStyle w:val="af5"/>
            <w:rFonts w:ascii="FangSong_GB2312" w:eastAsia="FangSong_GB2312" w:hAnsi="FangSong_GB2312" w:cs="FangSong_GB2312"/>
            <w:kern w:val="36"/>
          </w:rPr>
          <w:t>6</w:t>
        </w:r>
        <w:r>
          <w:rPr>
            <w:rStyle w:val="af5"/>
            <w:rFonts w:ascii="FangSong_GB2312" w:eastAsia="FangSong_GB2312" w:hAnsi="FangSong_GB2312" w:cs="FangSong_GB2312"/>
            <w:kern w:val="36"/>
          </w:rPr>
          <w:t>保密要求</w:t>
        </w:r>
        <w:r>
          <w:tab/>
        </w:r>
        <w:r>
          <w:fldChar w:fldCharType="begin"/>
        </w:r>
        <w:r>
          <w:instrText xml:space="preserve"> PAGEREF _Toc256000027 \h </w:instrText>
        </w:r>
        <w:r>
          <w:fldChar w:fldCharType="separate"/>
        </w:r>
        <w:r>
          <w:t>12</w:t>
        </w:r>
        <w:r>
          <w:fldChar w:fldCharType="end"/>
        </w:r>
      </w:hyperlink>
    </w:p>
    <w:p w:rsidR="00446B0B" w:rsidRDefault="00EA50EC">
      <w:pPr>
        <w:pStyle w:val="12"/>
        <w:tabs>
          <w:tab w:val="right" w:leader="dot" w:pos="9016"/>
        </w:tabs>
        <w:spacing w:before="0" w:after="0" w:line="360" w:lineRule="auto"/>
        <w:rPr>
          <w:rFonts w:asciiTheme="minorHAnsi" w:hAnsiTheme="minorHAnsi"/>
          <w:noProof/>
          <w:sz w:val="22"/>
        </w:rPr>
      </w:pPr>
      <w:hyperlink w:anchor="_Toc256000028" w:history="1">
        <w:r>
          <w:rPr>
            <w:rStyle w:val="af5"/>
            <w:rFonts w:ascii="FangSong_GB2312" w:eastAsia="FangSong_GB2312" w:hAnsi="FangSong_GB2312" w:cs="FangSong_GB2312"/>
            <w:kern w:val="36"/>
          </w:rPr>
          <w:t>7</w:t>
        </w:r>
        <w:r>
          <w:rPr>
            <w:rStyle w:val="af5"/>
            <w:rFonts w:ascii="FangSong_GB2312" w:eastAsia="FangSong_GB2312" w:hAnsi="FangSong_GB2312" w:cs="FangSong_GB2312"/>
            <w:kern w:val="36"/>
          </w:rPr>
          <w:t>知识转移要求</w:t>
        </w:r>
        <w:r>
          <w:tab/>
        </w:r>
        <w:r>
          <w:fldChar w:fldCharType="begin"/>
        </w:r>
        <w:r>
          <w:instrText xml:space="preserve"> PAGEREF _Toc256000028 \h </w:instrText>
        </w:r>
        <w:r>
          <w:fldChar w:fldCharType="separate"/>
        </w:r>
        <w:r>
          <w:t>13</w:t>
        </w:r>
        <w:r>
          <w:fldChar w:fldCharType="end"/>
        </w:r>
      </w:hyperlink>
    </w:p>
    <w:p w:rsidR="00446B0B" w:rsidRDefault="00EA50EC">
      <w:pPr>
        <w:pStyle w:val="12"/>
        <w:tabs>
          <w:tab w:val="right" w:leader="dot" w:pos="9016"/>
        </w:tabs>
        <w:spacing w:before="0" w:after="0" w:line="360" w:lineRule="auto"/>
        <w:rPr>
          <w:rFonts w:asciiTheme="minorHAnsi" w:hAnsiTheme="minorHAnsi"/>
          <w:noProof/>
          <w:sz w:val="22"/>
        </w:rPr>
      </w:pPr>
      <w:hyperlink w:anchor="_Toc256000029" w:history="1">
        <w:r>
          <w:rPr>
            <w:rStyle w:val="af5"/>
            <w:rFonts w:ascii="FangSong_GB2312" w:eastAsia="FangSong_GB2312" w:hAnsi="FangSong_GB2312" w:cs="FangSong_GB2312"/>
            <w:kern w:val="36"/>
          </w:rPr>
          <w:t>8</w:t>
        </w:r>
        <w:r>
          <w:rPr>
            <w:rStyle w:val="af5"/>
            <w:rFonts w:ascii="FangSong_GB2312" w:eastAsia="FangSong_GB2312" w:hAnsi="FangSong_GB2312" w:cs="FangSong_GB2312"/>
            <w:kern w:val="36"/>
          </w:rPr>
          <w:t>风险管控要求</w:t>
        </w:r>
        <w:r>
          <w:tab/>
        </w:r>
        <w:r>
          <w:fldChar w:fldCharType="begin"/>
        </w:r>
        <w:r>
          <w:instrText xml:space="preserve"> PAGEREF _Toc256000029 \h </w:instrText>
        </w:r>
        <w:r>
          <w:fldChar w:fldCharType="separate"/>
        </w:r>
        <w:r>
          <w:t>13</w:t>
        </w:r>
        <w:r>
          <w:fldChar w:fldCharType="end"/>
        </w:r>
      </w:hyperlink>
    </w:p>
    <w:p w:rsidR="00446B0B" w:rsidRDefault="00EA50EC">
      <w:pPr>
        <w:pStyle w:val="12"/>
        <w:tabs>
          <w:tab w:val="right" w:leader="dot" w:pos="9016"/>
        </w:tabs>
        <w:spacing w:before="0" w:after="0" w:line="360" w:lineRule="auto"/>
        <w:rPr>
          <w:rFonts w:asciiTheme="minorHAnsi" w:hAnsiTheme="minorHAnsi"/>
          <w:noProof/>
          <w:sz w:val="22"/>
        </w:rPr>
      </w:pPr>
      <w:hyperlink w:anchor="_Toc256000030" w:history="1">
        <w:r>
          <w:rPr>
            <w:rStyle w:val="af5"/>
            <w:rFonts w:ascii="FangSong_GB2312" w:eastAsia="FangSong_GB2312" w:hAnsi="FangSong_GB2312" w:cs="FangSong_GB2312"/>
            <w:kern w:val="36"/>
          </w:rPr>
          <w:t>9</w:t>
        </w:r>
        <w:r>
          <w:rPr>
            <w:rStyle w:val="af5"/>
            <w:rFonts w:ascii="FangSong_GB2312" w:eastAsia="FangSong_GB2312" w:hAnsi="FangSong_GB2312" w:cs="FangSong_GB2312"/>
            <w:kern w:val="36"/>
          </w:rPr>
          <w:t>履约验收要求</w:t>
        </w:r>
        <w:r>
          <w:tab/>
        </w:r>
        <w:r>
          <w:fldChar w:fldCharType="begin"/>
        </w:r>
        <w:r>
          <w:instrText xml:space="preserve"> PAGEREF _Toc256000030 \h </w:instrText>
        </w:r>
        <w:r>
          <w:fldChar w:fldCharType="separate"/>
        </w:r>
        <w:r>
          <w:t>13</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31" w:history="1">
        <w:r>
          <w:rPr>
            <w:rStyle w:val="af5"/>
            <w:rFonts w:ascii="FangSong_GB2312" w:eastAsia="FangSong_GB2312" w:hAnsi="FangSong_GB2312" w:cs="FangSong_GB2312"/>
          </w:rPr>
          <w:t>9.1</w:t>
        </w:r>
        <w:r>
          <w:rPr>
            <w:rStyle w:val="af5"/>
            <w:rFonts w:ascii="FangSong_GB2312" w:eastAsia="FangSong_GB2312" w:hAnsi="FangSong_GB2312" w:cs="FangSong_GB2312"/>
          </w:rPr>
          <w:t>总体要求</w:t>
        </w:r>
        <w:r>
          <w:tab/>
        </w:r>
        <w:r>
          <w:fldChar w:fldCharType="begin"/>
        </w:r>
        <w:r>
          <w:instrText xml:space="preserve"> PAGEREF _To</w:instrText>
        </w:r>
        <w:r>
          <w:instrText xml:space="preserve">c256000031 \h </w:instrText>
        </w:r>
        <w:r>
          <w:fldChar w:fldCharType="separate"/>
        </w:r>
        <w:r>
          <w:t>13</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32" w:history="1">
        <w:r>
          <w:rPr>
            <w:rStyle w:val="af5"/>
            <w:rFonts w:ascii="FangSong_GB2312" w:eastAsia="FangSong_GB2312" w:hAnsi="FangSong_GB2312" w:cs="FangSong_GB2312"/>
          </w:rPr>
          <w:t>9.2</w:t>
        </w:r>
        <w:r>
          <w:rPr>
            <w:rStyle w:val="af5"/>
            <w:rFonts w:ascii="FangSong_GB2312" w:eastAsia="FangSong_GB2312" w:hAnsi="FangSong_GB2312" w:cs="FangSong_GB2312"/>
          </w:rPr>
          <w:t>具体要求</w:t>
        </w:r>
        <w:r>
          <w:tab/>
        </w:r>
        <w:r>
          <w:fldChar w:fldCharType="begin"/>
        </w:r>
        <w:r>
          <w:instrText xml:space="preserve"> PAGEREF _Toc256000032 \h </w:instrText>
        </w:r>
        <w:r>
          <w:fldChar w:fldCharType="separate"/>
        </w:r>
        <w:r>
          <w:t>14</w:t>
        </w:r>
        <w:r>
          <w:fldChar w:fldCharType="end"/>
        </w:r>
      </w:hyperlink>
    </w:p>
    <w:p w:rsidR="00446B0B" w:rsidRDefault="00EA50EC">
      <w:pPr>
        <w:pStyle w:val="12"/>
        <w:tabs>
          <w:tab w:val="right" w:leader="dot" w:pos="9016"/>
        </w:tabs>
        <w:spacing w:before="0" w:after="0" w:line="360" w:lineRule="auto"/>
        <w:rPr>
          <w:rFonts w:asciiTheme="minorHAnsi" w:hAnsiTheme="minorHAnsi"/>
          <w:noProof/>
          <w:sz w:val="22"/>
        </w:rPr>
      </w:pPr>
      <w:hyperlink w:anchor="_Toc256000033" w:history="1">
        <w:r>
          <w:rPr>
            <w:rStyle w:val="af5"/>
            <w:rFonts w:ascii="FangSong_GB2312" w:eastAsia="FangSong_GB2312" w:hAnsi="FangSong_GB2312" w:cs="FangSong_GB2312"/>
            <w:kern w:val="36"/>
          </w:rPr>
          <w:t>10</w:t>
        </w:r>
        <w:r>
          <w:rPr>
            <w:rStyle w:val="af5"/>
            <w:rFonts w:ascii="FangSong_GB2312" w:eastAsia="FangSong_GB2312" w:hAnsi="FangSong_GB2312" w:cs="FangSong_GB2312"/>
            <w:kern w:val="36"/>
          </w:rPr>
          <w:t>其他要求</w:t>
        </w:r>
        <w:r>
          <w:tab/>
        </w:r>
        <w:r>
          <w:fldChar w:fldCharType="begin"/>
        </w:r>
        <w:r>
          <w:instrText xml:space="preserve"> PAGEREF _Toc256000033 \h </w:instrText>
        </w:r>
        <w:r>
          <w:fldChar w:fldCharType="separate"/>
        </w:r>
        <w:r>
          <w:t>14</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34" w:history="1">
        <w:r>
          <w:rPr>
            <w:rStyle w:val="af5"/>
            <w:rFonts w:ascii="FangSong_GB2312" w:eastAsia="FangSong_GB2312" w:hAnsi="FangSong_GB2312" w:cs="FangSong_GB2312"/>
          </w:rPr>
          <w:t>10.1</w:t>
        </w:r>
        <w:r>
          <w:rPr>
            <w:rStyle w:val="af5"/>
            <w:rFonts w:ascii="FangSong_GB2312" w:eastAsia="FangSong_GB2312" w:hAnsi="FangSong_GB2312" w:cs="FangSong_GB2312"/>
          </w:rPr>
          <w:t>必备要求</w:t>
        </w:r>
        <w:r>
          <w:tab/>
        </w:r>
        <w:r>
          <w:fldChar w:fldCharType="begin"/>
        </w:r>
        <w:r>
          <w:instrText xml:space="preserve"> PAGEREF _Toc256000034 \h </w:instrText>
        </w:r>
        <w:r>
          <w:fldChar w:fldCharType="separate"/>
        </w:r>
        <w:r>
          <w:t>14</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35" w:history="1">
        <w:r>
          <w:rPr>
            <w:rStyle w:val="af5"/>
            <w:rFonts w:ascii="FangSong_GB2312" w:eastAsia="FangSong_GB2312" w:hAnsi="FangSong_GB2312" w:cs="FangSong_GB2312"/>
          </w:rPr>
          <w:t>10.1.1★</w:t>
        </w:r>
        <w:r>
          <w:rPr>
            <w:rStyle w:val="af5"/>
            <w:rFonts w:ascii="FangSong_GB2312" w:eastAsia="FangSong_GB2312" w:hAnsi="FangSong_GB2312" w:cs="FangSong_GB2312"/>
          </w:rPr>
          <w:t>税收信息化项目开发和应用管理工作要求</w:t>
        </w:r>
        <w:r>
          <w:tab/>
        </w:r>
        <w:r>
          <w:fldChar w:fldCharType="begin"/>
        </w:r>
        <w:r>
          <w:instrText xml:space="preserve"> PAGEREF _Toc256000035 \h </w:instrText>
        </w:r>
        <w:r>
          <w:fldChar w:fldCharType="separate"/>
        </w:r>
        <w:r>
          <w:t>15</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36" w:history="1">
        <w:r>
          <w:rPr>
            <w:rStyle w:val="af5"/>
            <w:rFonts w:ascii="FangSong_GB2312" w:eastAsia="FangSong_GB2312" w:hAnsi="FangSong_GB2312" w:cs="FangSong_GB2312"/>
          </w:rPr>
          <w:t>10.1.2★</w:t>
        </w:r>
        <w:r>
          <w:rPr>
            <w:rStyle w:val="af5"/>
            <w:rFonts w:ascii="FangSong_GB2312" w:eastAsia="FangSong_GB2312" w:hAnsi="FangSong_GB2312" w:cs="FangSong_GB2312"/>
          </w:rPr>
          <w:t>税务信息化项目廉政要求</w:t>
        </w:r>
        <w:r>
          <w:tab/>
        </w:r>
        <w:r>
          <w:fldChar w:fldCharType="begin"/>
        </w:r>
        <w:r>
          <w:instrText xml:space="preserve"> PAGEREF _Toc256000036 \h </w:instrText>
        </w:r>
        <w:r>
          <w:fldChar w:fldCharType="separate"/>
        </w:r>
        <w:r>
          <w:t>15</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37" w:history="1">
        <w:r>
          <w:rPr>
            <w:rStyle w:val="af5"/>
            <w:rFonts w:ascii="FangSong_GB2312" w:eastAsia="FangSong_GB2312" w:hAnsi="FangSong_GB2312" w:cs="FangSong_GB2312"/>
          </w:rPr>
          <w:t>10.1.3★</w:t>
        </w:r>
        <w:r>
          <w:rPr>
            <w:rStyle w:val="af5"/>
            <w:rFonts w:ascii="FangSong_GB2312" w:eastAsia="FangSong_GB2312" w:hAnsi="FangSong_GB2312" w:cs="FangSong_GB2312"/>
          </w:rPr>
          <w:t>供应链安全管理要求</w:t>
        </w:r>
        <w:r>
          <w:tab/>
        </w:r>
        <w:r>
          <w:fldChar w:fldCharType="begin"/>
        </w:r>
        <w:r>
          <w:instrText xml:space="preserve"> PAGEREF _Toc256000037 \h </w:instrText>
        </w:r>
        <w:r>
          <w:fldChar w:fldCharType="separate"/>
        </w:r>
        <w:r>
          <w:t>17</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38" w:history="1">
        <w:r>
          <w:rPr>
            <w:rStyle w:val="af5"/>
            <w:rFonts w:ascii="FangSong_GB2312" w:eastAsia="FangSong_GB2312" w:hAnsi="FangSong_GB2312" w:cs="FangSong_GB2312"/>
          </w:rPr>
          <w:t>10.1.4★</w:t>
        </w:r>
        <w:r>
          <w:rPr>
            <w:rStyle w:val="af5"/>
            <w:rFonts w:ascii="FangSong_GB2312" w:eastAsia="FangSong_GB2312" w:hAnsi="FangSong_GB2312" w:cs="FangSong_GB2312"/>
          </w:rPr>
          <w:t>信息化服务</w:t>
        </w:r>
        <w:r>
          <w:rPr>
            <w:rStyle w:val="af5"/>
            <w:rFonts w:ascii="FangSong_GB2312" w:eastAsia="FangSong_GB2312" w:hAnsi="FangSong_GB2312" w:cs="FangSong_GB2312"/>
          </w:rPr>
          <w:t>运维人员要求</w:t>
        </w:r>
        <w:r>
          <w:tab/>
        </w:r>
        <w:r>
          <w:fldChar w:fldCharType="begin"/>
        </w:r>
        <w:r>
          <w:instrText xml:space="preserve"> PAGEREF _Toc256000038 \h </w:instrText>
        </w:r>
        <w:r>
          <w:fldChar w:fldCharType="separate"/>
        </w:r>
        <w:r>
          <w:t>21</w:t>
        </w:r>
        <w:r>
          <w:fldChar w:fldCharType="end"/>
        </w:r>
      </w:hyperlink>
    </w:p>
    <w:p w:rsidR="00446B0B" w:rsidRDefault="00EA50EC">
      <w:pPr>
        <w:pStyle w:val="34"/>
        <w:tabs>
          <w:tab w:val="right" w:leader="dot" w:pos="9016"/>
        </w:tabs>
        <w:spacing w:line="360" w:lineRule="auto"/>
        <w:rPr>
          <w:rFonts w:asciiTheme="minorHAnsi" w:hAnsiTheme="minorHAnsi"/>
          <w:noProof/>
          <w:sz w:val="22"/>
        </w:rPr>
      </w:pPr>
      <w:hyperlink w:anchor="_Toc256000039" w:history="1">
        <w:r>
          <w:rPr>
            <w:rStyle w:val="af5"/>
            <w:rFonts w:ascii="FangSong_GB2312" w:eastAsia="FangSong_GB2312" w:hAnsi="FangSong_GB2312" w:cs="FangSong_GB2312"/>
          </w:rPr>
          <w:t>10.1.5</w:t>
        </w:r>
        <w:r>
          <w:rPr>
            <w:rStyle w:val="af5"/>
            <w:rFonts w:ascii="FangSong_GB2312" w:eastAsia="FangSong_GB2312" w:hAnsi="FangSong_GB2312" w:cs="FangSong_GB2312"/>
          </w:rPr>
          <w:t>其他</w:t>
        </w:r>
        <w:r>
          <w:tab/>
        </w:r>
        <w:r>
          <w:fldChar w:fldCharType="begin"/>
        </w:r>
        <w:r>
          <w:instrText xml:space="preserve"> PAGEREF _Toc256000039 \h </w:instrText>
        </w:r>
        <w:r>
          <w:fldChar w:fldCharType="separate"/>
        </w:r>
        <w:r>
          <w:t>21</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40" w:history="1">
        <w:r>
          <w:rPr>
            <w:rStyle w:val="af5"/>
            <w:rFonts w:ascii="FangSong_GB2312" w:eastAsia="FangSong_GB2312" w:hAnsi="FangSong_GB2312" w:cs="FangSong_GB2312"/>
          </w:rPr>
          <w:t>10.2</w:t>
        </w:r>
        <w:r>
          <w:rPr>
            <w:rStyle w:val="af5"/>
            <w:rFonts w:ascii="FangSong_GB2312" w:eastAsia="FangSong_GB2312" w:hAnsi="FangSong_GB2312" w:cs="FangSong_GB2312"/>
          </w:rPr>
          <w:t>知识产权要求</w:t>
        </w:r>
        <w:r>
          <w:tab/>
        </w:r>
        <w:r>
          <w:fldChar w:fldCharType="begin"/>
        </w:r>
        <w:r>
          <w:instrText xml:space="preserve"> PAGEREF _Toc256000040 \h </w:instrText>
        </w:r>
        <w:r>
          <w:fldChar w:fldCharType="separate"/>
        </w:r>
        <w:r>
          <w:t>21</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41" w:history="1">
        <w:r>
          <w:rPr>
            <w:rStyle w:val="af5"/>
            <w:rFonts w:ascii="FangSong_GB2312" w:eastAsia="FangSong_GB2312" w:hAnsi="FangSong_GB2312" w:cs="FangSong_GB2312"/>
          </w:rPr>
          <w:t>10.3</w:t>
        </w:r>
        <w:r>
          <w:rPr>
            <w:rStyle w:val="af5"/>
            <w:rFonts w:ascii="FangSong_GB2312" w:eastAsia="FangSong_GB2312" w:hAnsi="FangSong_GB2312" w:cs="FangSong_GB2312"/>
          </w:rPr>
          <w:t>付款安排建议</w:t>
        </w:r>
        <w:r>
          <w:tab/>
        </w:r>
        <w:r>
          <w:fldChar w:fldCharType="begin"/>
        </w:r>
        <w:r>
          <w:instrText xml:space="preserve"> PAGEREF _Toc256000041 \h </w:instrText>
        </w:r>
        <w:r>
          <w:fldChar w:fldCharType="separate"/>
        </w:r>
        <w:r>
          <w:t>21</w:t>
        </w:r>
        <w:r>
          <w:fldChar w:fldCharType="end"/>
        </w:r>
      </w:hyperlink>
    </w:p>
    <w:p w:rsidR="00446B0B" w:rsidRDefault="00EA50EC">
      <w:pPr>
        <w:pStyle w:val="25"/>
        <w:tabs>
          <w:tab w:val="right" w:leader="dot" w:pos="9016"/>
        </w:tabs>
        <w:spacing w:line="360" w:lineRule="auto"/>
        <w:rPr>
          <w:rFonts w:asciiTheme="minorHAnsi" w:hAnsiTheme="minorHAnsi"/>
          <w:noProof/>
          <w:sz w:val="22"/>
        </w:rPr>
      </w:pPr>
      <w:hyperlink w:anchor="_Toc256000042" w:history="1">
        <w:r>
          <w:rPr>
            <w:rStyle w:val="af5"/>
            <w:rFonts w:ascii="FangSong_GB2312" w:eastAsia="FangSong_GB2312" w:hAnsi="FangSong_GB2312" w:cs="FangSong_GB2312"/>
          </w:rPr>
          <w:t>10.4</w:t>
        </w:r>
        <w:r>
          <w:rPr>
            <w:rStyle w:val="af5"/>
            <w:rFonts w:ascii="FangSong_GB2312" w:eastAsia="FangSong_GB2312" w:hAnsi="FangSong_GB2312" w:cs="FangSong_GB2312"/>
          </w:rPr>
          <w:t>指标</w:t>
        </w:r>
        <w:r>
          <w:tab/>
        </w:r>
        <w:r>
          <w:fldChar w:fldCharType="begin"/>
        </w:r>
        <w:r>
          <w:instrText xml:space="preserve"> PAGEREF _Toc256000042 \h </w:instrText>
        </w:r>
        <w:r>
          <w:fldChar w:fldCharType="separate"/>
        </w:r>
        <w:r>
          <w:t>22</w:t>
        </w:r>
        <w:r>
          <w:fldChar w:fldCharType="end"/>
        </w:r>
      </w:hyperlink>
    </w:p>
    <w:p w:rsidR="00446B0B" w:rsidRDefault="00A77B3E">
      <w:pPr>
        <w:pStyle w:val="Normal0"/>
        <w:spacing w:line="360" w:lineRule="auto"/>
      </w:pPr>
      <w:r>
        <w:rPr>
          <w:rFonts w:ascii="宋体" w:eastAsia="宋体" w:hAnsi="宋体" w:cs="宋体"/>
          <w:sz w:val="32"/>
        </w:rPr>
        <w:fldChar w:fldCharType="end"/>
      </w:r>
      <w:r w:rsidR="00EA50EC">
        <w:br w:type="page"/>
      </w:r>
    </w:p>
    <w:p w:rsidR="00446B0B" w:rsidRDefault="00EA50EC">
      <w:pPr>
        <w:pStyle w:val="Heading10"/>
        <w:keepNext w:val="0"/>
        <w:spacing w:before="0" w:after="0" w:line="360" w:lineRule="auto"/>
        <w:jc w:val="center"/>
        <w:rPr>
          <w:rFonts w:ascii="FangSong_GB2312" w:eastAsia="FangSong_GB2312" w:hAnsi="FangSong_GB2312" w:cs="FangSong_GB2312"/>
        </w:rPr>
      </w:pPr>
      <w:bookmarkStart w:id="4" w:name="_Toc256000000"/>
      <w:r>
        <w:rPr>
          <w:rFonts w:ascii="FangSong_GB2312" w:eastAsia="FangSong_GB2312" w:hAnsi="FangSong_GB2312" w:cs="FangSong_GB2312"/>
          <w:kern w:val="36"/>
        </w:rPr>
        <w:lastRenderedPageBreak/>
        <w:t>1</w:t>
      </w:r>
      <w:r>
        <w:rPr>
          <w:rFonts w:ascii="FangSong_GB2312" w:eastAsia="FangSong_GB2312" w:hAnsi="FangSong_GB2312" w:cs="FangSong_GB2312"/>
          <w:kern w:val="36"/>
        </w:rPr>
        <w:t>项目概述</w:t>
      </w:r>
      <w:bookmarkEnd w:id="4"/>
    </w:p>
    <w:p w:rsidR="00446B0B" w:rsidRDefault="00EA50EC">
      <w:pPr>
        <w:pStyle w:val="Heading20"/>
        <w:keepNext w:val="0"/>
        <w:spacing w:before="0" w:after="0" w:line="360" w:lineRule="auto"/>
        <w:rPr>
          <w:rFonts w:ascii="FangSong_GB2312" w:eastAsia="FangSong_GB2312" w:hAnsi="FangSong_GB2312" w:cs="FangSong_GB2312"/>
        </w:rPr>
      </w:pPr>
      <w:bookmarkStart w:id="5" w:name="_Toc256000001"/>
      <w:r>
        <w:rPr>
          <w:rFonts w:ascii="FangSong_GB2312" w:eastAsia="FangSong_GB2312" w:hAnsi="FangSong_GB2312" w:cs="FangSong_GB2312"/>
          <w:i w:val="0"/>
          <w:iCs w:val="0"/>
        </w:rPr>
        <w:t>1.1</w:t>
      </w:r>
      <w:r>
        <w:rPr>
          <w:rFonts w:ascii="FangSong_GB2312" w:eastAsia="FangSong_GB2312" w:hAnsi="FangSong_GB2312" w:cs="FangSong_GB2312"/>
          <w:i w:val="0"/>
          <w:iCs w:val="0"/>
        </w:rPr>
        <w:t>项目背景</w:t>
      </w:r>
      <w:bookmarkEnd w:id="5"/>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6" w:name="_Toc256000002"/>
      <w:r>
        <w:rPr>
          <w:rFonts w:ascii="FangSong_GB2312" w:eastAsia="FangSong_GB2312" w:hAnsi="FangSong_GB2312" w:cs="FangSong_GB2312"/>
          <w:sz w:val="28"/>
          <w:szCs w:val="28"/>
        </w:rPr>
        <w:t>1.1.1</w:t>
      </w:r>
      <w:r>
        <w:rPr>
          <w:rFonts w:ascii="FangSong_GB2312" w:eastAsia="FangSong_GB2312" w:hAnsi="FangSong_GB2312" w:cs="FangSong_GB2312"/>
          <w:sz w:val="28"/>
          <w:szCs w:val="28"/>
        </w:rPr>
        <w:t>项目目的、意义及背景</w:t>
      </w:r>
      <w:bookmarkEnd w:id="6"/>
    </w:p>
    <w:p w:rsidR="00446B0B" w:rsidRDefault="00EA50EC">
      <w:pPr>
        <w:pStyle w:val="Normal0"/>
        <w:spacing w:line="360" w:lineRule="auto"/>
        <w:ind w:firstLine="480"/>
      </w:pPr>
      <w:r>
        <w:rPr>
          <w:rFonts w:ascii="FangSong_GB2312" w:eastAsia="FangSong_GB2312" w:hAnsi="FangSong_GB2312" w:cs="FangSong_GB2312"/>
          <w:sz w:val="28"/>
          <w:szCs w:val="28"/>
        </w:rPr>
        <w:t>为落实有关要求，</w:t>
      </w:r>
      <w:r>
        <w:rPr>
          <w:rFonts w:ascii="FangSong_GB2312" w:eastAsia="FangSong_GB2312" w:hAnsi="FangSong_GB2312" w:cs="FangSong_GB2312"/>
          <w:sz w:val="28"/>
          <w:szCs w:val="28"/>
        </w:rPr>
        <w:t>2024</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9</w:t>
      </w:r>
      <w:r>
        <w:rPr>
          <w:rFonts w:ascii="FangSong_GB2312" w:eastAsia="FangSong_GB2312" w:hAnsi="FangSong_GB2312" w:cs="FangSong_GB2312"/>
          <w:sz w:val="28"/>
          <w:szCs w:val="28"/>
        </w:rPr>
        <w:t>月我省的</w:t>
      </w:r>
      <w:r>
        <w:rPr>
          <w:rFonts w:ascii="FangSong_GB2312" w:eastAsia="FangSong_GB2312" w:hAnsi="FangSong_GB2312" w:cs="FangSong_GB2312"/>
          <w:sz w:val="28"/>
          <w:szCs w:val="28"/>
        </w:rPr>
        <w:t>“</w:t>
      </w:r>
      <w:r>
        <w:t>市场主体数据对账”+税务区块链平台应用已全部上线，实现了</w:t>
      </w:r>
      <w:r>
        <w:rPr>
          <w:sz w:val="28"/>
          <w:szCs w:val="28"/>
        </w:rPr>
        <w:t>吉林省税务局E窗通办税场景的数据上链管理</w:t>
      </w:r>
      <w:r>
        <w:rPr>
          <w:sz w:val="28"/>
          <w:szCs w:val="28"/>
        </w:rPr>
        <w:t>并与总局共识节点互联；</w:t>
      </w:r>
      <w:r>
        <w:rPr>
          <w:rFonts w:ascii="FangSong_GB2312" w:eastAsia="FangSong_GB2312" w:hAnsi="FangSong_GB2312" w:cs="FangSong_GB2312"/>
          <w:sz w:val="28"/>
          <w:szCs w:val="28"/>
        </w:rPr>
        <w:t>2024</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11</w:t>
      </w:r>
      <w:r>
        <w:rPr>
          <w:rFonts w:ascii="FangSong_GB2312" w:eastAsia="FangSong_GB2312" w:hAnsi="FangSong_GB2312" w:cs="FangSong_GB2312"/>
          <w:sz w:val="28"/>
          <w:szCs w:val="28"/>
        </w:rPr>
        <w:t>月我省完成收入规划核算业务功能全部推广上线工作，</w:t>
      </w:r>
      <w:r>
        <w:rPr>
          <w:sz w:val="28"/>
          <w:szCs w:val="28"/>
        </w:rPr>
        <w:t>搭建了收规业务功能应用平台，提供会统核算、收入快报、会计监督、税收预测和综合报表功能，实现按日记账产表、机生机汇、结果审核上报、会计监督全流程闭环管理。为保障以上两个应用系统的稳定运行，决定对其运维服务事项进行公开招标。</w:t>
      </w:r>
    </w:p>
    <w:p w:rsidR="00446B0B" w:rsidRDefault="00EA50EC">
      <w:pPr>
        <w:pStyle w:val="Heading20"/>
        <w:keepNext w:val="0"/>
        <w:spacing w:before="0" w:after="0" w:line="360" w:lineRule="auto"/>
        <w:rPr>
          <w:rFonts w:ascii="FangSong_GB2312" w:eastAsia="FangSong_GB2312" w:hAnsi="FangSong_GB2312" w:cs="FangSong_GB2312"/>
        </w:rPr>
      </w:pPr>
      <w:bookmarkStart w:id="7" w:name="_Toc256000003"/>
      <w:r>
        <w:rPr>
          <w:rFonts w:ascii="FangSong_GB2312" w:eastAsia="FangSong_GB2312" w:hAnsi="FangSong_GB2312" w:cs="FangSong_GB2312"/>
          <w:i w:val="0"/>
          <w:iCs w:val="0"/>
        </w:rPr>
        <w:t>1.2</w:t>
      </w:r>
      <w:r>
        <w:rPr>
          <w:rFonts w:ascii="FangSong_GB2312" w:eastAsia="FangSong_GB2312" w:hAnsi="FangSong_GB2312" w:cs="FangSong_GB2312"/>
          <w:i w:val="0"/>
          <w:iCs w:val="0"/>
        </w:rPr>
        <w:t>项目内容</w:t>
      </w:r>
      <w:bookmarkEnd w:id="7"/>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8" w:name="_Toc256000004"/>
      <w:r>
        <w:rPr>
          <w:rFonts w:ascii="FangSong_GB2312" w:eastAsia="FangSong_GB2312" w:hAnsi="FangSong_GB2312" w:cs="FangSong_GB2312"/>
          <w:sz w:val="28"/>
          <w:szCs w:val="28"/>
        </w:rPr>
        <w:t>1.2.1</w:t>
      </w:r>
      <w:r>
        <w:rPr>
          <w:rFonts w:ascii="FangSong_GB2312" w:eastAsia="FangSong_GB2312" w:hAnsi="FangSong_GB2312" w:cs="FangSong_GB2312"/>
          <w:sz w:val="28"/>
          <w:szCs w:val="28"/>
        </w:rPr>
        <w:t>采购内容</w:t>
      </w:r>
      <w:bookmarkEnd w:id="8"/>
    </w:p>
    <w:p w:rsidR="00446B0B" w:rsidRDefault="00EA50EC">
      <w:pPr>
        <w:pStyle w:val="MsoNormal0"/>
        <w:spacing w:line="360" w:lineRule="auto"/>
        <w:ind w:firstLine="480"/>
        <w:jc w:val="both"/>
      </w:pPr>
      <w:r>
        <w:rPr>
          <w:rFonts w:ascii="FangSong_GB2312" w:eastAsia="FangSong_GB2312" w:hAnsi="FangSong_GB2312" w:cs="FangSong_GB2312"/>
          <w:sz w:val="28"/>
          <w:szCs w:val="28"/>
        </w:rPr>
        <w:t>吉林省税务局区块链平台及核算系统在提高整体运行效率的同时，确保应用信息系统应用性能最大程度满足设计要求，建立应用信息系统保障机制，保证各级税务机关工作及纳税人涉税业务顺利</w:t>
      </w:r>
      <w:r>
        <w:rPr>
          <w:rFonts w:ascii="FangSong_GB2312" w:eastAsia="FangSong_GB2312" w:hAnsi="FangSong_GB2312" w:cs="FangSong_GB2312"/>
          <w:sz w:val="28"/>
          <w:szCs w:val="28"/>
        </w:rPr>
        <w:t>开展。</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9" w:name="_Toc256000005"/>
      <w:r>
        <w:rPr>
          <w:rFonts w:ascii="FangSong_GB2312" w:eastAsia="FangSong_GB2312" w:hAnsi="FangSong_GB2312" w:cs="FangSong_GB2312"/>
          <w:sz w:val="28"/>
          <w:szCs w:val="28"/>
        </w:rPr>
        <w:t>1.2.2</w:t>
      </w:r>
      <w:r>
        <w:rPr>
          <w:rFonts w:ascii="FangSong_GB2312" w:eastAsia="FangSong_GB2312" w:hAnsi="FangSong_GB2312" w:cs="FangSong_GB2312"/>
          <w:sz w:val="28"/>
          <w:szCs w:val="28"/>
        </w:rPr>
        <w:t>项目实施要求</w:t>
      </w:r>
      <w:bookmarkEnd w:id="9"/>
    </w:p>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1.2.2.1</w:t>
      </w:r>
      <w:r>
        <w:rPr>
          <w:rFonts w:ascii="FangSong_GB2312" w:eastAsia="FangSong_GB2312" w:hAnsi="FangSong_GB2312" w:cs="FangSong_GB2312"/>
        </w:rPr>
        <w:t>实施范围要求</w:t>
      </w:r>
    </w:p>
    <w:p w:rsidR="00446B0B" w:rsidRDefault="00EA50EC">
      <w:pPr>
        <w:pStyle w:val="MsoNormal0"/>
        <w:spacing w:line="360" w:lineRule="auto"/>
        <w:ind w:firstLine="420"/>
        <w:jc w:val="both"/>
        <w:rPr>
          <w:rFonts w:ascii="Calibri" w:eastAsia="Calibri" w:hAnsi="Calibri" w:cs="Calibri"/>
          <w:sz w:val="21"/>
          <w:szCs w:val="21"/>
        </w:rPr>
      </w:pPr>
      <w:r>
        <w:rPr>
          <w:rFonts w:ascii="FangSong_GB2312" w:eastAsia="FangSong_GB2312" w:hAnsi="FangSong_GB2312" w:cs="FangSong_GB2312"/>
          <w:sz w:val="28"/>
          <w:szCs w:val="28"/>
        </w:rPr>
        <w:t>对吉林省税务局区块链平台及核算系统提供运维服务，系统用户为吉林省税务干部。</w:t>
      </w:r>
    </w:p>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1.2.2.2</w:t>
      </w:r>
      <w:r>
        <w:rPr>
          <w:rFonts w:ascii="FangSong_GB2312" w:eastAsia="FangSong_GB2312" w:hAnsi="FangSong_GB2312" w:cs="FangSong_GB2312"/>
        </w:rPr>
        <w:t>实施时间要求</w:t>
      </w:r>
    </w:p>
    <w:p w:rsidR="00446B0B" w:rsidRDefault="00EA50EC">
      <w:pPr>
        <w:pStyle w:val="MsoNormal0"/>
        <w:spacing w:line="360" w:lineRule="auto"/>
        <w:ind w:firstLine="420"/>
        <w:jc w:val="both"/>
        <w:rPr>
          <w:rFonts w:ascii="Calibri" w:eastAsia="Calibri" w:hAnsi="Calibri" w:cs="Calibri"/>
          <w:sz w:val="21"/>
          <w:szCs w:val="21"/>
        </w:rPr>
      </w:pPr>
      <w:r>
        <w:rPr>
          <w:rFonts w:ascii="FangSong_GB2312" w:eastAsia="FangSong_GB2312" w:hAnsi="FangSong_GB2312" w:cs="FangSong_GB2312"/>
          <w:sz w:val="28"/>
          <w:szCs w:val="28"/>
        </w:rPr>
        <w:t>自合同签订之日起一年。</w:t>
      </w:r>
    </w:p>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1.2.2.3</w:t>
      </w:r>
      <w:r>
        <w:rPr>
          <w:rFonts w:ascii="FangSong_GB2312" w:eastAsia="FangSong_GB2312" w:hAnsi="FangSong_GB2312" w:cs="FangSong_GB2312"/>
        </w:rPr>
        <w:t>实施地点要求</w:t>
      </w:r>
    </w:p>
    <w:p w:rsidR="00446B0B" w:rsidRDefault="00EA50EC">
      <w:pPr>
        <w:pStyle w:val="MsoNormal0"/>
        <w:spacing w:line="360" w:lineRule="auto"/>
        <w:ind w:firstLine="420"/>
        <w:jc w:val="both"/>
        <w:rPr>
          <w:rFonts w:ascii="Calibri" w:eastAsia="Calibri" w:hAnsi="Calibri" w:cs="Calibri"/>
          <w:sz w:val="21"/>
          <w:szCs w:val="21"/>
        </w:rPr>
      </w:pPr>
      <w:r>
        <w:rPr>
          <w:rFonts w:ascii="FangSong_GB2312" w:eastAsia="FangSong_GB2312" w:hAnsi="FangSong_GB2312" w:cs="FangSong_GB2312"/>
          <w:sz w:val="28"/>
          <w:szCs w:val="28"/>
        </w:rPr>
        <w:t>国家税务总局吉林省税务局。</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10" w:name="_Toc256000006"/>
      <w:r>
        <w:rPr>
          <w:rFonts w:ascii="FangSong_GB2312" w:eastAsia="FangSong_GB2312" w:hAnsi="FangSong_GB2312" w:cs="FangSong_GB2312"/>
          <w:sz w:val="28"/>
          <w:szCs w:val="28"/>
        </w:rPr>
        <w:t>1.2.3</w:t>
      </w:r>
      <w:r>
        <w:rPr>
          <w:rFonts w:ascii="FangSong_GB2312" w:eastAsia="FangSong_GB2312" w:hAnsi="FangSong_GB2312" w:cs="FangSong_GB2312"/>
          <w:sz w:val="28"/>
          <w:szCs w:val="28"/>
        </w:rPr>
        <w:t>系统情况</w:t>
      </w:r>
      <w:bookmarkEnd w:id="10"/>
    </w:p>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1.2.3.1</w:t>
      </w:r>
      <w:r>
        <w:rPr>
          <w:rFonts w:ascii="FangSong_GB2312" w:eastAsia="FangSong_GB2312" w:hAnsi="FangSong_GB2312" w:cs="FangSong_GB2312"/>
        </w:rPr>
        <w:t>现有软件系统的主要功能</w:t>
      </w:r>
    </w:p>
    <w:p w:rsidR="00446B0B" w:rsidRDefault="00EA50EC">
      <w:pPr>
        <w:pStyle w:val="MsoNormal0"/>
        <w:spacing w:line="360" w:lineRule="auto"/>
        <w:ind w:firstLine="560"/>
      </w:pPr>
      <w:r>
        <w:rPr>
          <w:rFonts w:ascii="FangSong_GB2312" w:eastAsia="FangSong_GB2312" w:hAnsi="FangSong_GB2312" w:cs="FangSong_GB2312"/>
          <w:sz w:val="28"/>
          <w:szCs w:val="28"/>
        </w:rPr>
        <w:lastRenderedPageBreak/>
        <w:t>税务区块链完成了吉林省税务局市监</w:t>
      </w:r>
      <w:r>
        <w:rPr>
          <w:rFonts w:ascii="FangSong_GB2312" w:eastAsia="FangSong_GB2312" w:hAnsi="FangSong_GB2312" w:cs="FangSong_GB2312"/>
          <w:sz w:val="28"/>
          <w:szCs w:val="28"/>
        </w:rPr>
        <w:t>E</w:t>
      </w:r>
      <w:r>
        <w:rPr>
          <w:rFonts w:ascii="FangSong_GB2312" w:eastAsia="FangSong_GB2312" w:hAnsi="FangSong_GB2312" w:cs="FangSong_GB2312"/>
          <w:sz w:val="28"/>
          <w:szCs w:val="28"/>
        </w:rPr>
        <w:t>窗通办税场景的数据上链管理并与总局共识节点互联，实现对税务链交互数据进行跟踪监控以及数据分析应用服务，拓宽了业务渠道，大幅度提升数据共享效率。</w:t>
      </w:r>
    </w:p>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1.2.3.2</w:t>
      </w:r>
      <w:r>
        <w:rPr>
          <w:rFonts w:ascii="FangSong_GB2312" w:eastAsia="FangSong_GB2312" w:hAnsi="FangSong_GB2312" w:cs="FangSong_GB2312"/>
        </w:rPr>
        <w:t>技术体系架构</w:t>
      </w:r>
    </w:p>
    <w:p w:rsidR="00446B0B" w:rsidRDefault="00EA50EC">
      <w:pPr>
        <w:pStyle w:val="MsoNormal0"/>
        <w:spacing w:line="360" w:lineRule="auto"/>
        <w:ind w:firstLine="560"/>
      </w:pPr>
      <w:r>
        <w:rPr>
          <w:rFonts w:ascii="FangSong_GB2312" w:eastAsia="FangSong_GB2312" w:hAnsi="FangSong_GB2312" w:cs="FangSong_GB2312"/>
          <w:sz w:val="28"/>
          <w:szCs w:val="28"/>
        </w:rPr>
        <w:t>项目</w:t>
      </w:r>
      <w:r>
        <w:rPr>
          <w:rFonts w:ascii="FangSong_GB2312" w:eastAsia="FangSong_GB2312" w:hAnsi="FangSong_GB2312" w:cs="FangSong_GB2312"/>
          <w:sz w:val="28"/>
          <w:szCs w:val="28"/>
        </w:rPr>
        <w:t>由税务总局统一建设，实现两层共识，包括总局全局共识和省局局部共识，支持税务系统多层级组织架构管理要求，提供灵活多样的接入方式。自下而上分别为基础设施层、税务基础链层、区块链服务层和用户层，遵循税务网络安全体系和运维体系，形成税务区块链标准体系。</w:t>
      </w:r>
    </w:p>
    <w:p w:rsidR="00446B0B" w:rsidRDefault="00EA50EC">
      <w:pPr>
        <w:pStyle w:val="Heading10"/>
        <w:keepNext w:val="0"/>
        <w:spacing w:before="0" w:after="0" w:line="360" w:lineRule="auto"/>
        <w:jc w:val="center"/>
        <w:rPr>
          <w:rFonts w:ascii="FangSong_GB2312" w:eastAsia="FangSong_GB2312" w:hAnsi="FangSong_GB2312" w:cs="FangSong_GB2312"/>
        </w:rPr>
      </w:pPr>
      <w:bookmarkStart w:id="11" w:name="_Toc256000007"/>
      <w:r>
        <w:rPr>
          <w:rFonts w:ascii="FangSong_GB2312" w:eastAsia="FangSong_GB2312" w:hAnsi="FangSong_GB2312" w:cs="FangSong_GB2312"/>
          <w:kern w:val="36"/>
        </w:rPr>
        <w:t>2</w:t>
      </w:r>
      <w:r>
        <w:rPr>
          <w:rFonts w:ascii="FangSong_GB2312" w:eastAsia="FangSong_GB2312" w:hAnsi="FangSong_GB2312" w:cs="FangSong_GB2312"/>
          <w:kern w:val="36"/>
        </w:rPr>
        <w:t>投标</w:t>
      </w:r>
      <w:r>
        <w:rPr>
          <w:rFonts w:ascii="FangSong_GB2312" w:eastAsia="FangSong_GB2312" w:hAnsi="FangSong_GB2312" w:cs="FangSong_GB2312"/>
          <w:kern w:val="36"/>
        </w:rPr>
        <w:t>/</w:t>
      </w:r>
      <w:r>
        <w:rPr>
          <w:rFonts w:ascii="FangSong_GB2312" w:eastAsia="FangSong_GB2312" w:hAnsi="FangSong_GB2312" w:cs="FangSong_GB2312"/>
          <w:kern w:val="36"/>
        </w:rPr>
        <w:t>响应要求</w:t>
      </w:r>
      <w:bookmarkEnd w:id="11"/>
    </w:p>
    <w:p w:rsidR="00446B0B" w:rsidRDefault="00EA50EC">
      <w:pPr>
        <w:pStyle w:val="Heading20"/>
        <w:keepNext w:val="0"/>
        <w:spacing w:before="0" w:after="0" w:line="360" w:lineRule="auto"/>
        <w:rPr>
          <w:rFonts w:ascii="FangSong_GB2312" w:eastAsia="FangSong_GB2312" w:hAnsi="FangSong_GB2312" w:cs="FangSong_GB2312"/>
        </w:rPr>
      </w:pPr>
      <w:bookmarkStart w:id="12" w:name="_Toc256000008"/>
      <w:r>
        <w:rPr>
          <w:rFonts w:ascii="FangSong_GB2312" w:eastAsia="FangSong_GB2312" w:hAnsi="FangSong_GB2312" w:cs="FangSong_GB2312"/>
          <w:i w:val="0"/>
          <w:iCs w:val="0"/>
        </w:rPr>
        <w:t>2.1</w:t>
      </w:r>
      <w:r>
        <w:rPr>
          <w:rFonts w:ascii="FangSong_GB2312" w:eastAsia="FangSong_GB2312" w:hAnsi="FangSong_GB2312" w:cs="FangSong_GB2312"/>
          <w:i w:val="0"/>
          <w:iCs w:val="0"/>
        </w:rPr>
        <w:t>对供应商的要求</w:t>
      </w:r>
      <w:bookmarkEnd w:id="12"/>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13" w:name="_Toc256000009"/>
      <w:r>
        <w:rPr>
          <w:rFonts w:ascii="FangSong_GB2312" w:eastAsia="FangSong_GB2312" w:hAnsi="FangSong_GB2312" w:cs="FangSong_GB2312"/>
          <w:sz w:val="28"/>
          <w:szCs w:val="28"/>
        </w:rPr>
        <w:t>2.1.1</w:t>
      </w:r>
      <w:r>
        <w:rPr>
          <w:rFonts w:ascii="FangSong_GB2312" w:eastAsia="FangSong_GB2312" w:hAnsi="FangSong_GB2312" w:cs="FangSong_GB2312"/>
          <w:sz w:val="28"/>
          <w:szCs w:val="28"/>
        </w:rPr>
        <w:t>必备资质</w:t>
      </w:r>
      <w:bookmarkEnd w:id="13"/>
    </w:p>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2.1.1.1</w:t>
      </w:r>
      <w:r>
        <w:rPr>
          <w:rFonts w:ascii="FangSong_GB2312" w:eastAsia="FangSong_GB2312" w:hAnsi="FangSong_GB2312" w:cs="FangSong_GB2312"/>
        </w:rPr>
        <w:t>投标人应遵守有关国家法律、法规和条例</w:t>
      </w:r>
      <w:r>
        <w:rPr>
          <w:rFonts w:ascii="FangSong_GB2312" w:eastAsia="FangSong_GB2312" w:hAnsi="FangSong_GB2312" w:cs="FangSong_GB2312"/>
        </w:rPr>
        <w:t>,</w:t>
      </w:r>
      <w:r>
        <w:rPr>
          <w:rFonts w:ascii="FangSong_GB2312" w:eastAsia="FangSong_GB2312" w:hAnsi="FangSong_GB2312" w:cs="FangSong_GB2312"/>
        </w:rPr>
        <w:t>具备《中华人民共和国政府采购法》第二十二条的规定和本文件中规定的条件。</w:t>
      </w:r>
    </w:p>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2.1.1.2</w:t>
      </w:r>
      <w:r>
        <w:rPr>
          <w:rFonts w:ascii="FangSong_GB2312" w:eastAsia="FangSong_GB2312" w:hAnsi="FangSong_GB2312" w:cs="FangSong_GB2312"/>
        </w:rPr>
        <w:t>本项目的特定资格要求</w:t>
      </w:r>
    </w:p>
    <w:p w:rsidR="00446B0B" w:rsidRDefault="00EA50EC">
      <w:pPr>
        <w:pStyle w:val="MsoNormal0"/>
        <w:spacing w:line="360" w:lineRule="auto"/>
        <w:ind w:firstLine="640"/>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）法人或者其他组织的营业执照等证明文件（复印件）；</w:t>
      </w:r>
    </w:p>
    <w:p w:rsidR="00446B0B" w:rsidRDefault="00EA50EC">
      <w:pPr>
        <w:pStyle w:val="MsoNormal0"/>
        <w:spacing w:line="360" w:lineRule="auto"/>
        <w:ind w:firstLine="640"/>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2024</w:t>
      </w:r>
      <w:r>
        <w:rPr>
          <w:rFonts w:ascii="FangSong_GB2312" w:eastAsia="FangSong_GB2312" w:hAnsi="FangSong_GB2312" w:cs="FangSong_GB2312"/>
          <w:sz w:val="28"/>
          <w:szCs w:val="28"/>
        </w:rPr>
        <w:t>年度经会计师事务所审计的财务报告，包括资产负债表、利润表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损益表、收益表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、现金流量表、所有者权益变动表及其附注（复印件）；开业不满一年的提供验资报告或银行出具的资信证明或公司成立之日后的财务报表（复印件）；财务报告中要求提供内容为实质性要求条款</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即重要条款</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，缺少相关资料，在评标时将其视为无效投标；</w:t>
      </w:r>
    </w:p>
    <w:p w:rsidR="00446B0B" w:rsidRDefault="00EA50EC">
      <w:pPr>
        <w:pStyle w:val="MsoNormal0"/>
        <w:spacing w:line="360" w:lineRule="auto"/>
        <w:ind w:firstLine="640"/>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）近</w:t>
      </w:r>
      <w:r>
        <w:rPr>
          <w:rFonts w:ascii="FangSong_GB2312" w:eastAsia="FangSong_GB2312" w:hAnsi="FangSong_GB2312" w:cs="FangSong_GB2312"/>
          <w:sz w:val="28"/>
          <w:szCs w:val="28"/>
        </w:rPr>
        <w:t>6</w:t>
      </w:r>
      <w:r>
        <w:rPr>
          <w:rFonts w:ascii="FangSong_GB2312" w:eastAsia="FangSong_GB2312" w:hAnsi="FangSong_GB2312" w:cs="FangSong_GB2312"/>
          <w:sz w:val="28"/>
          <w:szCs w:val="28"/>
        </w:rPr>
        <w:t>个月内至少</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个月依法缴纳税收的相关材料，如依法免税或不需要纳税的，则应提供相应文件证明（复印件）；</w:t>
      </w:r>
    </w:p>
    <w:p w:rsidR="00446B0B" w:rsidRDefault="00EA50EC">
      <w:pPr>
        <w:pStyle w:val="MsoNormal0"/>
        <w:spacing w:line="360" w:lineRule="auto"/>
        <w:ind w:firstLine="640"/>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4</w:t>
      </w:r>
      <w:r>
        <w:rPr>
          <w:rFonts w:ascii="FangSong_GB2312" w:eastAsia="FangSong_GB2312" w:hAnsi="FangSong_GB2312" w:cs="FangSong_GB2312"/>
          <w:sz w:val="28"/>
          <w:szCs w:val="28"/>
        </w:rPr>
        <w:t>）近</w:t>
      </w:r>
      <w:r>
        <w:rPr>
          <w:rFonts w:ascii="FangSong_GB2312" w:eastAsia="FangSong_GB2312" w:hAnsi="FangSong_GB2312" w:cs="FangSong_GB2312"/>
          <w:sz w:val="28"/>
          <w:szCs w:val="28"/>
        </w:rPr>
        <w:t>6</w:t>
      </w:r>
      <w:r>
        <w:rPr>
          <w:rFonts w:ascii="FangSong_GB2312" w:eastAsia="FangSong_GB2312" w:hAnsi="FangSong_GB2312" w:cs="FangSong_GB2312"/>
          <w:sz w:val="28"/>
          <w:szCs w:val="28"/>
        </w:rPr>
        <w:t>个月内至少</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个月依</w:t>
      </w:r>
      <w:r>
        <w:rPr>
          <w:rFonts w:ascii="FangSong_GB2312" w:eastAsia="FangSong_GB2312" w:hAnsi="FangSong_GB2312" w:cs="FangSong_GB2312"/>
          <w:sz w:val="28"/>
          <w:szCs w:val="28"/>
        </w:rPr>
        <w:t>法缴纳社会保障资金的相关材料，如依法不需要缴纳社会保障资金的，则应提供相应文件证明（复印件）；</w:t>
      </w:r>
    </w:p>
    <w:p w:rsidR="00446B0B" w:rsidRDefault="00EA50EC">
      <w:pPr>
        <w:pStyle w:val="MsoNormal0"/>
        <w:spacing w:line="360" w:lineRule="auto"/>
        <w:ind w:firstLine="640"/>
        <w:rPr>
          <w:rFonts w:ascii="Calibri" w:eastAsia="Calibri" w:hAnsi="Calibri" w:cs="Calibri"/>
          <w:sz w:val="21"/>
          <w:szCs w:val="21"/>
        </w:rPr>
      </w:pPr>
      <w:r>
        <w:rPr>
          <w:rFonts w:ascii="FangSong_GB2312" w:eastAsia="FangSong_GB2312" w:hAnsi="FangSong_GB2312" w:cs="FangSong_GB2312"/>
          <w:sz w:val="28"/>
          <w:szCs w:val="28"/>
        </w:rPr>
        <w:lastRenderedPageBreak/>
        <w:t>（</w:t>
      </w:r>
      <w:r>
        <w:rPr>
          <w:rFonts w:ascii="FangSong_GB2312" w:eastAsia="FangSong_GB2312" w:hAnsi="FangSong_GB2312" w:cs="FangSong_GB2312"/>
          <w:sz w:val="28"/>
          <w:szCs w:val="28"/>
        </w:rPr>
        <w:t>5</w:t>
      </w:r>
      <w:r>
        <w:rPr>
          <w:rFonts w:ascii="FangSong_GB2312" w:eastAsia="FangSong_GB2312" w:hAnsi="FangSong_GB2312" w:cs="FangSong_GB2312"/>
          <w:sz w:val="28"/>
          <w:szCs w:val="28"/>
        </w:rPr>
        <w:t>）参加本项目投标前三年内，在经营活动中没有重大违法记录（指供应商因违法经营受到刑事处罚或者责令停产停业、吊销许可证或者执照、较大数额罚款等行政处罚）的书面声明；</w:t>
      </w:r>
    </w:p>
    <w:p w:rsidR="00446B0B" w:rsidRDefault="00EA50EC">
      <w:pPr>
        <w:pStyle w:val="MsoNormal0"/>
        <w:spacing w:line="360" w:lineRule="auto"/>
        <w:ind w:firstLine="640"/>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6</w:t>
      </w:r>
      <w:r>
        <w:rPr>
          <w:rFonts w:ascii="FangSong_GB2312" w:eastAsia="FangSong_GB2312" w:hAnsi="FangSong_GB2312" w:cs="FangSong_GB2312"/>
          <w:sz w:val="28"/>
          <w:szCs w:val="28"/>
        </w:rPr>
        <w:t>）具备履行合同所必需的设备和专业技术能力的证明材料</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由供应商根据项目需求提供说明材料或者承诺</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14" w:name="_Toc256000010"/>
      <w:r>
        <w:rPr>
          <w:rFonts w:ascii="FangSong_GB2312" w:eastAsia="FangSong_GB2312" w:hAnsi="FangSong_GB2312" w:cs="FangSong_GB2312"/>
          <w:sz w:val="28"/>
          <w:szCs w:val="28"/>
        </w:rPr>
        <w:t>2.1.2</w:t>
      </w:r>
      <w:r>
        <w:rPr>
          <w:rFonts w:ascii="FangSong_GB2312" w:eastAsia="FangSong_GB2312" w:hAnsi="FangSong_GB2312" w:cs="FangSong_GB2312"/>
          <w:sz w:val="28"/>
          <w:szCs w:val="28"/>
        </w:rPr>
        <w:t>优选资质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优选指标</w:t>
      </w:r>
      <w:bookmarkEnd w:id="14"/>
    </w:p>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2.1.2.1</w:t>
      </w:r>
      <w:r>
        <w:rPr>
          <w:rFonts w:ascii="FangSong_GB2312" w:eastAsia="FangSong_GB2312" w:hAnsi="FangSong_GB2312" w:cs="FangSong_GB2312"/>
        </w:rPr>
        <w:t>相关证书</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14"/>
        <w:gridCol w:w="3628"/>
        <w:gridCol w:w="3628"/>
      </w:tblGrid>
      <w:tr w:rsidR="00446B0B">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备注</w:t>
            </w:r>
          </w:p>
        </w:tc>
      </w:tr>
      <w:tr w:rsidR="00446B0B">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具备</w:t>
            </w:r>
            <w:r>
              <w:rPr>
                <w:rFonts w:ascii="FangSong_GB2312" w:eastAsia="FangSong_GB2312" w:hAnsi="FangSong_GB2312" w:cs="FangSong_GB2312"/>
                <w:color w:val="000000"/>
                <w:sz w:val="21"/>
                <w:szCs w:val="21"/>
              </w:rPr>
              <w:t>ISO27001</w:t>
            </w:r>
            <w:r>
              <w:rPr>
                <w:rFonts w:ascii="FangSong_GB2312" w:eastAsia="FangSong_GB2312" w:hAnsi="FangSong_GB2312" w:cs="FangSong_GB2312"/>
                <w:color w:val="000000"/>
                <w:sz w:val="21"/>
                <w:szCs w:val="21"/>
              </w:rPr>
              <w:t>信息安全管理体系认证证书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认证机构经国家认证认可监督管理委员会批准</w:t>
            </w:r>
          </w:p>
        </w:tc>
      </w:tr>
      <w:tr w:rsidR="00446B0B">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具有</w:t>
            </w:r>
            <w:r>
              <w:rPr>
                <w:rFonts w:ascii="FangSong_GB2312" w:eastAsia="FangSong_GB2312" w:hAnsi="FangSong_GB2312" w:cs="FangSong_GB2312"/>
                <w:color w:val="000000"/>
                <w:sz w:val="21"/>
                <w:szCs w:val="21"/>
              </w:rPr>
              <w:t>ISO9000</w:t>
            </w:r>
            <w:r>
              <w:rPr>
                <w:rFonts w:ascii="FangSong_GB2312" w:eastAsia="FangSong_GB2312" w:hAnsi="FangSong_GB2312" w:cs="FangSong_GB2312"/>
                <w:color w:val="000000"/>
                <w:sz w:val="21"/>
                <w:szCs w:val="21"/>
              </w:rPr>
              <w:t>系列质量认证证书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认证机构经国家认证认可监督管理委员会批准</w:t>
            </w:r>
          </w:p>
        </w:tc>
      </w:tr>
      <w:tr w:rsidR="00446B0B">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具有</w:t>
            </w:r>
            <w:r>
              <w:rPr>
                <w:rFonts w:ascii="FangSong_GB2312" w:eastAsia="FangSong_GB2312" w:hAnsi="FangSong_GB2312" w:cs="FangSong_GB2312"/>
                <w:color w:val="000000"/>
                <w:sz w:val="21"/>
                <w:szCs w:val="21"/>
              </w:rPr>
              <w:t>ISO20000</w:t>
            </w:r>
            <w:r>
              <w:rPr>
                <w:rFonts w:ascii="FangSong_GB2312" w:eastAsia="FangSong_GB2312" w:hAnsi="FangSong_GB2312" w:cs="FangSong_GB2312"/>
                <w:color w:val="000000"/>
                <w:sz w:val="21"/>
                <w:szCs w:val="21"/>
              </w:rPr>
              <w:t>信息技术服务管理体系资质</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认证机构经国家认证认可监督管理委员会批准</w:t>
            </w:r>
          </w:p>
        </w:tc>
      </w:tr>
    </w:tbl>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2.1.2.2</w:t>
      </w:r>
      <w:r>
        <w:rPr>
          <w:rFonts w:ascii="FangSong_GB2312" w:eastAsia="FangSong_GB2312" w:hAnsi="FangSong_GB2312" w:cs="FangSong_GB2312"/>
        </w:rPr>
        <w:t>成功案例</w:t>
      </w:r>
    </w:p>
    <w:p w:rsidR="00446B0B" w:rsidRDefault="00EA50EC">
      <w:pPr>
        <w:pStyle w:val="MsoNormal0"/>
        <w:spacing w:line="360" w:lineRule="auto"/>
        <w:ind w:firstLine="640"/>
        <w:rPr>
          <w:rFonts w:ascii="Calibri" w:eastAsia="Calibri" w:hAnsi="Calibri" w:cs="Calibri"/>
          <w:sz w:val="21"/>
          <w:szCs w:val="21"/>
        </w:rPr>
      </w:pPr>
      <w:r>
        <w:rPr>
          <w:rFonts w:ascii="FangSong_GB2312" w:eastAsia="FangSong_GB2312" w:hAnsi="FangSong_GB2312" w:cs="FangSong_GB2312"/>
          <w:sz w:val="28"/>
          <w:szCs w:val="28"/>
        </w:rPr>
        <w:t>提供</w:t>
      </w:r>
      <w:r>
        <w:rPr>
          <w:rFonts w:ascii="FangSong_GB2312" w:eastAsia="FangSong_GB2312" w:hAnsi="FangSong_GB2312" w:cs="FangSong_GB2312"/>
          <w:sz w:val="28"/>
          <w:szCs w:val="28"/>
        </w:rPr>
        <w:t>2022</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月</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日以来（以合同签订日期为准）独立承担实施的相似或类似项目成功案例。</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15" w:name="_Toc256000011"/>
      <w:r>
        <w:rPr>
          <w:rFonts w:ascii="FangSong_GB2312" w:eastAsia="FangSong_GB2312" w:hAnsi="FangSong_GB2312" w:cs="FangSong_GB2312"/>
          <w:sz w:val="28"/>
          <w:szCs w:val="28"/>
        </w:rPr>
        <w:t>2.1.3</w:t>
      </w:r>
      <w:r>
        <w:rPr>
          <w:rFonts w:ascii="FangSong_GB2312" w:eastAsia="FangSong_GB2312" w:hAnsi="FangSong_GB2312" w:cs="FangSong_GB2312"/>
          <w:sz w:val="28"/>
          <w:szCs w:val="28"/>
        </w:rPr>
        <w:t>是否允许联合体</w:t>
      </w:r>
      <w:bookmarkEnd w:id="15"/>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否</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16" w:name="_Toc256000012"/>
      <w:r>
        <w:rPr>
          <w:rFonts w:ascii="FangSong_GB2312" w:eastAsia="FangSong_GB2312" w:hAnsi="FangSong_GB2312" w:cs="FangSong_GB2312"/>
          <w:sz w:val="28"/>
          <w:szCs w:val="28"/>
        </w:rPr>
        <w:t>2.1.4</w:t>
      </w:r>
      <w:r>
        <w:rPr>
          <w:rFonts w:ascii="FangSong_GB2312" w:eastAsia="FangSong_GB2312" w:hAnsi="FangSong_GB2312" w:cs="FangSong_GB2312"/>
          <w:sz w:val="28"/>
          <w:szCs w:val="28"/>
        </w:rPr>
        <w:t>是否专门面向中小企业</w:t>
      </w:r>
      <w:bookmarkEnd w:id="16"/>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本项目不专门面向中小企业采购项目</w:t>
      </w:r>
    </w:p>
    <w:p w:rsidR="00446B0B" w:rsidRDefault="00EA50EC">
      <w:pPr>
        <w:pStyle w:val="Heading20"/>
        <w:keepNext w:val="0"/>
        <w:spacing w:before="0" w:after="0" w:line="360" w:lineRule="auto"/>
        <w:rPr>
          <w:rFonts w:ascii="FangSong_GB2312" w:eastAsia="FangSong_GB2312" w:hAnsi="FangSong_GB2312" w:cs="FangSong_GB2312"/>
        </w:rPr>
      </w:pPr>
      <w:bookmarkStart w:id="17" w:name="_Toc256000013"/>
      <w:r>
        <w:rPr>
          <w:rFonts w:ascii="FangSong_GB2312" w:eastAsia="FangSong_GB2312" w:hAnsi="FangSong_GB2312" w:cs="FangSong_GB2312"/>
          <w:i w:val="0"/>
          <w:iCs w:val="0"/>
        </w:rPr>
        <w:t>2.2</w:t>
      </w:r>
      <w:r>
        <w:rPr>
          <w:rFonts w:ascii="FangSong_GB2312" w:eastAsia="FangSong_GB2312" w:hAnsi="FangSong_GB2312" w:cs="FangSong_GB2312"/>
          <w:i w:val="0"/>
          <w:iCs w:val="0"/>
        </w:rPr>
        <w:t>技术部分投标</w:t>
      </w:r>
      <w:r>
        <w:rPr>
          <w:rFonts w:ascii="FangSong_GB2312" w:eastAsia="FangSong_GB2312" w:hAnsi="FangSong_GB2312" w:cs="FangSong_GB2312"/>
          <w:i w:val="0"/>
          <w:iCs w:val="0"/>
        </w:rPr>
        <w:t>/</w:t>
      </w:r>
      <w:r>
        <w:rPr>
          <w:rFonts w:ascii="FangSong_GB2312" w:eastAsia="FangSong_GB2312" w:hAnsi="FangSong_GB2312" w:cs="FangSong_GB2312"/>
          <w:i w:val="0"/>
          <w:iCs w:val="0"/>
        </w:rPr>
        <w:t>响应内容</w:t>
      </w:r>
      <w:bookmarkEnd w:id="17"/>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18" w:name="_Toc256000014"/>
      <w:r>
        <w:rPr>
          <w:rFonts w:ascii="FangSong_GB2312" w:eastAsia="FangSong_GB2312" w:hAnsi="FangSong_GB2312" w:cs="FangSong_GB2312"/>
          <w:sz w:val="28"/>
          <w:szCs w:val="28"/>
        </w:rPr>
        <w:t>2.2.1</w:t>
      </w:r>
      <w:r>
        <w:rPr>
          <w:rFonts w:ascii="FangSong_GB2312" w:eastAsia="FangSong_GB2312" w:hAnsi="FangSong_GB2312" w:cs="FangSong_GB2312"/>
          <w:sz w:val="28"/>
          <w:szCs w:val="28"/>
        </w:rPr>
        <w:t>技术投标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响应总要求</w:t>
      </w:r>
      <w:bookmarkEnd w:id="18"/>
    </w:p>
    <w:p w:rsidR="00446B0B" w:rsidRDefault="00EA50EC">
      <w:pPr>
        <w:pStyle w:val="MsoNormal0"/>
        <w:spacing w:line="360" w:lineRule="auto"/>
        <w:ind w:firstLine="480"/>
        <w:jc w:val="both"/>
      </w:pPr>
      <w:r>
        <w:rPr>
          <w:rFonts w:ascii="仿宋" w:eastAsia="仿宋" w:hAnsi="仿宋" w:cs="仿宋"/>
          <w:sz w:val="28"/>
          <w:szCs w:val="28"/>
        </w:rPr>
        <w:t>投标人必须针对招标文件（技术部分）中有关章节的需求逐个或分块作出实质性响应，其响应应与需求书内容采用同样的顺序。对每个需求的响应必须遵循如下规则：</w:t>
      </w:r>
    </w:p>
    <w:p w:rsidR="00446B0B" w:rsidRDefault="00EA50EC">
      <w:pPr>
        <w:pStyle w:val="MsoNormal0"/>
        <w:spacing w:line="360" w:lineRule="auto"/>
        <w:ind w:firstLine="480"/>
        <w:jc w:val="both"/>
      </w:pPr>
      <w:r>
        <w:rPr>
          <w:rFonts w:ascii="仿宋" w:eastAsia="仿宋" w:hAnsi="仿宋" w:cs="仿宋"/>
          <w:sz w:val="28"/>
          <w:szCs w:val="28"/>
        </w:rPr>
        <w:t>1.</w:t>
      </w:r>
      <w:r>
        <w:rPr>
          <w:rFonts w:ascii="仿宋" w:eastAsia="仿宋" w:hAnsi="仿宋" w:cs="仿宋"/>
          <w:sz w:val="28"/>
          <w:szCs w:val="28"/>
        </w:rPr>
        <w:t>重复该需求；</w:t>
      </w:r>
    </w:p>
    <w:p w:rsidR="00446B0B" w:rsidRDefault="00EA50EC">
      <w:pPr>
        <w:pStyle w:val="MsoNormal0"/>
        <w:spacing w:line="360" w:lineRule="auto"/>
        <w:ind w:firstLine="480"/>
        <w:jc w:val="both"/>
      </w:pPr>
      <w:r>
        <w:rPr>
          <w:rFonts w:ascii="仿宋" w:eastAsia="仿宋" w:hAnsi="仿宋" w:cs="仿宋"/>
          <w:sz w:val="28"/>
          <w:szCs w:val="28"/>
        </w:rPr>
        <w:lastRenderedPageBreak/>
        <w:t>2.</w:t>
      </w:r>
      <w:r>
        <w:rPr>
          <w:rFonts w:ascii="仿宋" w:eastAsia="仿宋" w:hAnsi="仿宋" w:cs="仿宋"/>
          <w:sz w:val="28"/>
          <w:szCs w:val="28"/>
        </w:rPr>
        <w:t>简要描述应答书或应答方案如何满足该需求，如果该响应在应答书其他部分有详述，可在该处简单应答，但必须给出确切的位置索引；</w:t>
      </w:r>
    </w:p>
    <w:p w:rsidR="00446B0B" w:rsidRDefault="00EA50EC">
      <w:pPr>
        <w:pStyle w:val="MsoNormal0"/>
        <w:spacing w:line="360" w:lineRule="auto"/>
        <w:ind w:firstLine="480"/>
        <w:jc w:val="both"/>
      </w:pPr>
      <w:r>
        <w:rPr>
          <w:rFonts w:ascii="仿宋" w:eastAsia="仿宋" w:hAnsi="仿宋" w:cs="仿宋"/>
          <w:sz w:val="28"/>
          <w:szCs w:val="28"/>
        </w:rPr>
        <w:t>3.</w:t>
      </w:r>
      <w:r>
        <w:rPr>
          <w:rFonts w:ascii="仿宋" w:eastAsia="仿宋" w:hAnsi="仿宋" w:cs="仿宋"/>
          <w:sz w:val="28"/>
          <w:szCs w:val="28"/>
        </w:rPr>
        <w:t>解释应答书或应答方案与国家税务总局吉林省税务局需求之前的偏差；用数量来表示的需求，必须用确切的数字、单位来响应；</w:t>
      </w:r>
    </w:p>
    <w:p w:rsidR="00446B0B" w:rsidRDefault="00EA50EC">
      <w:pPr>
        <w:pStyle w:val="MsoNormal0"/>
        <w:spacing w:line="360" w:lineRule="auto"/>
        <w:ind w:firstLine="480"/>
        <w:jc w:val="both"/>
      </w:pPr>
      <w:r>
        <w:rPr>
          <w:rFonts w:ascii="仿宋" w:eastAsia="仿宋" w:hAnsi="仿宋" w:cs="仿宋"/>
          <w:sz w:val="28"/>
          <w:szCs w:val="28"/>
        </w:rPr>
        <w:t>4.</w:t>
      </w:r>
      <w:r>
        <w:rPr>
          <w:rFonts w:ascii="仿宋" w:eastAsia="仿宋" w:hAnsi="仿宋" w:cs="仿宋"/>
          <w:sz w:val="28"/>
          <w:szCs w:val="28"/>
        </w:rPr>
        <w:t>投标人应提供实质性确切响应，并有详细的文字描述和说明，任何仅采用</w:t>
      </w:r>
      <w:r>
        <w:rPr>
          <w:rFonts w:ascii="仿宋" w:eastAsia="仿宋" w:hAnsi="仿宋" w:cs="仿宋"/>
          <w:sz w:val="28"/>
          <w:szCs w:val="28"/>
        </w:rPr>
        <w:t>“</w:t>
      </w:r>
      <w:r>
        <w:rPr>
          <w:rFonts w:ascii="仿宋" w:eastAsia="仿宋" w:hAnsi="仿宋" w:cs="仿宋"/>
          <w:sz w:val="28"/>
          <w:szCs w:val="28"/>
        </w:rPr>
        <w:t>符合</w:t>
      </w:r>
      <w:r>
        <w:rPr>
          <w:rFonts w:ascii="仿宋" w:eastAsia="仿宋" w:hAnsi="仿宋" w:cs="仿宋"/>
          <w:sz w:val="28"/>
          <w:szCs w:val="28"/>
        </w:rPr>
        <w:t>”</w:t>
      </w:r>
      <w:r>
        <w:rPr>
          <w:rFonts w:ascii="仿宋" w:eastAsia="仿宋" w:hAnsi="仿宋" w:cs="仿宋"/>
          <w:sz w:val="28"/>
          <w:szCs w:val="28"/>
        </w:rPr>
        <w:t>、</w:t>
      </w:r>
      <w:r>
        <w:rPr>
          <w:rFonts w:ascii="仿宋" w:eastAsia="仿宋" w:hAnsi="仿宋" w:cs="仿宋"/>
          <w:sz w:val="28"/>
          <w:szCs w:val="28"/>
        </w:rPr>
        <w:t>“</w:t>
      </w:r>
      <w:r>
        <w:rPr>
          <w:rFonts w:ascii="仿宋" w:eastAsia="仿宋" w:hAnsi="仿宋" w:cs="仿宋"/>
          <w:sz w:val="28"/>
          <w:szCs w:val="28"/>
        </w:rPr>
        <w:t>满足</w:t>
      </w:r>
      <w:r>
        <w:rPr>
          <w:rFonts w:ascii="仿宋" w:eastAsia="仿宋" w:hAnsi="仿宋" w:cs="仿宋"/>
          <w:sz w:val="28"/>
          <w:szCs w:val="28"/>
        </w:rPr>
        <w:t>”</w:t>
      </w:r>
      <w:r>
        <w:rPr>
          <w:rFonts w:ascii="仿宋" w:eastAsia="仿宋" w:hAnsi="仿宋" w:cs="仿宋"/>
          <w:sz w:val="28"/>
          <w:szCs w:val="28"/>
        </w:rPr>
        <w:t>或非确定性数值（如</w:t>
      </w:r>
      <w:r>
        <w:rPr>
          <w:rFonts w:ascii="仿宋" w:eastAsia="仿宋" w:hAnsi="仿宋" w:cs="仿宋"/>
          <w:sz w:val="28"/>
          <w:szCs w:val="28"/>
        </w:rPr>
        <w:t>“&gt;=”</w:t>
      </w:r>
      <w:r>
        <w:rPr>
          <w:rFonts w:ascii="仿宋" w:eastAsia="仿宋" w:hAnsi="仿宋" w:cs="仿宋"/>
          <w:sz w:val="28"/>
          <w:szCs w:val="28"/>
        </w:rPr>
        <w:t>或</w:t>
      </w:r>
      <w:r>
        <w:rPr>
          <w:rFonts w:ascii="仿宋" w:eastAsia="仿宋" w:hAnsi="仿宋" w:cs="仿宋"/>
          <w:sz w:val="28"/>
          <w:szCs w:val="28"/>
        </w:rPr>
        <w:t>“&lt;=”</w:t>
      </w:r>
      <w:r>
        <w:rPr>
          <w:rFonts w:ascii="仿宋" w:eastAsia="仿宋" w:hAnsi="仿宋" w:cs="仿宋"/>
          <w:sz w:val="28"/>
          <w:szCs w:val="28"/>
        </w:rPr>
        <w:t>）的响应均将被视为没有对本需求书的实质性响应，从而可能导致严重后果；有关表格部分的响应应按商务部分规定的格式列出。</w:t>
      </w:r>
    </w:p>
    <w:p w:rsidR="00446B0B" w:rsidRDefault="00EA50EC">
      <w:pPr>
        <w:pStyle w:val="MsoNormal0"/>
        <w:spacing w:line="360" w:lineRule="auto"/>
        <w:ind w:firstLine="480"/>
        <w:jc w:val="both"/>
      </w:pPr>
      <w:r>
        <w:rPr>
          <w:rFonts w:ascii="仿宋" w:eastAsia="仿宋" w:hAnsi="仿宋" w:cs="仿宋"/>
          <w:sz w:val="28"/>
          <w:szCs w:val="28"/>
        </w:rPr>
        <w:t>5.</w:t>
      </w:r>
      <w:r>
        <w:rPr>
          <w:rFonts w:ascii="仿宋" w:eastAsia="仿宋" w:hAnsi="仿宋" w:cs="仿宋"/>
          <w:sz w:val="28"/>
          <w:szCs w:val="28"/>
        </w:rPr>
        <w:t>招标文件（技术部分）中有标注</w:t>
      </w:r>
      <w:r>
        <w:rPr>
          <w:rFonts w:ascii="仿宋" w:eastAsia="仿宋" w:hAnsi="仿宋" w:cs="仿宋"/>
          <w:sz w:val="28"/>
          <w:szCs w:val="28"/>
        </w:rPr>
        <w:t>★</w:t>
      </w:r>
      <w:r>
        <w:rPr>
          <w:rFonts w:ascii="仿宋" w:eastAsia="仿宋" w:hAnsi="仿宋" w:cs="仿宋"/>
          <w:sz w:val="28"/>
          <w:szCs w:val="28"/>
        </w:rPr>
        <w:t>号的，为必备服务需求，必须满足，如未作出响应或响应不满足的，将导致投标无效。</w:t>
      </w:r>
      <w:r>
        <w:rPr>
          <w:rFonts w:ascii="FangSong_GB2312" w:eastAsia="FangSong_GB2312" w:hAnsi="FangSong_GB2312" w:cs="FangSong_GB2312"/>
          <w:sz w:val="28"/>
          <w:szCs w:val="28"/>
        </w:rPr>
        <w:t>#</w:t>
      </w:r>
      <w:r>
        <w:rPr>
          <w:rFonts w:ascii="仿宋" w:eastAsia="仿宋" w:hAnsi="仿宋" w:cs="仿宋"/>
          <w:sz w:val="28"/>
          <w:szCs w:val="28"/>
        </w:rPr>
        <w:t>为重要服务内容，满足在评审时将予以加分。</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19" w:name="_Toc256000015"/>
      <w:r>
        <w:rPr>
          <w:rFonts w:ascii="FangSong_GB2312" w:eastAsia="FangSong_GB2312" w:hAnsi="FangSong_GB2312" w:cs="FangSong_GB2312"/>
          <w:sz w:val="28"/>
          <w:szCs w:val="28"/>
        </w:rPr>
        <w:t>2.2.2</w:t>
      </w:r>
      <w:r>
        <w:rPr>
          <w:rFonts w:ascii="FangSong_GB2312" w:eastAsia="FangSong_GB2312" w:hAnsi="FangSong_GB2312" w:cs="FangSong_GB2312"/>
          <w:sz w:val="28"/>
          <w:szCs w:val="28"/>
        </w:rPr>
        <w:t>投标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响应方案要求</w:t>
      </w:r>
      <w:bookmarkEnd w:id="19"/>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以下相关方案，若作为评审因素，则投标人应在满足</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关键指标项要求的前提下，根据项目特点和采购需求，制定更为完整、详细、可操作性强的方案。</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项目管理实施方案：投标人提供的方案内容应包含项目管理实施总要求、项目实施进度及项目质量管理。</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运维服务方案：投标人提供的方案内容应包含运维服务内容、版本升级、测试及监控服务。</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应急及安全保障方案：投标人提供的方案内容应包含安全保障方法、预警和预防机制、应急响应及处置措施。</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4.</w:t>
      </w:r>
      <w:r>
        <w:rPr>
          <w:rFonts w:ascii="FangSong_GB2312" w:eastAsia="FangSong_GB2312" w:hAnsi="FangSong_GB2312" w:cs="FangSong_GB2312"/>
          <w:sz w:val="28"/>
          <w:szCs w:val="28"/>
        </w:rPr>
        <w:t>保密方案：投标人提供的方案内容应包含保密组织管理、保密制度及保密措施。</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5.</w:t>
      </w:r>
      <w:r>
        <w:rPr>
          <w:rFonts w:ascii="FangSong_GB2312" w:eastAsia="FangSong_GB2312" w:hAnsi="FangSong_GB2312" w:cs="FangSong_GB2312"/>
          <w:sz w:val="28"/>
          <w:szCs w:val="28"/>
        </w:rPr>
        <w:t>项目验收方</w:t>
      </w:r>
      <w:r>
        <w:rPr>
          <w:rFonts w:ascii="FangSong_GB2312" w:eastAsia="FangSong_GB2312" w:hAnsi="FangSong_GB2312" w:cs="FangSong_GB2312"/>
          <w:sz w:val="28"/>
          <w:szCs w:val="28"/>
        </w:rPr>
        <w:t>案：投标人提供的方案内容应包含验收组织流程、验收依据和标准、验收中出现问题的解决办法及补救措施。</w:t>
      </w:r>
    </w:p>
    <w:p w:rsidR="00446B0B" w:rsidRDefault="00EA50EC">
      <w:pPr>
        <w:pStyle w:val="Heading10"/>
        <w:keepNext w:val="0"/>
        <w:spacing w:before="0" w:after="0" w:line="360" w:lineRule="auto"/>
        <w:jc w:val="center"/>
        <w:rPr>
          <w:rFonts w:ascii="FangSong_GB2312" w:eastAsia="FangSong_GB2312" w:hAnsi="FangSong_GB2312" w:cs="FangSong_GB2312"/>
        </w:rPr>
      </w:pPr>
      <w:bookmarkStart w:id="20" w:name="_Toc256000016"/>
      <w:r>
        <w:rPr>
          <w:rFonts w:ascii="FangSong_GB2312" w:eastAsia="FangSong_GB2312" w:hAnsi="FangSong_GB2312" w:cs="FangSong_GB2312"/>
          <w:kern w:val="36"/>
        </w:rPr>
        <w:lastRenderedPageBreak/>
        <w:t>3</w:t>
      </w:r>
      <w:r>
        <w:rPr>
          <w:rFonts w:ascii="FangSong_GB2312" w:eastAsia="FangSong_GB2312" w:hAnsi="FangSong_GB2312" w:cs="FangSong_GB2312"/>
          <w:kern w:val="36"/>
        </w:rPr>
        <w:t>项目需求</w:t>
      </w:r>
      <w:bookmarkEnd w:id="20"/>
    </w:p>
    <w:p w:rsidR="00446B0B" w:rsidRDefault="00EA50EC">
      <w:pPr>
        <w:pStyle w:val="Heading20"/>
        <w:keepNext w:val="0"/>
        <w:spacing w:before="0" w:after="0" w:line="360" w:lineRule="auto"/>
        <w:rPr>
          <w:rFonts w:ascii="FangSong_GB2312" w:eastAsia="FangSong_GB2312" w:hAnsi="FangSong_GB2312" w:cs="FangSong_GB2312"/>
        </w:rPr>
      </w:pPr>
      <w:bookmarkStart w:id="21" w:name="_Toc256000017"/>
      <w:r>
        <w:rPr>
          <w:rFonts w:ascii="FangSong_GB2312" w:eastAsia="FangSong_GB2312" w:hAnsi="FangSong_GB2312" w:cs="FangSong_GB2312"/>
          <w:i w:val="0"/>
          <w:iCs w:val="0"/>
        </w:rPr>
        <w:t>3.1</w:t>
      </w:r>
      <w:r>
        <w:rPr>
          <w:rFonts w:ascii="FangSong_GB2312" w:eastAsia="FangSong_GB2312" w:hAnsi="FangSong_GB2312" w:cs="FangSong_GB2312"/>
          <w:i w:val="0"/>
          <w:iCs w:val="0"/>
        </w:rPr>
        <w:t>总体要求</w:t>
      </w:r>
      <w:bookmarkEnd w:id="21"/>
    </w:p>
    <w:p w:rsidR="00446B0B" w:rsidRDefault="00EA50EC">
      <w:pPr>
        <w:pStyle w:val="MsoNormal0"/>
        <w:spacing w:line="360" w:lineRule="auto"/>
        <w:ind w:firstLine="480"/>
      </w:pPr>
      <w:r>
        <w:rPr>
          <w:rFonts w:ascii="FangSong_GB2312" w:eastAsia="FangSong_GB2312" w:hAnsi="FangSong_GB2312" w:cs="FangSong_GB2312"/>
          <w:sz w:val="28"/>
          <w:szCs w:val="28"/>
        </w:rPr>
        <w:t>本项目对吉林省税务局区块链平台和核算系统进行系统运维，保障系统在吉林省税务局平稳运行。</w:t>
      </w:r>
    </w:p>
    <w:p w:rsidR="00446B0B" w:rsidRDefault="00EA50EC">
      <w:pPr>
        <w:pStyle w:val="MsoNormal0"/>
        <w:spacing w:line="360" w:lineRule="auto"/>
        <w:ind w:firstLine="480"/>
      </w:pPr>
      <w:r>
        <w:rPr>
          <w:rFonts w:ascii="FangSong_GB2312" w:eastAsia="FangSong_GB2312" w:hAnsi="FangSong_GB2312" w:cs="FangSong_GB2312"/>
          <w:sz w:val="28"/>
          <w:szCs w:val="28"/>
        </w:rPr>
        <w:t>（一）税务区块链平台是</w:t>
      </w:r>
      <w:r>
        <w:rPr>
          <w:rFonts w:ascii="FangSong_GB2312" w:eastAsia="FangSong_GB2312" w:hAnsi="FangSong_GB2312" w:cs="FangSong_GB2312"/>
        </w:rPr>
        <w:t>根据总局</w:t>
      </w:r>
      <w:r>
        <w:rPr>
          <w:rFonts w:ascii="FangSong_GB2312" w:eastAsia="FangSong_GB2312" w:hAnsi="FangSong_GB2312" w:cs="FangSong_GB2312"/>
          <w:sz w:val="28"/>
          <w:szCs w:val="28"/>
        </w:rPr>
        <w:t>区块链新场景实施建设</w:t>
      </w:r>
      <w:r>
        <w:rPr>
          <w:rFonts w:ascii="FangSong_GB2312" w:eastAsia="FangSong_GB2312" w:hAnsi="FangSong_GB2312" w:cs="FangSong_GB2312"/>
        </w:rPr>
        <w:t>要求，由省局实施并与总局共识节点进行互联的区块链平台应用，主要业务场景为税务部门与市监部门市场主体数据对账。</w:t>
      </w:r>
    </w:p>
    <w:p w:rsidR="00446B0B" w:rsidRDefault="00EA50EC">
      <w:pPr>
        <w:pStyle w:val="MsoNormal0"/>
        <w:spacing w:line="360" w:lineRule="auto"/>
        <w:ind w:firstLine="480"/>
      </w:pPr>
      <w:r>
        <w:rPr>
          <w:rFonts w:ascii="FangSong_GB2312" w:eastAsia="FangSong_GB2312" w:hAnsi="FangSong_GB2312" w:cs="FangSong_GB2312"/>
          <w:sz w:val="28"/>
          <w:szCs w:val="28"/>
        </w:rPr>
        <w:t>（二）核算系统包含会统核算、税收预测、收入快报、会计监督、综合报表处理等功能。</w:t>
      </w:r>
    </w:p>
    <w:p w:rsidR="00446B0B" w:rsidRDefault="00EA50EC">
      <w:pPr>
        <w:pStyle w:val="MsoNormal0"/>
        <w:pBdr>
          <w:left w:val="none" w:sz="0" w:space="30" w:color="auto"/>
        </w:pBdr>
        <w:spacing w:line="360" w:lineRule="auto"/>
        <w:ind w:left="600"/>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会统核算：主要是结合全国统一规范电子税务局的业务，对涉</w:t>
      </w:r>
      <w:r>
        <w:rPr>
          <w:rFonts w:ascii="FangSong_GB2312" w:eastAsia="FangSong_GB2312" w:hAnsi="FangSong_GB2312" w:cs="FangSong_GB2312"/>
          <w:sz w:val="28"/>
          <w:szCs w:val="28"/>
        </w:rPr>
        <w:t>及核算的业务场景穷举，梳理核算规则的变化。</w:t>
      </w:r>
    </w:p>
    <w:p w:rsidR="00446B0B" w:rsidRDefault="00EA50EC">
      <w:pPr>
        <w:pStyle w:val="MsoNormal0"/>
        <w:pBdr>
          <w:left w:val="none" w:sz="0" w:space="30" w:color="auto"/>
        </w:pBdr>
        <w:spacing w:line="360" w:lineRule="auto"/>
        <w:ind w:left="600"/>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税收预测：在会统核算系统中将新增部分功能，实现企业的选定，以及依托数字账户算税余额对税收预测的预填，在纳税人端由企业完成确认，继而逐级汇总分析。</w:t>
      </w:r>
    </w:p>
    <w:p w:rsidR="00446B0B" w:rsidRDefault="00EA50EC">
      <w:pPr>
        <w:pStyle w:val="MsoNormal0"/>
        <w:pBdr>
          <w:left w:val="none" w:sz="0" w:space="30" w:color="auto"/>
        </w:pBdr>
        <w:spacing w:line="360" w:lineRule="auto"/>
        <w:ind w:left="600"/>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收入快报：与会统报表逻辑一致，调整原有收入快报模式，依托于按日记账、机生机汇等功能，按日完成报表的产出。</w:t>
      </w:r>
    </w:p>
    <w:p w:rsidR="00446B0B" w:rsidRDefault="00EA50EC">
      <w:pPr>
        <w:pStyle w:val="MsoNormal0"/>
        <w:pBdr>
          <w:left w:val="none" w:sz="0" w:space="30" w:color="auto"/>
        </w:pBdr>
        <w:spacing w:line="360" w:lineRule="auto"/>
        <w:ind w:left="600"/>
      </w:pPr>
      <w:r>
        <w:rPr>
          <w:rFonts w:ascii="FangSong_GB2312" w:eastAsia="FangSong_GB2312" w:hAnsi="FangSong_GB2312" w:cs="FangSong_GB2312"/>
          <w:sz w:val="28"/>
          <w:szCs w:val="28"/>
        </w:rPr>
        <w:t>4.</w:t>
      </w:r>
      <w:r>
        <w:rPr>
          <w:rFonts w:ascii="FangSong_GB2312" w:eastAsia="FangSong_GB2312" w:hAnsi="FangSong_GB2312" w:cs="FangSong_GB2312"/>
          <w:sz w:val="28"/>
          <w:szCs w:val="28"/>
        </w:rPr>
        <w:t>会计监督：按照监督规则对税收会计凭证及相关资料开展全方位监督，通过对征管业务的提醒或阻断实现事前、事中监督，通过扫描核算数据发现疑点并处置实现事后监督，设计相应的监督任务处理流程，推动会计监督的全面覆盖和</w:t>
      </w:r>
      <w:r>
        <w:rPr>
          <w:rFonts w:ascii="FangSong_GB2312" w:eastAsia="FangSong_GB2312" w:hAnsi="FangSong_GB2312" w:cs="FangSong_GB2312"/>
          <w:sz w:val="28"/>
          <w:szCs w:val="28"/>
        </w:rPr>
        <w:t>岗责贯通，进而规范业务办理和提高数据质量。</w:t>
      </w:r>
    </w:p>
    <w:p w:rsidR="00446B0B" w:rsidRDefault="00EA50EC">
      <w:pPr>
        <w:pStyle w:val="MsoNormal0"/>
        <w:pBdr>
          <w:left w:val="none" w:sz="0" w:space="30" w:color="auto"/>
        </w:pBdr>
        <w:spacing w:line="360" w:lineRule="auto"/>
        <w:ind w:left="600"/>
      </w:pPr>
      <w:r>
        <w:rPr>
          <w:rFonts w:ascii="FangSong_GB2312" w:eastAsia="FangSong_GB2312" w:hAnsi="FangSong_GB2312" w:cs="FangSong_GB2312"/>
          <w:sz w:val="28"/>
          <w:szCs w:val="28"/>
        </w:rPr>
        <w:t>5.</w:t>
      </w:r>
      <w:r>
        <w:rPr>
          <w:rFonts w:ascii="FangSong_GB2312" w:eastAsia="FangSong_GB2312" w:hAnsi="FangSong_GB2312" w:cs="FangSong_GB2312"/>
          <w:sz w:val="28"/>
          <w:szCs w:val="28"/>
        </w:rPr>
        <w:t>综合报表处理：实现用户注册登录验证、报表任务暂存、报表任务发布</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下载</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装入、报表数据获取服务以及个人任务备份和任务加载服务等；同时支持县、市、省、总逐级对会统报表及其其他类报表的计算、汇总、审核操作进行相应的数据处理，经处理后的数据上报至上级单位。</w:t>
      </w:r>
    </w:p>
    <w:p w:rsidR="00446B0B" w:rsidRDefault="00EA50EC">
      <w:pPr>
        <w:pStyle w:val="MsoNormal0"/>
        <w:pBdr>
          <w:left w:val="none" w:sz="0" w:space="30" w:color="auto"/>
        </w:pBdr>
        <w:spacing w:line="360" w:lineRule="auto"/>
        <w:ind w:left="600"/>
      </w:pPr>
      <w:r>
        <w:rPr>
          <w:rFonts w:ascii="FangSong_GB2312" w:eastAsia="FangSong_GB2312" w:hAnsi="FangSong_GB2312" w:cs="FangSong_GB2312"/>
          <w:sz w:val="28"/>
          <w:szCs w:val="28"/>
        </w:rPr>
        <w:lastRenderedPageBreak/>
        <w:t>为保障以上系统稳定运行，至少提供</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名运维人员完成以下日常运维工作。</w:t>
      </w:r>
    </w:p>
    <w:p w:rsidR="00446B0B" w:rsidRDefault="00EA50EC">
      <w:pPr>
        <w:pStyle w:val="Heading20"/>
        <w:keepNext w:val="0"/>
        <w:spacing w:before="0" w:after="0" w:line="360" w:lineRule="auto"/>
        <w:rPr>
          <w:rFonts w:ascii="FangSong_GB2312" w:eastAsia="FangSong_GB2312" w:hAnsi="FangSong_GB2312" w:cs="FangSong_GB2312"/>
        </w:rPr>
      </w:pPr>
      <w:bookmarkStart w:id="22" w:name="_Toc256000018"/>
      <w:r>
        <w:rPr>
          <w:rFonts w:ascii="FangSong_GB2312" w:eastAsia="FangSong_GB2312" w:hAnsi="FangSong_GB2312" w:cs="FangSong_GB2312"/>
          <w:i w:val="0"/>
          <w:iCs w:val="0"/>
        </w:rPr>
        <w:t>3.2</w:t>
      </w:r>
      <w:r>
        <w:rPr>
          <w:rFonts w:ascii="FangSong_GB2312" w:eastAsia="FangSong_GB2312" w:hAnsi="FangSong_GB2312" w:cs="FangSong_GB2312"/>
          <w:i w:val="0"/>
          <w:iCs w:val="0"/>
        </w:rPr>
        <w:t>服务内容和要求</w:t>
      </w:r>
      <w:bookmarkEnd w:id="22"/>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采购文件（技术部分）中有标注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号的，为必备服务要求，必须满足，如未作出响应，将导致响应无效；</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为重要服务内容、</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为一般服务内容。</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23" w:name="_Toc256000019"/>
      <w:r>
        <w:rPr>
          <w:rFonts w:ascii="FangSong_GB2312" w:eastAsia="FangSong_GB2312" w:hAnsi="FangSong_GB2312" w:cs="FangSong_GB2312"/>
          <w:sz w:val="28"/>
          <w:szCs w:val="28"/>
        </w:rPr>
        <w:t>3.2.1</w:t>
      </w:r>
      <w:r>
        <w:rPr>
          <w:rFonts w:ascii="FangSong_GB2312" w:eastAsia="FangSong_GB2312" w:hAnsi="FangSong_GB2312" w:cs="FangSong_GB2312"/>
          <w:sz w:val="28"/>
          <w:szCs w:val="28"/>
        </w:rPr>
        <w:t>技术和服务客观指标</w:t>
      </w:r>
      <w:bookmarkEnd w:id="23"/>
    </w:p>
    <w:p w:rsidR="00446B0B" w:rsidRDefault="00EA50E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3.2.1.1</w:t>
      </w:r>
      <w:r>
        <w:rPr>
          <w:rFonts w:ascii="FangSong_GB2312" w:eastAsia="FangSong_GB2312" w:hAnsi="FangSong_GB2312" w:cs="FangSong_GB2312"/>
        </w:rPr>
        <w:t>服务</w:t>
      </w:r>
      <w:r>
        <w:rPr>
          <w:rFonts w:ascii="FangSong_GB2312" w:eastAsia="FangSong_GB2312" w:hAnsi="FangSong_GB2312" w:cs="FangSong_GB2312"/>
        </w:rPr>
        <w:t>1</w:t>
      </w:r>
    </w:p>
    <w:p w:rsidR="00446B0B" w:rsidRDefault="00EA50EC">
      <w:pPr>
        <w:pStyle w:val="MsoNormal0"/>
        <w:spacing w:line="360" w:lineRule="auto"/>
        <w:jc w:val="both"/>
        <w:rPr>
          <w:rFonts w:ascii="Calibri" w:eastAsia="Calibri" w:hAnsi="Calibri" w:cs="Calibri"/>
          <w:sz w:val="21"/>
          <w:szCs w:val="21"/>
        </w:rPr>
      </w:pPr>
      <w:r>
        <w:rPr>
          <w:rFonts w:ascii="FangSong_GB2312" w:eastAsia="FangSong_GB2312" w:hAnsi="FangSong_GB2312" w:cs="FangSong_GB2312"/>
          <w:sz w:val="28"/>
          <w:szCs w:val="28"/>
        </w:rPr>
        <w:t xml:space="preserve">    </w:t>
      </w:r>
      <w:r>
        <w:rPr>
          <w:rFonts w:ascii="FangSong_GB2312" w:eastAsia="FangSong_GB2312" w:hAnsi="FangSong_GB2312" w:cs="FangSong_GB2312"/>
          <w:sz w:val="28"/>
          <w:szCs w:val="28"/>
        </w:rPr>
        <w:t>（一）国家税务总局吉林省税务局区块链平台运维工作内容：</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系统集成监控保障，监控税务区块链基础平台和金税工程的云、安全、网络等应用系统状态是否正常。</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系统集成监控保障，监控统一身份管理平台、多云运维平台、税务数字证书、密码服务组件等应用系统的集成状态是否正常。</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若监控发现系统集成异常，积极协同相关厂</w:t>
      </w:r>
      <w:r>
        <w:rPr>
          <w:rFonts w:ascii="FangSong_GB2312" w:eastAsia="FangSong_GB2312" w:hAnsi="FangSong_GB2312" w:cs="FangSong_GB2312"/>
          <w:sz w:val="28"/>
          <w:szCs w:val="28"/>
        </w:rPr>
        <w:t>商排查并解决问题。</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4</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省局链平台监控保障，监控保障税务区块链基础平台涉及的共识节点、税务内部业务节点、应用接入服务、代理转发服务、</w:t>
      </w:r>
      <w:r>
        <w:rPr>
          <w:rFonts w:ascii="FangSong_GB2312" w:eastAsia="FangSong_GB2312" w:hAnsi="FangSong_GB2312" w:cs="FangSong_GB2312"/>
          <w:sz w:val="28"/>
          <w:szCs w:val="28"/>
        </w:rPr>
        <w:t>BaaS</w:t>
      </w:r>
      <w:r>
        <w:rPr>
          <w:rFonts w:ascii="FangSong_GB2312" w:eastAsia="FangSong_GB2312" w:hAnsi="FangSong_GB2312" w:cs="FangSong_GB2312"/>
          <w:sz w:val="28"/>
          <w:szCs w:val="28"/>
        </w:rPr>
        <w:t>服务、运行监控服务、运行管理服务、跨链代理节点服务等应用服务状态是否正常。</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5</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对于省局链平台监控发现的异常问题，要根据运维手册、问题排查手册等分析解决，对于无法解决的问题要按照流程进行上报。</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6</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总省链数据同步监控，监控保障税务区块链基础平台省局链和总局链北京、南海同步之间节点数据同步情况。</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7</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对于总省链数据发现的问题，要积极协同总局二线运维开展问题排查分析。</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lastRenderedPageBreak/>
        <w:t>（</w:t>
      </w:r>
      <w:r>
        <w:rPr>
          <w:rFonts w:ascii="FangSong_GB2312" w:eastAsia="FangSong_GB2312" w:hAnsi="FangSong_GB2312" w:cs="FangSong_GB2312"/>
          <w:sz w:val="28"/>
          <w:szCs w:val="28"/>
        </w:rPr>
        <w:t>8</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健康检查及维护。开展税务区块链系统运行情况健康检查，包括但不限于税务区块链基础平台共识和业务节点。</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9</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维护应用服务的运行情况、总省区块链的连通情况。</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10</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维护税务区块链和外部门的连接情况、税务区块链和税务内部系统的业务应用情况。</w:t>
      </w:r>
    </w:p>
    <w:p w:rsidR="00446B0B" w:rsidRDefault="00EA50EC">
      <w:pPr>
        <w:pStyle w:val="MsoNormal0"/>
        <w:spacing w:line="360" w:lineRule="auto"/>
        <w:jc w:val="both"/>
        <w:rPr>
          <w:rFonts w:ascii="Calibri" w:eastAsia="Calibri" w:hAnsi="Calibri" w:cs="Calibri"/>
          <w:sz w:val="21"/>
          <w:szCs w:val="21"/>
        </w:rPr>
      </w:pPr>
      <w:r>
        <w:rPr>
          <w:rFonts w:ascii="FangSong_GB2312" w:eastAsia="FangSong_GB2312" w:hAnsi="FangSong_GB2312" w:cs="FangSong_GB2312"/>
          <w:sz w:val="28"/>
          <w:szCs w:val="28"/>
        </w:rPr>
        <w:t xml:space="preserve">    </w:t>
      </w:r>
      <w:r>
        <w:rPr>
          <w:rFonts w:ascii="FangSong_GB2312" w:eastAsia="FangSong_GB2312" w:hAnsi="FangSong_GB2312" w:cs="FangSong_GB2312"/>
          <w:sz w:val="28"/>
          <w:szCs w:val="28"/>
        </w:rPr>
        <w:t>（二）国家税务总局吉林省税务局核算系统运维工作内容：</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保障会统核算、收入快报</w:t>
      </w:r>
      <w:r>
        <w:rPr>
          <w:rFonts w:ascii="FangSong_GB2312" w:eastAsia="FangSong_GB2312" w:hAnsi="FangSong_GB2312" w:cs="FangSong_GB2312"/>
          <w:sz w:val="28"/>
          <w:szCs w:val="28"/>
        </w:rPr>
        <w:t>46</w:t>
      </w:r>
      <w:r>
        <w:rPr>
          <w:rFonts w:ascii="FangSong_GB2312" w:eastAsia="FangSong_GB2312" w:hAnsi="FangSong_GB2312" w:cs="FangSong_GB2312"/>
          <w:sz w:val="28"/>
          <w:szCs w:val="28"/>
        </w:rPr>
        <w:t>个功能应用的正常运行。</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保障与会统核算相关联系统自然人电子税务局的业务衔接。</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保障</w:t>
      </w:r>
      <w:r>
        <w:rPr>
          <w:rFonts w:ascii="FangSong_GB2312" w:eastAsia="FangSong_GB2312" w:hAnsi="FangSong_GB2312" w:cs="FangSong_GB2312"/>
          <w:sz w:val="28"/>
          <w:szCs w:val="28"/>
        </w:rPr>
        <w:t>与会统核算相关联系统可信身份管理平台的业务衔接。</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4</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保障与会统核算相关联系统全国统一规范电子税务局的业务衔接。</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5</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保障与会统核算相关联系统税智撑（数据治理、规则引擎）的业务衔接。</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6</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针对会统核算业务应用提供及时的支持。</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7</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确保省局相关业务及时、规范、准确性的完成核算、记账、报表的产出。</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8</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确保省局相关业务及时、规范、准确性的完成审核、复核、上报以及相关业务顺利开展。</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9</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针对应用系统的处理方法、处理原理及流程等在软件功能上反映的问题提供及时全面的解答，辅助税务人员、纳税人完成系统的运行操作。</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10</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配合总局、省局安全部门漏洞扫描、渗透测试等工作及问题的处理，及时响应总局项目组的日常工作，配合总局二线运维人员排查各类应用级别错误。</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24" w:name="_Toc256000020"/>
      <w:r>
        <w:rPr>
          <w:rFonts w:ascii="FangSong_GB2312" w:eastAsia="FangSong_GB2312" w:hAnsi="FangSong_GB2312" w:cs="FangSong_GB2312"/>
          <w:sz w:val="28"/>
          <w:szCs w:val="28"/>
        </w:rPr>
        <w:t>3.2.2</w:t>
      </w:r>
      <w:r>
        <w:rPr>
          <w:rFonts w:ascii="FangSong_GB2312" w:eastAsia="FangSong_GB2312" w:hAnsi="FangSong_GB2312" w:cs="FangSong_GB2312"/>
          <w:sz w:val="28"/>
          <w:szCs w:val="28"/>
        </w:rPr>
        <w:t>技术和服务其他要求</w:t>
      </w:r>
      <w:bookmarkEnd w:id="24"/>
    </w:p>
    <w:p w:rsidR="00446B0B" w:rsidRDefault="00EA50EC">
      <w:pPr>
        <w:pStyle w:val="MsoNormal0"/>
        <w:spacing w:line="360" w:lineRule="auto"/>
        <w:ind w:firstLine="446"/>
      </w:pPr>
      <w:r>
        <w:rPr>
          <w:rFonts w:ascii="仿宋" w:eastAsia="仿宋" w:hAnsi="仿宋" w:cs="仿宋"/>
          <w:sz w:val="28"/>
          <w:szCs w:val="28"/>
        </w:rPr>
        <w:lastRenderedPageBreak/>
        <w:t>中</w:t>
      </w:r>
      <w:r>
        <w:rPr>
          <w:rFonts w:ascii="FangSong_GB2312" w:eastAsia="FangSong_GB2312" w:hAnsi="FangSong_GB2312" w:cs="FangSong_GB2312"/>
          <w:sz w:val="28"/>
          <w:szCs w:val="28"/>
        </w:rPr>
        <w:t>标人应配备满足条件的运维团队，在规定期间完成各项运维服务工作，保障及时解决用户的各类运维问题，同时实行</w:t>
      </w:r>
      <w:r>
        <w:rPr>
          <w:rFonts w:ascii="FangSong_GB2312" w:eastAsia="FangSong_GB2312" w:hAnsi="FangSong_GB2312" w:cs="FangSong_GB2312"/>
          <w:sz w:val="28"/>
          <w:szCs w:val="28"/>
        </w:rPr>
        <w:t>5*8</w:t>
      </w:r>
      <w:r>
        <w:rPr>
          <w:rFonts w:ascii="FangSong_GB2312" w:eastAsia="FangSong_GB2312" w:hAnsi="FangSong_GB2312" w:cs="FangSong_GB2312"/>
          <w:sz w:val="28"/>
          <w:szCs w:val="28"/>
        </w:rPr>
        <w:t>工作制，</w:t>
      </w:r>
      <w:r>
        <w:rPr>
          <w:rFonts w:ascii="FangSong_GB2312" w:eastAsia="FangSong_GB2312" w:hAnsi="FangSong_GB2312" w:cs="FangSong_GB2312"/>
          <w:sz w:val="28"/>
          <w:szCs w:val="28"/>
        </w:rPr>
        <w:t>7*24</w:t>
      </w:r>
      <w:r>
        <w:rPr>
          <w:rFonts w:ascii="FangSong_GB2312" w:eastAsia="FangSong_GB2312" w:hAnsi="FangSong_GB2312" w:cs="FangSong_GB2312"/>
          <w:sz w:val="28"/>
          <w:szCs w:val="28"/>
        </w:rPr>
        <w:t>小时保障系统运行，重点监控系统平台及应用信息系统层面，并根据采购人实际工作需要，参与包括</w:t>
      </w:r>
      <w:r>
        <w:rPr>
          <w:rFonts w:ascii="FangSong_GB2312" w:eastAsia="FangSong_GB2312" w:hAnsi="FangSong_GB2312" w:cs="FangSong_GB2312"/>
          <w:sz w:val="28"/>
          <w:szCs w:val="28"/>
        </w:rPr>
        <w:t>节假日在内的各类加班和值班。</w:t>
      </w:r>
    </w:p>
    <w:p w:rsidR="00446B0B" w:rsidRDefault="00EA50EC">
      <w:pPr>
        <w:pStyle w:val="Heading10"/>
        <w:keepNext w:val="0"/>
        <w:spacing w:before="0" w:after="0" w:line="360" w:lineRule="auto"/>
        <w:jc w:val="center"/>
        <w:rPr>
          <w:rFonts w:ascii="FangSong_GB2312" w:eastAsia="FangSong_GB2312" w:hAnsi="FangSong_GB2312" w:cs="FangSong_GB2312"/>
        </w:rPr>
      </w:pPr>
      <w:bookmarkStart w:id="25" w:name="_Toc256000021"/>
      <w:r>
        <w:rPr>
          <w:rFonts w:ascii="FangSong_GB2312" w:eastAsia="FangSong_GB2312" w:hAnsi="FangSong_GB2312" w:cs="FangSong_GB2312"/>
          <w:kern w:val="36"/>
        </w:rPr>
        <w:t>4</w:t>
      </w:r>
      <w:r>
        <w:rPr>
          <w:rFonts w:ascii="FangSong_GB2312" w:eastAsia="FangSong_GB2312" w:hAnsi="FangSong_GB2312" w:cs="FangSong_GB2312"/>
          <w:kern w:val="36"/>
        </w:rPr>
        <w:t>人员要求</w:t>
      </w:r>
      <w:bookmarkEnd w:id="25"/>
    </w:p>
    <w:p w:rsidR="00446B0B" w:rsidRDefault="00EA50EC">
      <w:pPr>
        <w:pStyle w:val="Heading20"/>
        <w:keepNext w:val="0"/>
        <w:spacing w:before="0" w:after="0" w:line="360" w:lineRule="auto"/>
        <w:rPr>
          <w:rFonts w:ascii="FangSong_GB2312" w:eastAsia="FangSong_GB2312" w:hAnsi="FangSong_GB2312" w:cs="FangSong_GB2312"/>
        </w:rPr>
      </w:pPr>
      <w:bookmarkStart w:id="26" w:name="_Toc256000022"/>
      <w:r>
        <w:rPr>
          <w:rFonts w:ascii="FangSong_GB2312" w:eastAsia="FangSong_GB2312" w:hAnsi="FangSong_GB2312" w:cs="FangSong_GB2312"/>
          <w:i w:val="0"/>
          <w:iCs w:val="0"/>
        </w:rPr>
        <w:t>4.1</w:t>
      </w:r>
      <w:r>
        <w:rPr>
          <w:rFonts w:ascii="FangSong_GB2312" w:eastAsia="FangSong_GB2312" w:hAnsi="FangSong_GB2312" w:cs="FangSong_GB2312"/>
          <w:i w:val="0"/>
          <w:iCs w:val="0"/>
        </w:rPr>
        <w:t>总体要求</w:t>
      </w:r>
      <w:bookmarkEnd w:id="26"/>
    </w:p>
    <w:p w:rsidR="00446B0B" w:rsidRDefault="00EA50EC">
      <w:pPr>
        <w:pStyle w:val="MsoNormal0"/>
        <w:spacing w:line="360" w:lineRule="auto"/>
        <w:ind w:firstLine="640"/>
        <w:textAlignment w:val="baseline"/>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．根据各投标人拟投入本项目技术人员定位、岗位职责、合理。</w:t>
      </w:r>
    </w:p>
    <w:p w:rsidR="00446B0B" w:rsidRDefault="00EA50EC">
      <w:pPr>
        <w:pStyle w:val="MsoNormal0"/>
        <w:spacing w:line="360" w:lineRule="auto"/>
        <w:ind w:firstLine="640"/>
        <w:textAlignment w:val="baseline"/>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．投标人拟投入本项目技术人员资质、专业程度、工作经验。</w:t>
      </w:r>
    </w:p>
    <w:p w:rsidR="00446B0B" w:rsidRDefault="00EA50EC">
      <w:pPr>
        <w:pStyle w:val="MsoNormal0"/>
        <w:spacing w:line="360" w:lineRule="auto"/>
        <w:ind w:firstLine="640"/>
        <w:textAlignment w:val="baseline"/>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．项目总监、项目经理的工作年限、类似项目管理经验丰富。</w:t>
      </w:r>
    </w:p>
    <w:p w:rsidR="00446B0B" w:rsidRDefault="00EA50EC">
      <w:pPr>
        <w:pStyle w:val="MsoNormal0"/>
        <w:spacing w:line="360" w:lineRule="auto"/>
        <w:ind w:firstLine="640"/>
        <w:textAlignment w:val="baseline"/>
      </w:pPr>
      <w:r>
        <w:rPr>
          <w:rFonts w:ascii="FangSong_GB2312" w:eastAsia="FangSong_GB2312" w:hAnsi="FangSong_GB2312" w:cs="FangSong_GB2312"/>
          <w:sz w:val="28"/>
          <w:szCs w:val="28"/>
        </w:rPr>
        <w:t>4</w:t>
      </w:r>
      <w:r>
        <w:rPr>
          <w:rFonts w:ascii="FangSong_GB2312" w:eastAsia="FangSong_GB2312" w:hAnsi="FangSong_GB2312" w:cs="FangSong_GB2312"/>
          <w:sz w:val="28"/>
          <w:szCs w:val="28"/>
        </w:rPr>
        <w:t>．投标人拟投入的高级、中级技术人员的数量、比例及稳定性情况。</w:t>
      </w:r>
    </w:p>
    <w:p w:rsidR="00446B0B" w:rsidRDefault="00EA50EC">
      <w:pPr>
        <w:pStyle w:val="Heading20"/>
        <w:keepNext w:val="0"/>
        <w:spacing w:before="0" w:after="0" w:line="360" w:lineRule="auto"/>
        <w:rPr>
          <w:rFonts w:ascii="FangSong_GB2312" w:eastAsia="FangSong_GB2312" w:hAnsi="FangSong_GB2312" w:cs="FangSong_GB2312"/>
        </w:rPr>
      </w:pPr>
      <w:bookmarkStart w:id="27" w:name="_Toc256000023"/>
      <w:r>
        <w:rPr>
          <w:rFonts w:ascii="FangSong_GB2312" w:eastAsia="FangSong_GB2312" w:hAnsi="FangSong_GB2312" w:cs="FangSong_GB2312"/>
          <w:i w:val="0"/>
          <w:iCs w:val="0"/>
        </w:rPr>
        <w:t>4.2</w:t>
      </w:r>
      <w:r>
        <w:rPr>
          <w:rFonts w:ascii="FangSong_GB2312" w:eastAsia="FangSong_GB2312" w:hAnsi="FangSong_GB2312" w:cs="FangSong_GB2312"/>
          <w:i w:val="0"/>
          <w:iCs w:val="0"/>
        </w:rPr>
        <w:t>管理团队</w:t>
      </w:r>
      <w:bookmarkEnd w:id="27"/>
    </w:p>
    <w:p w:rsidR="00446B0B" w:rsidRDefault="00EA50EC">
      <w:pPr>
        <w:pStyle w:val="Heading20"/>
        <w:keepNext w:val="0"/>
        <w:spacing w:before="0" w:after="0" w:line="360" w:lineRule="auto"/>
        <w:rPr>
          <w:rFonts w:ascii="FangSong_GB2312" w:eastAsia="FangSong_GB2312" w:hAnsi="FangSong_GB2312" w:cs="FangSong_GB2312"/>
        </w:rPr>
      </w:pPr>
      <w:bookmarkStart w:id="28" w:name="_Toc256000024"/>
      <w:r>
        <w:rPr>
          <w:rFonts w:ascii="FangSong_GB2312" w:eastAsia="FangSong_GB2312" w:hAnsi="FangSong_GB2312" w:cs="FangSong_GB2312"/>
          <w:i w:val="0"/>
          <w:iCs w:val="0"/>
        </w:rPr>
        <w:t>4.3</w:t>
      </w:r>
      <w:r>
        <w:rPr>
          <w:rFonts w:ascii="FangSong_GB2312" w:eastAsia="FangSong_GB2312" w:hAnsi="FangSong_GB2312" w:cs="FangSong_GB2312"/>
          <w:i w:val="0"/>
          <w:iCs w:val="0"/>
        </w:rPr>
        <w:t>技术团队</w:t>
      </w:r>
      <w:bookmarkEnd w:id="28"/>
    </w:p>
    <w:p w:rsidR="00446B0B" w:rsidRDefault="00EA50EC">
      <w:pPr>
        <w:pStyle w:val="MsoNormal0"/>
        <w:pBdr>
          <w:left w:val="none" w:sz="0" w:space="30" w:color="auto"/>
        </w:pBdr>
        <w:spacing w:line="360" w:lineRule="auto"/>
        <w:ind w:left="600"/>
      </w:pPr>
      <w:r>
        <w:rPr>
          <w:rFonts w:ascii="FangSong_GB2312" w:eastAsia="FangSong_GB2312" w:hAnsi="FangSong_GB2312" w:cs="FangSong_GB2312"/>
          <w:sz w:val="28"/>
          <w:szCs w:val="28"/>
        </w:rPr>
        <w:t>本项目涉及信息化服务运维人员的，运维人员应当是运维单位的正式人员，常驻运维人员应当为技术骨干。</w:t>
      </w:r>
    </w:p>
    <w:p w:rsidR="00446B0B" w:rsidRDefault="00EA50EC">
      <w:pPr>
        <w:pStyle w:val="Heading20"/>
        <w:keepNext w:val="0"/>
        <w:spacing w:before="0" w:after="0" w:line="360" w:lineRule="auto"/>
        <w:rPr>
          <w:rFonts w:ascii="FangSong_GB2312" w:eastAsia="FangSong_GB2312" w:hAnsi="FangSong_GB2312" w:cs="FangSong_GB2312"/>
        </w:rPr>
      </w:pPr>
      <w:bookmarkStart w:id="29" w:name="_Toc256000025"/>
      <w:r>
        <w:rPr>
          <w:rFonts w:ascii="FangSong_GB2312" w:eastAsia="FangSong_GB2312" w:hAnsi="FangSong_GB2312" w:cs="FangSong_GB2312"/>
          <w:i w:val="0"/>
          <w:iCs w:val="0"/>
        </w:rPr>
        <w:t>4.4</w:t>
      </w:r>
      <w:r>
        <w:rPr>
          <w:rFonts w:ascii="FangSong_GB2312" w:eastAsia="FangSong_GB2312" w:hAnsi="FangSong_GB2312" w:cs="FangSong_GB2312"/>
          <w:i w:val="0"/>
          <w:iCs w:val="0"/>
        </w:rPr>
        <w:t>优选资质</w:t>
      </w:r>
      <w:r>
        <w:rPr>
          <w:rFonts w:ascii="FangSong_GB2312" w:eastAsia="FangSong_GB2312" w:hAnsi="FangSong_GB2312" w:cs="FangSong_GB2312"/>
          <w:i w:val="0"/>
          <w:iCs w:val="0"/>
        </w:rPr>
        <w:t>/</w:t>
      </w:r>
      <w:r>
        <w:rPr>
          <w:rFonts w:ascii="FangSong_GB2312" w:eastAsia="FangSong_GB2312" w:hAnsi="FangSong_GB2312" w:cs="FangSong_GB2312"/>
          <w:i w:val="0"/>
          <w:iCs w:val="0"/>
        </w:rPr>
        <w:t>优选指标</w:t>
      </w:r>
      <w:bookmarkEnd w:id="29"/>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010"/>
        <w:gridCol w:w="2015"/>
        <w:gridCol w:w="2015"/>
        <w:gridCol w:w="2015"/>
        <w:gridCol w:w="2015"/>
      </w:tblGrid>
      <w:tr w:rsidR="00446B0B">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是否作为加分项</w:t>
            </w:r>
          </w:p>
        </w:tc>
      </w:tr>
      <w:tr w:rsidR="00446B0B">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高级信息技术专业人员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高级技术人员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具有计算机技术与软件专业技术高级资格证书（包括信息系统项目管理师、系统分析师、系统架构设计师）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446B0B">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中级信息技术专业人员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技术人员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具有计算机技术与软件专业技术中级资格证书（包括软件评测师、软件设计师、软件过程能力评估师、系统集成项目管理工程师、信息系统监理师、信息安全工程师、数据库系统工程师、信息系统管理工程师）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446B0B">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lastRenderedPageBreak/>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初级信息技术专业人员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普通技术人员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具有计算机技术与软件专业技术初级资格证书（包括程序员、信息系统运行管理员）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r w:rsidR="00446B0B">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高级信息技术专业人员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项目经理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具有信息系统项目管理师资质证书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是</w:t>
            </w:r>
          </w:p>
        </w:tc>
      </w:tr>
    </w:tbl>
    <w:p w:rsidR="00446B0B" w:rsidRDefault="00EA50EC">
      <w:pPr>
        <w:pStyle w:val="Heading10"/>
        <w:keepNext w:val="0"/>
        <w:spacing w:before="0" w:after="0" w:line="360" w:lineRule="auto"/>
        <w:jc w:val="center"/>
        <w:rPr>
          <w:rFonts w:ascii="FangSong_GB2312" w:eastAsia="FangSong_GB2312" w:hAnsi="FangSong_GB2312" w:cs="FangSong_GB2312"/>
        </w:rPr>
      </w:pPr>
      <w:bookmarkStart w:id="30" w:name="_Toc256000026"/>
      <w:r>
        <w:rPr>
          <w:rFonts w:ascii="FangSong_GB2312" w:eastAsia="FangSong_GB2312" w:hAnsi="FangSong_GB2312" w:cs="FangSong_GB2312"/>
          <w:kern w:val="36"/>
        </w:rPr>
        <w:t>5</w:t>
      </w:r>
      <w:r>
        <w:rPr>
          <w:rFonts w:ascii="FangSong_GB2312" w:eastAsia="FangSong_GB2312" w:hAnsi="FangSong_GB2312" w:cs="FangSong_GB2312"/>
          <w:kern w:val="36"/>
        </w:rPr>
        <w:t>管理实施要求</w:t>
      </w:r>
      <w:bookmarkEnd w:id="30"/>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（一）安全及保密要求</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项目合同期内，中标供应商要严格遵守局方的各项运维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（二）人员变动要求</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中标供应商</w:t>
      </w:r>
      <w:r>
        <w:rPr>
          <w:rFonts w:ascii="FangSong_GB2312" w:eastAsia="FangSong_GB2312" w:hAnsi="FangSong_GB2312" w:cs="FangSong_GB2312"/>
          <w:sz w:val="28"/>
          <w:szCs w:val="28"/>
        </w:rPr>
        <w:t>合同期内，投标时所列人员如有变化，需提前一个月向用户方提出人员变更申请，在确认不影响运维工作的情况下，经局方许可后，方可调换人员。并保证一段时间的并行转换期。</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（三）运维日常工作要求</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应用信息系统日常维护</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应用信息系统的日常维护主要是指保障省级集中系统正常运行而必须要做的日常保障性工作，如针对用户问题的解答（仅面向各级税务干部，个别系统除外，详见系统运维其他要求部分）。局方各级系统用户在使用应用信息系统的过程中遇到影响使用的情况，可以通过电话或运维工单形式向运维管理部门提出咨询和数据修改要求，运维技术人员根</w:t>
      </w:r>
      <w:r>
        <w:rPr>
          <w:rFonts w:ascii="FangSong_GB2312" w:eastAsia="FangSong_GB2312" w:hAnsi="FangSong_GB2312" w:cs="FangSong_GB2312"/>
          <w:sz w:val="28"/>
          <w:szCs w:val="28"/>
        </w:rPr>
        <w:t>据反映的问题类型进行相应的处理。</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）操作类问题处理：</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操作人员对应用信息系统上述业务的基本操作和业务流程操作不熟悉，造成业务处理无法正常进行时，针对这些问题，运维技术人员将通过</w:t>
      </w:r>
      <w:r>
        <w:rPr>
          <w:rFonts w:ascii="FangSong_GB2312" w:eastAsia="FangSong_GB2312" w:hAnsi="FangSong_GB2312" w:cs="FangSong_GB2312"/>
          <w:sz w:val="28"/>
          <w:szCs w:val="28"/>
        </w:rPr>
        <w:lastRenderedPageBreak/>
        <w:t>电话指导操作人员完成操作。针对有共性的问题应该进行提炼和总结，并维护到知识库中。</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）程序问题处理：</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包括程序错误和程序优化，如软件处理方式与实际的业务处理方式不符或者软件性能已经不能满足正常的使用等等。</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应用信息系统版本由系统开发单位总体控制，运维技术人员不得修改程序。运维技术人员接收到问题，并确认是程序错误后，应向用户给出临</w:t>
      </w:r>
      <w:r>
        <w:rPr>
          <w:rFonts w:ascii="FangSong_GB2312" w:eastAsia="FangSong_GB2312" w:hAnsi="FangSong_GB2312" w:cs="FangSong_GB2312"/>
          <w:sz w:val="28"/>
          <w:szCs w:val="28"/>
        </w:rPr>
        <w:t>时解决办法，并将问题提交给二线运维技术人员。由二线运维技术人员确认后，通过单一接口提交局方负责人，由局方业务人员根据情况与运维技术人员共同制定处理方案解决。</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）业务问题处理：</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运维技术人员首先要记录问题的内容、提出人及联系方式，经确认是当前未能明确的业务问题时，转发运维管理部门或相关处室，运维管理部门或相关处室反馈后，运维技术人员通过电话、运维平台等反馈给问题提交人。</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系统运行环境维护</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包括本合同期内已有及新上线并通过验收的与省级集中系统相关的软、硬件环境。对相关数据库服务器和应用服务器进行监控问题处理。</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）主机日常维护：</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主机监控指标（</w:t>
      </w:r>
      <w:r>
        <w:rPr>
          <w:rFonts w:ascii="FangSong_GB2312" w:eastAsia="FangSong_GB2312" w:hAnsi="FangSong_GB2312" w:cs="FangSong_GB2312"/>
          <w:sz w:val="28"/>
          <w:szCs w:val="28"/>
        </w:rPr>
        <w:t>CPU</w:t>
      </w:r>
      <w:r>
        <w:rPr>
          <w:rFonts w:ascii="FangSong_GB2312" w:eastAsia="FangSong_GB2312" w:hAnsi="FangSong_GB2312" w:cs="FangSong_GB2312"/>
          <w:sz w:val="28"/>
          <w:szCs w:val="28"/>
        </w:rPr>
        <w:t>利用率、磁盘</w:t>
      </w:r>
      <w:r>
        <w:rPr>
          <w:rFonts w:ascii="FangSong_GB2312" w:eastAsia="FangSong_GB2312" w:hAnsi="FangSong_GB2312" w:cs="FangSong_GB2312"/>
          <w:sz w:val="28"/>
          <w:szCs w:val="28"/>
        </w:rPr>
        <w:t>I/O</w:t>
      </w:r>
      <w:r>
        <w:rPr>
          <w:rFonts w:ascii="FangSong_GB2312" w:eastAsia="FangSong_GB2312" w:hAnsi="FangSong_GB2312" w:cs="FangSong_GB2312"/>
          <w:sz w:val="28"/>
          <w:szCs w:val="28"/>
        </w:rPr>
        <w:t>等）及正常范围。维护人员每日对主机进行定时采样并记录；</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当维护人员发现可能影响系统运行的征兆时，及时通知局方运维负责人。如需停机维护，由运维技术人员提交《维护申请》，说明维护原因、影响范围、工作计划，经局方运维负责人同意后进行维护；</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维护人员按要求对各类数据进行备份；</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lastRenderedPageBreak/>
        <w:t>维护人员按要求提交《主机运行情况报告》，报告系统汇报主机该时</w:t>
      </w:r>
      <w:r>
        <w:rPr>
          <w:rFonts w:ascii="FangSong_GB2312" w:eastAsia="FangSong_GB2312" w:hAnsi="FangSong_GB2312" w:cs="FangSong_GB2312"/>
          <w:sz w:val="28"/>
          <w:szCs w:val="28"/>
        </w:rPr>
        <w:t>间段内运行情况，并对发现的问题提出解决建议；</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）数据库日常维护：</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定期对影响应用信息系统的数据库各部分（包括：实例状况、日志、表空间、文件空间、监听）进行检查，并记录检查情况；</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定期收集反映数据库运行情况的数据，监控数据库运行效率；</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当发现可能影响应用信息系统运行的征兆时，及时通知局方运维负责人。如需停机维护，由运维技术人员提交《停机申请》，说明维护原因、影响范围、工作计划，经局方运维负责人同意后，尽量在不影响系统正常运行的情况下调整数据库，保证系统稳定运行；</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每天检查数据备份情况，保证数据备份完整可用</w:t>
      </w:r>
      <w:r>
        <w:rPr>
          <w:rFonts w:ascii="FangSong_GB2312" w:eastAsia="FangSong_GB2312" w:hAnsi="FangSong_GB2312" w:cs="FangSong_GB2312"/>
          <w:sz w:val="28"/>
          <w:szCs w:val="28"/>
        </w:rPr>
        <w:t>，以备紧急情况下对系统的快速恢复，并配合局方做好应用信息系统灾备建设与恢复演练工作；</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按要求提交《数据库运行情况报告》，汇报数据库该时间段内运行情况，并对发现的问题提出解决建议；数据库实例的安装、升级等其他日常性维护工作。</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）系统故障处理</w:t>
      </w:r>
      <w:r>
        <w:rPr>
          <w:rFonts w:ascii="FangSong_GB2312" w:eastAsia="FangSong_GB2312" w:hAnsi="FangSong_GB2312" w:cs="FangSong_GB2312"/>
          <w:sz w:val="28"/>
          <w:szCs w:val="28"/>
        </w:rPr>
        <w:t>:</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当应用信息系统出现程序错误或运行环境故障时，运维技术人员应在第一时间做出响应，并立即启动相应的处理流程，通知局方运维负责人，详细描述故障现象和可能的发生原因以及建议的解决办法，首先保证系统能在最短的时间内恢复基本运行。属于硬件发生故障、系统软件本身问题等原因的，由局</w:t>
      </w:r>
      <w:r>
        <w:rPr>
          <w:rFonts w:ascii="FangSong_GB2312" w:eastAsia="FangSong_GB2312" w:hAnsi="FangSong_GB2312" w:cs="FangSong_GB2312"/>
          <w:sz w:val="28"/>
          <w:szCs w:val="28"/>
        </w:rPr>
        <w:t>方协助共同分析解决。故障解决之后，</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个工作日之内运维技术人员应编制《事故处理报告》，提交局方相关人员，确认文档接收。《故障处理报告》中需要包含的内容有：故</w:t>
      </w:r>
      <w:r>
        <w:rPr>
          <w:rFonts w:ascii="FangSong_GB2312" w:eastAsia="FangSong_GB2312" w:hAnsi="FangSong_GB2312" w:cs="FangSong_GB2312"/>
          <w:sz w:val="28"/>
          <w:szCs w:val="28"/>
        </w:rPr>
        <w:lastRenderedPageBreak/>
        <w:t>障描述、故障产生的原因、故障的解决办法、在以后日常维护工作中应该采取的措施等；</w:t>
      </w:r>
    </w:p>
    <w:p w:rsidR="00446B0B" w:rsidRDefault="00512829">
      <w:pPr>
        <w:pStyle w:val="Normal0"/>
        <w:pBdr>
          <w:left w:val="none" w:sz="0" w:space="30" w:color="auto"/>
        </w:pBdr>
        <w:spacing w:line="360" w:lineRule="auto"/>
        <w:ind w:left="600"/>
        <w:jc w:val="both"/>
      </w:pPr>
      <w:r>
        <w:rPr>
          <w:rFonts w:ascii="FangSong_GB2312" w:eastAsia="FangSong_GB2312" w:hAnsi="FangSong_GB2312" w:cs="FangSong_GB2312"/>
          <w:sz w:val="28"/>
          <w:szCs w:val="28"/>
        </w:rPr>
        <w:t>投标人应确保对每一次故障所提交的《故障处理报告》，对所涉及的故障描述清晰、原因明确、解决办法切实合理。故障判断时，涉及</w:t>
      </w:r>
      <w:bookmarkStart w:id="31" w:name="_GoBack"/>
      <w:bookmarkEnd w:id="31"/>
      <w:r w:rsidR="00EA50EC">
        <w:rPr>
          <w:rFonts w:ascii="FangSong_GB2312" w:eastAsia="FangSong_GB2312" w:hAnsi="FangSong_GB2312" w:cs="FangSong_GB2312"/>
          <w:sz w:val="28"/>
          <w:szCs w:val="28"/>
        </w:rPr>
        <w:t>第三方故障原因的，投标人应通过局方协调第三方公司，以便明确原因、避免故障的重复发生。</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投标人应严格控制重复故障的发生频率，原则上不允许出现可控的重大故障的重</w:t>
      </w:r>
      <w:r>
        <w:rPr>
          <w:rFonts w:ascii="FangSong_GB2312" w:eastAsia="FangSong_GB2312" w:hAnsi="FangSong_GB2312" w:cs="FangSong_GB2312"/>
          <w:sz w:val="28"/>
          <w:szCs w:val="28"/>
        </w:rPr>
        <w:t>复。</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4</w:t>
      </w:r>
      <w:r>
        <w:rPr>
          <w:rFonts w:ascii="FangSong_GB2312" w:eastAsia="FangSong_GB2312" w:hAnsi="FangSong_GB2312" w:cs="FangSong_GB2312"/>
          <w:sz w:val="28"/>
          <w:szCs w:val="28"/>
        </w:rPr>
        <w:t>）系统定期健康检查</w:t>
      </w:r>
      <w:r>
        <w:rPr>
          <w:rFonts w:ascii="FangSong_GB2312" w:eastAsia="FangSong_GB2312" w:hAnsi="FangSong_GB2312" w:cs="FangSong_GB2312"/>
          <w:sz w:val="28"/>
          <w:szCs w:val="28"/>
        </w:rPr>
        <w:t>:</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按要求中标方应组织相关的技术专家组对主机、操作系统、数据库、中间件等系统运行环境进行健康检查，并形成健康检查报告。</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系统调整和优化</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能够根据业务需求的变动，进行系统再部署、数据调整、配置调整、操作系统的补丁升级等。能够根据系统运行情况，对应用服务器、数据库配置、数据库脚本、系统资源等进行优化处理，使系统能够始终处于性能最佳的状态。</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（四）考核要求</w:t>
      </w:r>
    </w:p>
    <w:p w:rsidR="00446B0B" w:rsidRDefault="00EA50EC">
      <w:pPr>
        <w:pStyle w:val="Normal0"/>
        <w:pBdr>
          <w:left w:val="none" w:sz="0" w:space="30" w:color="auto"/>
        </w:pBdr>
        <w:spacing w:line="360" w:lineRule="auto"/>
        <w:ind w:left="600"/>
        <w:jc w:val="both"/>
      </w:pPr>
      <w:r>
        <w:rPr>
          <w:rFonts w:ascii="FangSong_GB2312" w:eastAsia="FangSong_GB2312" w:hAnsi="FangSong_GB2312" w:cs="FangSong_GB2312"/>
          <w:sz w:val="28"/>
          <w:szCs w:val="28"/>
        </w:rPr>
        <w:t>中标方应严格按照采购方相关应用信息系统运维管理要求开展工作，接受采购方的定期考核，并承诺接受采购方考核要求。对采购方提出的按照考核</w:t>
      </w:r>
      <w:r>
        <w:rPr>
          <w:rFonts w:ascii="FangSong_GB2312" w:eastAsia="FangSong_GB2312" w:hAnsi="FangSong_GB2312" w:cs="FangSong_GB2312"/>
          <w:sz w:val="28"/>
          <w:szCs w:val="28"/>
        </w:rPr>
        <w:t>成绩与合同款项支付挂钩的安排不提出异议。</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（五）服务响应时间要求</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 </w:t>
      </w:r>
      <w:r>
        <w:rPr>
          <w:rFonts w:ascii="FangSong_GB2312" w:eastAsia="FangSong_GB2312" w:hAnsi="FangSong_GB2312" w:cs="FangSong_GB2312"/>
          <w:sz w:val="28"/>
          <w:szCs w:val="28"/>
        </w:rPr>
        <w:t>合同履行期间，所负责运维系统一旦有紧急事件发生，中标供应商应立即逐级上报并启动应急预案，填写应用信息系统故障排查任务单。若发生重大事项，故障恢复后要填写征期信息系统运行重大事项说明并上报吉林省税务局网络安全和信息化领导小组办公室。对征期发生重大事项</w:t>
      </w:r>
      <w:r>
        <w:rPr>
          <w:rFonts w:ascii="FangSong_GB2312" w:eastAsia="FangSong_GB2312" w:hAnsi="FangSong_GB2312" w:cs="FangSong_GB2312"/>
          <w:sz w:val="28"/>
          <w:szCs w:val="28"/>
        </w:rPr>
        <w:lastRenderedPageBreak/>
        <w:t>且四小时未能解决的，扣减运维服务方当月</w:t>
      </w:r>
      <w:r>
        <w:rPr>
          <w:rFonts w:ascii="FangSong_GB2312" w:eastAsia="FangSong_GB2312" w:hAnsi="FangSong_GB2312" w:cs="FangSong_GB2312"/>
          <w:sz w:val="28"/>
          <w:szCs w:val="28"/>
        </w:rPr>
        <w:t>10%</w:t>
      </w:r>
      <w:r>
        <w:rPr>
          <w:rFonts w:ascii="FangSong_GB2312" w:eastAsia="FangSong_GB2312" w:hAnsi="FangSong_GB2312" w:cs="FangSong_GB2312"/>
          <w:sz w:val="28"/>
          <w:szCs w:val="28"/>
        </w:rPr>
        <w:t>的运维费用。因系统监控、风险排查不到位或运维人员操作不当引发的重大事项，扣减运维服务方当月</w:t>
      </w:r>
      <w:r>
        <w:rPr>
          <w:rFonts w:ascii="FangSong_GB2312" w:eastAsia="FangSong_GB2312" w:hAnsi="FangSong_GB2312" w:cs="FangSong_GB2312"/>
          <w:sz w:val="28"/>
          <w:szCs w:val="28"/>
        </w:rPr>
        <w:t>10%</w:t>
      </w:r>
      <w:r>
        <w:rPr>
          <w:rFonts w:ascii="FangSong_GB2312" w:eastAsia="FangSong_GB2312" w:hAnsi="FangSong_GB2312" w:cs="FangSong_GB2312"/>
          <w:sz w:val="28"/>
          <w:szCs w:val="28"/>
        </w:rPr>
        <w:t>的运维费用。全年同一系统连续两次发生重大事项的，采购方有</w:t>
      </w:r>
      <w:r>
        <w:rPr>
          <w:rFonts w:ascii="FangSong_GB2312" w:eastAsia="FangSong_GB2312" w:hAnsi="FangSong_GB2312" w:cs="FangSong_GB2312"/>
          <w:sz w:val="28"/>
          <w:szCs w:val="28"/>
        </w:rPr>
        <w:t>权终止合同或扣减全年</w:t>
      </w:r>
      <w:r>
        <w:rPr>
          <w:rFonts w:ascii="FangSong_GB2312" w:eastAsia="FangSong_GB2312" w:hAnsi="FangSong_GB2312" w:cs="FangSong_GB2312"/>
          <w:sz w:val="28"/>
          <w:szCs w:val="28"/>
        </w:rPr>
        <w:t>20%</w:t>
      </w:r>
      <w:r>
        <w:rPr>
          <w:rFonts w:ascii="FangSong_GB2312" w:eastAsia="FangSong_GB2312" w:hAnsi="FangSong_GB2312" w:cs="FangSong_GB2312"/>
          <w:sz w:val="28"/>
          <w:szCs w:val="28"/>
        </w:rPr>
        <w:t>的运维费用。若发生重大安全事件，按照相关法律程序办理，并扣减全年</w:t>
      </w:r>
      <w:r>
        <w:rPr>
          <w:rFonts w:ascii="FangSong_GB2312" w:eastAsia="FangSong_GB2312" w:hAnsi="FangSong_GB2312" w:cs="FangSong_GB2312"/>
          <w:sz w:val="28"/>
          <w:szCs w:val="28"/>
        </w:rPr>
        <w:t>20%</w:t>
      </w:r>
      <w:r>
        <w:rPr>
          <w:rFonts w:ascii="FangSong_GB2312" w:eastAsia="FangSong_GB2312" w:hAnsi="FangSong_GB2312" w:cs="FangSong_GB2312"/>
          <w:sz w:val="28"/>
          <w:szCs w:val="28"/>
        </w:rPr>
        <w:t>的运维费用。</w:t>
      </w:r>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信息系统重大事项是指出现业务阻断、系统停机、系统卡顿</w:t>
      </w:r>
      <w:r>
        <w:rPr>
          <w:rFonts w:ascii="FangSong_GB2312" w:eastAsia="FangSong_GB2312" w:hAnsi="FangSong_GB2312" w:cs="FangSong_GB2312"/>
          <w:sz w:val="28"/>
          <w:szCs w:val="28"/>
        </w:rPr>
        <w:t>30</w:t>
      </w:r>
      <w:r>
        <w:rPr>
          <w:rFonts w:ascii="FangSong_GB2312" w:eastAsia="FangSong_GB2312" w:hAnsi="FangSong_GB2312" w:cs="FangSong_GB2312"/>
          <w:sz w:val="28"/>
          <w:szCs w:val="28"/>
        </w:rPr>
        <w:t>分钟以上的情况，或者出现重大安全事件，以及导致纳税人回流办税服务厅、引发负面舆情、法定或重点工作无法按期完成的问题。</w:t>
      </w:r>
    </w:p>
    <w:p w:rsidR="00446B0B" w:rsidRDefault="00EA50EC">
      <w:pPr>
        <w:pStyle w:val="MsoNormal0"/>
        <w:spacing w:line="360" w:lineRule="auto"/>
        <w:jc w:val="both"/>
        <w:rPr>
          <w:rFonts w:ascii="Calibri" w:eastAsia="Calibri" w:hAnsi="Calibri" w:cs="Calibri"/>
          <w:sz w:val="21"/>
          <w:szCs w:val="21"/>
        </w:rPr>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维护响应时间</w:t>
      </w:r>
    </w:p>
    <w:tbl>
      <w:tblPr>
        <w:tblStyle w:val="MsoNormalTable0"/>
        <w:tblW w:w="9094" w:type="dxa"/>
        <w:jc w:val="center"/>
        <w:tblCellSpacing w:w="0" w:type="dxa"/>
        <w:tblCellMar>
          <w:top w:w="15" w:type="dxa"/>
          <w:left w:w="15" w:type="dxa"/>
          <w:bottom w:w="15" w:type="dxa"/>
          <w:right w:w="15" w:type="dxa"/>
        </w:tblCellMar>
        <w:tblLook w:val="05E0" w:firstRow="1" w:lastRow="1" w:firstColumn="1" w:lastColumn="1" w:noHBand="0" w:noVBand="1"/>
      </w:tblPr>
      <w:tblGrid>
        <w:gridCol w:w="2202"/>
        <w:gridCol w:w="2324"/>
        <w:gridCol w:w="4568"/>
      </w:tblGrid>
      <w:tr w:rsidR="00446B0B">
        <w:trPr>
          <w:tblCellSpacing w:w="0" w:type="dxa"/>
          <w:jc w:val="center"/>
        </w:trPr>
        <w:tc>
          <w:tcPr>
            <w:tcW w:w="2358" w:type="dxa"/>
            <w:tcBorders>
              <w:top w:val="single" w:sz="8" w:space="0" w:color="000000"/>
              <w:left w:val="single" w:sz="8" w:space="0" w:color="000000"/>
              <w:bottom w:val="single" w:sz="8" w:space="0" w:color="000000"/>
              <w:right w:val="single" w:sz="8" w:space="0" w:color="000000"/>
            </w:tcBorders>
            <w:shd w:val="clear" w:color="auto" w:fill="7F7F7F"/>
            <w:tcMar>
              <w:top w:w="0" w:type="dxa"/>
              <w:left w:w="118" w:type="dxa"/>
              <w:bottom w:w="0" w:type="dxa"/>
              <w:right w:w="118" w:type="dxa"/>
            </w:tcMar>
            <w:vAlign w:val="center"/>
            <w:hideMark/>
          </w:tcPr>
          <w:p w:rsidR="00446B0B" w:rsidRDefault="00EA50EC">
            <w:pPr>
              <w:pStyle w:val="MsoNormal0"/>
              <w:spacing w:line="560" w:lineRule="atLeast"/>
              <w:ind w:firstLine="421"/>
              <w:jc w:val="both"/>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支持类型</w:t>
            </w:r>
          </w:p>
        </w:tc>
        <w:tc>
          <w:tcPr>
            <w:tcW w:w="2494" w:type="dxa"/>
            <w:tcBorders>
              <w:top w:val="single" w:sz="8" w:space="0" w:color="000000"/>
              <w:bottom w:val="single" w:sz="8" w:space="0" w:color="000000"/>
              <w:right w:val="single" w:sz="8" w:space="0" w:color="000000"/>
            </w:tcBorders>
            <w:shd w:val="clear" w:color="auto" w:fill="7F7F7F"/>
            <w:tcMar>
              <w:top w:w="0" w:type="dxa"/>
              <w:left w:w="108" w:type="dxa"/>
              <w:bottom w:w="0" w:type="dxa"/>
              <w:right w:w="118" w:type="dxa"/>
            </w:tcMar>
            <w:vAlign w:val="center"/>
            <w:hideMark/>
          </w:tcPr>
          <w:p w:rsidR="00446B0B" w:rsidRDefault="00EA50EC">
            <w:pPr>
              <w:pStyle w:val="MsoNormal0"/>
              <w:spacing w:line="560" w:lineRule="atLeast"/>
              <w:ind w:firstLine="562"/>
              <w:jc w:val="both"/>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响应标准</w:t>
            </w:r>
          </w:p>
        </w:tc>
        <w:tc>
          <w:tcPr>
            <w:tcW w:w="4950" w:type="dxa"/>
            <w:tcBorders>
              <w:top w:val="single" w:sz="8" w:space="0" w:color="000000"/>
              <w:bottom w:val="single" w:sz="8" w:space="0" w:color="000000"/>
              <w:right w:val="single" w:sz="8" w:space="0" w:color="000000"/>
            </w:tcBorders>
            <w:shd w:val="clear" w:color="auto" w:fill="7F7F7F"/>
            <w:tcMar>
              <w:top w:w="0" w:type="dxa"/>
              <w:left w:w="108" w:type="dxa"/>
              <w:bottom w:w="0" w:type="dxa"/>
              <w:right w:w="118" w:type="dxa"/>
            </w:tcMar>
            <w:vAlign w:val="center"/>
            <w:hideMark/>
          </w:tcPr>
          <w:p w:rsidR="00446B0B" w:rsidRDefault="00EA50EC">
            <w:pPr>
              <w:pStyle w:val="MsoNormal0"/>
              <w:spacing w:line="560" w:lineRule="atLeast"/>
              <w:ind w:firstLine="1827"/>
              <w:jc w:val="both"/>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备注</w:t>
            </w:r>
          </w:p>
        </w:tc>
      </w:tr>
      <w:tr w:rsidR="00446B0B">
        <w:trPr>
          <w:trHeight w:val="235"/>
          <w:tblCellSpacing w:w="0" w:type="dxa"/>
          <w:jc w:val="center"/>
        </w:trPr>
        <w:tc>
          <w:tcPr>
            <w:tcW w:w="235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操作问题解答</w:t>
            </w:r>
          </w:p>
        </w:tc>
        <w:tc>
          <w:tcPr>
            <w:tcW w:w="2494"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现场及时答复</w:t>
            </w:r>
          </w:p>
        </w:tc>
        <w:tc>
          <w:tcPr>
            <w:tcW w:w="4950"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ind w:firstLine="560"/>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 </w:t>
            </w:r>
          </w:p>
        </w:tc>
      </w:tr>
      <w:tr w:rsidR="00446B0B">
        <w:trPr>
          <w:trHeight w:val="410"/>
          <w:tblCellSpacing w:w="0" w:type="dxa"/>
          <w:jc w:val="center"/>
        </w:trPr>
        <w:tc>
          <w:tcPr>
            <w:tcW w:w="235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数据修改</w:t>
            </w:r>
          </w:p>
        </w:tc>
        <w:tc>
          <w:tcPr>
            <w:tcW w:w="2494"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小于</w:t>
            </w:r>
            <w:r>
              <w:rPr>
                <w:rFonts w:ascii="FangSong_GB2312" w:eastAsia="FangSong_GB2312" w:hAnsi="FangSong_GB2312" w:cs="FangSong_GB2312"/>
                <w:color w:val="000000"/>
                <w:sz w:val="28"/>
                <w:szCs w:val="28"/>
              </w:rPr>
              <w:t>2</w:t>
            </w:r>
            <w:r>
              <w:rPr>
                <w:rFonts w:ascii="FangSong_GB2312" w:eastAsia="FangSong_GB2312" w:hAnsi="FangSong_GB2312" w:cs="FangSong_GB2312"/>
                <w:color w:val="000000"/>
                <w:sz w:val="28"/>
                <w:szCs w:val="28"/>
              </w:rPr>
              <w:t>个工作日</w:t>
            </w:r>
          </w:p>
        </w:tc>
        <w:tc>
          <w:tcPr>
            <w:tcW w:w="4950"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从问题流转到中标供应商开始计算</w:t>
            </w:r>
          </w:p>
        </w:tc>
      </w:tr>
    </w:tbl>
    <w:p w:rsidR="00446B0B" w:rsidRDefault="00EA50EC">
      <w:pPr>
        <w:pStyle w:val="MsoNormal0"/>
        <w:spacing w:line="360" w:lineRule="auto"/>
        <w:jc w:val="both"/>
        <w:rPr>
          <w:rFonts w:ascii="Calibri" w:eastAsia="Calibri" w:hAnsi="Calibri" w:cs="Calibri"/>
          <w:sz w:val="21"/>
          <w:szCs w:val="21"/>
        </w:rPr>
      </w:pPr>
      <w:r>
        <w:rPr>
          <w:rFonts w:ascii="FangSong_GB2312" w:eastAsia="FangSong_GB2312" w:hAnsi="FangSong_GB2312" w:cs="FangSong_GB2312"/>
          <w:sz w:val="28"/>
          <w:szCs w:val="28"/>
        </w:rPr>
        <w:t xml:space="preserve">2. </w:t>
      </w:r>
      <w:r>
        <w:rPr>
          <w:rFonts w:ascii="FangSong_GB2312" w:eastAsia="FangSong_GB2312" w:hAnsi="FangSong_GB2312" w:cs="FangSong_GB2312"/>
          <w:sz w:val="28"/>
          <w:szCs w:val="28"/>
        </w:rPr>
        <w:t>故障响应时间</w:t>
      </w:r>
    </w:p>
    <w:tbl>
      <w:tblPr>
        <w:tblStyle w:val="MsoNormalTable0"/>
        <w:tblW w:w="9336" w:type="dxa"/>
        <w:jc w:val="center"/>
        <w:tblCellSpacing w:w="0" w:type="dxa"/>
        <w:tblCellMar>
          <w:top w:w="15" w:type="dxa"/>
          <w:left w:w="15" w:type="dxa"/>
          <w:bottom w:w="15" w:type="dxa"/>
          <w:right w:w="15" w:type="dxa"/>
        </w:tblCellMar>
        <w:tblLook w:val="05E0" w:firstRow="1" w:lastRow="1" w:firstColumn="1" w:lastColumn="1" w:noHBand="0" w:noVBand="1"/>
      </w:tblPr>
      <w:tblGrid>
        <w:gridCol w:w="1808"/>
        <w:gridCol w:w="3736"/>
        <w:gridCol w:w="3792"/>
      </w:tblGrid>
      <w:tr w:rsidR="00446B0B">
        <w:trPr>
          <w:trHeight w:val="563"/>
          <w:tblCellSpacing w:w="0" w:type="dxa"/>
          <w:jc w:val="center"/>
        </w:trPr>
        <w:tc>
          <w:tcPr>
            <w:tcW w:w="1932" w:type="dxa"/>
            <w:tcBorders>
              <w:top w:val="single" w:sz="8" w:space="0" w:color="000000"/>
              <w:left w:val="single" w:sz="8" w:space="0" w:color="000000"/>
              <w:bottom w:val="single" w:sz="8" w:space="0" w:color="000000"/>
              <w:right w:val="single" w:sz="8" w:space="0" w:color="000000"/>
            </w:tcBorders>
            <w:shd w:val="clear" w:color="auto" w:fill="E6E6E6"/>
            <w:tcMar>
              <w:top w:w="0" w:type="dxa"/>
              <w:left w:w="118" w:type="dxa"/>
              <w:bottom w:w="0" w:type="dxa"/>
              <w:right w:w="118" w:type="dxa"/>
            </w:tcMar>
            <w:vAlign w:val="center"/>
            <w:hideMark/>
          </w:tcPr>
          <w:p w:rsidR="00446B0B" w:rsidRDefault="00EA50EC">
            <w:pPr>
              <w:pStyle w:val="MsoNormal0"/>
              <w:spacing w:line="560" w:lineRule="atLeast"/>
              <w:ind w:firstLine="140"/>
              <w:jc w:val="both"/>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故障等级</w:t>
            </w:r>
          </w:p>
        </w:tc>
        <w:tc>
          <w:tcPr>
            <w:tcW w:w="4025" w:type="dxa"/>
            <w:tcBorders>
              <w:top w:val="single" w:sz="8" w:space="0" w:color="000000"/>
              <w:bottom w:val="single" w:sz="8" w:space="0" w:color="000000"/>
              <w:right w:val="single" w:sz="8" w:space="0" w:color="000000"/>
            </w:tcBorders>
            <w:shd w:val="clear" w:color="auto" w:fill="E6E6E6"/>
            <w:tcMar>
              <w:top w:w="0" w:type="dxa"/>
              <w:left w:w="108" w:type="dxa"/>
              <w:bottom w:w="0" w:type="dxa"/>
              <w:right w:w="118" w:type="dxa"/>
            </w:tcMar>
            <w:vAlign w:val="center"/>
            <w:hideMark/>
          </w:tcPr>
          <w:p w:rsidR="00446B0B" w:rsidRDefault="00EA50EC">
            <w:pPr>
              <w:pStyle w:val="MsoNormal0"/>
              <w:spacing w:line="560" w:lineRule="atLeast"/>
              <w:ind w:firstLine="1546"/>
              <w:jc w:val="both"/>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现象描述</w:t>
            </w:r>
          </w:p>
        </w:tc>
        <w:tc>
          <w:tcPr>
            <w:tcW w:w="4087" w:type="dxa"/>
            <w:tcBorders>
              <w:top w:val="single" w:sz="8" w:space="0" w:color="000000"/>
              <w:bottom w:val="single" w:sz="8" w:space="0" w:color="000000"/>
              <w:right w:val="single" w:sz="8" w:space="0" w:color="000000"/>
            </w:tcBorders>
            <w:shd w:val="clear" w:color="auto" w:fill="E6E6E6"/>
            <w:tcMar>
              <w:top w:w="0" w:type="dxa"/>
              <w:left w:w="108" w:type="dxa"/>
              <w:bottom w:w="0" w:type="dxa"/>
              <w:right w:w="118" w:type="dxa"/>
            </w:tcMar>
            <w:vAlign w:val="center"/>
            <w:hideMark/>
          </w:tcPr>
          <w:p w:rsidR="00446B0B" w:rsidRDefault="00EA50EC">
            <w:pPr>
              <w:pStyle w:val="MsoNormal0"/>
              <w:spacing w:line="560" w:lineRule="atLeast"/>
              <w:ind w:firstLine="1405"/>
              <w:jc w:val="both"/>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响应时间</w:t>
            </w:r>
          </w:p>
        </w:tc>
      </w:tr>
      <w:tr w:rsidR="00446B0B">
        <w:trPr>
          <w:trHeight w:val="2044"/>
          <w:tblCellSpacing w:w="0" w:type="dxa"/>
          <w:jc w:val="center"/>
        </w:trPr>
        <w:tc>
          <w:tcPr>
            <w:tcW w:w="193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严重程度</w:t>
            </w:r>
            <w:r>
              <w:rPr>
                <w:rFonts w:ascii="FangSong_GB2312" w:eastAsia="FangSong_GB2312" w:hAnsi="FangSong_GB2312" w:cs="FangSong_GB2312"/>
                <w:color w:val="000000"/>
                <w:sz w:val="28"/>
                <w:szCs w:val="28"/>
              </w:rPr>
              <w:t>I</w:t>
            </w:r>
          </w:p>
        </w:tc>
        <w:tc>
          <w:tcPr>
            <w:tcW w:w="402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rPr>
                <w:rFonts w:ascii="Calibri" w:eastAsia="Calibri" w:hAnsi="Calibri" w:cs="Calibri"/>
                <w:color w:val="000000"/>
                <w:sz w:val="21"/>
                <w:szCs w:val="21"/>
              </w:rPr>
            </w:pPr>
            <w:r>
              <w:rPr>
                <w:rFonts w:ascii="FangSong_GB2312" w:eastAsia="FangSong_GB2312" w:hAnsi="FangSong_GB2312" w:cs="FangSong_GB2312"/>
                <w:color w:val="000000"/>
                <w:sz w:val="28"/>
                <w:szCs w:val="28"/>
              </w:rPr>
              <w:t>导致吉林省税务局的业务系统完全丧失服务功能，对业务至关重要的工作无法继续进行，如数据库主机宕。</w:t>
            </w:r>
          </w:p>
        </w:tc>
        <w:tc>
          <w:tcPr>
            <w:tcW w:w="4087"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rPr>
                <w:rFonts w:ascii="Calibri" w:eastAsia="Calibri" w:hAnsi="Calibri" w:cs="Calibri"/>
                <w:color w:val="000000"/>
                <w:sz w:val="21"/>
                <w:szCs w:val="21"/>
              </w:rPr>
            </w:pPr>
            <w:r>
              <w:rPr>
                <w:rFonts w:ascii="FangSong_GB2312" w:eastAsia="FangSong_GB2312" w:hAnsi="FangSong_GB2312" w:cs="FangSong_GB2312"/>
                <w:color w:val="000000"/>
                <w:sz w:val="28"/>
                <w:szCs w:val="28"/>
              </w:rPr>
              <w:t>非硬件故障和非系统软件本身</w:t>
            </w:r>
            <w:r>
              <w:rPr>
                <w:rFonts w:ascii="FangSong_GB2312" w:eastAsia="FangSong_GB2312" w:hAnsi="FangSong_GB2312" w:cs="FangSong_GB2312"/>
                <w:color w:val="000000"/>
                <w:sz w:val="28"/>
                <w:szCs w:val="28"/>
              </w:rPr>
              <w:t>BUG</w:t>
            </w:r>
            <w:r>
              <w:rPr>
                <w:rFonts w:ascii="FangSong_GB2312" w:eastAsia="FangSong_GB2312" w:hAnsi="FangSong_GB2312" w:cs="FangSong_GB2312"/>
                <w:color w:val="000000"/>
                <w:sz w:val="28"/>
                <w:szCs w:val="28"/>
              </w:rPr>
              <w:t>问题引起的宕机</w:t>
            </w:r>
            <w:r>
              <w:rPr>
                <w:rFonts w:ascii="FangSong_GB2312" w:eastAsia="FangSong_GB2312" w:hAnsi="FangSong_GB2312" w:cs="FangSong_GB2312"/>
                <w:color w:val="000000"/>
                <w:sz w:val="28"/>
                <w:szCs w:val="28"/>
              </w:rPr>
              <w:t>30</w:t>
            </w:r>
            <w:r>
              <w:rPr>
                <w:rFonts w:ascii="FangSong_GB2312" w:eastAsia="FangSong_GB2312" w:hAnsi="FangSong_GB2312" w:cs="FangSong_GB2312"/>
                <w:color w:val="000000"/>
                <w:sz w:val="28"/>
                <w:szCs w:val="28"/>
              </w:rPr>
              <w:t>分钟内恢复系统运行；</w:t>
            </w:r>
          </w:p>
          <w:p w:rsidR="00446B0B" w:rsidRDefault="00EA50EC">
            <w:pPr>
              <w:pStyle w:val="MsoNormal0"/>
              <w:spacing w:line="560" w:lineRule="atLeast"/>
              <w:rPr>
                <w:rFonts w:ascii="Calibri" w:eastAsia="Calibri" w:hAnsi="Calibri" w:cs="Calibri"/>
                <w:color w:val="000000"/>
                <w:sz w:val="21"/>
                <w:szCs w:val="21"/>
              </w:rPr>
            </w:pPr>
            <w:r>
              <w:rPr>
                <w:rFonts w:ascii="FangSong_GB2312" w:eastAsia="FangSong_GB2312" w:hAnsi="FangSong_GB2312" w:cs="FangSong_GB2312"/>
                <w:color w:val="000000"/>
                <w:sz w:val="28"/>
                <w:szCs w:val="28"/>
              </w:rPr>
              <w:t>硬件故障和系统软件本身</w:t>
            </w:r>
            <w:r>
              <w:rPr>
                <w:rFonts w:ascii="FangSong_GB2312" w:eastAsia="FangSong_GB2312" w:hAnsi="FangSong_GB2312" w:cs="FangSong_GB2312"/>
                <w:color w:val="000000"/>
                <w:sz w:val="28"/>
                <w:szCs w:val="28"/>
              </w:rPr>
              <w:t>BUG</w:t>
            </w:r>
            <w:r>
              <w:rPr>
                <w:rFonts w:ascii="FangSong_GB2312" w:eastAsia="FangSong_GB2312" w:hAnsi="FangSong_GB2312" w:cs="FangSong_GB2312"/>
                <w:color w:val="000000"/>
                <w:sz w:val="28"/>
                <w:szCs w:val="28"/>
              </w:rPr>
              <w:t>问题应立即与局方协调，主机故障解决时间要视厂商解决时间。</w:t>
            </w:r>
          </w:p>
        </w:tc>
      </w:tr>
      <w:tr w:rsidR="00446B0B">
        <w:trPr>
          <w:trHeight w:val="698"/>
          <w:tblCellSpacing w:w="0" w:type="dxa"/>
          <w:jc w:val="center"/>
        </w:trPr>
        <w:tc>
          <w:tcPr>
            <w:tcW w:w="193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严重程度</w:t>
            </w:r>
            <w:r>
              <w:rPr>
                <w:rFonts w:ascii="FangSong_GB2312" w:eastAsia="FangSong_GB2312" w:hAnsi="FangSong_GB2312" w:cs="FangSong_GB2312"/>
                <w:color w:val="000000"/>
                <w:sz w:val="28"/>
                <w:szCs w:val="28"/>
              </w:rPr>
              <w:t>Ⅱ</w:t>
            </w:r>
          </w:p>
        </w:tc>
        <w:tc>
          <w:tcPr>
            <w:tcW w:w="402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rPr>
                <w:rFonts w:ascii="Calibri" w:eastAsia="Calibri" w:hAnsi="Calibri" w:cs="Calibri"/>
                <w:color w:val="000000"/>
                <w:sz w:val="21"/>
                <w:szCs w:val="21"/>
              </w:rPr>
            </w:pPr>
            <w:r>
              <w:rPr>
                <w:rFonts w:ascii="FangSong_GB2312" w:eastAsia="FangSong_GB2312" w:hAnsi="FangSong_GB2312" w:cs="FangSong_GB2312"/>
                <w:color w:val="000000"/>
                <w:sz w:val="28"/>
                <w:szCs w:val="28"/>
              </w:rPr>
              <w:t>系统中关键功能实现错误，直接导致业务无法正常进行并且无补救措施。</w:t>
            </w:r>
          </w:p>
        </w:tc>
        <w:tc>
          <w:tcPr>
            <w:tcW w:w="4087"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rPr>
                <w:rFonts w:ascii="Calibri" w:eastAsia="Calibri" w:hAnsi="Calibri" w:cs="Calibri"/>
                <w:color w:val="000000"/>
                <w:sz w:val="21"/>
                <w:szCs w:val="21"/>
              </w:rPr>
            </w:pPr>
            <w:r>
              <w:rPr>
                <w:rFonts w:ascii="FangSong_GB2312" w:eastAsia="FangSong_GB2312" w:hAnsi="FangSong_GB2312" w:cs="FangSong_GB2312"/>
                <w:color w:val="000000"/>
                <w:sz w:val="28"/>
                <w:szCs w:val="28"/>
              </w:rPr>
              <w:t>立即响应，</w:t>
            </w:r>
            <w:r>
              <w:rPr>
                <w:rFonts w:ascii="FangSong_GB2312" w:eastAsia="FangSong_GB2312" w:hAnsi="FangSong_GB2312" w:cs="FangSong_GB2312"/>
                <w:color w:val="000000"/>
                <w:sz w:val="28"/>
                <w:szCs w:val="28"/>
              </w:rPr>
              <w:t>1</w:t>
            </w:r>
            <w:r>
              <w:rPr>
                <w:rFonts w:ascii="FangSong_GB2312" w:eastAsia="FangSong_GB2312" w:hAnsi="FangSong_GB2312" w:cs="FangSong_GB2312"/>
                <w:color w:val="000000"/>
                <w:sz w:val="28"/>
                <w:szCs w:val="28"/>
              </w:rPr>
              <w:t>小时内提出解决方案并解决问题。</w:t>
            </w:r>
          </w:p>
        </w:tc>
      </w:tr>
      <w:tr w:rsidR="00446B0B">
        <w:trPr>
          <w:trHeight w:val="963"/>
          <w:tblCellSpacing w:w="0" w:type="dxa"/>
          <w:jc w:val="center"/>
        </w:trPr>
        <w:tc>
          <w:tcPr>
            <w:tcW w:w="193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lastRenderedPageBreak/>
              <w:t>严重程度</w:t>
            </w:r>
            <w:r>
              <w:rPr>
                <w:rFonts w:ascii="FangSong_GB2312" w:eastAsia="FangSong_GB2312" w:hAnsi="FangSong_GB2312" w:cs="FangSong_GB2312"/>
                <w:color w:val="000000"/>
                <w:sz w:val="28"/>
                <w:szCs w:val="28"/>
              </w:rPr>
              <w:t>Ⅲ</w:t>
            </w:r>
          </w:p>
        </w:tc>
        <w:tc>
          <w:tcPr>
            <w:tcW w:w="402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rPr>
                <w:rFonts w:ascii="Calibri" w:eastAsia="Calibri" w:hAnsi="Calibri" w:cs="Calibri"/>
                <w:color w:val="000000"/>
                <w:sz w:val="21"/>
                <w:szCs w:val="21"/>
              </w:rPr>
            </w:pPr>
            <w:r>
              <w:rPr>
                <w:rFonts w:ascii="FangSong_GB2312" w:eastAsia="FangSong_GB2312" w:hAnsi="FangSong_GB2312" w:cs="FangSong_GB2312"/>
                <w:color w:val="000000"/>
                <w:sz w:val="28"/>
                <w:szCs w:val="28"/>
              </w:rPr>
              <w:t>系统中非关键功能实现错误，单一模块不能继续运转或错误，但不影响业务的正常进。</w:t>
            </w:r>
          </w:p>
        </w:tc>
        <w:tc>
          <w:tcPr>
            <w:tcW w:w="4087"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rPr>
                <w:rFonts w:ascii="Calibri" w:eastAsia="Calibri" w:hAnsi="Calibri" w:cs="Calibri"/>
                <w:color w:val="000000"/>
                <w:sz w:val="21"/>
                <w:szCs w:val="21"/>
              </w:rPr>
            </w:pPr>
            <w:r>
              <w:rPr>
                <w:rFonts w:ascii="FangSong_GB2312" w:eastAsia="FangSong_GB2312" w:hAnsi="FangSong_GB2312" w:cs="FangSong_GB2312"/>
                <w:color w:val="000000"/>
                <w:sz w:val="28"/>
                <w:szCs w:val="28"/>
              </w:rPr>
              <w:t>立即响应，</w:t>
            </w:r>
            <w:r>
              <w:rPr>
                <w:rFonts w:ascii="FangSong_GB2312" w:eastAsia="FangSong_GB2312" w:hAnsi="FangSong_GB2312" w:cs="FangSong_GB2312"/>
                <w:color w:val="000000"/>
                <w:sz w:val="28"/>
                <w:szCs w:val="28"/>
              </w:rPr>
              <w:t>1</w:t>
            </w:r>
            <w:r>
              <w:rPr>
                <w:rFonts w:ascii="FangSong_GB2312" w:eastAsia="FangSong_GB2312" w:hAnsi="FangSong_GB2312" w:cs="FangSong_GB2312"/>
                <w:color w:val="000000"/>
                <w:sz w:val="28"/>
                <w:szCs w:val="28"/>
              </w:rPr>
              <w:t>小时内提出解决方案并解决问题。</w:t>
            </w:r>
          </w:p>
        </w:tc>
      </w:tr>
      <w:tr w:rsidR="00446B0B">
        <w:trPr>
          <w:trHeight w:val="841"/>
          <w:tblCellSpacing w:w="0" w:type="dxa"/>
          <w:jc w:val="center"/>
        </w:trPr>
        <w:tc>
          <w:tcPr>
            <w:tcW w:w="193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严重程序</w:t>
            </w:r>
            <w:r>
              <w:rPr>
                <w:rFonts w:ascii="FangSong_GB2312" w:eastAsia="FangSong_GB2312" w:hAnsi="FangSong_GB2312" w:cs="FangSong_GB2312"/>
                <w:color w:val="000000"/>
                <w:sz w:val="28"/>
                <w:szCs w:val="28"/>
              </w:rPr>
              <w:t>Ⅳ</w:t>
            </w:r>
          </w:p>
        </w:tc>
        <w:tc>
          <w:tcPr>
            <w:tcW w:w="402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rPr>
                <w:rFonts w:ascii="Calibri" w:eastAsia="Calibri" w:hAnsi="Calibri" w:cs="Calibri"/>
                <w:color w:val="000000"/>
                <w:sz w:val="21"/>
                <w:szCs w:val="21"/>
              </w:rPr>
            </w:pPr>
            <w:r>
              <w:rPr>
                <w:rFonts w:ascii="FangSong_GB2312" w:eastAsia="FangSong_GB2312" w:hAnsi="FangSong_GB2312" w:cs="FangSong_GB2312"/>
                <w:color w:val="000000"/>
                <w:sz w:val="28"/>
                <w:szCs w:val="28"/>
              </w:rPr>
              <w:t>系统中非关键功能实现错误，如系统操作时间过长，界面需要改进等，但不影响系统正常运转。</w:t>
            </w:r>
          </w:p>
        </w:tc>
        <w:tc>
          <w:tcPr>
            <w:tcW w:w="4087"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rPr>
                <w:rFonts w:ascii="Calibri" w:eastAsia="Calibri" w:hAnsi="Calibri" w:cs="Calibri"/>
                <w:color w:val="000000"/>
                <w:sz w:val="21"/>
                <w:szCs w:val="21"/>
              </w:rPr>
            </w:pPr>
            <w:r>
              <w:rPr>
                <w:rFonts w:ascii="FangSong_GB2312" w:eastAsia="FangSong_GB2312" w:hAnsi="FangSong_GB2312" w:cs="FangSong_GB2312"/>
                <w:color w:val="000000"/>
                <w:sz w:val="28"/>
                <w:szCs w:val="28"/>
              </w:rPr>
              <w:t>立即响应，</w:t>
            </w:r>
            <w:r>
              <w:rPr>
                <w:rFonts w:ascii="FangSong_GB2312" w:eastAsia="FangSong_GB2312" w:hAnsi="FangSong_GB2312" w:cs="FangSong_GB2312"/>
                <w:color w:val="000000"/>
                <w:sz w:val="28"/>
                <w:szCs w:val="28"/>
              </w:rPr>
              <w:t>1</w:t>
            </w:r>
            <w:r>
              <w:rPr>
                <w:rFonts w:ascii="FangSong_GB2312" w:eastAsia="FangSong_GB2312" w:hAnsi="FangSong_GB2312" w:cs="FangSong_GB2312"/>
                <w:color w:val="000000"/>
                <w:sz w:val="28"/>
                <w:szCs w:val="28"/>
              </w:rPr>
              <w:t>小时内提出解决方案并解决问题。</w:t>
            </w:r>
          </w:p>
        </w:tc>
      </w:tr>
    </w:tbl>
    <w:p w:rsidR="00446B0B" w:rsidRDefault="00EA50EC">
      <w:pPr>
        <w:pStyle w:val="Heading10"/>
        <w:keepNext w:val="0"/>
        <w:spacing w:before="0" w:after="0" w:line="360" w:lineRule="auto"/>
        <w:jc w:val="center"/>
        <w:rPr>
          <w:rFonts w:ascii="FangSong_GB2312" w:eastAsia="FangSong_GB2312" w:hAnsi="FangSong_GB2312" w:cs="FangSong_GB2312"/>
        </w:rPr>
      </w:pPr>
      <w:bookmarkStart w:id="32" w:name="_Toc256000027"/>
      <w:r>
        <w:rPr>
          <w:rFonts w:ascii="FangSong_GB2312" w:eastAsia="FangSong_GB2312" w:hAnsi="FangSong_GB2312" w:cs="FangSong_GB2312"/>
          <w:kern w:val="36"/>
        </w:rPr>
        <w:t>6</w:t>
      </w:r>
      <w:r>
        <w:rPr>
          <w:rFonts w:ascii="FangSong_GB2312" w:eastAsia="FangSong_GB2312" w:hAnsi="FangSong_GB2312" w:cs="FangSong_GB2312"/>
          <w:kern w:val="36"/>
        </w:rPr>
        <w:t>保密要求</w:t>
      </w:r>
      <w:bookmarkEnd w:id="32"/>
    </w:p>
    <w:p w:rsidR="00446B0B" w:rsidRDefault="00EA50EC">
      <w:pPr>
        <w:pStyle w:val="Normal0"/>
        <w:spacing w:line="360" w:lineRule="auto"/>
        <w:ind w:firstLine="480"/>
      </w:pPr>
      <w:r>
        <w:rPr>
          <w:sz w:val="28"/>
          <w:szCs w:val="28"/>
        </w:rPr>
        <w:t>1.双方应对在合同签订或履行过程中所接触的对方信息，包括但不限于知识产权、技术资料、技术诀窍、内部管理及其他相关信息，负有保密义务。</w:t>
      </w:r>
    </w:p>
    <w:p w:rsidR="00446B0B" w:rsidRDefault="00EA50EC">
      <w:pPr>
        <w:pStyle w:val="Normal0"/>
        <w:spacing w:line="360" w:lineRule="auto"/>
        <w:ind w:firstLine="480"/>
      </w:pPr>
      <w:r>
        <w:rPr>
          <w:sz w:val="28"/>
          <w:szCs w:val="28"/>
        </w:rPr>
        <w:t>2.投标人在使用用户方为其提供的数据、程序、用户名、口令、资料及甲方相关的业务和技术文档，包括方案设计细节、程序文件、数据结构，以及相关业务系统的硬软件、文档、测试和测试产生的数据时，应遵循以下约定:</w:t>
      </w:r>
    </w:p>
    <w:p w:rsidR="00446B0B" w:rsidRDefault="00EA50EC">
      <w:pPr>
        <w:pStyle w:val="Normal0"/>
        <w:spacing w:line="360" w:lineRule="auto"/>
        <w:ind w:firstLine="480"/>
      </w:pPr>
      <w:r>
        <w:rPr>
          <w:sz w:val="28"/>
          <w:szCs w:val="28"/>
        </w:rPr>
        <w:t>（1）应以审慎态度避免泄露、公开或传播用户方的信息;</w:t>
      </w:r>
    </w:p>
    <w:p w:rsidR="00446B0B" w:rsidRDefault="00EA50EC">
      <w:pPr>
        <w:pStyle w:val="Normal0"/>
        <w:spacing w:line="360" w:lineRule="auto"/>
        <w:ind w:firstLine="480"/>
      </w:pPr>
      <w:r>
        <w:rPr>
          <w:sz w:val="28"/>
          <w:szCs w:val="28"/>
        </w:rPr>
        <w:t>（2）未经用户方书面许可，不得对有关信息进行修改、补充、复制;</w:t>
      </w:r>
    </w:p>
    <w:p w:rsidR="00446B0B" w:rsidRDefault="00EA50EC">
      <w:pPr>
        <w:pStyle w:val="Normal0"/>
        <w:spacing w:line="360" w:lineRule="auto"/>
        <w:ind w:firstLine="480"/>
      </w:pPr>
      <w:r>
        <w:rPr>
          <w:sz w:val="28"/>
          <w:szCs w:val="28"/>
        </w:rPr>
        <w:t>（3）未经用户方书面许可，不得将信息以任何方式(如 E-mail)携带出甲方场所;</w:t>
      </w:r>
    </w:p>
    <w:p w:rsidR="00446B0B" w:rsidRDefault="00EA50EC">
      <w:pPr>
        <w:pStyle w:val="Normal0"/>
        <w:spacing w:line="360" w:lineRule="auto"/>
        <w:ind w:firstLine="480"/>
      </w:pPr>
      <w:r>
        <w:rPr>
          <w:sz w:val="28"/>
          <w:szCs w:val="28"/>
        </w:rPr>
        <w:t>（4）未经用户方书面许可，不得将信息透露给任何其他人;</w:t>
      </w:r>
    </w:p>
    <w:p w:rsidR="00446B0B" w:rsidRDefault="00EA50EC">
      <w:pPr>
        <w:pStyle w:val="Normal0"/>
        <w:spacing w:line="360" w:lineRule="auto"/>
        <w:ind w:firstLine="480"/>
      </w:pPr>
      <w:r>
        <w:rPr>
          <w:sz w:val="28"/>
          <w:szCs w:val="28"/>
        </w:rPr>
        <w:t>（5） 用户方以书面形式提出的其他保密措施。</w:t>
      </w:r>
    </w:p>
    <w:p w:rsidR="00446B0B" w:rsidRDefault="00EA50EC">
      <w:pPr>
        <w:pStyle w:val="Normal0"/>
        <w:spacing w:line="360" w:lineRule="auto"/>
        <w:ind w:firstLine="480"/>
      </w:pPr>
      <w:r>
        <w:rPr>
          <w:sz w:val="28"/>
          <w:szCs w:val="28"/>
        </w:rPr>
        <w:t>3.保密期限不受合同有效期的限制，在合同有效期结束后，信息接受方仍应承担保密义务，直至该等信息成为公开信息。</w:t>
      </w:r>
    </w:p>
    <w:p w:rsidR="00446B0B" w:rsidRDefault="00EA50EC">
      <w:pPr>
        <w:pStyle w:val="Normal0"/>
        <w:spacing w:line="360" w:lineRule="auto"/>
        <w:ind w:firstLine="480"/>
      </w:pPr>
      <w:r>
        <w:rPr>
          <w:sz w:val="28"/>
          <w:szCs w:val="28"/>
        </w:rPr>
        <w:t>4.双方如出现泄密行为，泄密方应承担相关的法律责任并承担由此给对方造成的经济损失。</w:t>
      </w:r>
    </w:p>
    <w:p w:rsidR="00446B0B" w:rsidRDefault="00EA50EC">
      <w:pPr>
        <w:pStyle w:val="Heading10"/>
        <w:keepNext w:val="0"/>
        <w:spacing w:before="0" w:after="0" w:line="360" w:lineRule="auto"/>
        <w:jc w:val="center"/>
        <w:rPr>
          <w:rFonts w:ascii="FangSong_GB2312" w:eastAsia="FangSong_GB2312" w:hAnsi="FangSong_GB2312" w:cs="FangSong_GB2312"/>
        </w:rPr>
      </w:pPr>
      <w:bookmarkStart w:id="33" w:name="_Toc256000028"/>
      <w:r>
        <w:rPr>
          <w:rFonts w:ascii="FangSong_GB2312" w:eastAsia="FangSong_GB2312" w:hAnsi="FangSong_GB2312" w:cs="FangSong_GB2312"/>
          <w:kern w:val="36"/>
        </w:rPr>
        <w:t>7</w:t>
      </w:r>
      <w:r>
        <w:rPr>
          <w:rFonts w:ascii="FangSong_GB2312" w:eastAsia="FangSong_GB2312" w:hAnsi="FangSong_GB2312" w:cs="FangSong_GB2312"/>
          <w:kern w:val="36"/>
        </w:rPr>
        <w:t>知识转移要求</w:t>
      </w:r>
      <w:bookmarkEnd w:id="33"/>
    </w:p>
    <w:p w:rsidR="00446B0B" w:rsidRDefault="00EA50EC">
      <w:pPr>
        <w:pStyle w:val="MsoNormal0"/>
        <w:spacing w:line="360" w:lineRule="auto"/>
        <w:ind w:firstLine="480"/>
        <w:jc w:val="both"/>
      </w:pPr>
      <w:r>
        <w:rPr>
          <w:rFonts w:ascii="FangSong_GB2312" w:eastAsia="FangSong_GB2312" w:hAnsi="FangSong_GB2312" w:cs="FangSong_GB2312"/>
          <w:sz w:val="28"/>
          <w:szCs w:val="28"/>
        </w:rPr>
        <w:t>投标人须按照国家税务总局吉林省税务局相关管理规程和要求，将项目执行过程所涉及的相关知识和工作文档按照招标人提出的质量、数量、</w:t>
      </w:r>
      <w:r>
        <w:rPr>
          <w:rFonts w:ascii="FangSong_GB2312" w:eastAsia="FangSong_GB2312" w:hAnsi="FangSong_GB2312" w:cs="FangSong_GB2312"/>
          <w:sz w:val="28"/>
          <w:szCs w:val="28"/>
        </w:rPr>
        <w:lastRenderedPageBreak/>
        <w:t>提供方式、提供时间等要求进行整理，并按照要求转移给招标人。具体要求如下：</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投标人须将项目实施过程中出具的文档等形式转移给招标人，并将项目所涉及的其他各类工作文档按照要求进行移交归档。</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项目实施过程中，为确保移交文档的一致性和完整性，投标人须按照项目实施计划，分层次、分阶段进行项目文档提交。</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项目结束时，投标人须按照项目要求及时向招标人移交项目所有相关文档。</w:t>
      </w:r>
    </w:p>
    <w:p w:rsidR="00446B0B" w:rsidRDefault="00EA50EC">
      <w:pPr>
        <w:pStyle w:val="Heading10"/>
        <w:keepNext w:val="0"/>
        <w:spacing w:before="0" w:after="0" w:line="360" w:lineRule="auto"/>
        <w:jc w:val="center"/>
        <w:rPr>
          <w:rFonts w:ascii="FangSong_GB2312" w:eastAsia="FangSong_GB2312" w:hAnsi="FangSong_GB2312" w:cs="FangSong_GB2312"/>
        </w:rPr>
      </w:pPr>
      <w:bookmarkStart w:id="34" w:name="_Toc256000029"/>
      <w:r>
        <w:rPr>
          <w:rFonts w:ascii="FangSong_GB2312" w:eastAsia="FangSong_GB2312" w:hAnsi="FangSong_GB2312" w:cs="FangSong_GB2312"/>
          <w:kern w:val="36"/>
        </w:rPr>
        <w:t>8</w:t>
      </w:r>
      <w:r>
        <w:rPr>
          <w:rFonts w:ascii="FangSong_GB2312" w:eastAsia="FangSong_GB2312" w:hAnsi="FangSong_GB2312" w:cs="FangSong_GB2312"/>
          <w:kern w:val="36"/>
        </w:rPr>
        <w:t>风险管控要求</w:t>
      </w:r>
      <w:bookmarkEnd w:id="34"/>
    </w:p>
    <w:p w:rsidR="00446B0B" w:rsidRDefault="00EA50EC">
      <w:pPr>
        <w:pStyle w:val="MsoNormal0"/>
        <w:spacing w:line="360" w:lineRule="auto"/>
        <w:ind w:firstLine="480"/>
        <w:jc w:val="both"/>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风险管控总体要求</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项目实施期间，投标人须做好运维过程中各项安全保障工作，对系统运维过程制定风险管控预案和防范措施。</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风险管控具体要求</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）技术风险管理</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投标人应充分预估项目实施中存在的技术风险，包括并不限于：系统监控、版本升级、功能测试等方面可能存在的风险，制定可靠的技术管理保障措施。</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）操作风险管理</w:t>
      </w:r>
    </w:p>
    <w:p w:rsidR="00446B0B" w:rsidRDefault="00EA50EC">
      <w:pPr>
        <w:pStyle w:val="MsoNormal0"/>
        <w:spacing w:line="360" w:lineRule="auto"/>
        <w:ind w:firstLine="480"/>
        <w:jc w:val="both"/>
      </w:pPr>
      <w:r>
        <w:rPr>
          <w:rFonts w:ascii="FangSong_GB2312" w:eastAsia="FangSong_GB2312" w:hAnsi="FangSong_GB2312" w:cs="FangSong_GB2312"/>
          <w:sz w:val="28"/>
          <w:szCs w:val="28"/>
        </w:rPr>
        <w:t>投标人应充分预估项目实施中人员技术服务存在的操作风险，包括并不限于：人为错误、账户权限管理不当、服务流程不规范等，制定可靠的运维保障措施。</w:t>
      </w:r>
    </w:p>
    <w:p w:rsidR="00446B0B" w:rsidRDefault="00EA50EC">
      <w:pPr>
        <w:pStyle w:val="Heading10"/>
        <w:keepNext w:val="0"/>
        <w:spacing w:before="0" w:after="0" w:line="360" w:lineRule="auto"/>
        <w:jc w:val="center"/>
        <w:rPr>
          <w:rFonts w:ascii="FangSong_GB2312" w:eastAsia="FangSong_GB2312" w:hAnsi="FangSong_GB2312" w:cs="FangSong_GB2312"/>
        </w:rPr>
      </w:pPr>
      <w:bookmarkStart w:id="35" w:name="_Toc256000030"/>
      <w:r>
        <w:rPr>
          <w:rFonts w:ascii="FangSong_GB2312" w:eastAsia="FangSong_GB2312" w:hAnsi="FangSong_GB2312" w:cs="FangSong_GB2312"/>
          <w:kern w:val="36"/>
        </w:rPr>
        <w:t>9</w:t>
      </w:r>
      <w:r>
        <w:rPr>
          <w:rFonts w:ascii="FangSong_GB2312" w:eastAsia="FangSong_GB2312" w:hAnsi="FangSong_GB2312" w:cs="FangSong_GB2312"/>
          <w:kern w:val="36"/>
        </w:rPr>
        <w:t>履约验收要求</w:t>
      </w:r>
      <w:bookmarkEnd w:id="35"/>
    </w:p>
    <w:p w:rsidR="00446B0B" w:rsidRDefault="00EA50EC">
      <w:pPr>
        <w:pStyle w:val="Heading20"/>
        <w:keepNext w:val="0"/>
        <w:spacing w:before="0" w:after="0" w:line="360" w:lineRule="auto"/>
        <w:rPr>
          <w:rFonts w:ascii="FangSong_GB2312" w:eastAsia="FangSong_GB2312" w:hAnsi="FangSong_GB2312" w:cs="FangSong_GB2312"/>
        </w:rPr>
      </w:pPr>
      <w:bookmarkStart w:id="36" w:name="_Toc256000031"/>
      <w:r>
        <w:rPr>
          <w:rFonts w:ascii="FangSong_GB2312" w:eastAsia="FangSong_GB2312" w:hAnsi="FangSong_GB2312" w:cs="FangSong_GB2312"/>
          <w:i w:val="0"/>
          <w:iCs w:val="0"/>
        </w:rPr>
        <w:t>9.1</w:t>
      </w:r>
      <w:r>
        <w:rPr>
          <w:rFonts w:ascii="FangSong_GB2312" w:eastAsia="FangSong_GB2312" w:hAnsi="FangSong_GB2312" w:cs="FangSong_GB2312"/>
          <w:i w:val="0"/>
          <w:iCs w:val="0"/>
        </w:rPr>
        <w:t>总体要求</w:t>
      </w:r>
      <w:bookmarkEnd w:id="36"/>
    </w:p>
    <w:tbl>
      <w:tblPr>
        <w:tblW w:w="5000" w:type="pct"/>
        <w:tblInd w:w="30" w:type="dxa"/>
        <w:tblCellMar>
          <w:top w:w="15" w:type="dxa"/>
          <w:left w:w="15" w:type="dxa"/>
          <w:bottom w:w="15" w:type="dxa"/>
          <w:right w:w="15" w:type="dxa"/>
        </w:tblCellMar>
        <w:tblLook w:val="04A0" w:firstRow="1" w:lastRow="0" w:firstColumn="1" w:lastColumn="0" w:noHBand="0" w:noVBand="1"/>
      </w:tblPr>
      <w:tblGrid>
        <w:gridCol w:w="4535"/>
        <w:gridCol w:w="4535"/>
      </w:tblGrid>
      <w:tr w:rsidR="00446B0B">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验收要求</w:t>
            </w:r>
          </w:p>
        </w:tc>
      </w:tr>
      <w:tr w:rsidR="00446B0B">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w:t>
            </w:r>
            <w:r>
              <w:rPr>
                <w:rFonts w:ascii="FangSong_GB2312" w:eastAsia="FangSong_GB2312" w:hAnsi="FangSong_GB2312" w:cs="FangSong_GB2312"/>
                <w:b/>
                <w:bCs/>
                <w:color w:val="000000"/>
                <w:sz w:val="21"/>
                <w:szCs w:val="21"/>
              </w:rPr>
              <w:t>1</w:t>
            </w:r>
            <w:r>
              <w:rPr>
                <w:rFonts w:ascii="FangSong_GB2312" w:eastAsia="FangSong_GB2312" w:hAnsi="FangSong_GB2312" w:cs="FangSong_GB2312"/>
                <w:b/>
                <w:bCs/>
                <w:color w:val="000000"/>
                <w:sz w:val="21"/>
                <w:szCs w:val="21"/>
              </w:rPr>
              <w:t>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本项目结束</w:t>
            </w:r>
            <w:r>
              <w:rPr>
                <w:rFonts w:ascii="FangSong_GB2312" w:eastAsia="FangSong_GB2312" w:hAnsi="FangSong_GB2312" w:cs="FangSong_GB2312"/>
                <w:b/>
                <w:bCs/>
                <w:color w:val="000000"/>
                <w:sz w:val="21"/>
                <w:szCs w:val="21"/>
              </w:rPr>
              <w:t>15</w:t>
            </w:r>
            <w:r>
              <w:rPr>
                <w:rFonts w:ascii="FangSong_GB2312" w:eastAsia="FangSong_GB2312" w:hAnsi="FangSong_GB2312" w:cs="FangSong_GB2312"/>
                <w:b/>
                <w:bCs/>
                <w:color w:val="000000"/>
                <w:sz w:val="21"/>
                <w:szCs w:val="21"/>
              </w:rPr>
              <w:t>日内，中标方需向采购方提供以下验收材料：</w:t>
            </w:r>
            <w:r>
              <w:rPr>
                <w:rFonts w:ascii="FangSong_GB2312" w:eastAsia="FangSong_GB2312" w:hAnsi="FangSong_GB2312" w:cs="FangSong_GB2312"/>
                <w:b/>
                <w:bCs/>
                <w:color w:val="000000"/>
                <w:sz w:val="21"/>
                <w:szCs w:val="21"/>
              </w:rPr>
              <w:br/>
              <w:t>1.</w:t>
            </w:r>
            <w:r>
              <w:rPr>
                <w:rFonts w:ascii="FangSong_GB2312" w:eastAsia="FangSong_GB2312" w:hAnsi="FangSong_GB2312" w:cs="FangSong_GB2312"/>
                <w:b/>
                <w:bCs/>
                <w:color w:val="000000"/>
                <w:sz w:val="21"/>
                <w:szCs w:val="21"/>
              </w:rPr>
              <w:t>运维项目合同及附件</w:t>
            </w:r>
            <w:r>
              <w:rPr>
                <w:rFonts w:ascii="FangSong_GB2312" w:eastAsia="FangSong_GB2312" w:hAnsi="FangSong_GB2312" w:cs="FangSong_GB2312"/>
                <w:b/>
                <w:bCs/>
                <w:color w:val="000000"/>
                <w:sz w:val="21"/>
                <w:szCs w:val="21"/>
              </w:rPr>
              <w:br/>
            </w:r>
            <w:r>
              <w:rPr>
                <w:rFonts w:ascii="FangSong_GB2312" w:eastAsia="FangSong_GB2312" w:hAnsi="FangSong_GB2312" w:cs="FangSong_GB2312"/>
                <w:b/>
                <w:bCs/>
                <w:color w:val="000000"/>
                <w:sz w:val="21"/>
                <w:szCs w:val="21"/>
              </w:rPr>
              <w:lastRenderedPageBreak/>
              <w:t>2.</w:t>
            </w:r>
            <w:r>
              <w:rPr>
                <w:rFonts w:ascii="FangSong_GB2312" w:eastAsia="FangSong_GB2312" w:hAnsi="FangSong_GB2312" w:cs="FangSong_GB2312"/>
                <w:b/>
                <w:bCs/>
                <w:color w:val="000000"/>
                <w:sz w:val="21"/>
                <w:szCs w:val="21"/>
              </w:rPr>
              <w:t>运维人员清单</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t>需注明姓名、电话以及岗位</w:t>
            </w:r>
            <w:r>
              <w:rPr>
                <w:rFonts w:ascii="FangSong_GB2312" w:eastAsia="FangSong_GB2312" w:hAnsi="FangSong_GB2312" w:cs="FangSong_GB2312"/>
                <w:b/>
                <w:bCs/>
                <w:color w:val="000000"/>
                <w:sz w:val="21"/>
                <w:szCs w:val="21"/>
              </w:rPr>
              <w:br/>
              <w:t>3.</w:t>
            </w:r>
            <w:r>
              <w:rPr>
                <w:rFonts w:ascii="FangSong_GB2312" w:eastAsia="FangSong_GB2312" w:hAnsi="FangSong_GB2312" w:cs="FangSong_GB2312"/>
                <w:b/>
                <w:bCs/>
                <w:color w:val="000000"/>
                <w:sz w:val="21"/>
                <w:szCs w:val="21"/>
              </w:rPr>
              <w:t>运维工作计划（含人员清单，各类运维活动安排）</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t>列出运维服务中包括的服务类型，运维服务人员的组织结构。</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br/>
              <w:t>4.</w:t>
            </w:r>
            <w:r>
              <w:rPr>
                <w:rFonts w:ascii="FangSong_GB2312" w:eastAsia="FangSong_GB2312" w:hAnsi="FangSong_GB2312" w:cs="FangSong_GB2312"/>
                <w:b/>
                <w:bCs/>
                <w:color w:val="000000"/>
                <w:sz w:val="21"/>
                <w:szCs w:val="21"/>
              </w:rPr>
              <w:t>运维工作实施流程</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t>各类运维活动的实施流程，如故障响应流程、问题处理流程。</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br/>
              <w:t>5.</w:t>
            </w:r>
            <w:r>
              <w:rPr>
                <w:rFonts w:ascii="FangSong_GB2312" w:eastAsia="FangSong_GB2312" w:hAnsi="FangSong_GB2312" w:cs="FangSong_GB2312"/>
                <w:b/>
                <w:bCs/>
                <w:color w:val="000000"/>
                <w:sz w:val="21"/>
                <w:szCs w:val="21"/>
              </w:rPr>
              <w:t>运维工作量记录（实际发生）</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t>记录运维工作实际工作量的记录，如果没有相关记录，提供相关人员上下班打卡或同等记录。</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br/>
              <w:t>6.</w:t>
            </w:r>
            <w:r>
              <w:rPr>
                <w:rFonts w:ascii="FangSong_GB2312" w:eastAsia="FangSong_GB2312" w:hAnsi="FangSong_GB2312" w:cs="FangSong_GB2312"/>
                <w:b/>
                <w:bCs/>
                <w:color w:val="000000"/>
                <w:sz w:val="21"/>
                <w:szCs w:val="21"/>
              </w:rPr>
              <w:t>运维工作周报告</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t>开展运维工作时的日志，记录各项工作实施情况。</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br/>
            </w:r>
            <w:r>
              <w:rPr>
                <w:rFonts w:ascii="FangSong_GB2312" w:eastAsia="FangSong_GB2312" w:hAnsi="FangSong_GB2312" w:cs="FangSong_GB2312"/>
                <w:b/>
                <w:bCs/>
                <w:color w:val="000000"/>
                <w:sz w:val="21"/>
                <w:szCs w:val="21"/>
              </w:rPr>
              <w:t>7.</w:t>
            </w:r>
            <w:r>
              <w:rPr>
                <w:rFonts w:ascii="FangSong_GB2312" w:eastAsia="FangSong_GB2312" w:hAnsi="FangSong_GB2312" w:cs="FangSong_GB2312"/>
                <w:b/>
                <w:bCs/>
                <w:color w:val="000000"/>
                <w:sz w:val="21"/>
                <w:szCs w:val="21"/>
              </w:rPr>
              <w:t>运维工作月报告</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t>开展运维工作时的日志，记录各项工作实施情况。</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br/>
              <w:t>8.</w:t>
            </w:r>
            <w:r>
              <w:rPr>
                <w:rFonts w:ascii="FangSong_GB2312" w:eastAsia="FangSong_GB2312" w:hAnsi="FangSong_GB2312" w:cs="FangSong_GB2312"/>
                <w:b/>
                <w:bCs/>
                <w:color w:val="000000"/>
                <w:sz w:val="21"/>
                <w:szCs w:val="21"/>
              </w:rPr>
              <w:t>运维工作年报告</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t>开展运维工作时的日志，记录各项工作实施情况。</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br/>
              <w:t>9.</w:t>
            </w:r>
            <w:r>
              <w:rPr>
                <w:rFonts w:ascii="FangSong_GB2312" w:eastAsia="FangSong_GB2312" w:hAnsi="FangSong_GB2312" w:cs="FangSong_GB2312"/>
                <w:b/>
                <w:bCs/>
                <w:color w:val="000000"/>
                <w:sz w:val="21"/>
                <w:szCs w:val="21"/>
              </w:rPr>
              <w:t>运维问题记录</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t>记录运维工作中处理的各种系统问题，如无详细记录，提供各类问题的大致数量供后续验证，或提供系统运行日志。</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br/>
              <w:t>10.</w:t>
            </w:r>
            <w:r>
              <w:rPr>
                <w:rFonts w:ascii="FangSong_GB2312" w:eastAsia="FangSong_GB2312" w:hAnsi="FangSong_GB2312" w:cs="FangSong_GB2312"/>
                <w:b/>
                <w:bCs/>
                <w:color w:val="000000"/>
                <w:sz w:val="21"/>
                <w:szCs w:val="21"/>
              </w:rPr>
              <w:t>巡检记录等运维过程当中的相关文档</w:t>
            </w:r>
            <w:r>
              <w:rPr>
                <w:rFonts w:ascii="FangSong_GB2312" w:eastAsia="FangSong_GB2312" w:hAnsi="FangSong_GB2312" w:cs="FangSong_GB2312"/>
                <w:b/>
                <w:bCs/>
                <w:color w:val="000000"/>
                <w:sz w:val="21"/>
                <w:szCs w:val="21"/>
              </w:rPr>
              <w:t xml:space="preserve"> </w:t>
            </w:r>
            <w:r>
              <w:rPr>
                <w:rFonts w:ascii="FangSong_GB2312" w:eastAsia="FangSong_GB2312" w:hAnsi="FangSong_GB2312" w:cs="FangSong_GB2312"/>
                <w:b/>
                <w:bCs/>
                <w:color w:val="000000"/>
                <w:sz w:val="21"/>
                <w:szCs w:val="21"/>
              </w:rPr>
              <w:t>相关巡检记录等其他开展运维活动时产生的记录。</w:t>
            </w:r>
            <w:r>
              <w:rPr>
                <w:rFonts w:ascii="FangSong_GB2312" w:eastAsia="FangSong_GB2312" w:hAnsi="FangSong_GB2312" w:cs="FangSong_GB2312"/>
                <w:b/>
                <w:bCs/>
                <w:color w:val="000000"/>
                <w:sz w:val="21"/>
                <w:szCs w:val="21"/>
              </w:rPr>
              <w:t xml:space="preserve"> </w:t>
            </w:r>
          </w:p>
        </w:tc>
      </w:tr>
    </w:tbl>
    <w:p w:rsidR="00446B0B" w:rsidRDefault="00EA50EC">
      <w:pPr>
        <w:pStyle w:val="Heading20"/>
        <w:keepNext w:val="0"/>
        <w:spacing w:before="0" w:after="0" w:line="360" w:lineRule="auto"/>
        <w:rPr>
          <w:rFonts w:ascii="FangSong_GB2312" w:eastAsia="FangSong_GB2312" w:hAnsi="FangSong_GB2312" w:cs="FangSong_GB2312"/>
        </w:rPr>
      </w:pPr>
      <w:bookmarkStart w:id="37" w:name="_Toc256000032"/>
      <w:r>
        <w:rPr>
          <w:rFonts w:ascii="FangSong_GB2312" w:eastAsia="FangSong_GB2312" w:hAnsi="FangSong_GB2312" w:cs="FangSong_GB2312"/>
          <w:i w:val="0"/>
          <w:iCs w:val="0"/>
        </w:rPr>
        <w:lastRenderedPageBreak/>
        <w:t>9.2</w:t>
      </w:r>
      <w:r>
        <w:rPr>
          <w:rFonts w:ascii="FangSong_GB2312" w:eastAsia="FangSong_GB2312" w:hAnsi="FangSong_GB2312" w:cs="FangSong_GB2312"/>
          <w:i w:val="0"/>
          <w:iCs w:val="0"/>
        </w:rPr>
        <w:t>具体要求</w:t>
      </w:r>
      <w:bookmarkEnd w:id="37"/>
    </w:p>
    <w:p w:rsidR="00446B0B" w:rsidRDefault="00EA50EC">
      <w:pPr>
        <w:pStyle w:val="MsoNormal0"/>
        <w:spacing w:line="360" w:lineRule="auto"/>
        <w:ind w:firstLine="640"/>
        <w:jc w:val="both"/>
        <w:rPr>
          <w:rFonts w:ascii="Calibri" w:eastAsia="Calibri" w:hAnsi="Calibri" w:cs="Calibri"/>
          <w:sz w:val="21"/>
          <w:szCs w:val="21"/>
        </w:rPr>
      </w:pPr>
      <w:r>
        <w:rPr>
          <w:rFonts w:ascii="FangSong_GB2312" w:eastAsia="FangSong_GB2312" w:hAnsi="FangSong_GB2312" w:cs="FangSong_GB2312"/>
          <w:sz w:val="28"/>
          <w:szCs w:val="28"/>
        </w:rPr>
        <w:t>运维服务结束</w:t>
      </w:r>
      <w:r>
        <w:rPr>
          <w:rFonts w:ascii="FangSong_GB2312" w:eastAsia="FangSong_GB2312" w:hAnsi="FangSong_GB2312" w:cs="FangSong_GB2312"/>
          <w:sz w:val="28"/>
          <w:szCs w:val="28"/>
        </w:rPr>
        <w:t>15</w:t>
      </w:r>
      <w:r>
        <w:rPr>
          <w:rFonts w:ascii="FangSong_GB2312" w:eastAsia="FangSong_GB2312" w:hAnsi="FangSong_GB2312" w:cs="FangSong_GB2312"/>
          <w:sz w:val="28"/>
          <w:szCs w:val="28"/>
        </w:rPr>
        <w:t>日内，采购方对中标供应商的运维服务进行验收，中标供应商需向采购方提供以下验收材料：</w:t>
      </w:r>
    </w:p>
    <w:tbl>
      <w:tblPr>
        <w:tblStyle w:val="MsoNormalTable0"/>
        <w:tblW w:w="9191" w:type="dxa"/>
        <w:jc w:val="center"/>
        <w:tblCellSpacing w:w="0" w:type="dxa"/>
        <w:tblCellMar>
          <w:top w:w="15" w:type="dxa"/>
          <w:left w:w="15" w:type="dxa"/>
          <w:bottom w:w="15" w:type="dxa"/>
          <w:right w:w="15" w:type="dxa"/>
        </w:tblCellMar>
        <w:tblLook w:val="05E0" w:firstRow="1" w:lastRow="1" w:firstColumn="1" w:lastColumn="1" w:noHBand="0" w:noVBand="1"/>
      </w:tblPr>
      <w:tblGrid>
        <w:gridCol w:w="1269"/>
        <w:gridCol w:w="2548"/>
        <w:gridCol w:w="2677"/>
        <w:gridCol w:w="2697"/>
      </w:tblGrid>
      <w:tr w:rsidR="00446B0B">
        <w:trPr>
          <w:trHeight w:val="755"/>
          <w:tblCellSpacing w:w="0" w:type="dxa"/>
          <w:jc w:val="center"/>
        </w:trPr>
        <w:tc>
          <w:tcPr>
            <w:tcW w:w="1378" w:type="dxa"/>
            <w:tcBorders>
              <w:top w:val="single" w:sz="8" w:space="0" w:color="000000"/>
              <w:left w:val="single" w:sz="8" w:space="0" w:color="000000"/>
              <w:bottom w:val="single" w:sz="8" w:space="0" w:color="000000"/>
              <w:right w:val="single" w:sz="8" w:space="0" w:color="000000"/>
            </w:tcBorders>
            <w:shd w:val="clear" w:color="auto" w:fill="EEECE1"/>
            <w:tcMar>
              <w:top w:w="0" w:type="dxa"/>
              <w:left w:w="11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编号</w:t>
            </w:r>
          </w:p>
        </w:tc>
        <w:tc>
          <w:tcPr>
            <w:tcW w:w="2816" w:type="dxa"/>
            <w:tcBorders>
              <w:top w:val="single" w:sz="8" w:space="0" w:color="000000"/>
              <w:bottom w:val="single" w:sz="8" w:space="0" w:color="000000"/>
              <w:right w:val="single" w:sz="8" w:space="0" w:color="000000"/>
            </w:tcBorders>
            <w:shd w:val="clear" w:color="auto" w:fill="EEECE1"/>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文档</w:t>
            </w:r>
          </w:p>
        </w:tc>
        <w:tc>
          <w:tcPr>
            <w:tcW w:w="2965" w:type="dxa"/>
            <w:tcBorders>
              <w:top w:val="single" w:sz="8" w:space="0" w:color="000000"/>
              <w:bottom w:val="single" w:sz="8" w:space="0" w:color="000000"/>
              <w:right w:val="single" w:sz="8" w:space="0" w:color="000000"/>
            </w:tcBorders>
            <w:shd w:val="clear" w:color="auto" w:fill="EEECE1"/>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说明</w:t>
            </w:r>
          </w:p>
        </w:tc>
        <w:tc>
          <w:tcPr>
            <w:tcW w:w="2966" w:type="dxa"/>
            <w:tcBorders>
              <w:top w:val="single" w:sz="8" w:space="0" w:color="000000"/>
              <w:bottom w:val="single" w:sz="8" w:space="0" w:color="000000"/>
              <w:right w:val="single" w:sz="8" w:space="0" w:color="000000"/>
            </w:tcBorders>
            <w:shd w:val="clear" w:color="auto" w:fill="EEECE1"/>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b/>
                <w:bCs/>
                <w:color w:val="000000"/>
                <w:sz w:val="28"/>
                <w:szCs w:val="28"/>
              </w:rPr>
              <w:t>提交形式</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1</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运维项目合同及附件</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无</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w:t>
            </w:r>
            <w:r>
              <w:rPr>
                <w:rFonts w:ascii="FangSong_GB2312" w:eastAsia="FangSong_GB2312" w:hAnsi="FangSong_GB2312" w:cs="FangSong_GB2312"/>
                <w:color w:val="000000"/>
                <w:sz w:val="28"/>
                <w:szCs w:val="28"/>
              </w:rPr>
              <w:t>1</w:t>
            </w:r>
            <w:r>
              <w:rPr>
                <w:rFonts w:ascii="FangSong_GB2312" w:eastAsia="FangSong_GB2312" w:hAnsi="FangSong_GB2312" w:cs="FangSong_GB2312"/>
                <w:color w:val="000000"/>
                <w:sz w:val="28"/>
                <w:szCs w:val="28"/>
              </w:rPr>
              <w:t>）扫描件，刻光盘</w:t>
            </w:r>
          </w:p>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w:t>
            </w:r>
            <w:r>
              <w:rPr>
                <w:rFonts w:ascii="FangSong_GB2312" w:eastAsia="FangSong_GB2312" w:hAnsi="FangSong_GB2312" w:cs="FangSong_GB2312"/>
                <w:color w:val="000000"/>
                <w:sz w:val="28"/>
                <w:szCs w:val="28"/>
              </w:rPr>
              <w:t>2</w:t>
            </w:r>
            <w:r>
              <w:rPr>
                <w:rFonts w:ascii="FangSong_GB2312" w:eastAsia="FangSong_GB2312" w:hAnsi="FangSong_GB2312" w:cs="FangSong_GB2312"/>
                <w:color w:val="000000"/>
                <w:sz w:val="28"/>
                <w:szCs w:val="28"/>
              </w:rPr>
              <w:t>）纸质版</w:t>
            </w:r>
            <w:r>
              <w:rPr>
                <w:rFonts w:ascii="FangSong_GB2312" w:eastAsia="FangSong_GB2312" w:hAnsi="FangSong_GB2312" w:cs="FangSong_GB2312"/>
                <w:color w:val="000000"/>
                <w:sz w:val="28"/>
                <w:szCs w:val="28"/>
              </w:rPr>
              <w:t>1</w:t>
            </w:r>
            <w:r>
              <w:rPr>
                <w:rFonts w:ascii="FangSong_GB2312" w:eastAsia="FangSong_GB2312" w:hAnsi="FangSong_GB2312" w:cs="FangSong_GB2312"/>
                <w:color w:val="000000"/>
                <w:sz w:val="28"/>
                <w:szCs w:val="28"/>
              </w:rPr>
              <w:t>份</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2</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运维人员清单</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需注明姓名、电话以及岗位</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w:t>
            </w:r>
            <w:r>
              <w:rPr>
                <w:rFonts w:ascii="FangSong_GB2312" w:eastAsia="FangSong_GB2312" w:hAnsi="FangSong_GB2312" w:cs="FangSong_GB2312"/>
                <w:color w:val="000000"/>
                <w:sz w:val="28"/>
                <w:szCs w:val="28"/>
              </w:rPr>
              <w:t>1</w:t>
            </w:r>
            <w:r>
              <w:rPr>
                <w:rFonts w:ascii="FangSong_GB2312" w:eastAsia="FangSong_GB2312" w:hAnsi="FangSong_GB2312" w:cs="FangSong_GB2312"/>
                <w:color w:val="000000"/>
                <w:sz w:val="28"/>
                <w:szCs w:val="28"/>
              </w:rPr>
              <w:t>）电子版，刻光盘</w:t>
            </w:r>
          </w:p>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w:t>
            </w:r>
            <w:r>
              <w:rPr>
                <w:rFonts w:ascii="FangSong_GB2312" w:eastAsia="FangSong_GB2312" w:hAnsi="FangSong_GB2312" w:cs="FangSong_GB2312"/>
                <w:color w:val="000000"/>
                <w:sz w:val="28"/>
                <w:szCs w:val="28"/>
              </w:rPr>
              <w:t>2</w:t>
            </w:r>
            <w:r>
              <w:rPr>
                <w:rFonts w:ascii="FangSong_GB2312" w:eastAsia="FangSong_GB2312" w:hAnsi="FangSong_GB2312" w:cs="FangSong_GB2312"/>
                <w:color w:val="000000"/>
                <w:sz w:val="28"/>
                <w:szCs w:val="28"/>
              </w:rPr>
              <w:t>）纸质版</w:t>
            </w:r>
            <w:r>
              <w:rPr>
                <w:rFonts w:ascii="FangSong_GB2312" w:eastAsia="FangSong_GB2312" w:hAnsi="FangSong_GB2312" w:cs="FangSong_GB2312"/>
                <w:color w:val="000000"/>
                <w:sz w:val="28"/>
                <w:szCs w:val="28"/>
              </w:rPr>
              <w:t>1</w:t>
            </w:r>
            <w:r>
              <w:rPr>
                <w:rFonts w:ascii="FangSong_GB2312" w:eastAsia="FangSong_GB2312" w:hAnsi="FangSong_GB2312" w:cs="FangSong_GB2312"/>
                <w:color w:val="000000"/>
                <w:sz w:val="28"/>
                <w:szCs w:val="28"/>
              </w:rPr>
              <w:t>份</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3</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运维工作计划</w:t>
            </w:r>
          </w:p>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（含人员清单，各类运维活动安排）</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列出运维服务中包括的服务类型，运维服务人员的组织结构。</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电子版，刻光盘</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lastRenderedPageBreak/>
              <w:t>4</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运维工作实施流程</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各类运维活动的实施流程，如故障响应流程、问题处理流程。</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电子版，刻光盘</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5</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运维工作量记录</w:t>
            </w:r>
          </w:p>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（实际发生）</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记录运维工作实际工作量的记录，如果没有相关记录，提供相关人员上下班打卡或同等记录。</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电子版，刻光盘</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6</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运维工作周报告</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开展运维工作时的日志，记录各项工作实施情况。</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电子版，刻光盘</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7</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运维工作月报告</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开展运维工作时的日志，记录各项工作实施情况。</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电子版，刻光盘</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8</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运维工作年报告</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开展运维工作时的日志，记录各项工作实施情况。</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w:t>
            </w:r>
            <w:r>
              <w:rPr>
                <w:rFonts w:ascii="FangSong_GB2312" w:eastAsia="FangSong_GB2312" w:hAnsi="FangSong_GB2312" w:cs="FangSong_GB2312"/>
                <w:color w:val="000000"/>
                <w:sz w:val="28"/>
                <w:szCs w:val="28"/>
              </w:rPr>
              <w:t>1</w:t>
            </w:r>
            <w:r>
              <w:rPr>
                <w:rFonts w:ascii="FangSong_GB2312" w:eastAsia="FangSong_GB2312" w:hAnsi="FangSong_GB2312" w:cs="FangSong_GB2312"/>
                <w:color w:val="000000"/>
                <w:sz w:val="28"/>
                <w:szCs w:val="28"/>
              </w:rPr>
              <w:t>）电子版，刻光盘</w:t>
            </w:r>
          </w:p>
          <w:p w:rsidR="00446B0B" w:rsidRDefault="00EA50EC">
            <w:pPr>
              <w:pStyle w:val="MsoNormal0"/>
              <w:spacing w:line="56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w:t>
            </w:r>
            <w:r>
              <w:rPr>
                <w:rFonts w:ascii="FangSong_GB2312" w:eastAsia="FangSong_GB2312" w:hAnsi="FangSong_GB2312" w:cs="FangSong_GB2312"/>
                <w:color w:val="000000"/>
                <w:sz w:val="28"/>
                <w:szCs w:val="28"/>
              </w:rPr>
              <w:t>2</w:t>
            </w:r>
            <w:r>
              <w:rPr>
                <w:rFonts w:ascii="FangSong_GB2312" w:eastAsia="FangSong_GB2312" w:hAnsi="FangSong_GB2312" w:cs="FangSong_GB2312"/>
                <w:color w:val="000000"/>
                <w:sz w:val="28"/>
                <w:szCs w:val="28"/>
              </w:rPr>
              <w:t>）纸质版</w:t>
            </w:r>
            <w:r>
              <w:rPr>
                <w:rFonts w:ascii="FangSong_GB2312" w:eastAsia="FangSong_GB2312" w:hAnsi="FangSong_GB2312" w:cs="FangSong_GB2312"/>
                <w:color w:val="000000"/>
                <w:sz w:val="28"/>
                <w:szCs w:val="28"/>
              </w:rPr>
              <w:t>1</w:t>
            </w:r>
            <w:r>
              <w:rPr>
                <w:rFonts w:ascii="FangSong_GB2312" w:eastAsia="FangSong_GB2312" w:hAnsi="FangSong_GB2312" w:cs="FangSong_GB2312"/>
                <w:color w:val="000000"/>
                <w:sz w:val="28"/>
                <w:szCs w:val="28"/>
              </w:rPr>
              <w:t>份</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9</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运维问题记录</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记录运维工作中处理的各种系统问题，如无详细记录，提供各类问题的大致数量供后续</w:t>
            </w:r>
            <w:r>
              <w:rPr>
                <w:rFonts w:ascii="FangSong_GB2312" w:eastAsia="FangSong_GB2312" w:hAnsi="FangSong_GB2312" w:cs="FangSong_GB2312"/>
                <w:color w:val="000000"/>
                <w:sz w:val="28"/>
                <w:szCs w:val="28"/>
              </w:rPr>
              <w:lastRenderedPageBreak/>
              <w:t>验证，或提供系统运行日志。</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lastRenderedPageBreak/>
              <w:t>电子版，刻光盘</w:t>
            </w:r>
          </w:p>
        </w:tc>
      </w:tr>
      <w:tr w:rsidR="00446B0B">
        <w:trPr>
          <w:tblCellSpacing w:w="0" w:type="dxa"/>
          <w:jc w:val="center"/>
        </w:trPr>
        <w:tc>
          <w:tcPr>
            <w:tcW w:w="137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spacing w:line="560" w:lineRule="atLeast"/>
              <w:ind w:firstLine="360"/>
              <w:jc w:val="both"/>
              <w:rPr>
                <w:rFonts w:ascii="Calibri" w:eastAsia="Calibri" w:hAnsi="Calibri" w:cs="Calibri"/>
                <w:color w:val="000000"/>
                <w:sz w:val="21"/>
                <w:szCs w:val="21"/>
              </w:rPr>
            </w:pPr>
            <w:r>
              <w:rPr>
                <w:rFonts w:ascii="FangSong_GB2312" w:eastAsia="FangSong_GB2312" w:hAnsi="FangSong_GB2312" w:cs="FangSong_GB2312"/>
                <w:color w:val="000000"/>
                <w:sz w:val="28"/>
                <w:szCs w:val="28"/>
              </w:rPr>
              <w:t>10</w:t>
            </w:r>
          </w:p>
        </w:tc>
        <w:tc>
          <w:tcPr>
            <w:tcW w:w="281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巡检记录等运维过程当中的相关文档</w:t>
            </w:r>
          </w:p>
        </w:tc>
        <w:tc>
          <w:tcPr>
            <w:tcW w:w="2965"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相关巡检记录等其他开展运维活动时产生的记录。</w:t>
            </w:r>
          </w:p>
        </w:tc>
        <w:tc>
          <w:tcPr>
            <w:tcW w:w="2966" w:type="dxa"/>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spacing w:line="56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8"/>
                <w:szCs w:val="28"/>
              </w:rPr>
              <w:t>电子版，刻光盘</w:t>
            </w:r>
          </w:p>
        </w:tc>
      </w:tr>
    </w:tbl>
    <w:p w:rsidR="00446B0B" w:rsidRDefault="00EA50EC">
      <w:pPr>
        <w:pStyle w:val="Heading10"/>
        <w:keepNext w:val="0"/>
        <w:spacing w:before="0" w:after="0" w:line="360" w:lineRule="auto"/>
        <w:jc w:val="center"/>
        <w:rPr>
          <w:rFonts w:ascii="FangSong_GB2312" w:eastAsia="FangSong_GB2312" w:hAnsi="FangSong_GB2312" w:cs="FangSong_GB2312"/>
        </w:rPr>
      </w:pPr>
      <w:bookmarkStart w:id="38" w:name="_Toc256000033"/>
      <w:r>
        <w:rPr>
          <w:rFonts w:ascii="FangSong_GB2312" w:eastAsia="FangSong_GB2312" w:hAnsi="FangSong_GB2312" w:cs="FangSong_GB2312"/>
          <w:kern w:val="36"/>
        </w:rPr>
        <w:t>10</w:t>
      </w:r>
      <w:r>
        <w:rPr>
          <w:rFonts w:ascii="FangSong_GB2312" w:eastAsia="FangSong_GB2312" w:hAnsi="FangSong_GB2312" w:cs="FangSong_GB2312"/>
          <w:kern w:val="36"/>
        </w:rPr>
        <w:t>其他要求</w:t>
      </w:r>
      <w:bookmarkEnd w:id="38"/>
    </w:p>
    <w:p w:rsidR="00446B0B" w:rsidRDefault="00EA50EC">
      <w:pPr>
        <w:pStyle w:val="Heading20"/>
        <w:keepNext w:val="0"/>
        <w:spacing w:before="0" w:after="0" w:line="360" w:lineRule="auto"/>
        <w:rPr>
          <w:rFonts w:ascii="FangSong_GB2312" w:eastAsia="FangSong_GB2312" w:hAnsi="FangSong_GB2312" w:cs="FangSong_GB2312"/>
        </w:rPr>
      </w:pPr>
      <w:bookmarkStart w:id="39" w:name="_Toc256000034"/>
      <w:r>
        <w:rPr>
          <w:rFonts w:ascii="FangSong_GB2312" w:eastAsia="FangSong_GB2312" w:hAnsi="FangSong_GB2312" w:cs="FangSong_GB2312"/>
          <w:i w:val="0"/>
          <w:iCs w:val="0"/>
        </w:rPr>
        <w:t>10.1</w:t>
      </w:r>
      <w:r>
        <w:rPr>
          <w:rFonts w:ascii="FangSong_GB2312" w:eastAsia="FangSong_GB2312" w:hAnsi="FangSong_GB2312" w:cs="FangSong_GB2312"/>
          <w:i w:val="0"/>
          <w:iCs w:val="0"/>
        </w:rPr>
        <w:t>必备要求</w:t>
      </w:r>
      <w:bookmarkEnd w:id="39"/>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40" w:name="_Toc256000035"/>
      <w:r>
        <w:rPr>
          <w:rFonts w:ascii="FangSong_GB2312" w:eastAsia="FangSong_GB2312" w:hAnsi="FangSong_GB2312" w:cs="FangSong_GB2312"/>
          <w:sz w:val="28"/>
          <w:szCs w:val="28"/>
        </w:rPr>
        <w:t>10.1.1★</w:t>
      </w:r>
      <w:r>
        <w:rPr>
          <w:rFonts w:ascii="FangSong_GB2312" w:eastAsia="FangSong_GB2312" w:hAnsi="FangSong_GB2312" w:cs="FangSong_GB2312"/>
          <w:sz w:val="28"/>
          <w:szCs w:val="28"/>
        </w:rPr>
        <w:t>税收信息化项目开发和应用管理工作要求</w:t>
      </w:r>
      <w:bookmarkEnd w:id="40"/>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41" w:name="_Toc256000036"/>
      <w:r>
        <w:rPr>
          <w:rFonts w:ascii="FangSong_GB2312" w:eastAsia="FangSong_GB2312" w:hAnsi="FangSong_GB2312" w:cs="FangSong_GB2312"/>
          <w:sz w:val="28"/>
          <w:szCs w:val="28"/>
        </w:rPr>
        <w:t>10.1.2★</w:t>
      </w:r>
      <w:r>
        <w:rPr>
          <w:rFonts w:ascii="FangSong_GB2312" w:eastAsia="FangSong_GB2312" w:hAnsi="FangSong_GB2312" w:cs="FangSong_GB2312"/>
          <w:sz w:val="28"/>
          <w:szCs w:val="28"/>
        </w:rPr>
        <w:t>税务信息化项目廉政要求</w:t>
      </w:r>
      <w:bookmarkEnd w:id="41"/>
    </w:p>
    <w:p w:rsidR="00446B0B" w:rsidRDefault="00EA50EC">
      <w:pPr>
        <w:pStyle w:val="17"/>
        <w:spacing w:line="360" w:lineRule="auto"/>
        <w:ind w:firstLine="560"/>
      </w:pPr>
      <w:r>
        <w:rPr>
          <w:rFonts w:ascii="FangSong_GB2312" w:eastAsia="FangSong_GB2312" w:hAnsi="FangSong_GB2312" w:cs="FangSong_GB2312"/>
          <w:sz w:val="28"/>
          <w:szCs w:val="28"/>
        </w:rPr>
        <w:t>中标人在参与税务部门信息化项目工作过程中，需严格遵守法律法规、规范履行合同，积极协助税务部门开展廉政风险防控工作。请严格遵守并落实如下要求：</w:t>
      </w:r>
    </w:p>
    <w:p w:rsidR="00446B0B" w:rsidRDefault="00EA50EC">
      <w:pPr>
        <w:pStyle w:val="17"/>
        <w:spacing w:line="360" w:lineRule="auto"/>
      </w:pPr>
      <w:r>
        <w:rPr>
          <w:rFonts w:ascii="FangSong_GB2312" w:eastAsia="FangSong_GB2312" w:hAnsi="FangSong_GB2312" w:cs="FangSong_GB2312"/>
          <w:sz w:val="28"/>
          <w:szCs w:val="28"/>
        </w:rPr>
        <w:t>一、积极发挥廉政风险防控正向作用。中标人有义务配合税务部门在信息化项目工作中加强廉政风险防控，执行有关措施。</w:t>
      </w:r>
    </w:p>
    <w:p w:rsidR="00446B0B" w:rsidRDefault="00EA50EC">
      <w:pPr>
        <w:pStyle w:val="17"/>
        <w:spacing w:line="360" w:lineRule="auto"/>
      </w:pPr>
      <w:r>
        <w:rPr>
          <w:rFonts w:ascii="FangSong_GB2312" w:eastAsia="FangSong_GB2312" w:hAnsi="FangSong_GB2312" w:cs="FangSong_GB2312"/>
          <w:sz w:val="28"/>
          <w:szCs w:val="28"/>
        </w:rPr>
        <w:t>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rsidR="00446B0B" w:rsidRDefault="00EA50EC">
      <w:pPr>
        <w:pStyle w:val="17"/>
        <w:spacing w:line="360" w:lineRule="auto"/>
      </w:pPr>
      <w:r>
        <w:rPr>
          <w:rFonts w:ascii="FangSong_GB2312" w:eastAsia="FangSong_GB2312" w:hAnsi="FangSong_GB2312" w:cs="FangSong_GB2312"/>
          <w:sz w:val="28"/>
          <w:szCs w:val="28"/>
        </w:rPr>
        <w:lastRenderedPageBreak/>
        <w:t>三、杜绝违纪违法行为。中标人及相关项目人员必须严格遵</w:t>
      </w:r>
      <w:r>
        <w:rPr>
          <w:rFonts w:ascii="FangSong_GB2312" w:eastAsia="FangSong_GB2312" w:hAnsi="FangSong_GB2312" w:cs="FangSong_GB2312"/>
          <w:sz w:val="28"/>
          <w:szCs w:val="28"/>
        </w:rPr>
        <w:t>守党纪国法，坚守职业道德，杜绝任何形式的利益输送、权力寻租等违纪违法行为，对甲方工作人员不得实施以下行为</w:t>
      </w:r>
      <w:r>
        <w:rPr>
          <w:rFonts w:ascii="FangSong_GB2312" w:eastAsia="FangSong_GB2312" w:hAnsi="FangSong_GB2312" w:cs="FangSong_GB2312"/>
          <w:sz w:val="28"/>
          <w:szCs w:val="28"/>
        </w:rPr>
        <w:t>:</w:t>
      </w:r>
    </w:p>
    <w:p w:rsidR="00446B0B" w:rsidRDefault="00EA50EC">
      <w:pPr>
        <w:pStyle w:val="17"/>
        <w:spacing w:line="360" w:lineRule="auto"/>
      </w:pPr>
      <w:r>
        <w:rPr>
          <w:rFonts w:ascii="FangSong_GB2312" w:eastAsia="FangSong_GB2312" w:hAnsi="FangSong_GB2312" w:cs="FangSong_GB2312"/>
          <w:sz w:val="28"/>
          <w:szCs w:val="28"/>
        </w:rPr>
        <w:t>（一）以各种形式和名义提供礼品、礼金、电子红包、支付凭证、商业预付卡、名贵特产、有价证券、股权、其他金融产品等财物。</w:t>
      </w:r>
    </w:p>
    <w:p w:rsidR="00446B0B" w:rsidRDefault="00EA50EC">
      <w:pPr>
        <w:pStyle w:val="17"/>
        <w:spacing w:line="360" w:lineRule="auto"/>
      </w:pPr>
      <w:r>
        <w:rPr>
          <w:rFonts w:ascii="FangSong_GB2312" w:eastAsia="FangSong_GB2312" w:hAnsi="FangSong_GB2312" w:cs="FangSong_GB2312"/>
          <w:sz w:val="28"/>
          <w:szCs w:val="28"/>
        </w:rPr>
        <w:t>（二）以各种形式和名义提供宴请、旅游、健身、娱乐、私人会所等活动安排；代付加班餐费、打车费等。</w:t>
      </w:r>
    </w:p>
    <w:p w:rsidR="00446B0B" w:rsidRDefault="00EA50EC">
      <w:pPr>
        <w:pStyle w:val="17"/>
        <w:spacing w:line="360" w:lineRule="auto"/>
      </w:pPr>
      <w:r>
        <w:rPr>
          <w:rFonts w:ascii="FangSong_GB2312" w:eastAsia="FangSong_GB2312" w:hAnsi="FangSong_GB2312" w:cs="FangSong_GB2312"/>
          <w:sz w:val="28"/>
          <w:szCs w:val="28"/>
        </w:rPr>
        <w:t>（三）以讲课费、咨询费等名义，提供或变相提供报酬。</w:t>
      </w:r>
    </w:p>
    <w:p w:rsidR="00446B0B" w:rsidRDefault="00EA50EC">
      <w:pPr>
        <w:pStyle w:val="17"/>
        <w:spacing w:line="360" w:lineRule="auto"/>
      </w:pPr>
      <w:r>
        <w:rPr>
          <w:rFonts w:ascii="FangSong_GB2312" w:eastAsia="FangSong_GB2312" w:hAnsi="FangSong_GB2312" w:cs="FangSong_GB2312"/>
          <w:sz w:val="28"/>
          <w:szCs w:val="28"/>
        </w:rPr>
        <w:t>（四）借款、借房、借车，报销应由个人负担的费用。</w:t>
      </w:r>
    </w:p>
    <w:p w:rsidR="00446B0B" w:rsidRDefault="00EA50EC">
      <w:pPr>
        <w:pStyle w:val="17"/>
        <w:spacing w:line="360" w:lineRule="auto"/>
      </w:pPr>
      <w:r>
        <w:rPr>
          <w:rFonts w:ascii="FangSong_GB2312" w:eastAsia="FangSong_GB2312" w:hAnsi="FangSong_GB2312" w:cs="FangSong_GB2312"/>
          <w:sz w:val="28"/>
          <w:szCs w:val="28"/>
        </w:rPr>
        <w:t>（五）以无偿、象征性地收取费用等方式提供家政、司机等服务劳务。</w:t>
      </w:r>
    </w:p>
    <w:p w:rsidR="00446B0B" w:rsidRDefault="00EA50EC">
      <w:pPr>
        <w:pStyle w:val="17"/>
        <w:spacing w:line="360" w:lineRule="auto"/>
      </w:pPr>
      <w:r>
        <w:rPr>
          <w:rFonts w:ascii="FangSong_GB2312" w:eastAsia="FangSong_GB2312" w:hAnsi="FangSong_GB2312" w:cs="FangSong_GB2312"/>
          <w:sz w:val="28"/>
          <w:szCs w:val="28"/>
        </w:rPr>
        <w:t>（六）其他通过任何形式行</w:t>
      </w:r>
      <w:r>
        <w:rPr>
          <w:rFonts w:ascii="FangSong_GB2312" w:eastAsia="FangSong_GB2312" w:hAnsi="FangSong_GB2312" w:cs="FangSong_GB2312"/>
          <w:sz w:val="28"/>
          <w:szCs w:val="28"/>
        </w:rPr>
        <w:t>贿或输送利益的行为。</w:t>
      </w:r>
    </w:p>
    <w:p w:rsidR="00446B0B" w:rsidRDefault="00EA50EC">
      <w:pPr>
        <w:pStyle w:val="17"/>
        <w:spacing w:line="360" w:lineRule="auto"/>
      </w:pPr>
      <w:r>
        <w:rPr>
          <w:rFonts w:ascii="FangSong_GB2312" w:eastAsia="FangSong_GB2312" w:hAnsi="FangSong_GB2312" w:cs="FangSong_GB2312"/>
          <w:sz w:val="28"/>
          <w:szCs w:val="28"/>
        </w:rPr>
        <w:t>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rsidR="00446B0B" w:rsidRDefault="00EA50EC">
      <w:pPr>
        <w:pStyle w:val="17"/>
        <w:spacing w:line="360" w:lineRule="auto"/>
      </w:pPr>
      <w:r>
        <w:rPr>
          <w:rFonts w:ascii="FangSong_GB2312" w:eastAsia="FangSong_GB2312" w:hAnsi="FangSong_GB2312" w:cs="FangSong_GB2312"/>
          <w:sz w:val="28"/>
          <w:szCs w:val="28"/>
        </w:rPr>
        <w:t>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rsidR="00446B0B" w:rsidRDefault="00EA50EC">
      <w:pPr>
        <w:pStyle w:val="17"/>
        <w:spacing w:line="360" w:lineRule="auto"/>
      </w:pPr>
      <w:r>
        <w:rPr>
          <w:rFonts w:ascii="FangSong_GB2312" w:eastAsia="FangSong_GB2312" w:hAnsi="FangSong_GB2312" w:cs="FangSong_GB2312"/>
          <w:sz w:val="28"/>
          <w:szCs w:val="28"/>
        </w:rPr>
        <w:t>六、举报和反馈意见。项目执行过程中，中标人有权举报、反馈甲方索贿受贿</w:t>
      </w:r>
      <w:r>
        <w:rPr>
          <w:rFonts w:ascii="FangSong_GB2312" w:eastAsia="FangSong_GB2312" w:hAnsi="FangSong_GB2312" w:cs="FangSong_GB2312"/>
          <w:sz w:val="28"/>
          <w:szCs w:val="28"/>
        </w:rPr>
        <w:t>、吃拿卡要、违反中央八项规定精神等违纪违法行为。项目验收前，应填写《税务信息化项目服务商廉政反馈书》，提交甲方税务机关网络安全和信息化领导小组办公室。</w:t>
      </w:r>
    </w:p>
    <w:p w:rsidR="00446B0B" w:rsidRDefault="00EA50EC">
      <w:pPr>
        <w:pStyle w:val="17"/>
        <w:spacing w:line="360" w:lineRule="auto"/>
        <w:jc w:val="center"/>
      </w:pPr>
      <w:r>
        <w:rPr>
          <w:rFonts w:ascii="方正小标宋简体" w:eastAsia="方正小标宋简体" w:hAnsi="方正小标宋简体" w:cs="方正小标宋简体"/>
          <w:sz w:val="36"/>
          <w:szCs w:val="36"/>
        </w:rPr>
        <w:t>税务信息化服务商廉洁承诺书</w:t>
      </w:r>
    </w:p>
    <w:p w:rsidR="00446B0B" w:rsidRDefault="00EA50EC">
      <w:pPr>
        <w:pStyle w:val="17"/>
        <w:spacing w:line="360" w:lineRule="auto"/>
      </w:pPr>
      <w:r>
        <w:rPr>
          <w:rFonts w:ascii="FangSong_GB2312" w:eastAsia="FangSong_GB2312" w:hAnsi="FangSong_GB2312" w:cs="FangSong_GB2312"/>
          <w:sz w:val="28"/>
          <w:szCs w:val="28"/>
        </w:rPr>
        <w:lastRenderedPageBreak/>
        <w:t>为深入贯彻落实党中央关于全面从严治党的决策部署，进一步加强税务信息化项目合作中的廉政建设，防范廉政风险发生，确保项目公开、公平、公正推进，我司郑重承诺如下：</w:t>
      </w:r>
    </w:p>
    <w:p w:rsidR="00446B0B" w:rsidRDefault="00EA50EC">
      <w:pPr>
        <w:pStyle w:val="17"/>
        <w:spacing w:line="360" w:lineRule="auto"/>
      </w:pPr>
      <w:r>
        <w:rPr>
          <w:rFonts w:ascii="黑体" w:eastAsia="黑体" w:hAnsi="黑体" w:cs="黑体"/>
          <w:sz w:val="28"/>
          <w:szCs w:val="28"/>
        </w:rPr>
        <w:t>一、合法合规经营。</w:t>
      </w:r>
      <w:r>
        <w:rPr>
          <w:rFonts w:ascii="FangSong_GB2312" w:eastAsia="FangSong_GB2312" w:hAnsi="FangSong_GB2312" w:cs="FangSong_GB2312"/>
          <w:sz w:val="28"/>
          <w:szCs w:val="28"/>
        </w:rPr>
        <w:t>严格遵守国家法律法规及税务部门的相关规定，坚持廉洁从业、诚信经营的原则。在合作过程中不以任何形式进行利益输送，维护良好的政商关系。</w:t>
      </w:r>
    </w:p>
    <w:p w:rsidR="00446B0B" w:rsidRDefault="00EA50EC">
      <w:pPr>
        <w:pStyle w:val="17"/>
        <w:spacing w:line="360" w:lineRule="auto"/>
      </w:pPr>
      <w:r>
        <w:rPr>
          <w:rFonts w:ascii="黑体" w:eastAsia="黑体" w:hAnsi="黑体" w:cs="黑体"/>
          <w:sz w:val="28"/>
          <w:szCs w:val="28"/>
        </w:rPr>
        <w:t>二、杜绝商业贿赂。</w:t>
      </w:r>
      <w:r>
        <w:rPr>
          <w:rFonts w:ascii="FangSong_GB2312" w:eastAsia="FangSong_GB2312" w:hAnsi="FangSong_GB2312" w:cs="FangSong_GB2312"/>
          <w:sz w:val="28"/>
          <w:szCs w:val="28"/>
        </w:rPr>
        <w:t>加强内部管理，我司及我司员工均不对甲方工作人员实施以下行为：</w:t>
      </w:r>
    </w:p>
    <w:p w:rsidR="00446B0B" w:rsidRDefault="00EA50EC">
      <w:pPr>
        <w:pStyle w:val="17"/>
        <w:spacing w:line="360" w:lineRule="auto"/>
      </w:pPr>
      <w:r>
        <w:rPr>
          <w:rFonts w:ascii="FangSong_GB2312" w:eastAsia="FangSong_GB2312" w:hAnsi="FangSong_GB2312" w:cs="FangSong_GB2312"/>
          <w:sz w:val="28"/>
          <w:szCs w:val="28"/>
        </w:rPr>
        <w:t>（一）以各种形式和名义提供礼品、礼金、电子红包、支付凭证、商业预付卡、名贵特产、有价证券、股权、其他金融产品等财物。</w:t>
      </w:r>
    </w:p>
    <w:p w:rsidR="00446B0B" w:rsidRDefault="00EA50EC">
      <w:pPr>
        <w:pStyle w:val="17"/>
        <w:spacing w:line="360" w:lineRule="auto"/>
      </w:pPr>
      <w:r>
        <w:rPr>
          <w:rFonts w:ascii="FangSong_GB2312" w:eastAsia="FangSong_GB2312" w:hAnsi="FangSong_GB2312" w:cs="FangSong_GB2312"/>
          <w:sz w:val="28"/>
          <w:szCs w:val="28"/>
        </w:rPr>
        <w:t>（二）以各种形式和名义提供宴请、旅游、健身、娱乐、私人会所等活动安排；代付加班餐费、打车费等。</w:t>
      </w:r>
    </w:p>
    <w:p w:rsidR="00446B0B" w:rsidRDefault="00EA50EC">
      <w:pPr>
        <w:pStyle w:val="17"/>
        <w:spacing w:line="360" w:lineRule="auto"/>
      </w:pPr>
      <w:r>
        <w:rPr>
          <w:rFonts w:ascii="FangSong_GB2312" w:eastAsia="FangSong_GB2312" w:hAnsi="FangSong_GB2312" w:cs="FangSong_GB2312"/>
          <w:sz w:val="28"/>
          <w:szCs w:val="28"/>
        </w:rPr>
        <w:t>（三）以讲课费、咨询费等名义，提供或变相提供报酬。</w:t>
      </w:r>
    </w:p>
    <w:p w:rsidR="00446B0B" w:rsidRDefault="00EA50EC">
      <w:pPr>
        <w:pStyle w:val="17"/>
        <w:spacing w:line="360" w:lineRule="auto"/>
      </w:pPr>
      <w:r>
        <w:rPr>
          <w:rFonts w:ascii="FangSong_GB2312" w:eastAsia="FangSong_GB2312" w:hAnsi="FangSong_GB2312" w:cs="FangSong_GB2312"/>
          <w:sz w:val="28"/>
          <w:szCs w:val="28"/>
        </w:rPr>
        <w:t>（四）借款、借房、借车，报销应由个人负担的费用。</w:t>
      </w:r>
    </w:p>
    <w:p w:rsidR="00446B0B" w:rsidRDefault="00EA50EC">
      <w:pPr>
        <w:pStyle w:val="17"/>
        <w:spacing w:line="360" w:lineRule="auto"/>
      </w:pPr>
      <w:r>
        <w:rPr>
          <w:rFonts w:ascii="FangSong_GB2312" w:eastAsia="FangSong_GB2312" w:hAnsi="FangSong_GB2312" w:cs="FangSong_GB2312"/>
          <w:sz w:val="28"/>
          <w:szCs w:val="28"/>
        </w:rPr>
        <w:t>（五）以无偿、象征性地收取费用等方式提供家政、司机等服务劳务。</w:t>
      </w:r>
    </w:p>
    <w:p w:rsidR="00446B0B" w:rsidRDefault="00EA50EC">
      <w:pPr>
        <w:pStyle w:val="17"/>
        <w:spacing w:line="360" w:lineRule="auto"/>
      </w:pPr>
      <w:r>
        <w:rPr>
          <w:rFonts w:ascii="FangSong_GB2312" w:eastAsia="FangSong_GB2312" w:hAnsi="FangSong_GB2312" w:cs="FangSong_GB2312"/>
          <w:sz w:val="28"/>
          <w:szCs w:val="28"/>
        </w:rPr>
        <w:t>（六）其他通过任何形式行贿或输送利益的行为。</w:t>
      </w:r>
    </w:p>
    <w:p w:rsidR="00446B0B" w:rsidRDefault="00EA50EC">
      <w:pPr>
        <w:pStyle w:val="17"/>
        <w:spacing w:line="360" w:lineRule="auto"/>
      </w:pPr>
      <w:r>
        <w:rPr>
          <w:rFonts w:ascii="黑体" w:eastAsia="黑体" w:hAnsi="黑体" w:cs="黑体"/>
          <w:sz w:val="28"/>
          <w:szCs w:val="28"/>
        </w:rPr>
        <w:t>三、规范经营活动。</w:t>
      </w:r>
      <w:r>
        <w:rPr>
          <w:rFonts w:ascii="FangSong_GB2312" w:eastAsia="FangSong_GB2312" w:hAnsi="FangSong_GB2312" w:cs="FangSong_GB2312"/>
          <w:sz w:val="28"/>
          <w:szCs w:val="28"/>
        </w:rPr>
        <w:t>严格按照合同约定履行义务，保证项目质量，按时完成建设任务；在合作过程中不以任何借口拖延工期、虚报成本或谋取私利。</w:t>
      </w:r>
    </w:p>
    <w:p w:rsidR="00446B0B" w:rsidRDefault="00EA50EC">
      <w:pPr>
        <w:pStyle w:val="17"/>
        <w:spacing w:line="360" w:lineRule="auto"/>
      </w:pPr>
      <w:r>
        <w:rPr>
          <w:rFonts w:ascii="黑体" w:eastAsia="黑体" w:hAnsi="黑体" w:cs="黑体"/>
          <w:sz w:val="28"/>
          <w:szCs w:val="28"/>
        </w:rPr>
        <w:t>四、公开透明合作。</w:t>
      </w:r>
      <w:r>
        <w:rPr>
          <w:rFonts w:ascii="FangSong_GB2312" w:eastAsia="FangSong_GB2312" w:hAnsi="FangSong_GB2312" w:cs="FangSong_GB2312"/>
          <w:sz w:val="28"/>
          <w:szCs w:val="28"/>
        </w:rPr>
        <w:t>我司承诺在项目实施过程中保持公开透明，主动接受税务部门及纪检监察机构的全程监督，并积极配合任何有关廉洁从业的调查工作。</w:t>
      </w:r>
    </w:p>
    <w:p w:rsidR="00446B0B" w:rsidRDefault="00EA50EC">
      <w:pPr>
        <w:pStyle w:val="17"/>
        <w:spacing w:line="360" w:lineRule="auto"/>
      </w:pPr>
      <w:r>
        <w:rPr>
          <w:rFonts w:ascii="黑体" w:eastAsia="黑体" w:hAnsi="黑体" w:cs="黑体"/>
          <w:sz w:val="28"/>
          <w:szCs w:val="28"/>
        </w:rPr>
        <w:t>五、严格内部管理。</w:t>
      </w:r>
      <w:r>
        <w:rPr>
          <w:rFonts w:ascii="FangSong_GB2312" w:eastAsia="FangSong_GB2312" w:hAnsi="FangSong_GB2312" w:cs="FangSong_GB2312"/>
          <w:sz w:val="28"/>
          <w:szCs w:val="28"/>
        </w:rPr>
        <w:t>加强企业内部廉洁教育，确保员工知晓并遵守相关法律法规及廉洁要求；加强项目实施全过程廉洁监督；对于违反廉洁承诺的员工，将严肃处理，并承担相应责任。</w:t>
      </w:r>
    </w:p>
    <w:p w:rsidR="00446B0B" w:rsidRDefault="00EA50EC">
      <w:pPr>
        <w:pStyle w:val="17"/>
        <w:spacing w:line="360" w:lineRule="auto"/>
      </w:pPr>
      <w:r>
        <w:rPr>
          <w:rFonts w:ascii="黑体" w:eastAsia="黑体" w:hAnsi="黑体" w:cs="黑体"/>
          <w:sz w:val="28"/>
          <w:szCs w:val="28"/>
        </w:rPr>
        <w:lastRenderedPageBreak/>
        <w:t>六、积极参与监督。</w:t>
      </w:r>
      <w:r>
        <w:rPr>
          <w:rFonts w:ascii="FangSong_GB2312" w:eastAsia="FangSong_GB2312" w:hAnsi="FangSong_GB2312" w:cs="FangSong_GB2312"/>
          <w:sz w:val="28"/>
          <w:szCs w:val="28"/>
        </w:rPr>
        <w:t>在税务信息化项目实施过程中，如发现任何违纪违法行为，将如实反馈问题和意见。</w:t>
      </w:r>
    </w:p>
    <w:p w:rsidR="00446B0B" w:rsidRDefault="00EA50EC">
      <w:pPr>
        <w:pStyle w:val="17"/>
        <w:spacing w:line="360" w:lineRule="auto"/>
      </w:pPr>
      <w:r>
        <w:rPr>
          <w:sz w:val="28"/>
          <w:szCs w:val="28"/>
        </w:rPr>
        <w:t> </w:t>
      </w:r>
    </w:p>
    <w:p w:rsidR="00446B0B" w:rsidRDefault="00EA50EC">
      <w:pPr>
        <w:pStyle w:val="17"/>
        <w:spacing w:line="360" w:lineRule="auto"/>
      </w:pPr>
      <w:r>
        <w:rPr>
          <w:sz w:val="28"/>
          <w:szCs w:val="28"/>
        </w:rPr>
        <w:t> </w:t>
      </w:r>
    </w:p>
    <w:p w:rsidR="00446B0B" w:rsidRDefault="00EA50EC">
      <w:pPr>
        <w:pStyle w:val="17"/>
        <w:spacing w:line="360" w:lineRule="auto"/>
      </w:pPr>
      <w:r>
        <w:rPr>
          <w:rFonts w:ascii="FangSong_GB2312" w:eastAsia="FangSong_GB2312" w:hAnsi="FangSong_GB2312" w:cs="FangSong_GB2312"/>
          <w:sz w:val="28"/>
          <w:szCs w:val="28"/>
        </w:rPr>
        <w:t>承诺单位（盖章）：</w:t>
      </w:r>
      <w:r>
        <w:rPr>
          <w:rFonts w:ascii="FangSong_GB2312" w:eastAsia="FangSong_GB2312" w:hAnsi="FangSong_GB2312" w:cs="FangSong_GB2312"/>
          <w:sz w:val="28"/>
          <w:szCs w:val="28"/>
        </w:rPr>
        <w:t>________________________</w:t>
      </w:r>
    </w:p>
    <w:p w:rsidR="00446B0B" w:rsidRDefault="00EA50EC">
      <w:pPr>
        <w:pStyle w:val="17"/>
        <w:spacing w:line="360" w:lineRule="auto"/>
      </w:pPr>
      <w:r>
        <w:rPr>
          <w:rFonts w:ascii="FangSong_GB2312" w:eastAsia="FangSong_GB2312" w:hAnsi="FangSong_GB2312" w:cs="FangSong_GB2312"/>
          <w:sz w:val="28"/>
          <w:szCs w:val="28"/>
        </w:rPr>
        <w:t>法定代表人或授权代表签字：</w:t>
      </w:r>
      <w:r>
        <w:rPr>
          <w:rFonts w:ascii="FangSong_GB2312" w:eastAsia="FangSong_GB2312" w:hAnsi="FangSong_GB2312" w:cs="FangSong_GB2312"/>
          <w:sz w:val="28"/>
          <w:szCs w:val="28"/>
        </w:rPr>
        <w:t>_______________</w:t>
      </w:r>
    </w:p>
    <w:p w:rsidR="00446B0B" w:rsidRDefault="00EA50EC">
      <w:pPr>
        <w:pStyle w:val="17"/>
        <w:spacing w:line="360" w:lineRule="auto"/>
      </w:pPr>
      <w:r>
        <w:rPr>
          <w:rFonts w:ascii="FangSong_GB2312" w:eastAsia="FangSong_GB2312" w:hAnsi="FangSong_GB2312" w:cs="FangSong_GB2312"/>
          <w:sz w:val="28"/>
          <w:szCs w:val="28"/>
        </w:rPr>
        <w:t>日期：</w:t>
      </w:r>
      <w:r>
        <w:rPr>
          <w:rFonts w:ascii="FangSong_GB2312" w:eastAsia="FangSong_GB2312" w:hAnsi="FangSong_GB2312" w:cs="FangSong_GB2312"/>
          <w:sz w:val="28"/>
          <w:szCs w:val="28"/>
        </w:rPr>
        <w:t>XX</w:t>
      </w:r>
      <w:r>
        <w:rPr>
          <w:rFonts w:ascii="FangSong_GB2312" w:eastAsia="FangSong_GB2312" w:hAnsi="FangSong_GB2312" w:cs="FangSong_GB2312"/>
          <w:sz w:val="28"/>
          <w:szCs w:val="28"/>
        </w:rPr>
        <w:t>年</w:t>
      </w:r>
      <w:r>
        <w:rPr>
          <w:rFonts w:ascii="FangSong_GB2312" w:eastAsia="FangSong_GB2312" w:hAnsi="FangSong_GB2312" w:cs="FangSong_GB2312"/>
          <w:sz w:val="28"/>
          <w:szCs w:val="28"/>
        </w:rPr>
        <w:t>XX</w:t>
      </w:r>
      <w:r>
        <w:rPr>
          <w:rFonts w:ascii="FangSong_GB2312" w:eastAsia="FangSong_GB2312" w:hAnsi="FangSong_GB2312" w:cs="FangSong_GB2312"/>
          <w:sz w:val="28"/>
          <w:szCs w:val="28"/>
        </w:rPr>
        <w:t>月</w:t>
      </w:r>
      <w:r>
        <w:rPr>
          <w:rFonts w:ascii="FangSong_GB2312" w:eastAsia="FangSong_GB2312" w:hAnsi="FangSong_GB2312" w:cs="FangSong_GB2312"/>
          <w:sz w:val="28"/>
          <w:szCs w:val="28"/>
        </w:rPr>
        <w:t>XX</w:t>
      </w:r>
      <w:r>
        <w:rPr>
          <w:rFonts w:ascii="FangSong_GB2312" w:eastAsia="FangSong_GB2312" w:hAnsi="FangSong_GB2312" w:cs="FangSong_GB2312"/>
          <w:sz w:val="28"/>
          <w:szCs w:val="28"/>
        </w:rPr>
        <w:t>日</w:t>
      </w:r>
    </w:p>
    <w:p w:rsidR="00446B0B" w:rsidRDefault="00EA50EC">
      <w:pPr>
        <w:pStyle w:val="17"/>
        <w:spacing w:line="360" w:lineRule="auto"/>
      </w:pPr>
      <w:r>
        <w:rPr>
          <w:rFonts w:ascii="FangSong_GB2312" w:eastAsia="FangSong_GB2312" w:hAnsi="FangSong_GB2312" w:cs="FangSong_GB2312"/>
          <w:sz w:val="21"/>
          <w:szCs w:val="21"/>
        </w:rPr>
        <w:t>备注：本承诺书一式两份，一份由承诺单位留存，另一份交税务部门备案。</w:t>
      </w:r>
    </w:p>
    <w:p w:rsidR="00446B0B" w:rsidRDefault="00EA50EC">
      <w:pPr>
        <w:pStyle w:val="17"/>
        <w:spacing w:line="360" w:lineRule="auto"/>
      </w:pPr>
      <w:r>
        <w:t> </w:t>
      </w:r>
    </w:p>
    <w:p w:rsidR="00446B0B" w:rsidRDefault="00EA50EC">
      <w:pPr>
        <w:pStyle w:val="17"/>
        <w:spacing w:line="360" w:lineRule="auto"/>
      </w:pPr>
      <w:r>
        <w:rPr>
          <w:rFonts w:ascii="FangSong_GB2312" w:eastAsia="FangSong_GB2312" w:hAnsi="FangSong_GB2312" w:cs="FangSong_GB2312"/>
          <w:sz w:val="28"/>
          <w:szCs w:val="28"/>
        </w:rPr>
        <w:t>项目终验前提交《税务信息化项目服务商廉政反馈书》</w:t>
      </w:r>
    </w:p>
    <w:p w:rsidR="00446B0B" w:rsidRDefault="00EA50EC">
      <w:pPr>
        <w:pStyle w:val="17"/>
        <w:spacing w:line="360" w:lineRule="auto"/>
        <w:jc w:val="center"/>
      </w:pPr>
      <w:r>
        <w:rPr>
          <w:rFonts w:ascii="方正小标宋简体" w:eastAsia="方正小标宋简体" w:hAnsi="方正小标宋简体" w:cs="方正小标宋简体"/>
          <w:sz w:val="36"/>
          <w:szCs w:val="36"/>
        </w:rPr>
        <w:t>税务信息化廉政情况反馈书</w:t>
      </w:r>
    </w:p>
    <w:tbl>
      <w:tblPr>
        <w:tblStyle w:val="19"/>
        <w:tblW w:w="9270" w:type="dxa"/>
        <w:tblCellSpacing w:w="0" w:type="dxa"/>
        <w:tblInd w:w="324" w:type="dxa"/>
        <w:tblCellMar>
          <w:top w:w="15" w:type="dxa"/>
          <w:left w:w="15" w:type="dxa"/>
          <w:bottom w:w="15" w:type="dxa"/>
          <w:right w:w="15" w:type="dxa"/>
        </w:tblCellMar>
        <w:tblLook w:val="05E0" w:firstRow="1" w:lastRow="1" w:firstColumn="1" w:lastColumn="1" w:noHBand="0" w:noVBand="1"/>
      </w:tblPr>
      <w:tblGrid>
        <w:gridCol w:w="3126"/>
        <w:gridCol w:w="6144"/>
      </w:tblGrid>
      <w:tr w:rsidR="00446B0B">
        <w:trPr>
          <w:trHeight w:val="840"/>
          <w:tblCellSpacing w:w="0" w:type="dxa"/>
        </w:trPr>
        <w:tc>
          <w:tcPr>
            <w:tcW w:w="10278" w:type="dxa"/>
            <w:gridSpan w:val="2"/>
            <w:tcBorders>
              <w:top w:val="single" w:sz="8" w:space="0" w:color="000000"/>
              <w:left w:val="single" w:sz="8" w:space="0" w:color="000000"/>
              <w:bottom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ind w:firstLine="632"/>
              <w:jc w:val="center"/>
              <w:textAlignment w:val="center"/>
              <w:rPr>
                <w:color w:val="000000"/>
              </w:rPr>
            </w:pPr>
            <w:r>
              <w:rPr>
                <w:rFonts w:ascii="黑体" w:eastAsia="黑体" w:hAnsi="黑体" w:cs="黑体"/>
                <w:color w:val="000000"/>
                <w:sz w:val="32"/>
                <w:szCs w:val="32"/>
              </w:rPr>
              <w:t>项目基本情况</w:t>
            </w:r>
          </w:p>
        </w:tc>
      </w:tr>
      <w:tr w:rsidR="00446B0B">
        <w:trPr>
          <w:trHeight w:val="285"/>
          <w:tblCellSpacing w:w="0" w:type="dxa"/>
        </w:trPr>
        <w:tc>
          <w:tcPr>
            <w:tcW w:w="3643" w:type="dxa"/>
            <w:tcBorders>
              <w:left w:val="single" w:sz="8" w:space="0" w:color="000000"/>
              <w:bottom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jc w:val="both"/>
              <w:textAlignment w:val="center"/>
              <w:rPr>
                <w:color w:val="000000"/>
              </w:rPr>
            </w:pPr>
            <w:r>
              <w:rPr>
                <w:rFonts w:ascii="FangSong_GB2312" w:eastAsia="FangSong_GB2312" w:hAnsi="FangSong_GB2312" w:cs="FangSong_GB2312"/>
                <w:b/>
                <w:bCs/>
                <w:color w:val="333333"/>
                <w:sz w:val="21"/>
                <w:szCs w:val="21"/>
              </w:rPr>
              <w:t>项目名称（编号）</w:t>
            </w:r>
          </w:p>
        </w:tc>
        <w:tc>
          <w:tcPr>
            <w:tcW w:w="7433" w:type="dxa"/>
            <w:tcBorders>
              <w:top w:val="single" w:sz="8" w:space="0" w:color="000000"/>
              <w:bottom w:val="single" w:sz="8" w:space="0" w:color="000000"/>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ind w:firstLine="472"/>
              <w:jc w:val="center"/>
              <w:textAlignment w:val="center"/>
              <w:rPr>
                <w:color w:val="000000"/>
              </w:rPr>
            </w:pPr>
            <w:r>
              <w:rPr>
                <w:rFonts w:ascii="FangSong_GB2312" w:eastAsia="FangSong_GB2312" w:hAnsi="FangSong_GB2312" w:cs="FangSong_GB2312"/>
                <w:color w:val="333333"/>
                <w:sz w:val="21"/>
                <w:szCs w:val="21"/>
              </w:rPr>
              <w:t>XXX</w:t>
            </w:r>
            <w:r>
              <w:rPr>
                <w:rFonts w:ascii="FangSong_GB2312" w:eastAsia="FangSong_GB2312" w:hAnsi="FangSong_GB2312" w:cs="FangSong_GB2312"/>
                <w:color w:val="333333"/>
                <w:sz w:val="21"/>
                <w:szCs w:val="21"/>
              </w:rPr>
              <w:t>税务信息化项目</w:t>
            </w:r>
            <w:r>
              <w:rPr>
                <w:rFonts w:ascii="FangSong_GB2312" w:eastAsia="FangSong_GB2312" w:hAnsi="FangSong_GB2312" w:cs="FangSong_GB2312"/>
                <w:color w:val="333333"/>
                <w:sz w:val="21"/>
                <w:szCs w:val="21"/>
              </w:rPr>
              <w:t xml:space="preserve">  </w:t>
            </w:r>
            <w:r>
              <w:rPr>
                <w:rFonts w:ascii="FangSong_GB2312" w:eastAsia="FangSong_GB2312" w:hAnsi="FangSong_GB2312" w:cs="FangSong_GB2312"/>
                <w:color w:val="333333"/>
                <w:sz w:val="21"/>
                <w:szCs w:val="21"/>
              </w:rPr>
              <w:t>项目编号</w:t>
            </w:r>
          </w:p>
        </w:tc>
      </w:tr>
      <w:tr w:rsidR="00446B0B">
        <w:trPr>
          <w:trHeight w:val="570"/>
          <w:tblCellSpacing w:w="0" w:type="dxa"/>
        </w:trPr>
        <w:tc>
          <w:tcPr>
            <w:tcW w:w="3643" w:type="dxa"/>
            <w:tcBorders>
              <w:left w:val="single" w:sz="8" w:space="0" w:color="000000"/>
              <w:bottom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服务商名称</w:t>
            </w:r>
          </w:p>
        </w:tc>
        <w:tc>
          <w:tcPr>
            <w:tcW w:w="7433" w:type="dxa"/>
            <w:tcBorders>
              <w:bottom w:val="single" w:sz="8" w:space="0" w:color="000000"/>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ind w:firstLine="472"/>
              <w:jc w:val="center"/>
              <w:textAlignment w:val="center"/>
              <w:rPr>
                <w:color w:val="000000"/>
              </w:rPr>
            </w:pPr>
            <w:r>
              <w:rPr>
                <w:rFonts w:ascii="FangSong_GB2312" w:eastAsia="FangSong_GB2312" w:hAnsi="FangSong_GB2312" w:cs="FangSong_GB2312"/>
                <w:color w:val="000000"/>
                <w:sz w:val="21"/>
                <w:szCs w:val="21"/>
              </w:rPr>
              <w:t>XXX</w:t>
            </w:r>
            <w:r>
              <w:rPr>
                <w:rFonts w:ascii="FangSong_GB2312" w:eastAsia="FangSong_GB2312" w:hAnsi="FangSong_GB2312" w:cs="FangSong_GB2312"/>
                <w:color w:val="000000"/>
                <w:sz w:val="21"/>
                <w:szCs w:val="21"/>
              </w:rPr>
              <w:t>公司</w:t>
            </w:r>
          </w:p>
        </w:tc>
      </w:tr>
      <w:tr w:rsidR="00446B0B">
        <w:trPr>
          <w:trHeight w:val="570"/>
          <w:tblCellSpacing w:w="0" w:type="dxa"/>
        </w:trPr>
        <w:tc>
          <w:tcPr>
            <w:tcW w:w="3643" w:type="dxa"/>
            <w:tcBorders>
              <w:left w:val="single" w:sz="8" w:space="0" w:color="000000"/>
              <w:bottom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联系人及电话</w:t>
            </w:r>
          </w:p>
        </w:tc>
        <w:tc>
          <w:tcPr>
            <w:tcW w:w="7433" w:type="dxa"/>
            <w:tcBorders>
              <w:bottom w:val="single" w:sz="8" w:space="0" w:color="000000"/>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ind w:firstLine="472"/>
              <w:jc w:val="center"/>
              <w:textAlignment w:val="center"/>
              <w:rPr>
                <w:color w:val="000000"/>
              </w:rPr>
            </w:pPr>
            <w:r>
              <w:rPr>
                <w:rFonts w:ascii="FangSong_GB2312" w:eastAsia="FangSong_GB2312" w:hAnsi="FangSong_GB2312" w:cs="FangSong_GB2312"/>
                <w:color w:val="000000"/>
                <w:sz w:val="21"/>
                <w:szCs w:val="21"/>
              </w:rPr>
              <w:t>联系人：</w:t>
            </w:r>
            <w:r>
              <w:rPr>
                <w:rFonts w:ascii="FangSong_GB2312" w:eastAsia="FangSong_GB2312" w:hAnsi="FangSong_GB2312" w:cs="FangSong_GB2312"/>
                <w:color w:val="000000"/>
                <w:sz w:val="21"/>
                <w:szCs w:val="21"/>
              </w:rPr>
              <w:t xml:space="preserve">  </w:t>
            </w:r>
            <w:r>
              <w:rPr>
                <w:rFonts w:ascii="FangSong_GB2312" w:eastAsia="FangSong_GB2312" w:hAnsi="FangSong_GB2312" w:cs="FangSong_GB2312"/>
                <w:color w:val="000000"/>
                <w:sz w:val="21"/>
                <w:szCs w:val="21"/>
              </w:rPr>
              <w:t>职务：</w:t>
            </w:r>
            <w:r>
              <w:rPr>
                <w:rFonts w:ascii="FangSong_GB2312" w:eastAsia="FangSong_GB2312" w:hAnsi="FangSong_GB2312" w:cs="FangSong_GB2312"/>
                <w:color w:val="000000"/>
                <w:sz w:val="21"/>
                <w:szCs w:val="21"/>
              </w:rPr>
              <w:t xml:space="preserve">   </w:t>
            </w:r>
            <w:r>
              <w:rPr>
                <w:rFonts w:ascii="FangSong_GB2312" w:eastAsia="FangSong_GB2312" w:hAnsi="FangSong_GB2312" w:cs="FangSong_GB2312"/>
                <w:color w:val="000000"/>
                <w:sz w:val="21"/>
                <w:szCs w:val="21"/>
              </w:rPr>
              <w:t>电话：</w:t>
            </w:r>
            <w:r>
              <w:rPr>
                <w:rFonts w:ascii="FangSong_GB2312" w:eastAsia="FangSong_GB2312" w:hAnsi="FangSong_GB2312" w:cs="FangSong_GB2312"/>
                <w:color w:val="000000"/>
                <w:sz w:val="21"/>
                <w:szCs w:val="21"/>
              </w:rPr>
              <w:t>123-4567890</w:t>
            </w:r>
          </w:p>
        </w:tc>
      </w:tr>
      <w:tr w:rsidR="00446B0B">
        <w:trPr>
          <w:trHeight w:val="570"/>
          <w:tblCellSpacing w:w="0" w:type="dxa"/>
        </w:trPr>
        <w:tc>
          <w:tcPr>
            <w:tcW w:w="3643" w:type="dxa"/>
            <w:tcBorders>
              <w:left w:val="single" w:sz="8" w:space="0" w:color="000000"/>
              <w:bottom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项目情况概述</w:t>
            </w:r>
          </w:p>
        </w:tc>
        <w:tc>
          <w:tcPr>
            <w:tcW w:w="7433" w:type="dxa"/>
            <w:tcBorders>
              <w:bottom w:val="single" w:sz="8" w:space="0" w:color="000000"/>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ind w:firstLine="472"/>
              <w:jc w:val="center"/>
              <w:textAlignment w:val="baseline"/>
              <w:rPr>
                <w:color w:val="000000"/>
              </w:rPr>
            </w:pPr>
            <w:r>
              <w:rPr>
                <w:rFonts w:ascii="FangSong_GB2312" w:eastAsia="FangSong_GB2312" w:hAnsi="FangSong_GB2312" w:cs="FangSong_GB2312"/>
                <w:color w:val="000000"/>
                <w:sz w:val="21"/>
                <w:szCs w:val="21"/>
              </w:rPr>
              <w:t> </w:t>
            </w:r>
          </w:p>
        </w:tc>
      </w:tr>
      <w:tr w:rsidR="00446B0B">
        <w:trPr>
          <w:trHeight w:val="700"/>
          <w:tblCellSpacing w:w="0" w:type="dxa"/>
        </w:trPr>
        <w:tc>
          <w:tcPr>
            <w:tcW w:w="0" w:type="auto"/>
            <w:gridSpan w:val="2"/>
            <w:tcBorders>
              <w:left w:val="single" w:sz="8" w:space="0" w:color="000000"/>
              <w:bottom w:val="single" w:sz="8" w:space="0" w:color="000000"/>
              <w:right w:val="single" w:sz="8" w:space="0" w:color="000000"/>
            </w:tcBorders>
            <w:noWrap/>
            <w:tcMar>
              <w:top w:w="0" w:type="dxa"/>
              <w:left w:w="168" w:type="dxa"/>
              <w:bottom w:w="0" w:type="dxa"/>
              <w:right w:w="168" w:type="dxa"/>
            </w:tcMar>
            <w:vAlign w:val="center"/>
            <w:hideMark/>
          </w:tcPr>
          <w:p w:rsidR="00446B0B" w:rsidRDefault="00EA50EC">
            <w:pPr>
              <w:pStyle w:val="18"/>
              <w:spacing w:line="580" w:lineRule="atLeast"/>
              <w:ind w:firstLine="632"/>
              <w:jc w:val="center"/>
              <w:textAlignment w:val="center"/>
              <w:rPr>
                <w:color w:val="000000"/>
              </w:rPr>
            </w:pPr>
            <w:r>
              <w:rPr>
                <w:rFonts w:ascii="黑体" w:eastAsia="黑体" w:hAnsi="黑体" w:cs="黑体"/>
                <w:color w:val="000000"/>
                <w:sz w:val="32"/>
                <w:szCs w:val="32"/>
              </w:rPr>
              <w:t>廉洁承诺履行情况</w:t>
            </w:r>
          </w:p>
        </w:tc>
      </w:tr>
      <w:tr w:rsidR="00446B0B">
        <w:trPr>
          <w:trHeight w:val="285"/>
          <w:tblCellSpacing w:w="0" w:type="dxa"/>
        </w:trPr>
        <w:tc>
          <w:tcPr>
            <w:tcW w:w="3643" w:type="dxa"/>
            <w:tcBorders>
              <w:left w:val="single" w:sz="8" w:space="0" w:color="000000"/>
              <w:bottom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jc w:val="both"/>
              <w:textAlignment w:val="center"/>
              <w:rPr>
                <w:color w:val="000000"/>
              </w:rPr>
            </w:pPr>
            <w:r>
              <w:rPr>
                <w:rFonts w:ascii="FangSong_GB2312" w:eastAsia="FangSong_GB2312" w:hAnsi="FangSong_GB2312" w:cs="FangSong_GB2312"/>
                <w:b/>
                <w:bCs/>
                <w:color w:val="333333"/>
                <w:sz w:val="21"/>
                <w:szCs w:val="21"/>
              </w:rPr>
              <w:t>反馈项</w:t>
            </w:r>
          </w:p>
        </w:tc>
        <w:tc>
          <w:tcPr>
            <w:tcW w:w="7433" w:type="dxa"/>
            <w:tcBorders>
              <w:top w:val="single" w:sz="8" w:space="0" w:color="000000"/>
              <w:bottom w:val="single" w:sz="8" w:space="0" w:color="000000"/>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ind w:firstLine="472"/>
              <w:jc w:val="center"/>
              <w:textAlignment w:val="center"/>
              <w:rPr>
                <w:color w:val="000000"/>
              </w:rPr>
            </w:pPr>
            <w:r>
              <w:rPr>
                <w:rFonts w:ascii="FangSong_GB2312" w:eastAsia="FangSong_GB2312" w:hAnsi="FangSong_GB2312" w:cs="FangSong_GB2312"/>
                <w:color w:val="333333"/>
                <w:sz w:val="21"/>
                <w:szCs w:val="21"/>
              </w:rPr>
              <w:t>反馈内容</w:t>
            </w:r>
          </w:p>
        </w:tc>
      </w:tr>
      <w:tr w:rsidR="00446B0B">
        <w:trPr>
          <w:trHeight w:val="570"/>
          <w:tblCellSpacing w:w="0" w:type="dxa"/>
        </w:trPr>
        <w:tc>
          <w:tcPr>
            <w:tcW w:w="3643" w:type="dxa"/>
            <w:tcBorders>
              <w:left w:val="single" w:sz="8" w:space="0" w:color="000000"/>
              <w:bottom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杜绝商业贿赂</w:t>
            </w:r>
          </w:p>
        </w:tc>
        <w:tc>
          <w:tcPr>
            <w:tcW w:w="7433" w:type="dxa"/>
            <w:tcBorders>
              <w:bottom w:val="single" w:sz="8" w:space="0" w:color="000000"/>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textAlignment w:val="center"/>
              <w:rPr>
                <w:color w:val="000000"/>
              </w:rPr>
            </w:pPr>
            <w:r>
              <w:rPr>
                <w:rFonts w:ascii="FangSong_GB2312" w:eastAsia="FangSong_GB2312" w:hAnsi="FangSong_GB2312" w:cs="FangSong_GB2312"/>
                <w:color w:val="000000"/>
                <w:sz w:val="21"/>
                <w:szCs w:val="21"/>
              </w:rPr>
              <w:t>向税务工作人员及其家属赠送礼品、礼金或提供任何形式的宴请、娱乐活动情况。</w:t>
            </w:r>
          </w:p>
        </w:tc>
      </w:tr>
      <w:tr w:rsidR="00446B0B">
        <w:trPr>
          <w:trHeight w:val="570"/>
          <w:tblCellSpacing w:w="0" w:type="dxa"/>
        </w:trPr>
        <w:tc>
          <w:tcPr>
            <w:tcW w:w="3643" w:type="dxa"/>
            <w:tcBorders>
              <w:left w:val="single" w:sz="8" w:space="0" w:color="000000"/>
              <w:bottom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规范经营活动</w:t>
            </w:r>
          </w:p>
        </w:tc>
        <w:tc>
          <w:tcPr>
            <w:tcW w:w="7433" w:type="dxa"/>
            <w:tcBorders>
              <w:bottom w:val="single" w:sz="8" w:space="0" w:color="000000"/>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textAlignment w:val="center"/>
              <w:rPr>
                <w:color w:val="000000"/>
              </w:rPr>
            </w:pPr>
            <w:r>
              <w:rPr>
                <w:rFonts w:ascii="FangSong_GB2312" w:eastAsia="FangSong_GB2312" w:hAnsi="FangSong_GB2312" w:cs="FangSong_GB2312"/>
                <w:color w:val="000000"/>
                <w:sz w:val="21"/>
                <w:szCs w:val="21"/>
              </w:rPr>
              <w:t>按照合同要求，按时完成各阶段任务，确保项目质量和进度情况。</w:t>
            </w:r>
          </w:p>
        </w:tc>
      </w:tr>
      <w:tr w:rsidR="00446B0B">
        <w:trPr>
          <w:trHeight w:val="570"/>
          <w:tblCellSpacing w:w="0" w:type="dxa"/>
        </w:trPr>
        <w:tc>
          <w:tcPr>
            <w:tcW w:w="3643" w:type="dxa"/>
            <w:tcBorders>
              <w:left w:val="single" w:sz="8" w:space="0" w:color="000000"/>
              <w:bottom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公开透明合作</w:t>
            </w:r>
          </w:p>
        </w:tc>
        <w:tc>
          <w:tcPr>
            <w:tcW w:w="7433" w:type="dxa"/>
            <w:tcBorders>
              <w:bottom w:val="single" w:sz="8" w:space="0" w:color="000000"/>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textAlignment w:val="center"/>
              <w:rPr>
                <w:color w:val="000000"/>
              </w:rPr>
            </w:pPr>
            <w:r>
              <w:rPr>
                <w:rFonts w:ascii="FangSong_GB2312" w:eastAsia="FangSong_GB2312" w:hAnsi="FangSong_GB2312" w:cs="FangSong_GB2312"/>
                <w:color w:val="000000"/>
                <w:sz w:val="21"/>
                <w:szCs w:val="21"/>
              </w:rPr>
              <w:t>在项目实施过程中保持信息公开透明，主动接受相关部门的监</w:t>
            </w:r>
            <w:r>
              <w:rPr>
                <w:rFonts w:ascii="FangSong_GB2312" w:eastAsia="FangSong_GB2312" w:hAnsi="FangSong_GB2312" w:cs="FangSong_GB2312"/>
                <w:color w:val="000000"/>
                <w:sz w:val="21"/>
                <w:szCs w:val="21"/>
              </w:rPr>
              <w:lastRenderedPageBreak/>
              <w:t>督和检查情况。</w:t>
            </w:r>
          </w:p>
        </w:tc>
      </w:tr>
      <w:tr w:rsidR="00446B0B">
        <w:trPr>
          <w:trHeight w:val="405"/>
          <w:tblCellSpacing w:w="0" w:type="dxa"/>
        </w:trPr>
        <w:tc>
          <w:tcPr>
            <w:tcW w:w="0" w:type="auto"/>
            <w:gridSpan w:val="2"/>
            <w:tcBorders>
              <w:left w:val="single" w:sz="8" w:space="0" w:color="000000"/>
              <w:bottom w:val="single" w:sz="8" w:space="0" w:color="000000"/>
              <w:right w:val="single" w:sz="8" w:space="0" w:color="000000"/>
            </w:tcBorders>
            <w:noWrap/>
            <w:tcMar>
              <w:top w:w="0" w:type="dxa"/>
              <w:left w:w="168" w:type="dxa"/>
              <w:bottom w:w="0" w:type="dxa"/>
              <w:right w:w="168" w:type="dxa"/>
            </w:tcMar>
            <w:vAlign w:val="center"/>
            <w:hideMark/>
          </w:tcPr>
          <w:p w:rsidR="00446B0B" w:rsidRDefault="00EA50EC">
            <w:pPr>
              <w:pStyle w:val="18"/>
              <w:spacing w:line="580" w:lineRule="atLeast"/>
              <w:ind w:firstLine="632"/>
              <w:jc w:val="center"/>
              <w:textAlignment w:val="center"/>
              <w:rPr>
                <w:color w:val="000000"/>
              </w:rPr>
            </w:pPr>
            <w:r>
              <w:rPr>
                <w:rFonts w:ascii="黑体" w:eastAsia="黑体" w:hAnsi="黑体" w:cs="黑体"/>
                <w:color w:val="000000"/>
                <w:sz w:val="32"/>
                <w:szCs w:val="32"/>
              </w:rPr>
              <w:lastRenderedPageBreak/>
              <w:t>税务人员履职期间廉政情况</w:t>
            </w:r>
          </w:p>
        </w:tc>
      </w:tr>
      <w:tr w:rsidR="00446B0B">
        <w:trPr>
          <w:trHeight w:val="505"/>
          <w:tblCellSpacing w:w="0" w:type="dxa"/>
        </w:trPr>
        <w:tc>
          <w:tcPr>
            <w:tcW w:w="3643" w:type="dxa"/>
            <w:vMerge w:val="restart"/>
            <w:tcBorders>
              <w:left w:val="single" w:sz="8" w:space="0" w:color="000000"/>
              <w:right w:val="single" w:sz="8" w:space="0" w:color="000000"/>
            </w:tcBorders>
            <w:tcMar>
              <w:top w:w="0" w:type="dxa"/>
              <w:left w:w="168" w:type="dxa"/>
              <w:bottom w:w="0" w:type="dxa"/>
              <w:right w:w="168" w:type="dxa"/>
            </w:tcMar>
            <w:vAlign w:val="center"/>
            <w:hideMark/>
          </w:tcPr>
          <w:p w:rsidR="00446B0B" w:rsidRDefault="00EA50EC">
            <w:pPr>
              <w:pStyle w:val="18"/>
              <w:spacing w:line="580" w:lineRule="atLeast"/>
              <w:jc w:val="both"/>
              <w:textAlignment w:val="center"/>
              <w:rPr>
                <w:color w:val="000000"/>
              </w:rPr>
            </w:pPr>
            <w:r>
              <w:rPr>
                <w:rFonts w:ascii="FangSong_GB2312" w:eastAsia="FangSong_GB2312" w:hAnsi="FangSong_GB2312" w:cs="FangSong_GB2312"/>
                <w:b/>
                <w:bCs/>
                <w:color w:val="000000"/>
                <w:sz w:val="21"/>
                <w:szCs w:val="21"/>
              </w:rPr>
              <w:t>税务人员履职过程存在违纪违规行为</w:t>
            </w:r>
          </w:p>
        </w:tc>
        <w:tc>
          <w:tcPr>
            <w:tcW w:w="7433" w:type="dxa"/>
            <w:tcBorders>
              <w:top w:val="single" w:sz="8" w:space="0" w:color="000000"/>
              <w:bottom w:val="single" w:sz="8" w:space="0" w:color="000000"/>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ind w:firstLine="472"/>
              <w:jc w:val="center"/>
              <w:textAlignment w:val="center"/>
              <w:rPr>
                <w:color w:val="000000"/>
              </w:rPr>
            </w:pPr>
            <w:r>
              <w:rPr>
                <w:rFonts w:ascii="FangSong_GB2312" w:eastAsia="FangSong_GB2312" w:hAnsi="FangSong_GB2312" w:cs="FangSong_GB2312"/>
                <w:color w:val="333333"/>
                <w:sz w:val="21"/>
                <w:szCs w:val="21"/>
              </w:rPr>
              <w:t>否</w:t>
            </w:r>
          </w:p>
        </w:tc>
      </w:tr>
      <w:tr w:rsidR="00446B0B">
        <w:trPr>
          <w:trHeight w:val="475"/>
          <w:tblCellSpacing w:w="0" w:type="dxa"/>
        </w:trPr>
        <w:tc>
          <w:tcPr>
            <w:tcW w:w="0" w:type="auto"/>
            <w:vMerge/>
            <w:tcBorders>
              <w:left w:val="single" w:sz="8" w:space="0" w:color="000000"/>
              <w:right w:val="single" w:sz="8" w:space="0" w:color="000000"/>
            </w:tcBorders>
            <w:vAlign w:val="center"/>
            <w:hideMark/>
          </w:tcPr>
          <w:p w:rsidR="00446B0B" w:rsidRDefault="00446B0B">
            <w:pPr>
              <w:pStyle w:val="Normal0"/>
              <w:rPr>
                <w:rFonts w:ascii="FangSong_GB2312" w:eastAsia="FangSong_GB2312" w:hAnsi="FangSong_GB2312" w:cs="FangSong_GB2312"/>
                <w:color w:val="333333"/>
                <w:sz w:val="21"/>
                <w:szCs w:val="21"/>
              </w:rPr>
            </w:pPr>
          </w:p>
        </w:tc>
        <w:tc>
          <w:tcPr>
            <w:tcW w:w="7433" w:type="dxa"/>
            <w:vMerge w:val="restart"/>
            <w:tcBorders>
              <w:right w:val="single" w:sz="8" w:space="0" w:color="000000"/>
            </w:tcBorders>
            <w:tcMar>
              <w:top w:w="0" w:type="dxa"/>
              <w:left w:w="108" w:type="dxa"/>
              <w:bottom w:w="0" w:type="dxa"/>
              <w:right w:w="168" w:type="dxa"/>
            </w:tcMar>
            <w:vAlign w:val="center"/>
            <w:hideMark/>
          </w:tcPr>
          <w:p w:rsidR="00446B0B" w:rsidRDefault="00EA50EC">
            <w:pPr>
              <w:pStyle w:val="18"/>
              <w:spacing w:line="580" w:lineRule="atLeast"/>
              <w:ind w:firstLine="472"/>
              <w:jc w:val="center"/>
              <w:textAlignment w:val="center"/>
              <w:rPr>
                <w:color w:val="000000"/>
              </w:rPr>
            </w:pPr>
            <w:r>
              <w:rPr>
                <w:rFonts w:ascii="FangSong_GB2312" w:eastAsia="FangSong_GB2312" w:hAnsi="FangSong_GB2312" w:cs="FangSong_GB2312"/>
                <w:color w:val="000000"/>
                <w:sz w:val="21"/>
                <w:szCs w:val="21"/>
              </w:rPr>
              <w:t>是（说明具体情况）</w:t>
            </w:r>
          </w:p>
        </w:tc>
      </w:tr>
      <w:tr w:rsidR="00446B0B">
        <w:trPr>
          <w:trHeight w:val="537"/>
          <w:tblCellSpacing w:w="0" w:type="dxa"/>
        </w:trPr>
        <w:tc>
          <w:tcPr>
            <w:tcW w:w="0" w:type="auto"/>
            <w:vMerge/>
            <w:tcBorders>
              <w:left w:val="single" w:sz="8" w:space="0" w:color="000000"/>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21"/>
                <w:szCs w:val="21"/>
              </w:rPr>
            </w:pPr>
          </w:p>
        </w:tc>
      </w:tr>
    </w:tbl>
    <w:p w:rsidR="00446B0B" w:rsidRDefault="00EA50EC">
      <w:pPr>
        <w:pStyle w:val="17"/>
        <w:spacing w:line="360" w:lineRule="auto"/>
      </w:pPr>
      <w:r>
        <w:rPr>
          <w:sz w:val="28"/>
          <w:szCs w:val="28"/>
        </w:rPr>
        <w:t> </w:t>
      </w:r>
    </w:p>
    <w:p w:rsidR="00446B0B" w:rsidRDefault="00EA50EC">
      <w:pPr>
        <w:pStyle w:val="17"/>
        <w:spacing w:line="360" w:lineRule="auto"/>
      </w:pPr>
      <w:r>
        <w:rPr>
          <w:sz w:val="28"/>
          <w:szCs w:val="28"/>
        </w:rPr>
        <w:t> </w:t>
      </w:r>
      <w:r>
        <w:rPr>
          <w:rStyle w:val="15Character"/>
          <w:rFonts w:ascii="FangSong_GB2312" w:eastAsia="FangSong_GB2312" w:hAnsi="FangSong_GB2312" w:cs="FangSong_GB2312"/>
          <w:sz w:val="28"/>
          <w:szCs w:val="28"/>
          <w:shd w:val="clear" w:color="auto" w:fill="FFFFFF"/>
        </w:rPr>
        <w:t>提交单位（盖章）：</w:t>
      </w:r>
      <w:r>
        <w:rPr>
          <w:rStyle w:val="15Character"/>
          <w:rFonts w:ascii="FangSong_GB2312" w:eastAsia="FangSong_GB2312" w:hAnsi="FangSong_GB2312" w:cs="FangSong_GB2312"/>
          <w:sz w:val="28"/>
          <w:szCs w:val="28"/>
          <w:shd w:val="clear" w:color="auto" w:fill="FFFFFF"/>
        </w:rPr>
        <w:t>XXX</w:t>
      </w:r>
      <w:r>
        <w:rPr>
          <w:rStyle w:val="15Character"/>
          <w:rFonts w:ascii="FangSong_GB2312" w:eastAsia="FangSong_GB2312" w:hAnsi="FangSong_GB2312" w:cs="FangSong_GB2312"/>
          <w:sz w:val="28"/>
          <w:szCs w:val="28"/>
          <w:shd w:val="clear" w:color="auto" w:fill="FFFFFF"/>
        </w:rPr>
        <w:t>公司</w:t>
      </w:r>
    </w:p>
    <w:p w:rsidR="00446B0B" w:rsidRDefault="00EA50EC">
      <w:pPr>
        <w:pStyle w:val="17"/>
        <w:spacing w:line="360" w:lineRule="auto"/>
      </w:pPr>
      <w:r>
        <w:rPr>
          <w:rStyle w:val="15Character"/>
          <w:rFonts w:ascii="FangSong_GB2312" w:eastAsia="FangSong_GB2312" w:hAnsi="FangSong_GB2312" w:cs="FangSong_GB2312"/>
          <w:sz w:val="28"/>
          <w:szCs w:val="28"/>
          <w:shd w:val="clear" w:color="auto" w:fill="FFFFFF"/>
        </w:rPr>
        <w:t>法定代表人或授权代表签字：</w:t>
      </w:r>
      <w:r>
        <w:rPr>
          <w:rStyle w:val="15Character"/>
          <w:rFonts w:ascii="FangSong_GB2312" w:eastAsia="FangSong_GB2312" w:hAnsi="FangSong_GB2312" w:cs="FangSong_GB2312"/>
          <w:sz w:val="28"/>
          <w:szCs w:val="28"/>
          <w:shd w:val="clear" w:color="auto" w:fill="FFFFFF"/>
        </w:rPr>
        <w:t>_______________________</w:t>
      </w:r>
    </w:p>
    <w:p w:rsidR="00446B0B" w:rsidRDefault="00EA50EC">
      <w:pPr>
        <w:pStyle w:val="17"/>
        <w:spacing w:line="360" w:lineRule="auto"/>
      </w:pPr>
      <w:r>
        <w:t> </w:t>
      </w:r>
    </w:p>
    <w:p w:rsidR="00446B0B" w:rsidRDefault="00EA50EC">
      <w:pPr>
        <w:pStyle w:val="16"/>
        <w:spacing w:line="360" w:lineRule="auto"/>
      </w:pPr>
      <w:r>
        <w:rPr>
          <w:rStyle w:val="15Character"/>
          <w:rFonts w:ascii="FangSong_GB2312" w:eastAsia="FangSong_GB2312" w:hAnsi="FangSong_GB2312" w:cs="FangSong_GB2312"/>
          <w:sz w:val="32"/>
          <w:szCs w:val="32"/>
          <w:shd w:val="clear" w:color="auto" w:fill="FFFFFF"/>
        </w:rPr>
        <w:t>日期：</w:t>
      </w:r>
      <w:r>
        <w:rPr>
          <w:rStyle w:val="15Character"/>
          <w:rFonts w:ascii="FangSong_GB2312" w:eastAsia="FangSong_GB2312" w:hAnsi="FangSong_GB2312" w:cs="FangSong_GB2312"/>
          <w:sz w:val="32"/>
          <w:szCs w:val="32"/>
          <w:shd w:val="clear" w:color="auto" w:fill="FFFFFF"/>
        </w:rPr>
        <w:t>XX</w:t>
      </w:r>
      <w:r>
        <w:rPr>
          <w:rStyle w:val="15Character"/>
          <w:rFonts w:ascii="FangSong_GB2312" w:eastAsia="FangSong_GB2312" w:hAnsi="FangSong_GB2312" w:cs="FangSong_GB2312"/>
          <w:sz w:val="32"/>
          <w:szCs w:val="32"/>
          <w:shd w:val="clear" w:color="auto" w:fill="FFFFFF"/>
        </w:rPr>
        <w:t>年</w:t>
      </w:r>
      <w:r>
        <w:rPr>
          <w:rStyle w:val="15Character"/>
          <w:rFonts w:ascii="FangSong_GB2312" w:eastAsia="FangSong_GB2312" w:hAnsi="FangSong_GB2312" w:cs="FangSong_GB2312"/>
          <w:sz w:val="32"/>
          <w:szCs w:val="32"/>
          <w:shd w:val="clear" w:color="auto" w:fill="FFFFFF"/>
        </w:rPr>
        <w:t>XX</w:t>
      </w:r>
      <w:r>
        <w:rPr>
          <w:rStyle w:val="15Character"/>
          <w:rFonts w:ascii="FangSong_GB2312" w:eastAsia="FangSong_GB2312" w:hAnsi="FangSong_GB2312" w:cs="FangSong_GB2312"/>
          <w:sz w:val="32"/>
          <w:szCs w:val="32"/>
          <w:shd w:val="clear" w:color="auto" w:fill="FFFFFF"/>
        </w:rPr>
        <w:t>月</w:t>
      </w:r>
      <w:r>
        <w:rPr>
          <w:rStyle w:val="15Character"/>
          <w:rFonts w:ascii="FangSong_GB2312" w:eastAsia="FangSong_GB2312" w:hAnsi="FangSong_GB2312" w:cs="FangSong_GB2312"/>
          <w:sz w:val="32"/>
          <w:szCs w:val="32"/>
          <w:shd w:val="clear" w:color="auto" w:fill="FFFFFF"/>
        </w:rPr>
        <w:t>XX</w:t>
      </w:r>
      <w:r>
        <w:rPr>
          <w:rStyle w:val="15Character"/>
          <w:rFonts w:ascii="FangSong_GB2312" w:eastAsia="FangSong_GB2312" w:hAnsi="FangSong_GB2312" w:cs="FangSong_GB2312"/>
          <w:sz w:val="32"/>
          <w:szCs w:val="32"/>
          <w:shd w:val="clear" w:color="auto" w:fill="FFFFFF"/>
        </w:rPr>
        <w:t>日</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42" w:name="_Toc256000037"/>
      <w:r>
        <w:rPr>
          <w:rFonts w:ascii="FangSong_GB2312" w:eastAsia="FangSong_GB2312" w:hAnsi="FangSong_GB2312" w:cs="FangSong_GB2312"/>
          <w:sz w:val="28"/>
          <w:szCs w:val="28"/>
        </w:rPr>
        <w:t>10.1.3★</w:t>
      </w:r>
      <w:r>
        <w:rPr>
          <w:rFonts w:ascii="FangSong_GB2312" w:eastAsia="FangSong_GB2312" w:hAnsi="FangSong_GB2312" w:cs="FangSong_GB2312"/>
          <w:sz w:val="28"/>
          <w:szCs w:val="28"/>
        </w:rPr>
        <w:t>供应链安全管理要求</w:t>
      </w:r>
      <w:bookmarkEnd w:id="42"/>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、人员资格要求</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）签订承诺书。供应商应严格落实国家税务总局网络安全和保密管理要求，承担技术支持人员的网络安全和保密管理责任，按采购人要求签订协议和承诺书。</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）开展背景审查。供应商承担技术支持人员背景审查工作，提供其身份证明、履历、家庭成员及主要社会关系、无犯罪记录证明等材料，并提交采购人进行备案。</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3</w:t>
      </w:r>
      <w:r>
        <w:rPr>
          <w:rFonts w:ascii="FangSong_GB2312" w:eastAsia="FangSong_GB2312" w:hAnsi="FangSong_GB2312" w:cs="FangSong_GB2312"/>
          <w:sz w:val="28"/>
          <w:szCs w:val="28"/>
        </w:rPr>
        <w:t>）设置网络安全负责人（由驻场运维人员兼任）。供应商为本项目配备一名网络安全负责人，该负责人具备独立决策能力并保持相对稳定，在项目实施的全过程负责网络安全工作，</w:t>
      </w:r>
      <w:r>
        <w:rPr>
          <w:rFonts w:ascii="FangSong_GB2312" w:eastAsia="FangSong_GB2312" w:hAnsi="FangSong_GB2312" w:cs="FangSong_GB2312"/>
          <w:sz w:val="28"/>
          <w:szCs w:val="28"/>
        </w:rPr>
        <w:t>组织落实各项网络安全要求。</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、日常行为规范要求</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工作能力要求。供应商负责对技术支持人员进行资格条件、工作胜任力以及网络安全能力评估，对技术支持人员承担的工作进行安全保密风险分析，明确技术支持人员工作范围和边界，重点防范设备和资料失窃、</w:t>
      </w:r>
      <w:r>
        <w:rPr>
          <w:rFonts w:ascii="FangSong_GB2312" w:eastAsia="FangSong_GB2312" w:hAnsi="FangSong_GB2312" w:cs="FangSong_GB2312"/>
          <w:sz w:val="28"/>
          <w:szCs w:val="28"/>
        </w:rPr>
        <w:lastRenderedPageBreak/>
        <w:t>误操作导致的软硬件故障、工作秘密和税费数据等信息泄露、信息系统越权访问和网络攻击等风险。</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）教育培训要求。供应商负责对技术支持人员进行网络和数据安全法律法规、网络安全意识、网络安全管理、网络安全技能、保密意识以及网络安全警示教育等培训，上岗前对其进行考核。</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、违约惩戒措施</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供应商对供应链安全管理责任落实不到位，造成安全事件或产生不良影响的，采购人按照法律法规及合同约定进行处理。</w:t>
      </w:r>
    </w:p>
    <w:p w:rsidR="00446B0B" w:rsidRDefault="00EA50EC">
      <w:pPr>
        <w:pStyle w:val="16"/>
        <w:spacing w:line="360" w:lineRule="auto"/>
        <w:ind w:firstLine="640"/>
        <w:jc w:val="both"/>
      </w:pPr>
      <w:r>
        <w:rPr>
          <w:rFonts w:ascii="FangSong_GB2312" w:eastAsia="FangSong_GB2312" w:hAnsi="FangSong_GB2312" w:cs="FangSong_GB2312"/>
          <w:sz w:val="28"/>
          <w:szCs w:val="28"/>
        </w:rPr>
        <w:t>（一）厂商及人员安全管理需求</w:t>
      </w:r>
    </w:p>
    <w:p w:rsidR="00446B0B" w:rsidRDefault="00EA50EC">
      <w:pPr>
        <w:pStyle w:val="16"/>
        <w:spacing w:line="360" w:lineRule="auto"/>
        <w:ind w:firstLine="640"/>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rsidR="00446B0B" w:rsidRDefault="00EA50EC">
      <w:pPr>
        <w:pStyle w:val="16"/>
        <w:spacing w:line="360" w:lineRule="auto"/>
        <w:ind w:firstLine="640"/>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供应链厂商要配合税务机关对涉及税务机关税务信息化项目（以下简称项目）的人员做好背景审查。</w:t>
      </w:r>
    </w:p>
    <w:p w:rsidR="00446B0B" w:rsidRDefault="00EA50EC">
      <w:pPr>
        <w:pStyle w:val="16"/>
        <w:spacing w:line="360" w:lineRule="auto"/>
        <w:ind w:firstLine="640"/>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供应链厂商要定期对聘用离职税务人员情况进行排查，</w:t>
      </w:r>
      <w:r>
        <w:rPr>
          <w:rFonts w:ascii="FangSong_GB2312" w:eastAsia="FangSong_GB2312" w:hAnsi="FangSong_GB2312" w:cs="FangSong_GB2312"/>
          <w:sz w:val="28"/>
          <w:szCs w:val="28"/>
        </w:rPr>
        <w:t>建立相关资料档案，确保人员安全可信。</w:t>
      </w:r>
    </w:p>
    <w:p w:rsidR="00446B0B" w:rsidRDefault="00EA50EC">
      <w:pPr>
        <w:pStyle w:val="16"/>
        <w:spacing w:line="360" w:lineRule="auto"/>
        <w:ind w:firstLine="640"/>
      </w:pPr>
      <w:r>
        <w:rPr>
          <w:rFonts w:ascii="FangSong_GB2312" w:eastAsia="FangSong_GB2312" w:hAnsi="FangSong_GB2312" w:cs="FangSong_GB2312"/>
          <w:sz w:val="28"/>
          <w:szCs w:val="28"/>
        </w:rPr>
        <w:t>4.</w:t>
      </w:r>
      <w:r>
        <w:rPr>
          <w:rFonts w:ascii="FangSong_GB2312" w:eastAsia="FangSong_GB2312" w:hAnsi="FangSong_GB2312" w:cs="FangSong_GB2312"/>
          <w:sz w:val="28"/>
          <w:szCs w:val="28"/>
        </w:rPr>
        <w:t>供应链厂商要建立网络安全负责人制度，并配备一名具备独立决策能力并保持相对稳定的负责人，在项目实施的全过程负责网络安全和数据安全工作，组织落实各项网络安全和数据安全要求。</w:t>
      </w:r>
    </w:p>
    <w:p w:rsidR="00446B0B" w:rsidRDefault="00EA50EC">
      <w:pPr>
        <w:pStyle w:val="16"/>
        <w:spacing w:line="360" w:lineRule="auto"/>
        <w:ind w:firstLine="640"/>
      </w:pPr>
      <w:r>
        <w:rPr>
          <w:rFonts w:ascii="FangSong_GB2312" w:eastAsia="FangSong_GB2312" w:hAnsi="FangSong_GB2312" w:cs="FangSong_GB2312"/>
          <w:sz w:val="28"/>
          <w:szCs w:val="28"/>
        </w:rPr>
        <w:t>5.</w:t>
      </w:r>
      <w:r>
        <w:rPr>
          <w:rFonts w:ascii="FangSong_GB2312" w:eastAsia="FangSong_GB2312" w:hAnsi="FangSong_GB2312" w:cs="FangSong_GB2312"/>
          <w:sz w:val="28"/>
          <w:szCs w:val="28"/>
        </w:rPr>
        <w:t>供应链厂商在项目实施前，要对参与人员开展网络和数据安全法律法规、税务机关供应链厂商及人员网络数据相关安全守则、安全技能、保密常识等方面的教育培训并考核合格；在项目开展期间，供应链厂商要定期开展相关培训、考核及警示教育，供应链厂商要通过教育培训不断提</w:t>
      </w:r>
      <w:r>
        <w:rPr>
          <w:rFonts w:ascii="FangSong_GB2312" w:eastAsia="FangSong_GB2312" w:hAnsi="FangSong_GB2312" w:cs="FangSong_GB2312"/>
          <w:sz w:val="28"/>
          <w:szCs w:val="28"/>
        </w:rPr>
        <w:lastRenderedPageBreak/>
        <w:t>高厂商人员的网络和数据安全意识及保密意识。供应链</w:t>
      </w:r>
      <w:r>
        <w:rPr>
          <w:rFonts w:ascii="FangSong_GB2312" w:eastAsia="FangSong_GB2312" w:hAnsi="FangSong_GB2312" w:cs="FangSong_GB2312"/>
          <w:sz w:val="28"/>
          <w:szCs w:val="28"/>
        </w:rPr>
        <w:t>厂商要对在项目开展期间离开涉及税务项目的人员进行离项审计。</w:t>
      </w:r>
    </w:p>
    <w:p w:rsidR="00446B0B" w:rsidRDefault="00EA50EC">
      <w:pPr>
        <w:pStyle w:val="MsoNormal0"/>
        <w:spacing w:line="360" w:lineRule="auto"/>
        <w:ind w:firstLine="640"/>
        <w:jc w:val="both"/>
      </w:pPr>
      <w:r>
        <w:rPr>
          <w:rFonts w:ascii="FangSong_GB2312" w:eastAsia="FangSong_GB2312" w:hAnsi="FangSong_GB2312" w:cs="FangSong_GB2312"/>
          <w:sz w:val="28"/>
          <w:szCs w:val="28"/>
        </w:rPr>
        <w:t>6.</w:t>
      </w:r>
      <w:r>
        <w:rPr>
          <w:rFonts w:ascii="FangSong_GB2312" w:eastAsia="FangSong_GB2312" w:hAnsi="FangSong_GB2312" w:cs="FangSong_GB2312"/>
          <w:sz w:val="28"/>
          <w:szCs w:val="28"/>
        </w:rPr>
        <w:t>供应链厂商要及时向税务机关报告可能发生影响网络安全的重大事项，包括负责人及重要工作人员变更、业务转型、合并重组、投资并购等。</w:t>
      </w:r>
    </w:p>
    <w:p w:rsidR="00446B0B" w:rsidRDefault="00EA50EC">
      <w:pPr>
        <w:pStyle w:val="MsoNormal0"/>
        <w:spacing w:line="360" w:lineRule="auto"/>
        <w:ind w:firstLine="640"/>
        <w:jc w:val="both"/>
      </w:pPr>
      <w:r>
        <w:rPr>
          <w:rFonts w:ascii="FangSong_GB2312" w:eastAsia="FangSong_GB2312" w:hAnsi="FangSong_GB2312" w:cs="FangSong_GB2312"/>
          <w:sz w:val="28"/>
          <w:szCs w:val="28"/>
        </w:rPr>
        <w:t>7.</w:t>
      </w:r>
      <w:r>
        <w:rPr>
          <w:rFonts w:ascii="FangSong_GB2312" w:eastAsia="FangSong_GB2312" w:hAnsi="FangSong_GB2312" w:cs="FangSong_GB2312"/>
          <w:sz w:val="28"/>
          <w:szCs w:val="28"/>
        </w:rPr>
        <w:t>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rsidR="00446B0B" w:rsidRDefault="00EA50EC">
      <w:pPr>
        <w:pStyle w:val="16"/>
        <w:spacing w:line="360" w:lineRule="auto"/>
        <w:ind w:firstLine="640"/>
        <w:jc w:val="both"/>
      </w:pPr>
      <w:r>
        <w:rPr>
          <w:rFonts w:ascii="FangSong_GB2312" w:eastAsia="FangSong_GB2312" w:hAnsi="FangSong_GB2312" w:cs="FangSong_GB2312"/>
          <w:sz w:val="28"/>
          <w:szCs w:val="28"/>
        </w:rPr>
        <w:t>8.</w:t>
      </w:r>
      <w:r>
        <w:rPr>
          <w:rFonts w:ascii="FangSong_GB2312" w:eastAsia="FangSong_GB2312" w:hAnsi="FangSong_GB2312" w:cs="FangSong_GB2312"/>
          <w:sz w:val="28"/>
          <w:szCs w:val="28"/>
        </w:rPr>
        <w:t>供应链厂商及人员要严格遵守采购合同、协议、承诺书等文件中的安全相关条款。</w:t>
      </w:r>
    </w:p>
    <w:p w:rsidR="00446B0B" w:rsidRDefault="00EA50EC">
      <w:pPr>
        <w:pStyle w:val="16"/>
        <w:spacing w:line="360" w:lineRule="auto"/>
        <w:ind w:firstLine="640"/>
        <w:jc w:val="both"/>
      </w:pPr>
      <w:r>
        <w:rPr>
          <w:rFonts w:ascii="FangSong_GB2312" w:eastAsia="FangSong_GB2312" w:hAnsi="FangSong_GB2312" w:cs="FangSong_GB2312"/>
          <w:sz w:val="28"/>
          <w:szCs w:val="28"/>
        </w:rPr>
        <w:t>9.</w:t>
      </w:r>
      <w:r>
        <w:rPr>
          <w:rFonts w:ascii="FangSong_GB2312" w:eastAsia="FangSong_GB2312" w:hAnsi="FangSong_GB2312" w:cs="FangSong_GB2312"/>
          <w:sz w:val="28"/>
          <w:szCs w:val="28"/>
        </w:rPr>
        <w:t>供应链厂商要按照税务机关相关要求，对关键信息基础设施和重要信息系统进行自查，不利用提供产品和服务的便利条件非法获取数据、非法控制和操纵设备，不中断产品供应或必要的技术支持服务等。</w:t>
      </w:r>
    </w:p>
    <w:p w:rsidR="00446B0B" w:rsidRDefault="00EA50EC">
      <w:pPr>
        <w:pStyle w:val="16"/>
        <w:spacing w:line="360" w:lineRule="auto"/>
        <w:ind w:firstLine="640"/>
        <w:jc w:val="both"/>
      </w:pPr>
      <w:r>
        <w:rPr>
          <w:rFonts w:ascii="FangSong_GB2312" w:eastAsia="FangSong_GB2312" w:hAnsi="FangSong_GB2312" w:cs="FangSong_GB2312"/>
          <w:sz w:val="28"/>
          <w:szCs w:val="28"/>
        </w:rPr>
        <w:t>10.</w:t>
      </w:r>
      <w:r>
        <w:rPr>
          <w:rFonts w:ascii="FangSong_GB2312" w:eastAsia="FangSong_GB2312" w:hAnsi="FangSong_GB2312" w:cs="FangSong_GB2312"/>
          <w:sz w:val="28"/>
          <w:szCs w:val="28"/>
        </w:rPr>
        <w:t>供应链厂商要加强人员违规违纪管理，对违规违纪行为按签订合同、协议、承诺书等相关条款进行处理，建立《违规违纪管理档案表》。对涉嫌违法犯罪的人员，要主动依照相应法律法规移交有关部门处理。</w:t>
      </w:r>
    </w:p>
    <w:p w:rsidR="00446B0B" w:rsidRDefault="00EA50EC">
      <w:pPr>
        <w:pStyle w:val="MsoNormal0"/>
        <w:spacing w:line="360" w:lineRule="auto"/>
        <w:ind w:firstLine="640"/>
        <w:jc w:val="both"/>
      </w:pPr>
      <w:r>
        <w:rPr>
          <w:rFonts w:ascii="FangSong_GB2312" w:eastAsia="FangSong_GB2312" w:hAnsi="FangSong_GB2312" w:cs="FangSong_GB2312"/>
          <w:sz w:val="28"/>
          <w:szCs w:val="28"/>
        </w:rPr>
        <w:t>11.</w:t>
      </w:r>
      <w:r>
        <w:rPr>
          <w:rFonts w:ascii="FangSong_GB2312" w:eastAsia="FangSong_GB2312" w:hAnsi="FangSong_GB2312" w:cs="FangSong_GB2312"/>
          <w:sz w:val="28"/>
          <w:szCs w:val="28"/>
        </w:rPr>
        <w:t>供应链厂商要严格落实风险控制、审计巡查、应急处置等方面的工作要求，确保系统安全稳定运行。供应链厂商要按着各项要求，撰写《年度供应链安</w:t>
      </w:r>
      <w:r>
        <w:rPr>
          <w:rFonts w:ascii="FangSong_GB2312" w:eastAsia="FangSong_GB2312" w:hAnsi="FangSong_GB2312" w:cs="FangSong_GB2312"/>
          <w:sz w:val="28"/>
          <w:szCs w:val="28"/>
        </w:rPr>
        <w:t>全自查报告》并提交税务机关。</w:t>
      </w:r>
    </w:p>
    <w:p w:rsidR="00446B0B" w:rsidRDefault="00EA50EC">
      <w:pPr>
        <w:pStyle w:val="16"/>
        <w:spacing w:line="360" w:lineRule="auto"/>
        <w:ind w:firstLine="640"/>
        <w:jc w:val="both"/>
      </w:pPr>
      <w:r>
        <w:rPr>
          <w:rFonts w:ascii="FangSong_GB2312" w:eastAsia="FangSong_GB2312" w:hAnsi="FangSong_GB2312" w:cs="FangSong_GB2312"/>
          <w:sz w:val="28"/>
          <w:szCs w:val="28"/>
        </w:rPr>
        <w:t>（二）进驻税务机关办公安全管理需求</w:t>
      </w:r>
    </w:p>
    <w:p w:rsidR="00446B0B" w:rsidRDefault="00EA50EC">
      <w:pPr>
        <w:pStyle w:val="16"/>
        <w:spacing w:line="360" w:lineRule="auto"/>
        <w:ind w:firstLine="640"/>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供应链厂商要加强驻场办公人员在日常工作中的行为安全管理，严格遵守运维场地管理规定及税务机关基础设施（机房）管理制度。</w:t>
      </w:r>
    </w:p>
    <w:p w:rsidR="00446B0B" w:rsidRDefault="00EA50EC">
      <w:pPr>
        <w:pStyle w:val="16"/>
        <w:spacing w:line="360" w:lineRule="auto"/>
        <w:ind w:firstLine="640"/>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驻场办公人员进驻运维场地期间不得携带个人电脑、个人存储介质（</w:t>
      </w:r>
      <w:r>
        <w:rPr>
          <w:rFonts w:ascii="FangSong_GB2312" w:eastAsia="FangSong_GB2312" w:hAnsi="FangSong_GB2312" w:cs="FangSong_GB2312"/>
          <w:sz w:val="28"/>
          <w:szCs w:val="28"/>
        </w:rPr>
        <w:t>U</w:t>
      </w:r>
      <w:r>
        <w:rPr>
          <w:rFonts w:ascii="FangSong_GB2312" w:eastAsia="FangSong_GB2312" w:hAnsi="FangSong_GB2312" w:cs="FangSong_GB2312"/>
          <w:sz w:val="28"/>
          <w:szCs w:val="28"/>
        </w:rPr>
        <w:t>盘）、未授权软件安装包等工具。</w:t>
      </w:r>
    </w:p>
    <w:p w:rsidR="00446B0B" w:rsidRDefault="00EA50EC">
      <w:pPr>
        <w:pStyle w:val="16"/>
        <w:spacing w:line="360" w:lineRule="auto"/>
        <w:ind w:firstLine="640"/>
      </w:pPr>
      <w:r>
        <w:rPr>
          <w:rFonts w:ascii="FangSong_GB2312" w:eastAsia="FangSong_GB2312" w:hAnsi="FangSong_GB2312" w:cs="FangSong_GB2312"/>
          <w:sz w:val="28"/>
          <w:szCs w:val="28"/>
        </w:rPr>
        <w:lastRenderedPageBreak/>
        <w:t>3.</w:t>
      </w:r>
      <w:r>
        <w:rPr>
          <w:rFonts w:ascii="FangSong_GB2312" w:eastAsia="FangSong_GB2312" w:hAnsi="FangSong_GB2312" w:cs="FangSong_GB2312"/>
          <w:sz w:val="28"/>
          <w:szCs w:val="28"/>
        </w:rPr>
        <w:t>驻场办公人员未经授权不允许访问、维护、维修基础设施。</w:t>
      </w:r>
    </w:p>
    <w:p w:rsidR="00446B0B" w:rsidRDefault="00EA50EC">
      <w:pPr>
        <w:pStyle w:val="16"/>
        <w:spacing w:line="360" w:lineRule="auto"/>
        <w:ind w:firstLine="640"/>
      </w:pPr>
      <w:r>
        <w:rPr>
          <w:rFonts w:ascii="FangSong_GB2312" w:eastAsia="FangSong_GB2312" w:hAnsi="FangSong_GB2312" w:cs="FangSong_GB2312"/>
          <w:sz w:val="28"/>
          <w:szCs w:val="28"/>
        </w:rPr>
        <w:t>4.</w:t>
      </w:r>
      <w:r>
        <w:rPr>
          <w:rFonts w:ascii="FangSong_GB2312" w:eastAsia="FangSong_GB2312" w:hAnsi="FangSong_GB2312" w:cs="FangSong_GB2312"/>
          <w:sz w:val="28"/>
          <w:szCs w:val="28"/>
        </w:rPr>
        <w:t>驻场办公人员严禁私自使用运维终端打印及刻录输出数据。</w:t>
      </w:r>
    </w:p>
    <w:p w:rsidR="00446B0B" w:rsidRDefault="00EA50EC">
      <w:pPr>
        <w:pStyle w:val="16"/>
        <w:spacing w:line="360" w:lineRule="auto"/>
        <w:ind w:firstLine="640"/>
      </w:pPr>
      <w:r>
        <w:rPr>
          <w:rFonts w:ascii="FangSong_GB2312" w:eastAsia="FangSong_GB2312" w:hAnsi="FangSong_GB2312" w:cs="FangSong_GB2312"/>
          <w:sz w:val="28"/>
          <w:szCs w:val="28"/>
        </w:rPr>
        <w:t>5.</w:t>
      </w:r>
      <w:r>
        <w:rPr>
          <w:rFonts w:ascii="FangSong_GB2312" w:eastAsia="FangSong_GB2312" w:hAnsi="FangSong_GB2312" w:cs="FangSong_GB2312"/>
          <w:sz w:val="28"/>
          <w:szCs w:val="28"/>
        </w:rPr>
        <w:t>驻场办公人员不得向第三方提供基础设施、场地设计图、设备部署图等有关信息。</w:t>
      </w:r>
    </w:p>
    <w:p w:rsidR="00446B0B" w:rsidRDefault="00EA50EC">
      <w:pPr>
        <w:pStyle w:val="16"/>
        <w:spacing w:line="360" w:lineRule="auto"/>
        <w:ind w:firstLine="640"/>
      </w:pPr>
      <w:r>
        <w:rPr>
          <w:rFonts w:ascii="FangSong_GB2312" w:eastAsia="FangSong_GB2312" w:hAnsi="FangSong_GB2312" w:cs="FangSong_GB2312"/>
          <w:sz w:val="28"/>
          <w:szCs w:val="28"/>
        </w:rPr>
        <w:t>6.</w:t>
      </w:r>
      <w:r>
        <w:rPr>
          <w:rFonts w:ascii="FangSong_GB2312" w:eastAsia="FangSong_GB2312" w:hAnsi="FangSong_GB2312" w:cs="FangSong_GB2312"/>
          <w:sz w:val="28"/>
          <w:szCs w:val="28"/>
        </w:rPr>
        <w:t>驻场办公人员使用的终端必须安</w:t>
      </w:r>
      <w:r>
        <w:rPr>
          <w:rFonts w:ascii="FangSong_GB2312" w:eastAsia="FangSong_GB2312" w:hAnsi="FangSong_GB2312" w:cs="FangSong_GB2312"/>
          <w:sz w:val="28"/>
          <w:szCs w:val="28"/>
        </w:rPr>
        <w:t>装防病毒软件，定期开展终端病毒查杀，并形成病毒查杀文档。</w:t>
      </w:r>
    </w:p>
    <w:p w:rsidR="00446B0B" w:rsidRDefault="00EA50EC">
      <w:pPr>
        <w:pStyle w:val="16"/>
        <w:spacing w:line="360" w:lineRule="auto"/>
        <w:ind w:firstLine="640"/>
      </w:pPr>
      <w:r>
        <w:rPr>
          <w:rFonts w:ascii="FangSong_GB2312" w:eastAsia="FangSong_GB2312" w:hAnsi="FangSong_GB2312" w:cs="FangSong_GB2312"/>
          <w:sz w:val="28"/>
          <w:szCs w:val="28"/>
        </w:rPr>
        <w:t>7.</w:t>
      </w:r>
      <w:r>
        <w:rPr>
          <w:rFonts w:ascii="FangSong_GB2312" w:eastAsia="FangSong_GB2312" w:hAnsi="FangSong_GB2312" w:cs="FangSong_GB2312"/>
          <w:sz w:val="28"/>
          <w:szCs w:val="28"/>
        </w:rPr>
        <w:t>驻场办公人员不得将工作数据、工作内容、工作环境等任何与工作有关的信息传播至</w:t>
      </w:r>
      <w:r>
        <w:rPr>
          <w:rFonts w:ascii="FangSong_GB2312" w:eastAsia="FangSong_GB2312" w:hAnsi="FangSong_GB2312" w:cs="FangSong_GB2312"/>
          <w:sz w:val="28"/>
          <w:szCs w:val="28"/>
        </w:rPr>
        <w:t>QQ</w:t>
      </w:r>
      <w:r>
        <w:rPr>
          <w:rFonts w:ascii="FangSong_GB2312" w:eastAsia="FangSong_GB2312" w:hAnsi="FangSong_GB2312" w:cs="FangSong_GB2312"/>
          <w:sz w:val="28"/>
          <w:szCs w:val="28"/>
        </w:rPr>
        <w:t>、微信或任何与工作无关的地方。</w:t>
      </w:r>
    </w:p>
    <w:p w:rsidR="00446B0B" w:rsidRDefault="00EA50EC">
      <w:pPr>
        <w:pStyle w:val="16"/>
        <w:spacing w:line="360" w:lineRule="auto"/>
        <w:ind w:firstLine="640"/>
        <w:jc w:val="both"/>
      </w:pPr>
      <w:r>
        <w:rPr>
          <w:rFonts w:ascii="FangSong_GB2312" w:eastAsia="FangSong_GB2312" w:hAnsi="FangSong_GB2312" w:cs="FangSong_GB2312"/>
          <w:sz w:val="28"/>
          <w:szCs w:val="28"/>
        </w:rPr>
        <w:t>（三）开发建设安全管理需求</w:t>
      </w:r>
    </w:p>
    <w:p w:rsidR="00446B0B" w:rsidRDefault="00EA50EC">
      <w:pPr>
        <w:pStyle w:val="16"/>
        <w:spacing w:line="360" w:lineRule="auto"/>
        <w:ind w:firstLine="640"/>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供应链厂商的软件研发工作场所需安全可控可信，要搭建专用的开发测试环境，配置安全可信的开发管理工具，设置可靠的权限管理策略，确保项目研发安全可控。</w:t>
      </w:r>
    </w:p>
    <w:p w:rsidR="00446B0B" w:rsidRDefault="00EA50EC">
      <w:pPr>
        <w:pStyle w:val="16"/>
        <w:spacing w:line="360" w:lineRule="auto"/>
        <w:ind w:firstLine="640"/>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供应链厂商在税务机关提供场所开展软件开发测试工作时，网络安全负责人要严格管理本单位人员，严禁供应链厂商人员使用自带电脑和移动存储介质，严禁私自变更办公场所和办</w:t>
      </w:r>
      <w:r>
        <w:rPr>
          <w:rFonts w:ascii="FangSong_GB2312" w:eastAsia="FangSong_GB2312" w:hAnsi="FangSong_GB2312" w:cs="FangSong_GB2312"/>
          <w:sz w:val="28"/>
          <w:szCs w:val="28"/>
        </w:rPr>
        <w:t>公设备，严禁安装非必要的应用程序和组件，严禁擅自复制、使用和修改文档、数据以及其他开发测试资料。</w:t>
      </w:r>
    </w:p>
    <w:p w:rsidR="00446B0B" w:rsidRDefault="00EA50EC">
      <w:pPr>
        <w:pStyle w:val="16"/>
        <w:spacing w:line="360" w:lineRule="auto"/>
        <w:ind w:firstLine="640"/>
        <w:jc w:val="both"/>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供应链厂商要加强对提供的项目所涉软、硬件产品及服务的管理，产品及服务必须满足国家认可的网络安全规范和认证要求，供应链清单内的产品要具备销售许可证，定制开发软件必须开展网络安全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三同步</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测评。采用源代码安全审计、开源组件安全检测、软件安全性深度测试等技术手段，对相关产品开展安全检查和技术检测，对存在的问题进行整改，最大限度消除风险隐患，并形成《供应链产品检查清单》，提交至税务机关。</w:t>
      </w:r>
    </w:p>
    <w:p w:rsidR="00446B0B" w:rsidRDefault="00EA50EC">
      <w:pPr>
        <w:pStyle w:val="MsoNormal0"/>
        <w:spacing w:line="360" w:lineRule="auto"/>
        <w:ind w:firstLine="640"/>
        <w:jc w:val="both"/>
      </w:pPr>
      <w:r>
        <w:rPr>
          <w:rFonts w:ascii="FangSong_GB2312" w:eastAsia="FangSong_GB2312" w:hAnsi="FangSong_GB2312" w:cs="FangSong_GB2312"/>
          <w:sz w:val="28"/>
          <w:szCs w:val="28"/>
        </w:rPr>
        <w:lastRenderedPageBreak/>
        <w:t>4.</w:t>
      </w:r>
      <w:r>
        <w:rPr>
          <w:rFonts w:ascii="FangSong_GB2312" w:eastAsia="FangSong_GB2312" w:hAnsi="FangSong_GB2312" w:cs="FangSong_GB2312"/>
          <w:sz w:val="28"/>
          <w:szCs w:val="28"/>
        </w:rPr>
        <w:t>供应链厂商对项目使用的</w:t>
      </w:r>
      <w:r>
        <w:rPr>
          <w:rFonts w:ascii="FangSong_GB2312" w:eastAsia="FangSong_GB2312" w:hAnsi="FangSong_GB2312" w:cs="FangSong_GB2312"/>
          <w:sz w:val="28"/>
          <w:szCs w:val="28"/>
        </w:rPr>
        <w:t>重要供应链产品要定期核查，形成《供应链产品清单》。</w:t>
      </w:r>
    </w:p>
    <w:p w:rsidR="00446B0B" w:rsidRDefault="00EA50EC">
      <w:pPr>
        <w:pStyle w:val="MsoNormal0"/>
        <w:spacing w:line="360" w:lineRule="auto"/>
        <w:ind w:firstLine="640"/>
      </w:pPr>
      <w:r>
        <w:rPr>
          <w:rFonts w:ascii="FangSong_GB2312" w:eastAsia="FangSong_GB2312" w:hAnsi="FangSong_GB2312" w:cs="FangSong_GB2312"/>
          <w:sz w:val="28"/>
          <w:szCs w:val="28"/>
        </w:rPr>
        <w:t>5.</w:t>
      </w:r>
      <w:r>
        <w:rPr>
          <w:rFonts w:ascii="FangSong_GB2312" w:eastAsia="FangSong_GB2312" w:hAnsi="FangSong_GB2312" w:cs="FangSong_GB2312"/>
          <w:sz w:val="28"/>
          <w:szCs w:val="28"/>
        </w:rPr>
        <w:t>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rsidR="00446B0B" w:rsidRDefault="00EA50EC">
      <w:pPr>
        <w:pStyle w:val="MsoNormal0"/>
        <w:spacing w:line="360" w:lineRule="auto"/>
        <w:ind w:firstLine="640"/>
      </w:pPr>
      <w:r>
        <w:rPr>
          <w:rFonts w:ascii="FangSong_GB2312" w:eastAsia="FangSong_GB2312" w:hAnsi="FangSong_GB2312" w:cs="FangSong_GB2312"/>
          <w:sz w:val="28"/>
          <w:szCs w:val="28"/>
        </w:rPr>
        <w:t>6.</w:t>
      </w:r>
      <w:r>
        <w:rPr>
          <w:rFonts w:ascii="FangSong_GB2312" w:eastAsia="FangSong_GB2312" w:hAnsi="FangSong_GB2312" w:cs="FangSong_GB2312"/>
          <w:sz w:val="28"/>
          <w:szCs w:val="28"/>
        </w:rPr>
        <w:t>供应链厂商禁止使用存在高安全风险隐患或已停止维护的第三方组件。</w:t>
      </w:r>
    </w:p>
    <w:p w:rsidR="00446B0B" w:rsidRDefault="00EA50EC">
      <w:pPr>
        <w:pStyle w:val="MsoNormal0"/>
        <w:spacing w:line="360" w:lineRule="auto"/>
        <w:ind w:firstLine="640"/>
      </w:pPr>
      <w:r>
        <w:rPr>
          <w:rFonts w:ascii="FangSong_GB2312" w:eastAsia="FangSong_GB2312" w:hAnsi="FangSong_GB2312" w:cs="FangSong_GB2312"/>
          <w:sz w:val="28"/>
          <w:szCs w:val="28"/>
        </w:rPr>
        <w:t>7.</w:t>
      </w:r>
      <w:r>
        <w:rPr>
          <w:rFonts w:ascii="FangSong_GB2312" w:eastAsia="FangSong_GB2312" w:hAnsi="FangSong_GB2312" w:cs="FangSong_GB2312"/>
          <w:sz w:val="28"/>
          <w:szCs w:val="28"/>
        </w:rPr>
        <w:t>供应链厂商在产品中如使用了开源代码，应确保其符合开源许可协议要求。供应链厂商自行开发且多项目共用</w:t>
      </w:r>
      <w:r>
        <w:rPr>
          <w:rFonts w:ascii="FangSong_GB2312" w:eastAsia="FangSong_GB2312" w:hAnsi="FangSong_GB2312" w:cs="FangSong_GB2312"/>
          <w:sz w:val="28"/>
          <w:szCs w:val="28"/>
        </w:rPr>
        <w:t>的基础框架及组件，一并参照管理。</w:t>
      </w:r>
    </w:p>
    <w:p w:rsidR="00446B0B" w:rsidRDefault="00EA50EC">
      <w:pPr>
        <w:pStyle w:val="16"/>
        <w:spacing w:line="360" w:lineRule="auto"/>
        <w:ind w:firstLine="640"/>
      </w:pPr>
      <w:r>
        <w:rPr>
          <w:rFonts w:ascii="FangSong_GB2312" w:eastAsia="FangSong_GB2312" w:hAnsi="FangSong_GB2312" w:cs="FangSong_GB2312"/>
          <w:sz w:val="28"/>
          <w:szCs w:val="28"/>
        </w:rPr>
        <w:t>8.</w:t>
      </w:r>
      <w:r>
        <w:rPr>
          <w:rFonts w:ascii="FangSong_GB2312" w:eastAsia="FangSong_GB2312" w:hAnsi="FangSong_GB2312" w:cs="FangSong_GB2312"/>
          <w:sz w:val="28"/>
          <w:szCs w:val="28"/>
        </w:rPr>
        <w:t>供应链厂商在项目开发建设时，要配置独立的、与互联网隔离的内部代码管理平台</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并开展安全审查。严禁将源代码上传第三方平台，严禁使用互联网代码托管平台。</w:t>
      </w:r>
    </w:p>
    <w:p w:rsidR="00446B0B" w:rsidRDefault="00EA50EC">
      <w:pPr>
        <w:pStyle w:val="16"/>
        <w:spacing w:line="360" w:lineRule="auto"/>
        <w:ind w:firstLine="640"/>
      </w:pPr>
      <w:r>
        <w:rPr>
          <w:rFonts w:ascii="FangSong_GB2312" w:eastAsia="FangSong_GB2312" w:hAnsi="FangSong_GB2312" w:cs="FangSong_GB2312"/>
          <w:sz w:val="28"/>
          <w:szCs w:val="28"/>
        </w:rPr>
        <w:t>9.</w:t>
      </w:r>
      <w:r>
        <w:rPr>
          <w:rFonts w:ascii="FangSong_GB2312" w:eastAsia="FangSong_GB2312" w:hAnsi="FangSong_GB2312" w:cs="FangSong_GB2312"/>
          <w:sz w:val="28"/>
          <w:szCs w:val="28"/>
        </w:rPr>
        <w:t>供应链厂商在项目开发建设时，要搭建具备权限管控功能的统一版本控制系统，将全部源代码纳入管理，并制定安全编码规范，严禁开发人员未经授权或越权访问和违规开发。</w:t>
      </w:r>
    </w:p>
    <w:p w:rsidR="00446B0B" w:rsidRDefault="00EA50EC">
      <w:pPr>
        <w:pStyle w:val="16"/>
        <w:spacing w:line="360" w:lineRule="auto"/>
        <w:ind w:firstLine="640"/>
      </w:pPr>
      <w:r>
        <w:rPr>
          <w:rFonts w:ascii="FangSong_GB2312" w:eastAsia="FangSong_GB2312" w:hAnsi="FangSong_GB2312" w:cs="FangSong_GB2312"/>
          <w:sz w:val="28"/>
          <w:szCs w:val="28"/>
        </w:rPr>
        <w:t>10.</w:t>
      </w:r>
      <w:r>
        <w:rPr>
          <w:rFonts w:ascii="FangSong_GB2312" w:eastAsia="FangSong_GB2312" w:hAnsi="FangSong_GB2312" w:cs="FangSong_GB2312"/>
          <w:sz w:val="28"/>
          <w:szCs w:val="28"/>
        </w:rPr>
        <w:t>供应链厂商要开展源代码安全自查工作，设置专用代码审计场所，采用工具与人工核查相结合的方式开展工作，形成《源代码审计报告》提交税务机关。审计过程要确保源代码不外泄</w:t>
      </w:r>
      <w:r>
        <w:rPr>
          <w:rFonts w:ascii="FangSong_GB2312" w:eastAsia="FangSong_GB2312" w:hAnsi="FangSong_GB2312" w:cs="FangSong_GB2312"/>
          <w:sz w:val="28"/>
          <w:szCs w:val="28"/>
        </w:rPr>
        <w:t>，对审计中发现的问题要及时解决。</w:t>
      </w:r>
    </w:p>
    <w:p w:rsidR="00446B0B" w:rsidRDefault="00EA50EC">
      <w:pPr>
        <w:pStyle w:val="16"/>
        <w:spacing w:line="360" w:lineRule="auto"/>
        <w:ind w:firstLine="640"/>
      </w:pPr>
      <w:r>
        <w:rPr>
          <w:rFonts w:ascii="FangSong_GB2312" w:eastAsia="FangSong_GB2312" w:hAnsi="FangSong_GB2312" w:cs="FangSong_GB2312"/>
          <w:sz w:val="28"/>
          <w:szCs w:val="28"/>
        </w:rPr>
        <w:t>11.</w:t>
      </w:r>
      <w:r>
        <w:rPr>
          <w:rFonts w:ascii="FangSong_GB2312" w:eastAsia="FangSong_GB2312" w:hAnsi="FangSong_GB2312" w:cs="FangSong_GB2312"/>
          <w:sz w:val="28"/>
          <w:szCs w:val="28"/>
        </w:rPr>
        <w:t>供应链厂商需要税务机关提供用于测试的脱敏数据时，应明确脱敏字段需求，要规范测试数据使用权限，切断数据拷出途径，确保测试数据安全。</w:t>
      </w:r>
    </w:p>
    <w:p w:rsidR="00446B0B" w:rsidRDefault="00EA50EC">
      <w:pPr>
        <w:pStyle w:val="16"/>
        <w:spacing w:line="360" w:lineRule="auto"/>
        <w:ind w:firstLine="640"/>
        <w:jc w:val="both"/>
      </w:pPr>
      <w:r>
        <w:rPr>
          <w:rFonts w:ascii="FangSong_GB2312" w:eastAsia="FangSong_GB2312" w:hAnsi="FangSong_GB2312" w:cs="FangSong_GB2312"/>
          <w:sz w:val="28"/>
          <w:szCs w:val="28"/>
        </w:rPr>
        <w:lastRenderedPageBreak/>
        <w:t>12.</w:t>
      </w:r>
      <w:r>
        <w:rPr>
          <w:rFonts w:ascii="FangSong_GB2312" w:eastAsia="FangSong_GB2312" w:hAnsi="FangSong_GB2312" w:cs="FangSong_GB2312"/>
          <w:sz w:val="28"/>
          <w:szCs w:val="28"/>
        </w:rPr>
        <w:t>供应链厂商要按照</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三同步</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工作要求，在应用系统开发上线前将《供应链产品清单》、《第三方组件使用清单》、《源代码审计报告》等相关内容，汇总至系统安全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三同步</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材料一并提交税务机关审核，要从开发设计环节即全面落实安全管理要求。</w:t>
      </w:r>
    </w:p>
    <w:p w:rsidR="00446B0B" w:rsidRDefault="00EA50EC">
      <w:pPr>
        <w:pStyle w:val="16"/>
        <w:spacing w:line="360" w:lineRule="auto"/>
        <w:ind w:firstLine="640"/>
        <w:jc w:val="both"/>
      </w:pPr>
      <w:r>
        <w:rPr>
          <w:rFonts w:ascii="FangSong_GB2312" w:eastAsia="FangSong_GB2312" w:hAnsi="FangSong_GB2312" w:cs="FangSong_GB2312"/>
          <w:sz w:val="28"/>
          <w:szCs w:val="28"/>
        </w:rPr>
        <w:t>（四）日常运维安全管理需求</w:t>
      </w:r>
    </w:p>
    <w:p w:rsidR="00446B0B" w:rsidRDefault="00EA50EC">
      <w:pPr>
        <w:pStyle w:val="16"/>
        <w:spacing w:line="360" w:lineRule="auto"/>
        <w:ind w:firstLine="640"/>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一人多户</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或</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一户多人</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情况。</w:t>
      </w:r>
    </w:p>
    <w:p w:rsidR="00446B0B" w:rsidRDefault="00EA50EC">
      <w:pPr>
        <w:pStyle w:val="16"/>
        <w:spacing w:line="360" w:lineRule="auto"/>
        <w:ind w:firstLine="640"/>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供应链厂商要加强数据安全管理，规范供应链厂商人员的日常运维工作，不得擅自访问、修改或删除税费数据，严禁将生产环境的真实税费数据导入测试环境，测试系统中不能留有真实税</w:t>
      </w:r>
      <w:r>
        <w:rPr>
          <w:rFonts w:ascii="FangSong_GB2312" w:eastAsia="FangSong_GB2312" w:hAnsi="FangSong_GB2312" w:cs="FangSong_GB2312"/>
          <w:sz w:val="28"/>
          <w:szCs w:val="28"/>
        </w:rPr>
        <w:t>费数据</w:t>
      </w:r>
    </w:p>
    <w:p w:rsidR="00446B0B" w:rsidRDefault="00EA50EC">
      <w:pPr>
        <w:pStyle w:val="16"/>
        <w:spacing w:line="360" w:lineRule="auto"/>
        <w:ind w:firstLine="640"/>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供应链厂商及人员需要导出数据时要经过审批且符合规定，严禁私自导出数据。</w:t>
      </w:r>
    </w:p>
    <w:p w:rsidR="00446B0B" w:rsidRDefault="00EA50EC">
      <w:pPr>
        <w:pStyle w:val="16"/>
        <w:spacing w:line="360" w:lineRule="auto"/>
        <w:ind w:firstLine="640"/>
      </w:pPr>
      <w:r>
        <w:rPr>
          <w:rFonts w:ascii="FangSong_GB2312" w:eastAsia="FangSong_GB2312" w:hAnsi="FangSong_GB2312" w:cs="FangSong_GB2312"/>
          <w:sz w:val="28"/>
          <w:szCs w:val="28"/>
        </w:rPr>
        <w:t>4.</w:t>
      </w:r>
      <w:r>
        <w:rPr>
          <w:rFonts w:ascii="FangSong_GB2312" w:eastAsia="FangSong_GB2312" w:hAnsi="FangSong_GB2312" w:cs="FangSong_GB2312"/>
          <w:sz w:val="28"/>
          <w:szCs w:val="28"/>
        </w:rPr>
        <w:t>供应链厂商及人员不得私自截留涉税相关数据，不得变更用途、用法，不得公开、转让或向第三方提供。</w:t>
      </w:r>
    </w:p>
    <w:p w:rsidR="00446B0B" w:rsidRDefault="00EA50EC">
      <w:pPr>
        <w:pStyle w:val="16"/>
        <w:spacing w:line="360" w:lineRule="auto"/>
        <w:ind w:firstLine="640"/>
      </w:pPr>
      <w:r>
        <w:rPr>
          <w:rFonts w:ascii="FangSong_GB2312" w:eastAsia="FangSong_GB2312" w:hAnsi="FangSong_GB2312" w:cs="FangSong_GB2312"/>
          <w:sz w:val="28"/>
          <w:szCs w:val="28"/>
        </w:rPr>
        <w:t>5.</w:t>
      </w:r>
      <w:r>
        <w:rPr>
          <w:rFonts w:ascii="FangSong_GB2312" w:eastAsia="FangSong_GB2312" w:hAnsi="FangSong_GB2312" w:cs="FangSong_GB2312"/>
          <w:sz w:val="28"/>
          <w:szCs w:val="28"/>
        </w:rPr>
        <w:t>供应链厂商要及时发现风险隐患，对发现的网络安全漏洞、缺陷、数据泄露或其他重大网络安全风险，及时向税务机关报告，不得公开或向第三方提供。</w:t>
      </w:r>
    </w:p>
    <w:p w:rsidR="00446B0B" w:rsidRDefault="00EA50EC">
      <w:pPr>
        <w:pStyle w:val="16"/>
        <w:spacing w:line="360" w:lineRule="auto"/>
        <w:ind w:firstLine="640"/>
      </w:pPr>
      <w:r>
        <w:rPr>
          <w:rFonts w:ascii="FangSong_GB2312" w:eastAsia="FangSong_GB2312" w:hAnsi="FangSong_GB2312" w:cs="FangSong_GB2312"/>
          <w:sz w:val="28"/>
          <w:szCs w:val="28"/>
        </w:rPr>
        <w:t>6.</w:t>
      </w:r>
      <w:r>
        <w:rPr>
          <w:rFonts w:ascii="FangSong_GB2312" w:eastAsia="FangSong_GB2312" w:hAnsi="FangSong_GB2312" w:cs="FangSong_GB2312"/>
          <w:sz w:val="28"/>
          <w:szCs w:val="28"/>
        </w:rPr>
        <w:t>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43" w:name="_Toc256000038"/>
      <w:r>
        <w:rPr>
          <w:rFonts w:ascii="FangSong_GB2312" w:eastAsia="FangSong_GB2312" w:hAnsi="FangSong_GB2312" w:cs="FangSong_GB2312"/>
          <w:sz w:val="28"/>
          <w:szCs w:val="28"/>
        </w:rPr>
        <w:lastRenderedPageBreak/>
        <w:t>10.1.4★</w:t>
      </w:r>
      <w:r>
        <w:rPr>
          <w:rFonts w:ascii="FangSong_GB2312" w:eastAsia="FangSong_GB2312" w:hAnsi="FangSong_GB2312" w:cs="FangSong_GB2312"/>
          <w:sz w:val="28"/>
          <w:szCs w:val="28"/>
        </w:rPr>
        <w:t>信息化服务运维人员要求</w:t>
      </w:r>
      <w:bookmarkEnd w:id="43"/>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本项目涉及信息化服务运维人员的，运维人员应当是运维单位的正式人员，或者是与运维单位签订</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年以上劳动合同且实际工作满</w:t>
      </w:r>
      <w:r>
        <w:rPr>
          <w:rFonts w:ascii="FangSong_GB2312" w:eastAsia="FangSong_GB2312" w:hAnsi="FangSong_GB2312" w:cs="FangSong_GB2312"/>
          <w:sz w:val="28"/>
          <w:szCs w:val="28"/>
        </w:rPr>
        <w:t>1</w:t>
      </w:r>
      <w:r>
        <w:rPr>
          <w:rFonts w:ascii="FangSong_GB2312" w:eastAsia="FangSong_GB2312" w:hAnsi="FangSong_GB2312" w:cs="FangSong_GB2312"/>
          <w:sz w:val="28"/>
          <w:szCs w:val="28"/>
        </w:rPr>
        <w:t>年的人员，常驻运维人员应当为技术骨干。</w:t>
      </w:r>
    </w:p>
    <w:p w:rsidR="00446B0B" w:rsidRDefault="00EA50EC">
      <w:pPr>
        <w:pStyle w:val="MsoNormal0"/>
        <w:spacing w:line="360" w:lineRule="auto"/>
        <w:ind w:firstLine="640"/>
        <w:textAlignment w:val="baseline"/>
      </w:pPr>
      <w:r>
        <w:rPr>
          <w:sz w:val="28"/>
          <w:szCs w:val="28"/>
        </w:rPr>
        <w:t>常驻运维人员不得在同一服务期内，为两个或以上信息化项目提供驻场、运维服</w:t>
      </w:r>
      <w:r>
        <w:rPr>
          <w:sz w:val="28"/>
          <w:szCs w:val="28"/>
        </w:rPr>
        <w:t>务。</w:t>
      </w:r>
    </w:p>
    <w:p w:rsidR="00446B0B" w:rsidRDefault="00EA50EC">
      <w:pPr>
        <w:pStyle w:val="Heading30"/>
        <w:keepNext w:val="0"/>
        <w:spacing w:before="0" w:after="0" w:line="360" w:lineRule="auto"/>
        <w:rPr>
          <w:rFonts w:ascii="FangSong_GB2312" w:eastAsia="FangSong_GB2312" w:hAnsi="FangSong_GB2312" w:cs="FangSong_GB2312"/>
          <w:sz w:val="28"/>
          <w:szCs w:val="28"/>
        </w:rPr>
      </w:pPr>
      <w:bookmarkStart w:id="44" w:name="_Toc256000039"/>
      <w:r>
        <w:rPr>
          <w:rFonts w:ascii="FangSong_GB2312" w:eastAsia="FangSong_GB2312" w:hAnsi="FangSong_GB2312" w:cs="FangSong_GB2312"/>
          <w:sz w:val="28"/>
          <w:szCs w:val="28"/>
        </w:rPr>
        <w:t>10.1.5</w:t>
      </w:r>
      <w:r>
        <w:rPr>
          <w:rFonts w:ascii="FangSong_GB2312" w:eastAsia="FangSong_GB2312" w:hAnsi="FangSong_GB2312" w:cs="FangSong_GB2312"/>
          <w:sz w:val="28"/>
          <w:szCs w:val="28"/>
        </w:rPr>
        <w:t>其他</w:t>
      </w:r>
      <w:bookmarkEnd w:id="44"/>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1.</w:t>
      </w:r>
      <w:r>
        <w:rPr>
          <w:rFonts w:ascii="FangSong_GB2312" w:eastAsia="FangSong_GB2312" w:hAnsi="FangSong_GB2312" w:cs="FangSong_GB2312"/>
          <w:sz w:val="28"/>
          <w:szCs w:val="28"/>
        </w:rPr>
        <w:t>本项目中如涉及商品包装和快递包装的，其包装需求标准应不低于《关于印发</w:t>
      </w:r>
      <w:r>
        <w:rPr>
          <w:rFonts w:ascii="FangSong_GB2312" w:eastAsia="FangSong_GB2312" w:hAnsi="FangSong_GB2312" w:cs="FangSong_GB2312"/>
          <w:sz w:val="28"/>
          <w:szCs w:val="28"/>
        </w:rPr>
        <w:t>&lt;</w:t>
      </w:r>
      <w:r>
        <w:rPr>
          <w:rFonts w:ascii="FangSong_GB2312" w:eastAsia="FangSong_GB2312" w:hAnsi="FangSong_GB2312" w:cs="FangSong_GB2312"/>
          <w:sz w:val="28"/>
          <w:szCs w:val="28"/>
        </w:rPr>
        <w:t>商品包装政府采购需求标准（试行）</w:t>
      </w:r>
      <w:r>
        <w:rPr>
          <w:rFonts w:ascii="FangSong_GB2312" w:eastAsia="FangSong_GB2312" w:hAnsi="FangSong_GB2312" w:cs="FangSong_GB2312"/>
          <w:sz w:val="28"/>
          <w:szCs w:val="28"/>
        </w:rPr>
        <w:t>&gt;</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&lt;</w:t>
      </w:r>
      <w:r>
        <w:rPr>
          <w:rFonts w:ascii="FangSong_GB2312" w:eastAsia="FangSong_GB2312" w:hAnsi="FangSong_GB2312" w:cs="FangSong_GB2312"/>
          <w:sz w:val="28"/>
          <w:szCs w:val="28"/>
        </w:rPr>
        <w:t>快递包装政府采购需求标准（试行）</w:t>
      </w:r>
      <w:r>
        <w:rPr>
          <w:rFonts w:ascii="FangSong_GB2312" w:eastAsia="FangSong_GB2312" w:hAnsi="FangSong_GB2312" w:cs="FangSong_GB2312"/>
          <w:sz w:val="28"/>
          <w:szCs w:val="28"/>
        </w:rPr>
        <w:t>&gt;</w:t>
      </w:r>
      <w:r>
        <w:rPr>
          <w:rFonts w:ascii="FangSong_GB2312" w:eastAsia="FangSong_GB2312" w:hAnsi="FangSong_GB2312" w:cs="FangSong_GB2312"/>
          <w:sz w:val="28"/>
          <w:szCs w:val="28"/>
        </w:rPr>
        <w:t>的通知》（财办库〔</w:t>
      </w:r>
      <w:r>
        <w:rPr>
          <w:rFonts w:ascii="FangSong_GB2312" w:eastAsia="FangSong_GB2312" w:hAnsi="FangSong_GB2312" w:cs="FangSong_GB2312"/>
          <w:sz w:val="28"/>
          <w:szCs w:val="28"/>
        </w:rPr>
        <w:t>2020</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 xml:space="preserve">123 </w:t>
      </w:r>
      <w:r>
        <w:rPr>
          <w:rFonts w:ascii="FangSong_GB2312" w:eastAsia="FangSong_GB2312" w:hAnsi="FangSong_GB2312" w:cs="FangSong_GB2312"/>
          <w:sz w:val="28"/>
          <w:szCs w:val="28"/>
        </w:rPr>
        <w:t>号）规定的包装要求，如有其他包装需求，详见采购文件技术部分相关章节。</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2.</w:t>
      </w:r>
      <w:r>
        <w:rPr>
          <w:rFonts w:ascii="FangSong_GB2312" w:eastAsia="FangSong_GB2312" w:hAnsi="FangSong_GB2312" w:cs="FangSong_GB2312"/>
          <w:sz w:val="28"/>
          <w:szCs w:val="28"/>
        </w:rPr>
        <w:t>本项目中如涉及网络关键设备或网络安全专用产品的，应严格执行国家互联网信息办公室、工业和信息化部、公安部、财政部和国家认证认可监督管理委员会</w:t>
      </w:r>
      <w:r>
        <w:rPr>
          <w:rFonts w:ascii="FangSong_GB2312" w:eastAsia="FangSong_GB2312" w:hAnsi="FangSong_GB2312" w:cs="FangSong_GB2312"/>
          <w:sz w:val="28"/>
          <w:szCs w:val="28"/>
        </w:rPr>
        <w:t xml:space="preserve"> 2023</w:t>
      </w:r>
      <w:r>
        <w:rPr>
          <w:rFonts w:ascii="FangSong_GB2312" w:eastAsia="FangSong_GB2312" w:hAnsi="FangSong_GB2312" w:cs="FangSong_GB2312"/>
          <w:sz w:val="28"/>
          <w:szCs w:val="28"/>
        </w:rPr>
        <w:t>年第</w:t>
      </w:r>
      <w:r>
        <w:rPr>
          <w:rFonts w:ascii="FangSong_GB2312" w:eastAsia="FangSong_GB2312" w:hAnsi="FangSong_GB2312" w:cs="FangSong_GB2312"/>
          <w:sz w:val="28"/>
          <w:szCs w:val="28"/>
        </w:rPr>
        <w:t xml:space="preserve"> 1 </w:t>
      </w:r>
      <w:r>
        <w:rPr>
          <w:rFonts w:ascii="FangSong_GB2312" w:eastAsia="FangSong_GB2312" w:hAnsi="FangSong_GB2312" w:cs="FangSong_GB2312"/>
          <w:sz w:val="28"/>
          <w:szCs w:val="28"/>
        </w:rPr>
        <w:t>号《关于调整网络安全专用产品安全管理有关事项的公告》及国家互联网信息办公</w:t>
      </w:r>
      <w:r>
        <w:rPr>
          <w:rFonts w:ascii="FangSong_GB2312" w:eastAsia="FangSong_GB2312" w:hAnsi="FangSong_GB2312" w:cs="FangSong_GB2312"/>
          <w:sz w:val="28"/>
          <w:szCs w:val="28"/>
        </w:rPr>
        <w:t>室、工业和信息化部、公安部和国家认证认可监督管理委员会</w:t>
      </w:r>
      <w:r>
        <w:rPr>
          <w:rFonts w:ascii="FangSong_GB2312" w:eastAsia="FangSong_GB2312" w:hAnsi="FangSong_GB2312" w:cs="FangSong_GB2312"/>
          <w:sz w:val="28"/>
          <w:szCs w:val="28"/>
        </w:rPr>
        <w:t xml:space="preserve"> 2023 </w:t>
      </w:r>
      <w:r>
        <w:rPr>
          <w:rFonts w:ascii="FangSong_GB2312" w:eastAsia="FangSong_GB2312" w:hAnsi="FangSong_GB2312" w:cs="FangSong_GB2312"/>
          <w:sz w:val="28"/>
          <w:szCs w:val="28"/>
        </w:rPr>
        <w:t>年第</w:t>
      </w:r>
      <w:r>
        <w:rPr>
          <w:rFonts w:ascii="FangSong_GB2312" w:eastAsia="FangSong_GB2312" w:hAnsi="FangSong_GB2312" w:cs="FangSong_GB2312"/>
          <w:sz w:val="28"/>
          <w:szCs w:val="28"/>
        </w:rPr>
        <w:t xml:space="preserve"> 2</w:t>
      </w:r>
      <w:r>
        <w:rPr>
          <w:rFonts w:ascii="FangSong_GB2312" w:eastAsia="FangSong_GB2312" w:hAnsi="FangSong_GB2312" w:cs="FangSong_GB2312"/>
          <w:sz w:val="28"/>
          <w:szCs w:val="28"/>
        </w:rPr>
        <w:t>号《关于调整</w:t>
      </w:r>
      <w:r>
        <w:rPr>
          <w:rFonts w:ascii="FangSong_GB2312" w:eastAsia="FangSong_GB2312" w:hAnsi="FangSong_GB2312" w:cs="FangSong_GB2312"/>
          <w:sz w:val="28"/>
          <w:szCs w:val="28"/>
        </w:rPr>
        <w:t>&lt;</w:t>
      </w:r>
      <w:r>
        <w:rPr>
          <w:rFonts w:ascii="FangSong_GB2312" w:eastAsia="FangSong_GB2312" w:hAnsi="FangSong_GB2312" w:cs="FangSong_GB2312"/>
          <w:sz w:val="28"/>
          <w:szCs w:val="28"/>
        </w:rPr>
        <w:t>网络关键设备和网络安全专用产品目录</w:t>
      </w:r>
      <w:r>
        <w:rPr>
          <w:rFonts w:ascii="FangSong_GB2312" w:eastAsia="FangSong_GB2312" w:hAnsi="FangSong_GB2312" w:cs="FangSong_GB2312"/>
          <w:sz w:val="28"/>
          <w:szCs w:val="28"/>
        </w:rPr>
        <w:t>&gt;</w:t>
      </w:r>
      <w:r>
        <w:rPr>
          <w:rFonts w:ascii="FangSong_GB2312" w:eastAsia="FangSong_GB2312" w:hAnsi="FangSong_GB2312" w:cs="FangSong_GB2312"/>
          <w:sz w:val="28"/>
          <w:szCs w:val="28"/>
        </w:rPr>
        <w:t>的公告》等相关文件要求，所投标（响应）设备或产品至少符合以下条件之一：一是已由具备资格的机构安全认证合格或安全检测符合要求；二是已获得《计算机信息系统安全专用产品销售许可证》，且在有效期内。</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3.</w:t>
      </w:r>
      <w:r>
        <w:rPr>
          <w:rFonts w:ascii="FangSong_GB2312" w:eastAsia="FangSong_GB2312" w:hAnsi="FangSong_GB2312" w:cs="FangSong_GB2312"/>
          <w:sz w:val="28"/>
          <w:szCs w:val="28"/>
        </w:rPr>
        <w:t>本项目中如涉及国家强制性产品认证证书（</w:t>
      </w:r>
      <w:r>
        <w:rPr>
          <w:rFonts w:ascii="FangSong_GB2312" w:eastAsia="FangSong_GB2312" w:hAnsi="FangSong_GB2312" w:cs="FangSong_GB2312"/>
          <w:sz w:val="28"/>
          <w:szCs w:val="28"/>
        </w:rPr>
        <w:t xml:space="preserve">CCC </w:t>
      </w:r>
      <w:r>
        <w:rPr>
          <w:rFonts w:ascii="FangSong_GB2312" w:eastAsia="FangSong_GB2312" w:hAnsi="FangSong_GB2312" w:cs="FangSong_GB2312"/>
          <w:sz w:val="28"/>
          <w:szCs w:val="28"/>
        </w:rPr>
        <w:t>认证证书）、电信设备进网许可证、无线电发射设备核准证等市场准入类资质的，应严格执行国家相关法律法规的要求。</w:t>
      </w:r>
      <w:r>
        <w:rPr>
          <w:rFonts w:ascii="FangSong_GB2312" w:eastAsia="FangSong_GB2312" w:hAnsi="FangSong_GB2312" w:cs="FangSong_GB2312"/>
          <w:sz w:val="28"/>
          <w:szCs w:val="28"/>
        </w:rPr>
        <w:t xml:space="preserve"> </w:t>
      </w:r>
    </w:p>
    <w:p w:rsidR="00446B0B" w:rsidRDefault="00EA50E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以上相关要求，由供应商在响应时应答</w:t>
      </w:r>
      <w:r>
        <w:rPr>
          <w:rFonts w:ascii="FangSong_GB2312" w:eastAsia="FangSong_GB2312" w:hAnsi="FangSong_GB2312" w:cs="FangSong_GB2312"/>
          <w:sz w:val="28"/>
          <w:szCs w:val="28"/>
        </w:rPr>
        <w:t>，在履约验收中，采购人将按照采购文件、中标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成交供应商响应文件、采购合同等对中标</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成交供应商提供的货物和服务进行验收，必要时依法依规开展相应检测、认证。</w:t>
      </w:r>
    </w:p>
    <w:p w:rsidR="00446B0B" w:rsidRDefault="00EA50EC">
      <w:pPr>
        <w:pStyle w:val="Heading20"/>
        <w:keepNext w:val="0"/>
        <w:spacing w:before="0" w:after="0" w:line="360" w:lineRule="auto"/>
        <w:rPr>
          <w:rFonts w:ascii="FangSong_GB2312" w:eastAsia="FangSong_GB2312" w:hAnsi="FangSong_GB2312" w:cs="FangSong_GB2312"/>
        </w:rPr>
      </w:pPr>
      <w:bookmarkStart w:id="45" w:name="_Toc256000040"/>
      <w:r>
        <w:rPr>
          <w:rFonts w:ascii="FangSong_GB2312" w:eastAsia="FangSong_GB2312" w:hAnsi="FangSong_GB2312" w:cs="FangSong_GB2312"/>
          <w:i w:val="0"/>
          <w:iCs w:val="0"/>
        </w:rPr>
        <w:t>10.2</w:t>
      </w:r>
      <w:r>
        <w:rPr>
          <w:rFonts w:ascii="FangSong_GB2312" w:eastAsia="FangSong_GB2312" w:hAnsi="FangSong_GB2312" w:cs="FangSong_GB2312"/>
          <w:i w:val="0"/>
          <w:iCs w:val="0"/>
        </w:rPr>
        <w:t>知识产权要求</w:t>
      </w:r>
      <w:bookmarkEnd w:id="45"/>
    </w:p>
    <w:p w:rsidR="00446B0B" w:rsidRDefault="00EA50EC">
      <w:pPr>
        <w:pStyle w:val="Normal0"/>
        <w:spacing w:line="360" w:lineRule="auto"/>
        <w:ind w:firstLine="480"/>
      </w:pPr>
      <w:r>
        <w:rPr>
          <w:sz w:val="28"/>
          <w:szCs w:val="28"/>
        </w:rPr>
        <w:lastRenderedPageBreak/>
        <w:t>本项目所有知识产权归国家税务总局吉林省税务局所有。投标人需保证所提供的服务不侵犯第三方的知识产权（专利权、商标权、版权等），因侵害第三方知识产权而产生的法律责任，全部由投标人承担。</w:t>
      </w:r>
    </w:p>
    <w:p w:rsidR="00446B0B" w:rsidRDefault="00EA50EC">
      <w:pPr>
        <w:pStyle w:val="Heading20"/>
        <w:keepNext w:val="0"/>
        <w:spacing w:before="0" w:after="0" w:line="360" w:lineRule="auto"/>
        <w:rPr>
          <w:rFonts w:ascii="FangSong_GB2312" w:eastAsia="FangSong_GB2312" w:hAnsi="FangSong_GB2312" w:cs="FangSong_GB2312"/>
        </w:rPr>
      </w:pPr>
      <w:bookmarkStart w:id="46" w:name="_Toc256000041"/>
      <w:r>
        <w:rPr>
          <w:rFonts w:ascii="FangSong_GB2312" w:eastAsia="FangSong_GB2312" w:hAnsi="FangSong_GB2312" w:cs="FangSong_GB2312"/>
          <w:i w:val="0"/>
          <w:iCs w:val="0"/>
        </w:rPr>
        <w:t>10.3</w:t>
      </w:r>
      <w:r>
        <w:rPr>
          <w:rFonts w:ascii="FangSong_GB2312" w:eastAsia="FangSong_GB2312" w:hAnsi="FangSong_GB2312" w:cs="FangSong_GB2312"/>
          <w:i w:val="0"/>
          <w:iCs w:val="0"/>
        </w:rPr>
        <w:t>付款安排建议</w:t>
      </w:r>
      <w:bookmarkEnd w:id="46"/>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14"/>
        <w:gridCol w:w="5442"/>
        <w:gridCol w:w="1814"/>
      </w:tblGrid>
      <w:tr w:rsidR="00446B0B">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46B0B" w:rsidRDefault="00EA50E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付款比例</w:t>
            </w:r>
            <w:r>
              <w:rPr>
                <w:rFonts w:ascii="FangSong_GB2312" w:eastAsia="FangSong_GB2312" w:hAnsi="FangSong_GB2312" w:cs="FangSong_GB2312"/>
                <w:b/>
                <w:bCs/>
                <w:color w:val="000000"/>
                <w:sz w:val="21"/>
                <w:szCs w:val="21"/>
              </w:rPr>
              <w:t>(%)</w:t>
            </w:r>
          </w:p>
        </w:tc>
      </w:tr>
      <w:tr w:rsidR="00446B0B">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国家税务总局吉林省税务局</w:t>
            </w:r>
            <w:r>
              <w:rPr>
                <w:rFonts w:ascii="FangSong_GB2312" w:eastAsia="FangSong_GB2312" w:hAnsi="FangSong_GB2312" w:cs="FangSong_GB2312"/>
                <w:color w:val="000000"/>
                <w:sz w:val="21"/>
                <w:szCs w:val="21"/>
              </w:rPr>
              <w:t>2025</w:t>
            </w:r>
            <w:r>
              <w:rPr>
                <w:rFonts w:ascii="FangSong_GB2312" w:eastAsia="FangSong_GB2312" w:hAnsi="FangSong_GB2312" w:cs="FangSong_GB2312"/>
                <w:color w:val="000000"/>
                <w:sz w:val="21"/>
                <w:szCs w:val="21"/>
              </w:rPr>
              <w:t>年区块链基础平台运维项目第</w:t>
            </w:r>
            <w:r>
              <w:rPr>
                <w:rFonts w:ascii="FangSong_GB2312" w:eastAsia="FangSong_GB2312" w:hAnsi="FangSong_GB2312" w:cs="FangSong_GB2312"/>
                <w:color w:val="000000"/>
                <w:sz w:val="21"/>
                <w:szCs w:val="21"/>
              </w:rPr>
              <w:t>1</w:t>
            </w:r>
            <w:r>
              <w:rPr>
                <w:rFonts w:ascii="FangSong_GB2312" w:eastAsia="FangSong_GB2312" w:hAnsi="FangSong_GB2312" w:cs="FangSong_GB2312"/>
                <w:color w:val="000000"/>
                <w:sz w:val="21"/>
                <w:szCs w:val="21"/>
              </w:rPr>
              <w:t>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合同签订后，中标供应商提出付款申请并开具合法等额发票后，采购人</w:t>
            </w:r>
            <w:r>
              <w:rPr>
                <w:rFonts w:ascii="FangSong_GB2312" w:eastAsia="FangSong_GB2312" w:hAnsi="FangSong_GB2312" w:cs="FangSong_GB2312"/>
                <w:color w:val="000000"/>
                <w:sz w:val="21"/>
                <w:szCs w:val="21"/>
              </w:rPr>
              <w:t>10</w:t>
            </w:r>
            <w:r>
              <w:rPr>
                <w:rFonts w:ascii="FangSong_GB2312" w:eastAsia="FangSong_GB2312" w:hAnsi="FangSong_GB2312" w:cs="FangSong_GB2312"/>
                <w:color w:val="000000"/>
                <w:sz w:val="21"/>
                <w:szCs w:val="21"/>
              </w:rPr>
              <w:t>个工作日支付合同金额</w:t>
            </w:r>
            <w:r>
              <w:rPr>
                <w:rFonts w:ascii="FangSong_GB2312" w:eastAsia="FangSong_GB2312" w:hAnsi="FangSong_GB2312" w:cs="FangSong_GB2312"/>
                <w:color w:val="000000"/>
                <w:sz w:val="21"/>
                <w:szCs w:val="21"/>
              </w:rPr>
              <w:t>50%</w:t>
            </w:r>
            <w:r>
              <w:rPr>
                <w:rFonts w:ascii="FangSong_GB2312" w:eastAsia="FangSong_GB2312" w:hAnsi="FangSong_GB2312" w:cs="FangSong_GB2312"/>
                <w:color w:val="000000"/>
                <w:sz w:val="21"/>
                <w:szCs w:val="21"/>
              </w:rPr>
              <w:t>的项目预付款。</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50.0</w:t>
            </w:r>
          </w:p>
        </w:tc>
      </w:tr>
      <w:tr w:rsidR="00446B0B">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国家税务总局吉林省税务局</w:t>
            </w:r>
            <w:r>
              <w:rPr>
                <w:rFonts w:ascii="FangSong_GB2312" w:eastAsia="FangSong_GB2312" w:hAnsi="FangSong_GB2312" w:cs="FangSong_GB2312"/>
                <w:color w:val="000000"/>
                <w:sz w:val="21"/>
                <w:szCs w:val="21"/>
              </w:rPr>
              <w:t>2025</w:t>
            </w:r>
            <w:r>
              <w:rPr>
                <w:rFonts w:ascii="FangSong_GB2312" w:eastAsia="FangSong_GB2312" w:hAnsi="FangSong_GB2312" w:cs="FangSong_GB2312"/>
                <w:color w:val="000000"/>
                <w:sz w:val="21"/>
                <w:szCs w:val="21"/>
              </w:rPr>
              <w:t>年区块链基础平台运维项目第</w:t>
            </w:r>
            <w:r>
              <w:rPr>
                <w:rFonts w:ascii="FangSong_GB2312" w:eastAsia="FangSong_GB2312" w:hAnsi="FangSong_GB2312" w:cs="FangSong_GB2312"/>
                <w:color w:val="000000"/>
                <w:sz w:val="21"/>
                <w:szCs w:val="21"/>
              </w:rPr>
              <w:t>2</w:t>
            </w:r>
            <w:r>
              <w:rPr>
                <w:rFonts w:ascii="FangSong_GB2312" w:eastAsia="FangSong_GB2312" w:hAnsi="FangSong_GB2312" w:cs="FangSong_GB2312"/>
                <w:color w:val="000000"/>
                <w:sz w:val="21"/>
                <w:szCs w:val="21"/>
              </w:rPr>
              <w:t>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中标供应商完成合同全部服务并经采购人验收合格后，中标供应商提出付款申请并出具合法等额发票后</w:t>
            </w:r>
            <w:r>
              <w:rPr>
                <w:rFonts w:ascii="FangSong_GB2312" w:eastAsia="FangSong_GB2312" w:hAnsi="FangSong_GB2312" w:cs="FangSong_GB2312"/>
                <w:color w:val="000000"/>
                <w:sz w:val="21"/>
                <w:szCs w:val="21"/>
              </w:rPr>
              <w:t>10</w:t>
            </w:r>
            <w:r>
              <w:rPr>
                <w:rFonts w:ascii="FangSong_GB2312" w:eastAsia="FangSong_GB2312" w:hAnsi="FangSong_GB2312" w:cs="FangSong_GB2312"/>
                <w:color w:val="000000"/>
                <w:sz w:val="21"/>
                <w:szCs w:val="21"/>
              </w:rPr>
              <w:t>个工作日内支付剩余款项。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46B0B" w:rsidRDefault="00EA50E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50.0</w:t>
            </w:r>
          </w:p>
        </w:tc>
      </w:tr>
    </w:tbl>
    <w:p w:rsidR="00446B0B" w:rsidRDefault="00EA50EC">
      <w:pPr>
        <w:pStyle w:val="Heading20"/>
        <w:keepNext w:val="0"/>
        <w:spacing w:before="0" w:after="0" w:line="360" w:lineRule="auto"/>
        <w:rPr>
          <w:rFonts w:ascii="FangSong_GB2312" w:eastAsia="FangSong_GB2312" w:hAnsi="FangSong_GB2312" w:cs="FangSong_GB2312"/>
        </w:rPr>
      </w:pPr>
      <w:bookmarkStart w:id="47" w:name="_Toc256000042"/>
      <w:r>
        <w:rPr>
          <w:rFonts w:ascii="FangSong_GB2312" w:eastAsia="FangSong_GB2312" w:hAnsi="FangSong_GB2312" w:cs="FangSong_GB2312"/>
          <w:i w:val="0"/>
          <w:iCs w:val="0"/>
        </w:rPr>
        <w:t>10.4</w:t>
      </w:r>
      <w:r>
        <w:rPr>
          <w:rFonts w:ascii="FangSong_GB2312" w:eastAsia="FangSong_GB2312" w:hAnsi="FangSong_GB2312" w:cs="FangSong_GB2312"/>
          <w:i w:val="0"/>
          <w:iCs w:val="0"/>
        </w:rPr>
        <w:t>指标</w:t>
      </w:r>
      <w:bookmarkEnd w:id="47"/>
    </w:p>
    <w:tbl>
      <w:tblPr>
        <w:tblStyle w:val="MsoNormalTable0"/>
        <w:tblW w:w="4933" w:type="pct"/>
        <w:tblCellSpacing w:w="0" w:type="dxa"/>
        <w:tblInd w:w="263" w:type="dxa"/>
        <w:tblCellMar>
          <w:top w:w="15" w:type="dxa"/>
          <w:left w:w="15" w:type="dxa"/>
          <w:bottom w:w="15" w:type="dxa"/>
          <w:right w:w="15" w:type="dxa"/>
        </w:tblCellMar>
        <w:tblLook w:val="05E0" w:firstRow="1" w:lastRow="1" w:firstColumn="1" w:lastColumn="1" w:noHBand="0" w:noVBand="1"/>
      </w:tblPr>
      <w:tblGrid>
        <w:gridCol w:w="456"/>
        <w:gridCol w:w="426"/>
        <w:gridCol w:w="456"/>
        <w:gridCol w:w="426"/>
        <w:gridCol w:w="6807"/>
        <w:gridCol w:w="606"/>
      </w:tblGrid>
      <w:tr w:rsidR="00446B0B">
        <w:trPr>
          <w:trHeight w:val="919"/>
          <w:tblCellSpacing w:w="0" w:type="dxa"/>
        </w:trPr>
        <w:tc>
          <w:tcPr>
            <w:tcW w:w="112" w:type="pct"/>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序号</w:t>
            </w:r>
          </w:p>
        </w:tc>
        <w:tc>
          <w:tcPr>
            <w:tcW w:w="171" w:type="pct"/>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产品名称</w:t>
            </w:r>
          </w:p>
        </w:tc>
        <w:tc>
          <w:tcPr>
            <w:tcW w:w="165" w:type="pct"/>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指标种类</w:t>
            </w:r>
          </w:p>
        </w:tc>
        <w:tc>
          <w:tcPr>
            <w:tcW w:w="246" w:type="pct"/>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指标名称</w:t>
            </w:r>
          </w:p>
        </w:tc>
        <w:tc>
          <w:tcPr>
            <w:tcW w:w="4059" w:type="pct"/>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指标内容</w:t>
            </w:r>
          </w:p>
        </w:tc>
        <w:tc>
          <w:tcPr>
            <w:tcW w:w="249" w:type="pct"/>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证明材料要求</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w:t>
            </w:r>
          </w:p>
        </w:tc>
        <w:tc>
          <w:tcPr>
            <w:tcW w:w="171" w:type="pct"/>
            <w:vMerge w:val="restart"/>
            <w:tcBorders>
              <w:right w:val="single" w:sz="8" w:space="0" w:color="000000"/>
            </w:tcBorders>
            <w:tcMar>
              <w:top w:w="0" w:type="dxa"/>
              <w:left w:w="10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32"/>
                <w:szCs w:val="32"/>
              </w:rPr>
              <w:t>#</w:t>
            </w:r>
            <w:r>
              <w:rPr>
                <w:rFonts w:ascii="FangSong_GB2312" w:eastAsia="FangSong_GB2312" w:hAnsi="FangSong_GB2312" w:cs="FangSong_GB2312"/>
                <w:color w:val="000000"/>
                <w:sz w:val="18"/>
                <w:szCs w:val="18"/>
              </w:rPr>
              <w:t>区块链平台和核算系统运维项目</w:t>
            </w:r>
          </w:p>
        </w:tc>
        <w:tc>
          <w:tcPr>
            <w:tcW w:w="165" w:type="pct"/>
            <w:vMerge w:val="restart"/>
            <w:tcBorders>
              <w:right w:val="single" w:sz="8" w:space="0" w:color="000000"/>
            </w:tcBorders>
            <w:tcMar>
              <w:top w:w="0" w:type="dxa"/>
              <w:left w:w="10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32"/>
                <w:szCs w:val="32"/>
              </w:rPr>
              <w:t>#</w:t>
            </w:r>
            <w:r>
              <w:rPr>
                <w:rFonts w:ascii="FangSong_GB2312" w:eastAsia="FangSong_GB2312" w:hAnsi="FangSong_GB2312" w:cs="FangSong_GB2312"/>
                <w:color w:val="000000"/>
                <w:sz w:val="21"/>
                <w:szCs w:val="21"/>
              </w:rPr>
              <w:t>服务类</w:t>
            </w:r>
          </w:p>
        </w:tc>
        <w:tc>
          <w:tcPr>
            <w:tcW w:w="246" w:type="pct"/>
            <w:vMerge w:val="restart"/>
            <w:tcBorders>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DengXian" w:eastAsia="DengXian" w:hAnsi="DengXian" w:cs="DengXian"/>
                <w:color w:val="000000"/>
                <w:sz w:val="20"/>
                <w:szCs w:val="20"/>
              </w:rPr>
              <w:t>#</w:t>
            </w:r>
            <w:r>
              <w:rPr>
                <w:rFonts w:ascii="FangSong_GB2312" w:eastAsia="FangSong_GB2312" w:hAnsi="FangSong_GB2312" w:cs="FangSong_GB2312"/>
                <w:color w:val="000000"/>
                <w:sz w:val="18"/>
                <w:szCs w:val="18"/>
              </w:rPr>
              <w:t>区块链平台运维工作内容</w:t>
            </w: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系统集成监控保障，监控税务区块链基础平台和金税工程的云、安全、网络等应用系统状态是否正常。</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2</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系统集成监控保障，监控统一身份管理平台、多云运维平台、税务数字证书、密码服务组件等应用系统的集成状态是否正常。</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3</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若监控发现系统集成异常，积极协同相关厂商排查并解决问题。</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4</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省局链平台监控保障，监控保障税务区块链基础平台涉及的共识节点、税务内部业务节点、应用接入服务、代理转发服务、</w:t>
            </w:r>
            <w:r>
              <w:rPr>
                <w:rFonts w:ascii="FangSong_GB2312" w:eastAsia="FangSong_GB2312" w:hAnsi="FangSong_GB2312" w:cs="FangSong_GB2312"/>
                <w:color w:val="000000"/>
                <w:sz w:val="18"/>
                <w:szCs w:val="18"/>
              </w:rPr>
              <w:t>BaaS</w:t>
            </w:r>
            <w:r>
              <w:rPr>
                <w:rFonts w:ascii="FangSong_GB2312" w:eastAsia="FangSong_GB2312" w:hAnsi="FangSong_GB2312" w:cs="FangSong_GB2312"/>
                <w:color w:val="000000"/>
                <w:sz w:val="18"/>
                <w:szCs w:val="18"/>
              </w:rPr>
              <w:t>服务、运行监控服务、运行管理服务、跨链代理节点服务等应用服务</w:t>
            </w:r>
            <w:r>
              <w:rPr>
                <w:rFonts w:ascii="FangSong_GB2312" w:eastAsia="FangSong_GB2312" w:hAnsi="FangSong_GB2312" w:cs="FangSong_GB2312"/>
                <w:color w:val="000000"/>
                <w:sz w:val="18"/>
                <w:szCs w:val="18"/>
              </w:rPr>
              <w:t>状态是否正常。</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5</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对于省局链平台监控发现的异常问题，要根据运维手册、问题排查手册等分析解决，对于无法解决的问题要按照流程进行上报。</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6</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总省链数据同步监控，监控保障税务区块链基础平台省局链和总局链北京、南海同步之间节点数据同步情况。</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7</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对于总省链数据发现的问题，要积极协同总局二线运维开展问题排查分析。</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lastRenderedPageBreak/>
              <w:t>8</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健康检查及维护。开展税务区块链系统运行情况健康检查，包括但不限于税务区块链基础平台共识和业务节点。</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9</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维护应用服务的运行情况、总省区块链的连通情况。</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10</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bottom w:val="single" w:sz="8" w:space="0" w:color="000000"/>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维护税务区块链和外部门的连接情况、税务区块链和税务内部系统的业务应用情况。</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11</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246" w:type="pct"/>
            <w:vMerge w:val="restart"/>
            <w:tcBorders>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DengXian" w:eastAsia="DengXian" w:hAnsi="DengXian" w:cs="DengXian"/>
                <w:color w:val="000000"/>
                <w:sz w:val="20"/>
                <w:szCs w:val="20"/>
              </w:rPr>
              <w:t>#</w:t>
            </w:r>
            <w:r>
              <w:rPr>
                <w:rFonts w:ascii="FangSong_GB2312" w:eastAsia="FangSong_GB2312" w:hAnsi="FangSong_GB2312" w:cs="FangSong_GB2312"/>
                <w:color w:val="000000"/>
                <w:sz w:val="18"/>
                <w:szCs w:val="18"/>
              </w:rPr>
              <w:t>核算系统运维工作内容</w:t>
            </w: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保障会统核算、收入快报</w:t>
            </w:r>
            <w:r>
              <w:rPr>
                <w:rFonts w:ascii="FangSong_GB2312" w:eastAsia="FangSong_GB2312" w:hAnsi="FangSong_GB2312" w:cs="FangSong_GB2312"/>
                <w:color w:val="000000"/>
                <w:sz w:val="18"/>
                <w:szCs w:val="18"/>
              </w:rPr>
              <w:t>46</w:t>
            </w:r>
            <w:r>
              <w:rPr>
                <w:rFonts w:ascii="FangSong_GB2312" w:eastAsia="FangSong_GB2312" w:hAnsi="FangSong_GB2312" w:cs="FangSong_GB2312"/>
                <w:color w:val="000000"/>
                <w:sz w:val="18"/>
                <w:szCs w:val="18"/>
              </w:rPr>
              <w:t>个功能应用的正常运行。</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12</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保障与会统核算相关联系统自然人电子税务局的业务衔接。</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13</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保障与会统核算相关联系统可信身份管理平台的业务衔接。</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14</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保障与会统核算相关联系统全国统一规范电子税务局的业务衔接。</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15</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保障与会统核算相关联系统税智撑（数据治理、规则引擎）的业务衔接。</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16</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针对会统核算业务应用提供及时的支持。</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17</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确保省局相关业务及时、规范、准确性的完成核算、记账、报表的产出。</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18</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确保省局相关业务及时、规范、准确性的完成审核、复核、上报以及相关业务顺利开展。</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r>
              <w:rPr>
                <w:rFonts w:ascii="FangSong_GB2312" w:eastAsia="FangSong_GB2312" w:hAnsi="FangSong_GB2312" w:cs="FangSong_GB2312"/>
                <w:color w:val="000000"/>
                <w:sz w:val="18"/>
                <w:szCs w:val="18"/>
              </w:rPr>
              <w:t> </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t>19</w:t>
            </w: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针对应用系统的处理方法、处理原理及流程等在软件功能上反映的问题提供及时全面的解答，辅助税务人员、纳税人完成系统的运行操作。</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r>
              <w:rPr>
                <w:rFonts w:ascii="FangSong_GB2312" w:eastAsia="FangSong_GB2312" w:hAnsi="FangSong_GB2312" w:cs="FangSong_GB2312"/>
                <w:color w:val="000000"/>
                <w:sz w:val="18"/>
                <w:szCs w:val="18"/>
              </w:rPr>
              <w:t> </w:t>
            </w:r>
          </w:p>
        </w:tc>
      </w:tr>
      <w:tr w:rsidR="00446B0B">
        <w:trPr>
          <w:trHeight w:val="1050"/>
          <w:tblCellSpacing w:w="0" w:type="dxa"/>
        </w:trPr>
        <w:tc>
          <w:tcPr>
            <w:tcW w:w="112" w:type="pct"/>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446B0B" w:rsidRDefault="00EA50EC">
            <w:pPr>
              <w:pStyle w:val="MsoNormal0"/>
              <w:jc w:val="center"/>
              <w:rPr>
                <w:color w:val="000000"/>
                <w:sz w:val="32"/>
                <w:szCs w:val="32"/>
              </w:rPr>
            </w:pPr>
            <w:r>
              <w:rPr>
                <w:rFonts w:ascii="FangSong_GB2312" w:eastAsia="FangSong_GB2312" w:hAnsi="FangSong_GB2312" w:cs="FangSong_GB2312"/>
                <w:color w:val="000000"/>
                <w:sz w:val="18"/>
                <w:szCs w:val="18"/>
              </w:rPr>
              <w:lastRenderedPageBreak/>
              <w:t>20</w:t>
            </w:r>
          </w:p>
        </w:tc>
        <w:tc>
          <w:tcPr>
            <w:tcW w:w="0" w:type="auto"/>
            <w:vMerge/>
            <w:tcBorders>
              <w:bottom w:val="single" w:sz="8" w:space="0" w:color="000000"/>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bottom w:val="single" w:sz="8" w:space="0" w:color="000000"/>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0" w:type="auto"/>
            <w:vMerge/>
            <w:tcBorders>
              <w:bottom w:val="single" w:sz="8" w:space="0" w:color="000000"/>
              <w:right w:val="single" w:sz="8" w:space="0" w:color="000000"/>
            </w:tcBorders>
            <w:vAlign w:val="center"/>
            <w:hideMark/>
          </w:tcPr>
          <w:p w:rsidR="00446B0B" w:rsidRDefault="00446B0B">
            <w:pPr>
              <w:pStyle w:val="Normal0"/>
              <w:rPr>
                <w:rFonts w:ascii="FangSong_GB2312" w:eastAsia="FangSong_GB2312" w:hAnsi="FangSong_GB2312" w:cs="FangSong_GB2312"/>
                <w:color w:val="000000"/>
                <w:sz w:val="18"/>
                <w:szCs w:val="18"/>
              </w:rPr>
            </w:pPr>
          </w:p>
        </w:tc>
        <w:tc>
          <w:tcPr>
            <w:tcW w:w="405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jc w:val="both"/>
              <w:rPr>
                <w:color w:val="000000"/>
                <w:sz w:val="32"/>
                <w:szCs w:val="32"/>
              </w:rPr>
            </w:pPr>
            <w:r>
              <w:rPr>
                <w:rFonts w:ascii="FangSong_GB2312" w:eastAsia="FangSong_GB2312" w:hAnsi="FangSong_GB2312" w:cs="FangSong_GB2312"/>
                <w:color w:val="000000"/>
                <w:sz w:val="18"/>
                <w:szCs w:val="18"/>
              </w:rPr>
              <w:t>配合总局、省局安全部门漏洞扫描、渗透测试等工作及问题的处理，及时响应总局项目组的日常工作，配合总局二线运维人员排查各类应用级别错误。</w:t>
            </w:r>
          </w:p>
        </w:tc>
        <w:tc>
          <w:tcPr>
            <w:tcW w:w="249" w:type="pct"/>
            <w:tcBorders>
              <w:bottom w:val="single" w:sz="8" w:space="0" w:color="000000"/>
              <w:right w:val="single" w:sz="8" w:space="0" w:color="000000"/>
            </w:tcBorders>
            <w:tcMar>
              <w:top w:w="0" w:type="dxa"/>
              <w:left w:w="108" w:type="dxa"/>
              <w:bottom w:w="0" w:type="dxa"/>
              <w:right w:w="118" w:type="dxa"/>
            </w:tcMar>
            <w:vAlign w:val="center"/>
            <w:hideMark/>
          </w:tcPr>
          <w:p w:rsidR="00446B0B" w:rsidRDefault="00EA50EC">
            <w:pPr>
              <w:pStyle w:val="MsoNormal0"/>
              <w:rPr>
                <w:rFonts w:ascii="DengXian" w:eastAsia="DengXian" w:hAnsi="DengXian" w:cs="DengXian"/>
                <w:color w:val="000000"/>
                <w:sz w:val="20"/>
                <w:szCs w:val="20"/>
              </w:rPr>
            </w:pPr>
            <w:r>
              <w:rPr>
                <w:rFonts w:ascii="FangSong_GB2312" w:eastAsia="FangSong_GB2312" w:hAnsi="FangSong_GB2312" w:cs="FangSong_GB2312"/>
                <w:color w:val="000000"/>
                <w:sz w:val="18"/>
                <w:szCs w:val="18"/>
              </w:rPr>
              <w:t>提供承诺书</w:t>
            </w:r>
            <w:r>
              <w:rPr>
                <w:rFonts w:ascii="FangSong_GB2312" w:eastAsia="FangSong_GB2312" w:hAnsi="FangSong_GB2312" w:cs="FangSong_GB2312"/>
                <w:color w:val="000000"/>
                <w:sz w:val="18"/>
                <w:szCs w:val="18"/>
              </w:rPr>
              <w:t> </w:t>
            </w:r>
          </w:p>
        </w:tc>
      </w:tr>
    </w:tbl>
    <w:p w:rsidR="00446B0B" w:rsidRDefault="00446B0B">
      <w:pPr>
        <w:pStyle w:val="Normal0"/>
        <w:spacing w:line="360" w:lineRule="auto"/>
      </w:pPr>
    </w:p>
    <w:sectPr w:rsidR="00446B0B">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50EC" w:rsidRDefault="00EA50EC">
      <w:pPr>
        <w:spacing w:after="0" w:line="240" w:lineRule="auto"/>
      </w:pPr>
      <w:r>
        <w:separator/>
      </w:r>
    </w:p>
  </w:endnote>
  <w:endnote w:type="continuationSeparator" w:id="0">
    <w:p w:rsidR="00EA50EC" w:rsidRDefault="00EA50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altName w:val="Microsoft YaHei"/>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charset w:val="86"/>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DengXian">
    <w:altName w:val="宋体"/>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B0B" w:rsidRDefault="00EA50EC">
    <w:pPr>
      <w:pStyle w:val="Normal0"/>
      <w:spacing w:line="360" w:lineRule="auto"/>
      <w:jc w:val="center"/>
    </w:pPr>
    <w:r>
      <w:fldChar w:fldCharType="begin"/>
    </w:r>
    <w:r>
      <w:instrText xml:space="preserve"> PAGE </w:instrText>
    </w:r>
    <w:r>
      <w:fldChar w:fldCharType="separate"/>
    </w:r>
    <w:r w:rsidR="00512829">
      <w:rPr>
        <w:noProof/>
      </w:rPr>
      <w:t>14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50EC" w:rsidRDefault="00EA50EC">
      <w:pPr>
        <w:spacing w:after="0" w:line="240" w:lineRule="auto"/>
      </w:pPr>
      <w:r>
        <w:separator/>
      </w:r>
    </w:p>
  </w:footnote>
  <w:footnote w:type="continuationSeparator" w:id="0">
    <w:p w:rsidR="00EA50EC" w:rsidRDefault="00EA50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1"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46B0B"/>
    <w:rsid w:val="00454AAB"/>
    <w:rsid w:val="00456D20"/>
    <w:rsid w:val="004577DD"/>
    <w:rsid w:val="00464182"/>
    <w:rsid w:val="00481585"/>
    <w:rsid w:val="00491845"/>
    <w:rsid w:val="00493775"/>
    <w:rsid w:val="004C3469"/>
    <w:rsid w:val="004E5295"/>
    <w:rsid w:val="004E7773"/>
    <w:rsid w:val="004F66A1"/>
    <w:rsid w:val="004F69C7"/>
    <w:rsid w:val="005017EA"/>
    <w:rsid w:val="00512829"/>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50EC"/>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2621C5"/>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qFormat/>
    <w:pPr>
      <w:spacing w:after="120"/>
    </w:pPr>
  </w:style>
  <w:style w:type="paragraph" w:styleId="a5">
    <w:name w:val="Balloon Text"/>
    <w:basedOn w:val="a"/>
    <w:link w:val="a6"/>
    <w:qFormat/>
    <w:rPr>
      <w:kern w:val="0"/>
      <w:sz w:val="18"/>
      <w:szCs w:val="18"/>
    </w:rPr>
  </w:style>
  <w:style w:type="paragraph" w:styleId="21">
    <w:name w:val="Body Text 2"/>
    <w:basedOn w:val="a"/>
    <w:link w:val="22"/>
    <w:qFormat/>
    <w:rPr>
      <w:rFonts w:ascii="FangSong_GB2312" w:eastAsia="FangSong_GB2312"/>
      <w:kern w:val="0"/>
      <w:sz w:val="28"/>
      <w:szCs w:val="20"/>
    </w:r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7">
    <w:name w:val="Body Text First Indent"/>
    <w:basedOn w:val="a0"/>
    <w:link w:val="a8"/>
    <w:qFormat/>
    <w:pPr>
      <w:ind w:firstLineChars="100" w:firstLine="420"/>
    </w:pPr>
    <w:rPr>
      <w:kern w:val="0"/>
      <w:sz w:val="20"/>
    </w:rPr>
  </w:style>
  <w:style w:type="paragraph" w:styleId="a9">
    <w:name w:val="Body Text Indent"/>
    <w:basedOn w:val="a"/>
    <w:link w:val="aa"/>
    <w:qFormat/>
    <w:pPr>
      <w:ind w:firstLine="360"/>
    </w:pPr>
    <w:rPr>
      <w:kern w:val="0"/>
      <w:sz w:val="20"/>
      <w:szCs w:val="20"/>
    </w:rPr>
  </w:style>
  <w:style w:type="paragraph" w:styleId="23">
    <w:name w:val="Body Text Indent 2"/>
    <w:basedOn w:val="a"/>
    <w:link w:val="24"/>
    <w:qFormat/>
    <w:pPr>
      <w:ind w:firstLine="630"/>
    </w:pPr>
    <w:rPr>
      <w:rFonts w:ascii="宋体"/>
      <w:kern w:val="0"/>
      <w:sz w:val="28"/>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ab">
    <w:name w:val="annotation text"/>
    <w:basedOn w:val="a"/>
    <w:qFormat/>
    <w:pPr>
      <w:jc w:val="left"/>
    </w:pPr>
  </w:style>
  <w:style w:type="paragraph" w:styleId="ac">
    <w:name w:val="Date"/>
    <w:basedOn w:val="a"/>
    <w:next w:val="a"/>
    <w:link w:val="ad"/>
    <w:qFormat/>
    <w:pPr>
      <w:ind w:leftChars="2500" w:left="100"/>
    </w:pPr>
    <w:rPr>
      <w:kern w:val="0"/>
      <w:sz w:val="20"/>
    </w:rPr>
  </w:style>
  <w:style w:type="paragraph" w:styleId="ae">
    <w:name w:val="Document Map"/>
    <w:basedOn w:val="a"/>
    <w:link w:val="af"/>
    <w:qFormat/>
    <w:pPr>
      <w:shd w:val="clear" w:color="auto" w:fill="000080"/>
    </w:pPr>
    <w:rPr>
      <w:kern w:val="0"/>
      <w:sz w:val="20"/>
      <w:shd w:val="clear" w:color="auto" w:fill="000080"/>
    </w:rPr>
  </w:style>
  <w:style w:type="character" w:styleId="af0">
    <w:name w:val="FollowedHyperlink"/>
    <w:qFormat/>
    <w:rPr>
      <w:rFonts w:ascii="微软雅黑" w:eastAsia="微软雅黑" w:hAnsi="微软雅黑" w:cs="微软雅黑" w:hint="eastAsia"/>
      <w:color w:val="02396F"/>
      <w:u w:val="single"/>
    </w:rPr>
  </w:style>
  <w:style w:type="paragraph" w:styleId="af1">
    <w:name w:val="footer"/>
    <w:basedOn w:val="a"/>
    <w:link w:val="af2"/>
    <w:qFormat/>
    <w:pPr>
      <w:tabs>
        <w:tab w:val="center" w:pos="4140"/>
        <w:tab w:val="right" w:pos="8300"/>
      </w:tabs>
      <w:snapToGrid w:val="0"/>
      <w:spacing w:after="0"/>
      <w:jc w:val="left"/>
    </w:pPr>
    <w:rPr>
      <w:kern w:val="0"/>
      <w:sz w:val="18"/>
    </w:rPr>
  </w:style>
  <w:style w:type="paragraph" w:styleId="af3">
    <w:name w:val="header"/>
    <w:basedOn w:val="a"/>
    <w:link w:val="af4"/>
    <w:qFormat/>
    <w:pPr>
      <w:pBdr>
        <w:bottom w:val="single" w:sz="6" w:space="1" w:color="auto"/>
      </w:pBdr>
      <w:tabs>
        <w:tab w:val="center" w:pos="4153"/>
        <w:tab w:val="right" w:pos="8306"/>
      </w:tabs>
      <w:snapToGrid w:val="0"/>
      <w:jc w:val="center"/>
    </w:pPr>
    <w:rPr>
      <w:kern w:val="0"/>
      <w:sz w:val="18"/>
      <w:szCs w:val="18"/>
    </w:rPr>
  </w:style>
  <w:style w:type="character" w:styleId="af5">
    <w:name w:val="Hyperlink"/>
    <w:qFormat/>
    <w:rPr>
      <w:rFonts w:ascii="Times New Roman" w:eastAsia="宋体" w:hAnsi="Times New Roman" w:cs="Times New Roman"/>
      <w:color w:val="0000FF"/>
      <w:u w:val="single"/>
    </w:rPr>
  </w:style>
  <w:style w:type="paragraph" w:styleId="2">
    <w:name w:val="List Number 2"/>
    <w:basedOn w:val="a"/>
    <w:qFormat/>
    <w:pPr>
      <w:numPr>
        <w:numId w:val="2"/>
      </w:numPr>
    </w:pPr>
  </w:style>
  <w:style w:type="paragraph" w:styleId="af6">
    <w:name w:val="Normal (Web)"/>
    <w:basedOn w:val="a"/>
    <w:qFormat/>
    <w:pPr>
      <w:spacing w:before="100" w:beforeAutospacing="1" w:after="100" w:afterAutospacing="1"/>
      <w:jc w:val="left"/>
    </w:pPr>
    <w:rPr>
      <w:kern w:val="0"/>
      <w:sz w:val="24"/>
    </w:rPr>
  </w:style>
  <w:style w:type="character" w:styleId="af7">
    <w:name w:val="page number"/>
    <w:qFormat/>
    <w:rPr>
      <w:rFonts w:ascii="Times New Roman" w:eastAsia="宋体" w:hAnsi="Times New Roman" w:cs="Times New Roman"/>
    </w:rPr>
  </w:style>
  <w:style w:type="paragraph" w:styleId="af8">
    <w:name w:val="Plain Text"/>
    <w:basedOn w:val="a"/>
    <w:link w:val="af9"/>
    <w:qFormat/>
    <w:pPr>
      <w:spacing w:after="0"/>
    </w:pPr>
    <w:rPr>
      <w:rFonts w:ascii="宋体" w:hAnsi="Courier New"/>
      <w:kern w:val="0"/>
      <w:sz w:val="20"/>
      <w:szCs w:val="21"/>
    </w:rPr>
  </w:style>
  <w:style w:type="character" w:styleId="afa">
    <w:name w:val="Strong"/>
    <w:qFormat/>
    <w:rPr>
      <w:rFonts w:ascii="Times New Roman" w:eastAsia="宋体" w:hAnsi="Times New Roman" w:cs="Times New Roman"/>
      <w:b/>
    </w:rPr>
  </w:style>
  <w:style w:type="paragraph" w:styleId="afb">
    <w:name w:val="Title"/>
    <w:basedOn w:val="a"/>
    <w:link w:val="afc"/>
    <w:qFormat/>
    <w:pPr>
      <w:spacing w:before="240" w:after="60"/>
      <w:jc w:val="center"/>
      <w:outlineLvl w:val="0"/>
    </w:pPr>
    <w:rPr>
      <w:rFonts w:ascii="Cambria" w:hAnsi="Cambria"/>
      <w:b/>
      <w:bCs/>
      <w:kern w:val="0"/>
      <w:sz w:val="32"/>
      <w:szCs w:val="32"/>
    </w:rPr>
  </w:style>
  <w:style w:type="paragraph" w:styleId="12">
    <w:name w:val="toc 1"/>
    <w:basedOn w:val="a"/>
    <w:next w:val="a"/>
    <w:qFormat/>
    <w:pPr>
      <w:spacing w:before="120" w:after="120"/>
      <w:jc w:val="left"/>
    </w:pPr>
    <w:rPr>
      <w:rFonts w:ascii="FangSong_GB2312" w:eastAsia="FangSong_GB2312" w:hAnsi="FangSong_GB2312" w:cs="FangSong_GB2312"/>
      <w:bCs/>
      <w:caps/>
      <w:color w:val="000000"/>
      <w:sz w:val="24"/>
      <w:szCs w:val="20"/>
    </w:rPr>
  </w:style>
  <w:style w:type="character" w:customStyle="1" w:styleId="a4">
    <w:name w:val="正文文本 字符"/>
    <w:link w:val="a0"/>
    <w:qFormat/>
    <w:rPr>
      <w:rFonts w:ascii="Times New Roman" w:eastAsia="宋体" w:hAnsi="Times New Roman" w:cs="Times New Roman"/>
      <w:kern w:val="2"/>
      <w:sz w:val="21"/>
      <w:szCs w:val="24"/>
      <w:lang w:val="en-US" w:eastAsia="zh-CN" w:bidi="ar-SA"/>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f">
    <w:name w:val="文档结构图 字符"/>
    <w:link w:val="ae"/>
    <w:qFormat/>
    <w:rPr>
      <w:rFonts w:ascii="Times New Roman" w:eastAsia="宋体" w:hAnsi="Times New Roman" w:cs="Times New Roman"/>
      <w:szCs w:val="24"/>
      <w:shd w:val="clear" w:color="auto" w:fill="000080"/>
      <w:lang w:bidi="ar-SA"/>
    </w:rPr>
  </w:style>
  <w:style w:type="character" w:customStyle="1" w:styleId="aa">
    <w:name w:val="正文文本缩进 字符"/>
    <w:link w:val="a9"/>
    <w:qFormat/>
    <w:rPr>
      <w:rFonts w:ascii="Times New Roman" w:eastAsia="宋体" w:hAnsi="Times New Roman" w:cs="Times New Roman"/>
      <w:lang w:bidi="ar-SA"/>
    </w:rPr>
  </w:style>
  <w:style w:type="character" w:customStyle="1" w:styleId="af9">
    <w:name w:val="纯文本 字符"/>
    <w:link w:val="af8"/>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4">
    <w:name w:val="正文文本缩进 2 字符"/>
    <w:link w:val="23"/>
    <w:qFormat/>
    <w:rPr>
      <w:rFonts w:ascii="宋体" w:eastAsia="宋体" w:hAnsi="Times New Roman" w:cs="Times New Roman"/>
      <w:sz w:val="28"/>
      <w:lang w:bidi="ar-SA"/>
    </w:rPr>
  </w:style>
  <w:style w:type="character" w:customStyle="1" w:styleId="a6">
    <w:name w:val="批注框文本 字符"/>
    <w:link w:val="a5"/>
    <w:qFormat/>
    <w:rPr>
      <w:rFonts w:ascii="Times New Roman" w:eastAsia="宋体" w:hAnsi="Times New Roman" w:cs="Times New Roman"/>
      <w:sz w:val="18"/>
      <w:szCs w:val="18"/>
      <w:lang w:bidi="ar-SA"/>
    </w:rPr>
  </w:style>
  <w:style w:type="character" w:customStyle="1" w:styleId="af2">
    <w:name w:val="页脚 字符"/>
    <w:link w:val="af1"/>
    <w:qFormat/>
    <w:rPr>
      <w:rFonts w:ascii="Times New Roman" w:eastAsia="宋体" w:hAnsi="Times New Roman" w:cs="Times New Roman"/>
      <w:sz w:val="18"/>
      <w:szCs w:val="24"/>
      <w:lang w:bidi="ar-SA"/>
    </w:rPr>
  </w:style>
  <w:style w:type="character" w:customStyle="1" w:styleId="af4">
    <w:name w:val="页眉 字符"/>
    <w:link w:val="af3"/>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2">
    <w:name w:val="正文文本 2 字符"/>
    <w:link w:val="21"/>
    <w:qFormat/>
    <w:rPr>
      <w:rFonts w:ascii="FangSong_GB2312" w:eastAsia="FangSong_GB2312" w:hAnsi="Times New Roman" w:cs="Times New Roman"/>
      <w:sz w:val="28"/>
      <w:lang w:bidi="ar-SA"/>
    </w:rPr>
  </w:style>
  <w:style w:type="character" w:customStyle="1" w:styleId="afc">
    <w:name w:val="标题 字符"/>
    <w:link w:val="afb"/>
    <w:qFormat/>
    <w:rPr>
      <w:rFonts w:ascii="Cambria" w:eastAsia="宋体" w:hAnsi="Cambria" w:cs="Times New Roman"/>
      <w:b/>
      <w:bCs/>
      <w:sz w:val="32"/>
      <w:szCs w:val="32"/>
      <w:lang w:bidi="ar-SA"/>
    </w:rPr>
  </w:style>
  <w:style w:type="character" w:customStyle="1" w:styleId="a8">
    <w:name w:val="正文首行缩进 字符"/>
    <w:link w:val="a7"/>
    <w:qFormat/>
    <w:rPr>
      <w:rFonts w:ascii="Times New Roman" w:eastAsia="宋体" w:hAnsi="Times New Roman" w:cs="Times New Roman"/>
      <w:szCs w:val="24"/>
      <w:lang w:bidi="ar-SA"/>
    </w:rPr>
  </w:style>
  <w:style w:type="character" w:customStyle="1" w:styleId="gjfg">
    <w:name w:val="gjfg"/>
    <w:basedOn w:val="a1"/>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1">
    <w:name w:val="正文文本 Char1"/>
    <w:qFormat/>
    <w:rPr>
      <w:rFonts w:ascii="Times New Roman" w:eastAsia="宋体" w:hAnsi="Times New Roman" w:cs="Times New Roman"/>
      <w:szCs w:val="24"/>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15">
    <w:name w:val="15"/>
    <w:basedOn w:val="a1"/>
    <w:qFormat/>
    <w:rPr>
      <w:rFonts w:ascii="Times New Roman" w:eastAsia="宋体" w:hAnsi="Times New Roman" w:cs="Times New Roman" w:hint="default"/>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qxdate">
    <w:name w:val="qxdate"/>
    <w:qFormat/>
    <w:rPr>
      <w:rFonts w:ascii="Times New Roman" w:eastAsia="宋体" w:hAnsi="Times New Roman" w:cs="Times New Roman"/>
      <w:color w:val="333333"/>
      <w:sz w:val="12"/>
      <w:szCs w:val="12"/>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ff">
    <w:name w:val="正文（绿盟科技）"/>
    <w:qFormat/>
    <w:pPr>
      <w:spacing w:after="160" w:line="300" w:lineRule="auto"/>
    </w:pPr>
    <w:rPr>
      <w:rFonts w:ascii="Arial" w:hAnsi="Arial" w:cs="黑体"/>
      <w:sz w:val="21"/>
      <w:szCs w:val="21"/>
    </w:rPr>
  </w:style>
  <w:style w:type="paragraph" w:customStyle="1" w:styleId="5">
    <w:name w:val="标题 5（有编号）（绿盟科技）"/>
    <w:basedOn w:val="a"/>
    <w:next w:val="aff"/>
    <w:qFormat/>
    <w:pPr>
      <w:keepNext/>
      <w:keepLines/>
      <w:numPr>
        <w:ilvl w:val="4"/>
        <w:numId w:val="4"/>
      </w:numPr>
      <w:spacing w:before="280" w:after="156" w:line="377" w:lineRule="auto"/>
      <w:jc w:val="left"/>
      <w:outlineLvl w:val="4"/>
    </w:pPr>
    <w:rPr>
      <w:rFonts w:ascii="Arial" w:eastAsia="黑体" w:hAnsi="Arial" w:cs="黑体"/>
      <w:b/>
      <w:kern w:val="0"/>
      <w:sz w:val="24"/>
      <w:szCs w:val="28"/>
    </w:rPr>
  </w:style>
  <w:style w:type="paragraph" w:customStyle="1" w:styleId="Char2">
    <w:name w:val="Char"/>
    <w:basedOn w:val="a"/>
    <w:qFormat/>
    <w:rPr>
      <w:rFonts w:ascii="Tahoma" w:hAnsi="Tahoma"/>
      <w:sz w:val="24"/>
      <w:szCs w:val="20"/>
    </w:rPr>
  </w:style>
  <w:style w:type="paragraph" w:styleId="aff0">
    <w:name w:val="List Paragraph"/>
    <w:basedOn w:val="a"/>
    <w:uiPriority w:val="34"/>
    <w:qFormat/>
    <w:pPr>
      <w:ind w:firstLine="420"/>
    </w:pPr>
    <w:rPr>
      <w:kern w:val="0"/>
      <w:szCs w:val="21"/>
    </w:rPr>
  </w:style>
  <w:style w:type="paragraph" w:customStyle="1" w:styleId="aff1">
    <w:name w:val="正常"/>
    <w:basedOn w:val="aff2"/>
    <w:qFormat/>
    <w:rPr>
      <w:sz w:val="24"/>
    </w:rPr>
  </w:style>
  <w:style w:type="paragraph" w:customStyle="1" w:styleId="aff2">
    <w:name w:val="小正常"/>
    <w:basedOn w:val="a"/>
    <w:qFormat/>
    <w:rPr>
      <w:sz w:val="20"/>
      <w:szCs w:val="20"/>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1">
    <w:name w:val="样式1"/>
    <w:basedOn w:val="a"/>
    <w:qFormat/>
    <w:pPr>
      <w:numPr>
        <w:numId w:val="5"/>
      </w:numPr>
      <w:adjustRightInd w:val="0"/>
    </w:pPr>
    <w:rPr>
      <w:rFonts w:ascii="宋体" w:hAnsi="宋体"/>
      <w:kern w:val="0"/>
      <w:szCs w:val="20"/>
    </w:rPr>
  </w:style>
  <w:style w:type="paragraph" w:customStyle="1" w:styleId="CharCharChar">
    <w:name w:val="Char Char Char"/>
    <w:basedOn w:val="a"/>
    <w:qFormat/>
    <w:rPr>
      <w:rFonts w:ascii="Tahoma" w:hAnsi="Tahoma"/>
      <w:sz w:val="24"/>
      <w:szCs w:val="20"/>
    </w:rPr>
  </w:style>
  <w:style w:type="paragraph" w:customStyle="1" w:styleId="NormalIndent1">
    <w:name w:val="Normal Indent1"/>
    <w:qFormat/>
    <w:pPr>
      <w:spacing w:afterLines="50" w:after="160" w:line="360" w:lineRule="auto"/>
      <w:ind w:firstLineChars="200" w:firstLine="420"/>
    </w:p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eastAsia="en-US"/>
    </w:rPr>
  </w:style>
  <w:style w:type="character" w:customStyle="1" w:styleId="Hyperlink0">
    <w:name w:val="Hyperlink_0"/>
    <w:basedOn w:val="a1"/>
    <w:rsid w:val="00EF7B96"/>
    <w:rPr>
      <w:color w:val="0000FF"/>
      <w:u w:val="single"/>
    </w:rPr>
  </w:style>
  <w:style w:type="paragraph" w:customStyle="1" w:styleId="TOC10">
    <w:name w:val="TOC 1_0"/>
    <w:basedOn w:val="a"/>
    <w:next w:val="Normal0"/>
    <w:autoRedefine/>
    <w:rsid w:val="00805BCE"/>
    <w:pPr>
      <w:widowControl/>
      <w:spacing w:after="0" w:line="240" w:lineRule="auto"/>
      <w:jc w:val="left"/>
    </w:pPr>
    <w:rPr>
      <w:rFonts w:eastAsia="Times New Roman"/>
      <w:kern w:val="0"/>
      <w:sz w:val="24"/>
      <w:lang w:eastAsia="en-US"/>
    </w:rPr>
  </w:style>
  <w:style w:type="paragraph" w:styleId="25">
    <w:name w:val="toc 2"/>
    <w:basedOn w:val="a"/>
    <w:next w:val="Normal0"/>
    <w:autoRedefine/>
    <w:rsid w:val="00805BCE"/>
    <w:pPr>
      <w:widowControl/>
      <w:spacing w:after="0" w:line="240" w:lineRule="auto"/>
      <w:ind w:left="240"/>
      <w:jc w:val="left"/>
    </w:pPr>
    <w:rPr>
      <w:rFonts w:ascii="FangSong_GB2312" w:eastAsia="FangSong_GB2312" w:hAnsi="FangSong_GB2312" w:cs="FangSong_GB2312"/>
      <w:color w:val="000000"/>
      <w:kern w:val="0"/>
      <w:sz w:val="24"/>
      <w:lang w:eastAsia="en-US"/>
    </w:rPr>
  </w:style>
  <w:style w:type="paragraph" w:styleId="34">
    <w:name w:val="toc 3"/>
    <w:basedOn w:val="a"/>
    <w:next w:val="Normal0"/>
    <w:autoRedefine/>
    <w:rsid w:val="00805BCE"/>
    <w:pPr>
      <w:widowControl/>
      <w:spacing w:after="0" w:line="240" w:lineRule="auto"/>
      <w:ind w:left="480"/>
      <w:jc w:val="left"/>
    </w:pPr>
    <w:rPr>
      <w:rFonts w:ascii="FangSong_GB2312" w:eastAsia="FangSong_GB2312" w:hAnsi="FangSong_GB2312" w:cs="FangSong_GB2312"/>
      <w:color w:val="000000"/>
      <w:kern w:val="0"/>
      <w:sz w:val="24"/>
      <w:lang w:eastAsia="en-US"/>
    </w:rPr>
  </w:style>
  <w:style w:type="paragraph" w:customStyle="1" w:styleId="Heading10">
    <w:name w:val="Heading 1_0"/>
    <w:basedOn w:val="a"/>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a"/>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a"/>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0">
    <w:name w:val="MsoNormal"/>
    <w:basedOn w:val="a"/>
    <w:pPr>
      <w:widowControl/>
      <w:spacing w:after="0" w:line="240" w:lineRule="auto"/>
      <w:jc w:val="left"/>
    </w:pPr>
    <w:rPr>
      <w:rFonts w:eastAsia="Times New Roman"/>
      <w:kern w:val="0"/>
      <w:sz w:val="24"/>
      <w:lang w:eastAsia="en-US"/>
    </w:rPr>
  </w:style>
  <w:style w:type="paragraph" w:customStyle="1" w:styleId="Heading40">
    <w:name w:val="Heading 4_0"/>
    <w:basedOn w:val="a"/>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table" w:customStyle="1" w:styleId="MsoNormalTable0">
    <w:name w:val="MsoNormalTable"/>
    <w:basedOn w:val="a2"/>
    <w:rPr>
      <w:rFonts w:eastAsia="Times New Roman"/>
      <w:lang w:eastAsia="en-US"/>
    </w:rPr>
    <w:tblPr/>
  </w:style>
  <w:style w:type="paragraph" w:customStyle="1" w:styleId="17">
    <w:name w:val="17"/>
    <w:basedOn w:val="a"/>
    <w:pPr>
      <w:widowControl/>
      <w:spacing w:after="0" w:line="240" w:lineRule="auto"/>
      <w:jc w:val="left"/>
    </w:pPr>
    <w:rPr>
      <w:rFonts w:eastAsia="Times New Roman"/>
      <w:kern w:val="0"/>
      <w:sz w:val="24"/>
      <w:lang w:eastAsia="en-US"/>
    </w:rPr>
  </w:style>
  <w:style w:type="paragraph" w:customStyle="1" w:styleId="18">
    <w:name w:val="18"/>
    <w:basedOn w:val="a"/>
    <w:pPr>
      <w:widowControl/>
      <w:spacing w:after="0" w:line="240" w:lineRule="auto"/>
      <w:jc w:val="left"/>
    </w:pPr>
    <w:rPr>
      <w:rFonts w:eastAsia="Times New Roman"/>
      <w:kern w:val="0"/>
      <w:sz w:val="24"/>
      <w:lang w:eastAsia="en-US"/>
    </w:rPr>
  </w:style>
  <w:style w:type="table" w:customStyle="1" w:styleId="19">
    <w:name w:val="19"/>
    <w:basedOn w:val="a2"/>
    <w:rPr>
      <w:rFonts w:eastAsia="Times New Roman"/>
      <w:lang w:eastAsia="en-US"/>
    </w:rPr>
    <w:tblPr/>
  </w:style>
  <w:style w:type="character" w:customStyle="1" w:styleId="15Character">
    <w:name w:val="15 Character"/>
    <w:basedOn w:val="a1"/>
  </w:style>
  <w:style w:type="paragraph" w:customStyle="1" w:styleId="16">
    <w:name w:val="16"/>
    <w:basedOn w:val="a"/>
    <w:pPr>
      <w:widowControl/>
      <w:spacing w:after="0" w:line="240" w:lineRule="auto"/>
      <w:jc w:val="left"/>
    </w:pPr>
    <w:rPr>
      <w:rFonts w:eastAsia="Times New Roman"/>
      <w:kern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34</Pages>
  <Words>3152</Words>
  <Characters>17972</Characters>
  <Application>Microsoft Office Word</Application>
  <DocSecurity>0</DocSecurity>
  <Lines>149</Lines>
  <Paragraphs>42</Paragraphs>
  <ScaleCrop>false</ScaleCrop>
  <Company>China</Company>
  <LinksUpToDate>false</LinksUpToDate>
  <CharactersWithSpaces>21082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3</cp:revision>
  <cp:lastPrinted>2023-10-01T11:04:00Z</cp:lastPrinted>
  <dcterms:created xsi:type="dcterms:W3CDTF">2020-05-09T07:26:00Z</dcterms:created>
  <dcterms:modified xsi:type="dcterms:W3CDTF">2025-12-15T08:15:00Z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