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bookmarkStart w:id="41" w:name="_GoBack"/>
      <w:bookmarkEnd w:id="41"/>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项目名称：</w:t>
      </w:r>
      <w:bookmarkStart w:id="0" w:name="项目名称_fa_planName"/>
      <w:r>
        <w:rPr>
          <w:rFonts w:hint="eastAsia" w:ascii="宋体"/>
          <w:b/>
          <w:bCs/>
          <w:sz w:val="28"/>
          <w:szCs w:val="28"/>
        </w:rPr>
        <w:t>国家税务总局吉林省梅河新区税务局物业管理服务项目</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JL2025-ZXGK-C0036-B00</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国家税务总局梅河口市税务局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2025年7月</w:t>
      </w:r>
      <w:bookmarkEnd w:id="3"/>
    </w:p>
    <w:p>
      <w:pPr>
        <w:pStyle w:val="18"/>
        <w:spacing w:before="0" w:after="0" w:line="360" w:lineRule="auto"/>
        <w:jc w:val="center"/>
        <w:rPr>
          <w:rFonts w:ascii="宋体" w:hAnsi="宋体" w:eastAsia="宋体" w:cs="宋体"/>
          <w:sz w:val="32"/>
        </w:rPr>
      </w:pPr>
      <w:r>
        <w:rPr>
          <w:rFonts w:ascii="宋体" w:hAnsi="宋体" w:eastAsia="宋体" w:cs="宋体"/>
          <w:sz w:val="32"/>
        </w:rPr>
        <w:t>目 录</w:t>
      </w:r>
    </w:p>
    <w:p>
      <w:pPr>
        <w:pStyle w:val="89"/>
        <w:tabs>
          <w:tab w:val="right" w:leader="dot" w:pos="9350"/>
        </w:tabs>
        <w:spacing w:before="0" w:after="0" w:line="360" w:lineRule="auto"/>
        <w:rPr>
          <w:rFonts w:ascii="Calibri" w:hAnsi="Calibr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88"/>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"_Toc256000001" </w:instrText>
      </w:r>
      <w:r>
        <w:fldChar w:fldCharType="separate"/>
      </w:r>
      <w:r>
        <w:rPr>
          <w:rStyle w:val="88"/>
          <w:rFonts w:ascii="仿宋_GB2312" w:hAnsi="仿宋_GB2312" w:eastAsia="仿宋_GB2312" w:cs="仿宋_GB2312"/>
        </w:rPr>
        <w:t>1.1项目背景</w:t>
      </w:r>
      <w:r>
        <w:tab/>
      </w:r>
      <w:r>
        <w:fldChar w:fldCharType="begin"/>
      </w:r>
      <w:r>
        <w:instrText xml:space="preserve"> PAGEREF _Toc256000001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"_Toc256000002" </w:instrText>
      </w:r>
      <w:r>
        <w:fldChar w:fldCharType="separate"/>
      </w:r>
      <w:r>
        <w:rPr>
          <w:rStyle w:val="88"/>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"_Toc256000003" </w:instrText>
      </w:r>
      <w:r>
        <w:fldChar w:fldCharType="separate"/>
      </w:r>
      <w:r>
        <w:rPr>
          <w:rStyle w:val="88"/>
          <w:rFonts w:ascii="仿宋_GB2312" w:hAnsi="仿宋_GB2312" w:eastAsia="仿宋_GB2312" w:cs="仿宋_GB2312"/>
        </w:rPr>
        <w:t>1.2项目内容</w:t>
      </w:r>
      <w:r>
        <w:tab/>
      </w:r>
      <w:r>
        <w:fldChar w:fldCharType="begin"/>
      </w:r>
      <w:r>
        <w:instrText xml:space="preserve"> PAGEREF _Toc256000003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"_Toc256000004" </w:instrText>
      </w:r>
      <w:r>
        <w:fldChar w:fldCharType="separate"/>
      </w:r>
      <w:r>
        <w:rPr>
          <w:rStyle w:val="88"/>
          <w:rFonts w:ascii="仿宋_GB2312" w:hAnsi="仿宋_GB2312" w:eastAsia="仿宋_GB2312" w:cs="仿宋_GB2312"/>
        </w:rPr>
        <w:t>1.2.1采购内容</w:t>
      </w:r>
      <w:r>
        <w:tab/>
      </w:r>
      <w:r>
        <w:fldChar w:fldCharType="begin"/>
      </w:r>
      <w:r>
        <w:instrText xml:space="preserve"> PAGEREF _Toc256000004 \h </w:instrText>
      </w:r>
      <w:r>
        <w:fldChar w:fldCharType="separate"/>
      </w:r>
      <w:r>
        <w:t>2</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"_Toc256000005" </w:instrText>
      </w:r>
      <w:r>
        <w:fldChar w:fldCharType="separate"/>
      </w:r>
      <w:r>
        <w:rPr>
          <w:rStyle w:val="88"/>
          <w:rFonts w:ascii="仿宋_GB2312" w:hAnsi="仿宋_GB2312" w:eastAsia="仿宋_GB2312" w:cs="仿宋_GB2312"/>
        </w:rPr>
        <w:t>1.2.2项目实施要求</w:t>
      </w:r>
      <w:r>
        <w:tab/>
      </w:r>
      <w:r>
        <w:fldChar w:fldCharType="begin"/>
      </w:r>
      <w:r>
        <w:instrText xml:space="preserve"> PAGEREF _Toc256000005 \h </w:instrText>
      </w:r>
      <w:r>
        <w:fldChar w:fldCharType="separate"/>
      </w:r>
      <w:r>
        <w:t>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"_Toc256000006" </w:instrText>
      </w:r>
      <w:r>
        <w:fldChar w:fldCharType="separate"/>
      </w:r>
      <w:r>
        <w:rPr>
          <w:rStyle w:val="88"/>
          <w:rFonts w:ascii="仿宋_GB2312" w:hAnsi="仿宋_GB2312" w:eastAsia="仿宋_GB2312" w:cs="仿宋_GB2312"/>
          <w:kern w:val="36"/>
        </w:rPr>
        <w:t>2投标/响应要求</w:t>
      </w:r>
      <w:r>
        <w:tab/>
      </w:r>
      <w:r>
        <w:fldChar w:fldCharType="begin"/>
      </w:r>
      <w:r>
        <w:instrText xml:space="preserve"> PAGEREF _Toc256000006 \h </w:instrText>
      </w:r>
      <w:r>
        <w:fldChar w:fldCharType="separate"/>
      </w:r>
      <w:r>
        <w:t>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"_Toc256000007" </w:instrText>
      </w:r>
      <w:r>
        <w:fldChar w:fldCharType="separate"/>
      </w:r>
      <w:r>
        <w:rPr>
          <w:rStyle w:val="88"/>
          <w:rFonts w:ascii="仿宋_GB2312" w:hAnsi="仿宋_GB2312" w:eastAsia="仿宋_GB2312" w:cs="仿宋_GB2312"/>
        </w:rPr>
        <w:t>2.1对供应商的要求</w:t>
      </w:r>
      <w:r>
        <w:tab/>
      </w:r>
      <w:r>
        <w:fldChar w:fldCharType="begin"/>
      </w:r>
      <w:r>
        <w:instrText xml:space="preserve"> PAGEREF _Toc256000007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"_Toc256000008" </w:instrText>
      </w:r>
      <w:r>
        <w:fldChar w:fldCharType="separate"/>
      </w:r>
      <w:r>
        <w:rPr>
          <w:rStyle w:val="88"/>
          <w:rFonts w:ascii="仿宋_GB2312" w:hAnsi="仿宋_GB2312" w:eastAsia="仿宋_GB2312" w:cs="仿宋_GB2312"/>
        </w:rPr>
        <w:t>2.1.1必备资质</w:t>
      </w:r>
      <w:r>
        <w:tab/>
      </w:r>
      <w:r>
        <w:fldChar w:fldCharType="begin"/>
      </w:r>
      <w:r>
        <w:instrText xml:space="preserve"> PAGEREF _Toc256000008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"_Toc256000009" </w:instrText>
      </w:r>
      <w:r>
        <w:fldChar w:fldCharType="separate"/>
      </w:r>
      <w:r>
        <w:rPr>
          <w:rStyle w:val="88"/>
          <w:rFonts w:ascii="仿宋_GB2312" w:hAnsi="仿宋_GB2312" w:eastAsia="仿宋_GB2312" w:cs="仿宋_GB2312"/>
        </w:rPr>
        <w:t>2.1.2优选资质/优选指标</w:t>
      </w:r>
      <w:r>
        <w:tab/>
      </w:r>
      <w:r>
        <w:fldChar w:fldCharType="begin"/>
      </w:r>
      <w:r>
        <w:instrText xml:space="preserve"> PAGEREF _Toc256000009 \h </w:instrText>
      </w:r>
      <w:r>
        <w:fldChar w:fldCharType="separate"/>
      </w:r>
      <w:r>
        <w:t>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"_Toc256000010" </w:instrText>
      </w:r>
      <w:r>
        <w:fldChar w:fldCharType="separate"/>
      </w:r>
      <w:r>
        <w:rPr>
          <w:rStyle w:val="88"/>
          <w:rFonts w:ascii="仿宋_GB2312" w:hAnsi="仿宋_GB2312" w:eastAsia="仿宋_GB2312" w:cs="仿宋_GB2312"/>
        </w:rPr>
        <w:t>2.1.3是否允许联合体</w:t>
      </w:r>
      <w:r>
        <w:tab/>
      </w:r>
      <w:r>
        <w:fldChar w:fldCharType="begin"/>
      </w:r>
      <w:r>
        <w:instrText xml:space="preserve"> PAGEREF _Toc256000010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"_Toc256000011" </w:instrText>
      </w:r>
      <w:r>
        <w:fldChar w:fldCharType="separate"/>
      </w:r>
      <w:r>
        <w:rPr>
          <w:rStyle w:val="88"/>
          <w:rFonts w:ascii="仿宋_GB2312" w:hAnsi="仿宋_GB2312" w:eastAsia="仿宋_GB2312" w:cs="仿宋_GB2312"/>
        </w:rPr>
        <w:t>2.1.4是否专门面向中小企业</w:t>
      </w:r>
      <w:r>
        <w:tab/>
      </w:r>
      <w:r>
        <w:fldChar w:fldCharType="begin"/>
      </w:r>
      <w:r>
        <w:instrText xml:space="preserve"> PAGEREF _Toc256000011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"_Toc256000012" </w:instrText>
      </w:r>
      <w:r>
        <w:fldChar w:fldCharType="separate"/>
      </w:r>
      <w:r>
        <w:rPr>
          <w:rStyle w:val="88"/>
          <w:rFonts w:ascii="仿宋_GB2312" w:hAnsi="仿宋_GB2312" w:eastAsia="仿宋_GB2312" w:cs="仿宋_GB2312"/>
        </w:rPr>
        <w:t>2.2技术部分投标/响应内容</w:t>
      </w:r>
      <w:r>
        <w:tab/>
      </w:r>
      <w:r>
        <w:fldChar w:fldCharType="begin"/>
      </w:r>
      <w:r>
        <w:instrText xml:space="preserve"> PAGEREF _Toc256000012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"_Toc256000013" </w:instrText>
      </w:r>
      <w:r>
        <w:fldChar w:fldCharType="separate"/>
      </w:r>
      <w:r>
        <w:rPr>
          <w:rStyle w:val="88"/>
          <w:rFonts w:ascii="仿宋_GB2312" w:hAnsi="仿宋_GB2312" w:eastAsia="仿宋_GB2312" w:cs="仿宋_GB2312"/>
        </w:rPr>
        <w:t>2.2.1技术投标/响应总要求</w:t>
      </w:r>
      <w:r>
        <w:tab/>
      </w:r>
      <w:r>
        <w:fldChar w:fldCharType="begin"/>
      </w:r>
      <w:r>
        <w:instrText xml:space="preserve"> PAGEREF _Toc256000013 \h </w:instrText>
      </w:r>
      <w:r>
        <w:fldChar w:fldCharType="separate"/>
      </w:r>
      <w:r>
        <w:t>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"_Toc256000014" </w:instrText>
      </w:r>
      <w:r>
        <w:fldChar w:fldCharType="separate"/>
      </w:r>
      <w:r>
        <w:rPr>
          <w:rStyle w:val="88"/>
          <w:rFonts w:ascii="仿宋_GB2312" w:hAnsi="仿宋_GB2312" w:eastAsia="仿宋_GB2312" w:cs="仿宋_GB2312"/>
        </w:rPr>
        <w:t>2.2.2投标/响应方案要求</w:t>
      </w:r>
      <w:r>
        <w:tab/>
      </w:r>
      <w:r>
        <w:fldChar w:fldCharType="begin"/>
      </w:r>
      <w:r>
        <w:instrText xml:space="preserve"> PAGEREF _Toc256000014 \h </w:instrText>
      </w:r>
      <w:r>
        <w:fldChar w:fldCharType="separate"/>
      </w:r>
      <w:r>
        <w:t>4</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"_Toc256000015" </w:instrText>
      </w:r>
      <w:r>
        <w:fldChar w:fldCharType="separate"/>
      </w:r>
      <w:r>
        <w:rPr>
          <w:rStyle w:val="88"/>
          <w:rFonts w:ascii="仿宋_GB2312" w:hAnsi="仿宋_GB2312" w:eastAsia="仿宋_GB2312" w:cs="仿宋_GB2312"/>
          <w:kern w:val="36"/>
        </w:rPr>
        <w:t>3项目需求</w:t>
      </w:r>
      <w:r>
        <w:tab/>
      </w:r>
      <w:r>
        <w:fldChar w:fldCharType="begin"/>
      </w:r>
      <w:r>
        <w:instrText xml:space="preserve"> PAGEREF _Toc256000015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"_Toc256000016" </w:instrText>
      </w:r>
      <w:r>
        <w:fldChar w:fldCharType="separate"/>
      </w:r>
      <w:r>
        <w:rPr>
          <w:rStyle w:val="88"/>
          <w:rFonts w:ascii="仿宋_GB2312" w:hAnsi="仿宋_GB2312" w:eastAsia="仿宋_GB2312" w:cs="仿宋_GB2312"/>
        </w:rPr>
        <w:t>3.1总体要求</w:t>
      </w:r>
      <w:r>
        <w:tab/>
      </w:r>
      <w:r>
        <w:fldChar w:fldCharType="begin"/>
      </w:r>
      <w:r>
        <w:instrText xml:space="preserve"> PAGEREF _Toc256000016 \h </w:instrText>
      </w:r>
      <w:r>
        <w:fldChar w:fldCharType="separate"/>
      </w:r>
      <w:r>
        <w:t>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"_Toc256000017" </w:instrText>
      </w:r>
      <w:r>
        <w:fldChar w:fldCharType="separate"/>
      </w:r>
      <w:r>
        <w:rPr>
          <w:rStyle w:val="88"/>
          <w:rFonts w:ascii="仿宋_GB2312" w:hAnsi="仿宋_GB2312" w:eastAsia="仿宋_GB2312" w:cs="仿宋_GB2312"/>
        </w:rPr>
        <w:t>3.2服务内容和要求</w:t>
      </w:r>
      <w:r>
        <w:tab/>
      </w:r>
      <w:r>
        <w:fldChar w:fldCharType="begin"/>
      </w:r>
      <w:r>
        <w:instrText xml:space="preserve"> PAGEREF _Toc256000017 \h </w:instrText>
      </w:r>
      <w:r>
        <w:fldChar w:fldCharType="separate"/>
      </w:r>
      <w:r>
        <w:t>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"_Toc256000018" </w:instrText>
      </w:r>
      <w:r>
        <w:fldChar w:fldCharType="separate"/>
      </w:r>
      <w:r>
        <w:rPr>
          <w:rStyle w:val="88"/>
          <w:rFonts w:ascii="仿宋_GB2312" w:hAnsi="仿宋_GB2312" w:eastAsia="仿宋_GB2312" w:cs="仿宋_GB2312"/>
        </w:rPr>
        <w:t>3.2.1技术和服务客观指标</w:t>
      </w:r>
      <w:r>
        <w:tab/>
      </w:r>
      <w:r>
        <w:fldChar w:fldCharType="begin"/>
      </w:r>
      <w:r>
        <w:instrText xml:space="preserve"> PAGEREF _Toc256000018 \h </w:instrText>
      </w:r>
      <w:r>
        <w:fldChar w:fldCharType="separate"/>
      </w:r>
      <w:r>
        <w:t>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"_Toc256000019" </w:instrText>
      </w:r>
      <w:r>
        <w:fldChar w:fldCharType="separate"/>
      </w:r>
      <w:r>
        <w:rPr>
          <w:rStyle w:val="88"/>
          <w:rFonts w:ascii="仿宋_GB2312" w:hAnsi="仿宋_GB2312" w:eastAsia="仿宋_GB2312" w:cs="仿宋_GB2312"/>
        </w:rPr>
        <w:t>3.2.2具体内容</w:t>
      </w:r>
      <w:r>
        <w:tab/>
      </w:r>
      <w:r>
        <w:fldChar w:fldCharType="begin"/>
      </w:r>
      <w:r>
        <w:instrText xml:space="preserve"> PAGEREF _Toc256000019 \h </w:instrText>
      </w:r>
      <w:r>
        <w:fldChar w:fldCharType="separate"/>
      </w:r>
      <w:r>
        <w:t>5</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"_Toc256000020" </w:instrText>
      </w:r>
      <w:r>
        <w:fldChar w:fldCharType="separate"/>
      </w:r>
      <w:r>
        <w:rPr>
          <w:rStyle w:val="88"/>
          <w:rFonts w:ascii="仿宋_GB2312" w:hAnsi="仿宋_GB2312" w:eastAsia="仿宋_GB2312" w:cs="仿宋_GB2312"/>
          <w:kern w:val="36"/>
        </w:rPr>
        <w:t>4人员要求</w:t>
      </w:r>
      <w:r>
        <w:tab/>
      </w:r>
      <w:r>
        <w:fldChar w:fldCharType="begin"/>
      </w:r>
      <w:r>
        <w:instrText xml:space="preserve"> PAGEREF _Toc256000020 \h </w:instrText>
      </w:r>
      <w:r>
        <w:fldChar w:fldCharType="separate"/>
      </w:r>
      <w:r>
        <w:t>22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"_Toc256000021" </w:instrText>
      </w:r>
      <w:r>
        <w:fldChar w:fldCharType="separate"/>
      </w:r>
      <w:r>
        <w:rPr>
          <w:rStyle w:val="88"/>
          <w:rFonts w:ascii="仿宋_GB2312" w:hAnsi="仿宋_GB2312" w:eastAsia="仿宋_GB2312" w:cs="仿宋_GB2312"/>
        </w:rPr>
        <w:t>4.1总体要求</w:t>
      </w:r>
      <w:r>
        <w:tab/>
      </w:r>
      <w:r>
        <w:fldChar w:fldCharType="begin"/>
      </w:r>
      <w:r>
        <w:instrText xml:space="preserve"> PAGEREF _Toc256000021 \h </w:instrText>
      </w:r>
      <w:r>
        <w:fldChar w:fldCharType="separate"/>
      </w:r>
      <w:r>
        <w:t>22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"_Toc256000022" </w:instrText>
      </w:r>
      <w:r>
        <w:fldChar w:fldCharType="separate"/>
      </w:r>
      <w:r>
        <w:rPr>
          <w:rStyle w:val="88"/>
          <w:rFonts w:ascii="仿宋_GB2312" w:hAnsi="仿宋_GB2312" w:eastAsia="仿宋_GB2312" w:cs="仿宋_GB2312"/>
        </w:rPr>
        <w:t>4.2管理团队</w:t>
      </w:r>
      <w:r>
        <w:tab/>
      </w:r>
      <w:r>
        <w:fldChar w:fldCharType="begin"/>
      </w:r>
      <w:r>
        <w:instrText xml:space="preserve"> PAGEREF _Toc256000022 \h </w:instrText>
      </w:r>
      <w:r>
        <w:fldChar w:fldCharType="separate"/>
      </w:r>
      <w:r>
        <w:t>24</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"_Toc256000023" </w:instrText>
      </w:r>
      <w:r>
        <w:fldChar w:fldCharType="separate"/>
      </w:r>
      <w:r>
        <w:rPr>
          <w:rStyle w:val="88"/>
          <w:rFonts w:ascii="仿宋_GB2312" w:hAnsi="仿宋_GB2312" w:eastAsia="仿宋_GB2312" w:cs="仿宋_GB2312"/>
        </w:rPr>
        <w:t>4.2.1项目经理</w:t>
      </w:r>
      <w:r>
        <w:tab/>
      </w:r>
      <w:r>
        <w:fldChar w:fldCharType="begin"/>
      </w:r>
      <w:r>
        <w:instrText xml:space="preserve"> PAGEREF _Toc256000023 \h </w:instrText>
      </w:r>
      <w:r>
        <w:fldChar w:fldCharType="separate"/>
      </w:r>
      <w:r>
        <w:t>24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"_Toc256000024" </w:instrText>
      </w:r>
      <w:r>
        <w:fldChar w:fldCharType="separate"/>
      </w:r>
      <w:r>
        <w:rPr>
          <w:rStyle w:val="88"/>
          <w:rFonts w:ascii="仿宋_GB2312" w:hAnsi="仿宋_GB2312" w:eastAsia="仿宋_GB2312" w:cs="仿宋_GB2312"/>
        </w:rPr>
        <w:t>4.3技术团队</w:t>
      </w:r>
      <w:r>
        <w:tab/>
      </w:r>
      <w:r>
        <w:fldChar w:fldCharType="begin"/>
      </w:r>
      <w:r>
        <w:instrText xml:space="preserve"> PAGEREF _Toc256000024 \h </w:instrText>
      </w:r>
      <w:r>
        <w:fldChar w:fldCharType="separate"/>
      </w:r>
      <w:r>
        <w:t>24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"_Toc256000025" </w:instrText>
      </w:r>
      <w:r>
        <w:fldChar w:fldCharType="separate"/>
      </w:r>
      <w:r>
        <w:rPr>
          <w:rStyle w:val="88"/>
          <w:rFonts w:ascii="仿宋_GB2312" w:hAnsi="仿宋_GB2312" w:eastAsia="仿宋_GB2312" w:cs="仿宋_GB2312"/>
        </w:rPr>
        <w:t>4.4优选资质/优选指标</w:t>
      </w:r>
      <w:r>
        <w:tab/>
      </w:r>
      <w:r>
        <w:fldChar w:fldCharType="begin"/>
      </w:r>
      <w:r>
        <w:instrText xml:space="preserve"> PAGEREF _Toc256000025 \h </w:instrText>
      </w:r>
      <w:r>
        <w:fldChar w:fldCharType="separate"/>
      </w:r>
      <w:r>
        <w:t>27</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"_Toc256000026" </w:instrText>
      </w:r>
      <w:r>
        <w:fldChar w:fldCharType="separate"/>
      </w:r>
      <w:r>
        <w:rPr>
          <w:rStyle w:val="88"/>
          <w:rFonts w:ascii="仿宋_GB2312" w:hAnsi="仿宋_GB2312" w:eastAsia="仿宋_GB2312" w:cs="仿宋_GB2312"/>
          <w:kern w:val="36"/>
        </w:rPr>
        <w:t>5管理实施要求</w:t>
      </w:r>
      <w:r>
        <w:tab/>
      </w:r>
      <w:r>
        <w:fldChar w:fldCharType="begin"/>
      </w:r>
      <w:r>
        <w:instrText xml:space="preserve"> PAGEREF _Toc256000026 \h </w:instrText>
      </w:r>
      <w:r>
        <w:fldChar w:fldCharType="separate"/>
      </w:r>
      <w:r>
        <w:t>27</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"_Toc256000027" </w:instrText>
      </w:r>
      <w:r>
        <w:fldChar w:fldCharType="separate"/>
      </w:r>
      <w:r>
        <w:rPr>
          <w:rStyle w:val="88"/>
          <w:rFonts w:ascii="仿宋_GB2312" w:hAnsi="仿宋_GB2312" w:eastAsia="仿宋_GB2312" w:cs="仿宋_GB2312"/>
          <w:kern w:val="36"/>
        </w:rPr>
        <w:t>6风险管控要求</w:t>
      </w:r>
      <w:r>
        <w:tab/>
      </w:r>
      <w:r>
        <w:fldChar w:fldCharType="begin"/>
      </w:r>
      <w:r>
        <w:instrText xml:space="preserve"> PAGEREF _Toc256000027 \h </w:instrText>
      </w:r>
      <w:r>
        <w:fldChar w:fldCharType="separate"/>
      </w:r>
      <w:r>
        <w:t>32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"_Toc256000028" </w:instrText>
      </w:r>
      <w:r>
        <w:fldChar w:fldCharType="separate"/>
      </w:r>
      <w:r>
        <w:rPr>
          <w:rStyle w:val="88"/>
          <w:rFonts w:ascii="仿宋_GB2312" w:hAnsi="仿宋_GB2312" w:eastAsia="仿宋_GB2312" w:cs="仿宋_GB2312"/>
          <w:kern w:val="36"/>
        </w:rPr>
        <w:t>7履约验收要求</w:t>
      </w:r>
      <w:r>
        <w:tab/>
      </w:r>
      <w:r>
        <w:fldChar w:fldCharType="begin"/>
      </w:r>
      <w:r>
        <w:instrText xml:space="preserve"> PAGEREF _Toc256000028 \h </w:instrText>
      </w:r>
      <w:r>
        <w:fldChar w:fldCharType="separate"/>
      </w:r>
      <w:r>
        <w:t>32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"_Toc256000029" </w:instrText>
      </w:r>
      <w:r>
        <w:fldChar w:fldCharType="separate"/>
      </w:r>
      <w:r>
        <w:rPr>
          <w:rStyle w:val="88"/>
          <w:rFonts w:ascii="仿宋_GB2312" w:hAnsi="仿宋_GB2312" w:eastAsia="仿宋_GB2312" w:cs="仿宋_GB2312"/>
        </w:rPr>
        <w:t>7.1总体要求</w:t>
      </w:r>
      <w:r>
        <w:tab/>
      </w:r>
      <w:r>
        <w:fldChar w:fldCharType="begin"/>
      </w:r>
      <w:r>
        <w:instrText xml:space="preserve"> PAGEREF _Toc256000029 \h </w:instrText>
      </w:r>
      <w:r>
        <w:fldChar w:fldCharType="separate"/>
      </w:r>
      <w:r>
        <w:t>32</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"_Toc256000030" </w:instrText>
      </w:r>
      <w:r>
        <w:fldChar w:fldCharType="separate"/>
      </w:r>
      <w:r>
        <w:rPr>
          <w:rStyle w:val="88"/>
          <w:rFonts w:ascii="仿宋_GB2312" w:hAnsi="仿宋_GB2312" w:eastAsia="仿宋_GB2312" w:cs="仿宋_GB2312"/>
        </w:rPr>
        <w:t>7.2具体要求</w:t>
      </w:r>
      <w:r>
        <w:tab/>
      </w:r>
      <w:r>
        <w:fldChar w:fldCharType="begin"/>
      </w:r>
      <w:r>
        <w:instrText xml:space="preserve"> PAGEREF _Toc256000030 \h </w:instrText>
      </w:r>
      <w:r>
        <w:fldChar w:fldCharType="separate"/>
      </w:r>
      <w:r>
        <w:t>32</w:t>
      </w:r>
      <w:r>
        <w:fldChar w:fldCharType="end"/>
      </w:r>
      <w:r>
        <w:fldChar w:fldCharType="end"/>
      </w:r>
    </w:p>
    <w:p>
      <w:pPr>
        <w:pStyle w:val="89"/>
        <w:tabs>
          <w:tab w:val="right" w:leader="dot" w:pos="9350"/>
        </w:tabs>
        <w:spacing w:before="0" w:after="0" w:line="360" w:lineRule="auto"/>
        <w:rPr>
          <w:rFonts w:ascii="Calibri" w:hAnsi="Calibri"/>
          <w:sz w:val="22"/>
        </w:rPr>
      </w:pPr>
      <w:r>
        <w:fldChar w:fldCharType="begin"/>
      </w:r>
      <w:r>
        <w:instrText xml:space="preserve"> HYPERLINK \l "_Toc256000031" </w:instrText>
      </w:r>
      <w:r>
        <w:fldChar w:fldCharType="separate"/>
      </w:r>
      <w:r>
        <w:rPr>
          <w:rStyle w:val="88"/>
          <w:rFonts w:ascii="仿宋_GB2312" w:hAnsi="仿宋_GB2312" w:eastAsia="仿宋_GB2312" w:cs="仿宋_GB2312"/>
          <w:kern w:val="36"/>
        </w:rPr>
        <w:t>8其他要求</w:t>
      </w:r>
      <w:r>
        <w:tab/>
      </w:r>
      <w:r>
        <w:fldChar w:fldCharType="begin"/>
      </w:r>
      <w:r>
        <w:instrText xml:space="preserve"> PAGEREF _Toc256000031 \h </w:instrText>
      </w:r>
      <w:r>
        <w:fldChar w:fldCharType="separate"/>
      </w:r>
      <w:r>
        <w:t>33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"_Toc256000032" </w:instrText>
      </w:r>
      <w:r>
        <w:fldChar w:fldCharType="separate"/>
      </w:r>
      <w:r>
        <w:rPr>
          <w:rStyle w:val="88"/>
          <w:rFonts w:ascii="仿宋_GB2312" w:hAnsi="仿宋_GB2312" w:eastAsia="仿宋_GB2312" w:cs="仿宋_GB2312"/>
        </w:rPr>
        <w:t>8.1必备要求</w:t>
      </w:r>
      <w:r>
        <w:tab/>
      </w:r>
      <w:r>
        <w:fldChar w:fldCharType="begin"/>
      </w:r>
      <w:r>
        <w:instrText xml:space="preserve"> PAGEREF _Toc256000032 \h </w:instrText>
      </w:r>
      <w:r>
        <w:fldChar w:fldCharType="separate"/>
      </w:r>
      <w:r>
        <w:t>33</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"_Toc256000033" </w:instrText>
      </w:r>
      <w:r>
        <w:fldChar w:fldCharType="separate"/>
      </w:r>
      <w:r>
        <w:rPr>
          <w:rStyle w:val="88"/>
          <w:rFonts w:ascii="仿宋_GB2312" w:hAnsi="仿宋_GB2312" w:eastAsia="仿宋_GB2312" w:cs="仿宋_GB2312"/>
        </w:rPr>
        <w:t>8.1.1通用必备要求</w:t>
      </w:r>
      <w:r>
        <w:tab/>
      </w:r>
      <w:r>
        <w:fldChar w:fldCharType="begin"/>
      </w:r>
      <w:r>
        <w:instrText xml:space="preserve"> PAGEREF _Toc256000033 \h </w:instrText>
      </w:r>
      <w:r>
        <w:fldChar w:fldCharType="separate"/>
      </w:r>
      <w:r>
        <w:t>33</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"_Toc256000034" </w:instrText>
      </w:r>
      <w:r>
        <w:fldChar w:fldCharType="separate"/>
      </w:r>
      <w:r>
        <w:rPr>
          <w:rStyle w:val="88"/>
          <w:rFonts w:ascii="仿宋_GB2312" w:hAnsi="仿宋_GB2312" w:eastAsia="仿宋_GB2312" w:cs="仿宋_GB2312"/>
        </w:rPr>
        <w:t>8.2付款安排建议</w:t>
      </w:r>
      <w:r>
        <w:tab/>
      </w:r>
      <w:r>
        <w:fldChar w:fldCharType="begin"/>
      </w:r>
      <w:r>
        <w:instrText xml:space="preserve"> PAGEREF _Toc256000034 \h </w:instrText>
      </w:r>
      <w:r>
        <w:fldChar w:fldCharType="separate"/>
      </w:r>
      <w:r>
        <w:t>34</w:t>
      </w:r>
      <w:r>
        <w:fldChar w:fldCharType="end"/>
      </w:r>
      <w:r>
        <w:fldChar w:fldCharType="end"/>
      </w:r>
    </w:p>
    <w:p>
      <w:pPr>
        <w:pStyle w:val="27"/>
        <w:tabs>
          <w:tab w:val="right" w:leader="dot" w:pos="9350"/>
        </w:tabs>
        <w:spacing w:before="0" w:after="0" w:line="360" w:lineRule="auto"/>
        <w:rPr>
          <w:rFonts w:ascii="Calibri" w:hAnsi="Calibri"/>
          <w:sz w:val="22"/>
        </w:rPr>
      </w:pPr>
      <w:r>
        <w:fldChar w:fldCharType="begin"/>
      </w:r>
      <w:r>
        <w:instrText xml:space="preserve"> HYPERLINK \l "_Toc256000035" </w:instrText>
      </w:r>
      <w:r>
        <w:fldChar w:fldCharType="separate"/>
      </w:r>
      <w:r>
        <w:rPr>
          <w:rStyle w:val="88"/>
          <w:rFonts w:ascii="仿宋_GB2312" w:hAnsi="仿宋_GB2312" w:eastAsia="仿宋_GB2312" w:cs="仿宋_GB2312"/>
        </w:rPr>
        <w:t>8.3其他要求</w:t>
      </w:r>
      <w:r>
        <w:tab/>
      </w:r>
      <w:r>
        <w:fldChar w:fldCharType="begin"/>
      </w:r>
      <w:r>
        <w:instrText xml:space="preserve"> PAGEREF _Toc256000035 \h </w:instrText>
      </w:r>
      <w:r>
        <w:fldChar w:fldCharType="separate"/>
      </w:r>
      <w:r>
        <w:t>35</w:t>
      </w:r>
      <w:r>
        <w:fldChar w:fldCharType="end"/>
      </w:r>
      <w:r>
        <w:fldChar w:fldCharType="end"/>
      </w:r>
    </w:p>
    <w:p>
      <w:pPr>
        <w:pStyle w:val="17"/>
        <w:tabs>
          <w:tab w:val="right" w:leader="dot" w:pos="9350"/>
        </w:tabs>
        <w:spacing w:before="0" w:after="0" w:line="360" w:lineRule="auto"/>
        <w:rPr>
          <w:rFonts w:ascii="Calibri" w:hAnsi="Calibri"/>
          <w:sz w:val="22"/>
        </w:rPr>
      </w:pPr>
      <w:r>
        <w:fldChar w:fldCharType="begin"/>
      </w:r>
      <w:r>
        <w:instrText xml:space="preserve"> HYPERLINK \l "_Toc256000036" </w:instrText>
      </w:r>
      <w:r>
        <w:fldChar w:fldCharType="separate"/>
      </w:r>
      <w:r>
        <w:rPr>
          <w:rStyle w:val="88"/>
          <w:rFonts w:ascii="仿宋_GB2312" w:hAnsi="仿宋_GB2312" w:eastAsia="仿宋_GB2312" w:cs="仿宋_GB2312"/>
        </w:rPr>
        <w:t>8.3.1其他具体要求</w:t>
      </w:r>
      <w:r>
        <w:tab/>
      </w:r>
      <w:r>
        <w:fldChar w:fldCharType="begin"/>
      </w:r>
      <w:r>
        <w:instrText xml:space="preserve"> PAGEREF _Toc256000036 \h </w:instrText>
      </w:r>
      <w:r>
        <w:fldChar w:fldCharType="separate"/>
      </w:r>
      <w:r>
        <w:t>35</w:t>
      </w:r>
      <w:r>
        <w:fldChar w:fldCharType="end"/>
      </w:r>
      <w:r>
        <w:fldChar w:fldCharType="end"/>
      </w:r>
    </w:p>
    <w:p>
      <w:pPr>
        <w:pStyle w:val="18"/>
        <w:spacing w:before="0" w:after="0" w:line="360" w:lineRule="auto"/>
        <w:jc w:val="left"/>
      </w:pPr>
      <w:r>
        <w:rPr>
          <w:rFonts w:ascii="宋体" w:hAnsi="宋体" w:eastAsia="宋体" w:cs="宋体"/>
          <w:sz w:val="32"/>
        </w:rPr>
        <w:fldChar w:fldCharType="end"/>
      </w:r>
      <w: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1"/>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2"/>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    为进一步规范国家税务总局吉林省梅河新区税务局办公区物业管理服务，维护良好的办公运行秩序，降低行政运行成本，促进节约型机关建设，我局决定通过政府采购方式选定资质优良、管理完善、服务优质的物业服务单位开展物业管理服务。</w:t>
      </w:r>
    </w:p>
    <w:p>
      <w:pPr>
        <w:pStyle w:val="91"/>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提供</w:t>
      </w:r>
      <w:r>
        <w:rPr>
          <w:rFonts w:ascii="仿宋" w:hAnsi="仿宋" w:eastAsia="仿宋" w:cs="仿宋"/>
          <w:sz w:val="28"/>
          <w:szCs w:val="28"/>
        </w:rPr>
        <w:t>国家税务总局</w:t>
      </w:r>
      <w:r>
        <w:rPr>
          <w:rFonts w:ascii="仿宋" w:hAnsi="仿宋" w:eastAsia="仿宋" w:cs="仿宋"/>
          <w:sz w:val="28"/>
          <w:szCs w:val="28"/>
          <w:shd w:val="clear" w:color="auto" w:fill="FFFFFF"/>
        </w:rPr>
        <w:t>吉林省梅河新区税务局综合保障物业服务（以下简称综合服务）、</w:t>
      </w:r>
      <w:r>
        <w:rPr>
          <w:rFonts w:ascii="仿宋" w:hAnsi="仿宋" w:eastAsia="仿宋" w:cs="仿宋"/>
          <w:sz w:val="28"/>
          <w:szCs w:val="28"/>
        </w:rPr>
        <w:t>公共秩序维护、环境保洁、</w:t>
      </w:r>
      <w:r>
        <w:rPr>
          <w:rFonts w:ascii="仿宋" w:hAnsi="仿宋" w:eastAsia="仿宋" w:cs="仿宋"/>
          <w:sz w:val="28"/>
          <w:szCs w:val="28"/>
          <w:shd w:val="clear" w:color="auto" w:fill="FFFFFF"/>
        </w:rPr>
        <w:t>会议服务、特约服务（餐饮食堂等专业服务）、突发事件应急管理、绿色物业管理及标准化建设等。</w:t>
      </w:r>
    </w:p>
    <w:p>
      <w:pPr>
        <w:pStyle w:val="92"/>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本项目物业管理服务实施范围位于吉林省梅河口市梅河大街1963号、吉林省梅河口市梅河大街2553号、吉林省梅河口市山城镇山城大街中段工商银行对过、吉林省梅河口市海龙镇胜利街11委、吉林省梅河口市红梅镇东升街1委、吉林省梅河口市李炉乡鑫瑞仓储三楼。物业管理服务所涉及的办公楼的基本情况包括但不限于楼宇建筑面积、门前三包的界定、楼内房间、会议室、楼内设施及地面等。</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   办公楼基本情况统计表</w:t>
      </w:r>
    </w:p>
    <w:tbl>
      <w:tblPr>
        <w:tblStyle w:val="96"/>
        <w:tblW w:w="8425" w:type="dxa"/>
        <w:tblCellSpacing w:w="0" w:type="dxa"/>
        <w:tblInd w:w="567" w:type="dxa"/>
        <w:tblLayout w:type="autofit"/>
        <w:tblCellMar>
          <w:top w:w="15" w:type="dxa"/>
          <w:left w:w="15" w:type="dxa"/>
          <w:bottom w:w="15" w:type="dxa"/>
          <w:right w:w="15" w:type="dxa"/>
        </w:tblCellMar>
      </w:tblPr>
      <w:tblGrid>
        <w:gridCol w:w="799"/>
        <w:gridCol w:w="3613"/>
        <w:gridCol w:w="1784"/>
        <w:gridCol w:w="2229"/>
      </w:tblGrid>
      <w:tr>
        <w:trPr>
          <w:trHeight w:val="415" w:hRule="atLeast"/>
          <w:tblCellSpacing w:w="0" w:type="dxa"/>
        </w:trPr>
        <w:tc>
          <w:tcPr>
            <w:tcW w:w="847"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4130"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项目名称</w:t>
            </w:r>
          </w:p>
        </w:tc>
        <w:tc>
          <w:tcPr>
            <w:tcW w:w="19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面积</w:t>
            </w:r>
          </w:p>
        </w:tc>
        <w:tc>
          <w:tcPr>
            <w:tcW w:w="25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单位</w:t>
            </w:r>
          </w:p>
        </w:tc>
      </w:tr>
      <w:tr>
        <w:trPr>
          <w:trHeight w:val="334"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梅河新区税务局主办公区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3743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rPr>
          <w:trHeight w:val="255"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梅河新区税务局西街办公区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5682.94</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梅河新区税务局山城税务所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470.72</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4</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梅河新区税务局海龙税务所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1037.28</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梅河新区税务局红梅税务所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733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6</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梅河新区税务局李炉税务所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660</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平方米</w:t>
            </w: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自合同签订之日起一年</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1.梅河大街1963号</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2.梅河大街2553号</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3.山城镇山城大街中段工商银行对过</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4.海龙镇胜利街11委</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5.红梅镇东升街1委</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6.李炉乡鑫瑞仓储三楼</w:t>
      </w:r>
    </w:p>
    <w:p>
      <w:pPr>
        <w:pStyle w:val="90"/>
        <w:keepNext w:val="0"/>
        <w:spacing w:before="0" w:after="0" w:line="360" w:lineRule="auto"/>
        <w:jc w:val="center"/>
        <w:rPr>
          <w:rFonts w:ascii="仿宋_GB2312" w:hAnsi="仿宋_GB2312" w:eastAsia="仿宋_GB2312" w:cs="仿宋_GB2312"/>
          <w:b/>
          <w:bCs/>
          <w:sz w:val="32"/>
          <w:szCs w:val="32"/>
        </w:rPr>
      </w:pPr>
      <w:bookmarkStart w:id="10" w:name="_Toc256000006"/>
      <w:r>
        <w:rPr>
          <w:rFonts w:ascii="仿宋_GB2312" w:hAnsi="仿宋_GB2312" w:eastAsia="仿宋_GB2312" w:cs="仿宋_GB2312"/>
          <w:kern w:val="36"/>
        </w:rPr>
        <w:t>2投标/响应要求</w:t>
      </w:r>
      <w:bookmarkEnd w:id="10"/>
    </w:p>
    <w:p>
      <w:pPr>
        <w:pStyle w:val="91"/>
        <w:keepNext w:val="0"/>
        <w:spacing w:before="0" w:after="0" w:line="360" w:lineRule="auto"/>
        <w:rPr>
          <w:rFonts w:ascii="仿宋_GB2312" w:hAnsi="仿宋_GB2312" w:eastAsia="仿宋_GB2312" w:cs="仿宋_GB2312"/>
          <w:b/>
          <w:bCs/>
          <w:sz w:val="28"/>
          <w:szCs w:val="28"/>
        </w:rPr>
      </w:pPr>
      <w:bookmarkStart w:id="11" w:name="_Toc256000007"/>
      <w:r>
        <w:rPr>
          <w:rFonts w:ascii="仿宋_GB2312" w:hAnsi="仿宋_GB2312" w:eastAsia="仿宋_GB2312" w:cs="仿宋_GB2312"/>
          <w:i w:val="0"/>
          <w:iCs w:val="0"/>
        </w:rPr>
        <w:t>2.1对供应商的要求</w:t>
      </w:r>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sz w:val="28"/>
          <w:szCs w:val="28"/>
        </w:rPr>
        <w:t>2.1.1必备资质</w:t>
      </w:r>
      <w:bookmarkEnd w:id="12"/>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95"/>
        <w:spacing w:before="0" w:after="0" w:line="360" w:lineRule="auto"/>
        <w:ind w:left="0" w:right="0" w:firstLine="420"/>
        <w:jc w:val="both"/>
        <w:rPr>
          <w:rFonts w:ascii="Times New Roman" w:hAnsi="Times New Roman" w:eastAsia="Times New Roman" w:cs="Times New Roman"/>
        </w:rPr>
      </w:pPr>
      <w:r>
        <w:rPr>
          <w:rFonts w:ascii="仿宋" w:hAnsi="仿宋" w:eastAsia="仿宋" w:cs="仿宋"/>
          <w:shd w:val="clear" w:color="auto" w:fill="FFFFFF"/>
        </w:rPr>
        <w:t>无</w:t>
      </w:r>
    </w:p>
    <w:p>
      <w:pPr>
        <w:pStyle w:val="92"/>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2.1.2优选资质/优选指标</w:t>
      </w:r>
      <w:bookmarkEnd w:id="1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906"/>
        <w:gridCol w:w="4082"/>
        <w:gridCol w:w="4082"/>
      </w:tblGrid>
      <w:tr>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ISO9001:2015质量管理体系认证证书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ISO45001:2018职业健康安全管理体系认证证书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ISO14001:2015环境管理体系认证证书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5"/>
        <w:spacing w:before="0" w:after="0" w:line="360" w:lineRule="auto"/>
        <w:ind w:left="0" w:right="0" w:firstLine="420"/>
        <w:jc w:val="both"/>
        <w:rPr>
          <w:rFonts w:ascii="Times New Roman" w:hAnsi="Times New Roman" w:eastAsia="Times New Roman" w:cs="Times New Roman"/>
        </w:rPr>
      </w:pPr>
      <w:r>
        <w:rPr>
          <w:rFonts w:ascii="仿宋" w:hAnsi="仿宋" w:eastAsia="仿宋" w:cs="仿宋"/>
          <w:sz w:val="28"/>
          <w:szCs w:val="28"/>
        </w:rPr>
        <w:t>提供2022年1月1日以来（以合同签订日期为准）,投标人独立承担实施的相类似项目的成功案例。</w:t>
      </w:r>
      <w:r>
        <w:rPr>
          <w:rFonts w:ascii="仿宋" w:hAnsi="仿宋" w:eastAsia="仿宋" w:cs="仿宋"/>
          <w:sz w:val="28"/>
          <w:szCs w:val="28"/>
          <w:shd w:val="clear" w:color="auto" w:fill="FFFFFF"/>
        </w:rPr>
        <w:t>服务同一个单位分年度多次签订合同的案例按1个计算</w:t>
      </w:r>
      <w:r>
        <w:rPr>
          <w:rFonts w:ascii="仿宋" w:hAnsi="仿宋" w:eastAsia="仿宋" w:cs="仿宋"/>
          <w:sz w:val="28"/>
          <w:szCs w:val="28"/>
        </w:rPr>
        <w:t>。（应提供合同关键页扫描件并加盖公章）</w:t>
      </w:r>
    </w:p>
    <w:p>
      <w:pPr>
        <w:pStyle w:val="92"/>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2.1.3是否允许联合体</w:t>
      </w:r>
      <w:bookmarkEnd w:id="14"/>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2.1.4是否专门面向中小企业</w:t>
      </w:r>
      <w:bookmarkEnd w:id="1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1"/>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i w:val="0"/>
          <w:iCs w:val="0"/>
        </w:rPr>
        <w:t>2.2技术部分投标/响应内容</w:t>
      </w:r>
      <w:bookmarkEnd w:id="16"/>
    </w:p>
    <w:p>
      <w:pPr>
        <w:pStyle w:val="92"/>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sz w:val="28"/>
          <w:szCs w:val="28"/>
        </w:rPr>
        <w:t>2.2.1技术投标/响应总要求</w:t>
      </w:r>
      <w:bookmarkEnd w:id="17"/>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投标人必须针对招标文件中（技术部分）的需求逐个做出实质性响应，如未做出响应或响应不满足的，将导致投标无效。</w:t>
      </w:r>
    </w:p>
    <w:p>
      <w:pPr>
        <w:pStyle w:val="92"/>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sz w:val="28"/>
          <w:szCs w:val="28"/>
        </w:rPr>
        <w:t>2.2.2投标/响应方案要求</w:t>
      </w:r>
      <w:bookmarkEnd w:id="18"/>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rPr>
          <w:rFonts w:ascii="Times New Roman" w:hAnsi="Times New Roman" w:eastAsia="Times New Roman" w:cs="Times New Roman"/>
        </w:rPr>
      </w:pPr>
      <w:r>
        <w:rPr>
          <w:rFonts w:ascii="仿宋" w:hAnsi="仿宋" w:eastAsia="仿宋" w:cs="仿宋"/>
          <w:sz w:val="28"/>
          <w:szCs w:val="28"/>
        </w:rPr>
        <w:t>1.服务方案；2.管理制度；3.服务团队稳定性保障措施；4.应急处置方案。</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0"/>
        <w:keepNext w:val="0"/>
        <w:spacing w:before="0" w:after="0" w:line="360" w:lineRule="auto"/>
        <w:jc w:val="center"/>
        <w:rPr>
          <w:rFonts w:ascii="仿宋_GB2312" w:hAnsi="仿宋_GB2312" w:eastAsia="仿宋_GB2312" w:cs="仿宋_GB2312"/>
          <w:b/>
          <w:bCs/>
          <w:sz w:val="32"/>
          <w:szCs w:val="32"/>
        </w:rPr>
      </w:pPr>
      <w:bookmarkStart w:id="19" w:name="_Toc256000015"/>
      <w:r>
        <w:rPr>
          <w:rFonts w:ascii="仿宋_GB2312" w:hAnsi="仿宋_GB2312" w:eastAsia="仿宋_GB2312" w:cs="仿宋_GB2312"/>
          <w:kern w:val="36"/>
        </w:rPr>
        <w:t>3项目需求</w:t>
      </w:r>
      <w:bookmarkEnd w:id="19"/>
    </w:p>
    <w:p>
      <w:pPr>
        <w:pStyle w:val="91"/>
        <w:keepNext w:val="0"/>
        <w:spacing w:before="0" w:after="0" w:line="360" w:lineRule="auto"/>
        <w:rPr>
          <w:rFonts w:ascii="仿宋_GB2312" w:hAnsi="仿宋_GB2312" w:eastAsia="仿宋_GB2312" w:cs="仿宋_GB2312"/>
          <w:b/>
          <w:bCs/>
          <w:sz w:val="28"/>
          <w:szCs w:val="28"/>
        </w:rPr>
      </w:pPr>
      <w:bookmarkStart w:id="20" w:name="_Toc256000016"/>
      <w:r>
        <w:rPr>
          <w:rFonts w:ascii="仿宋_GB2312" w:hAnsi="仿宋_GB2312" w:eastAsia="仿宋_GB2312" w:cs="仿宋_GB2312"/>
          <w:i w:val="0"/>
          <w:iCs w:val="0"/>
        </w:rPr>
        <w:t>3.1总体要求</w:t>
      </w:r>
      <w:bookmarkEnd w:id="20"/>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——综合保障物业服务（以下简称综合服务）：发挥服务管理职能，提供相应保障服务，包括但不限于接待报修、信息公示、投诉处理、客户意见的征集和处理、信报收发、标识管理等；</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——公共秩序维护：提供全天候公共秩序维护服务和安全服务，保证正常办公秩序；</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——环境保洁：按时完成规定的环境保洁服务，提供整洁、卫生、安全、美观的环境</w:t>
      </w:r>
      <w:r>
        <w:rPr>
          <w:rFonts w:ascii="仿宋" w:hAnsi="仿宋" w:eastAsia="仿宋" w:cs="仿宋"/>
          <w:sz w:val="28"/>
          <w:szCs w:val="28"/>
          <w:shd w:val="clear" w:color="auto" w:fill="FFFFFF"/>
        </w:rPr>
        <w:t>；</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——会议服务：会议受理、会前准备、会中服务、会后清理等服务；</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——特约服务：须另外约定的其他服务，涉及餐饮服务（食堂服务）等专业服务； </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突发事件应急管理：对自然灾害、事故灾害、公共卫生事件和社会安全事件等突发公共事件建立应急预案，并组织实施培训、演习、评价和改进，事发时按规定途径及时告知客户、有关部门，并采取相应措施；</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——绿色物业管理：在保证物业管理和服务质量的前提下，通过科学管理、技术改造和行为引导，有效降低各类物业运行能耗，节约资源和保护环境等相关工作；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——标准化建设：按政务服务标准化要求协助完成相关工作。</w:t>
      </w:r>
    </w:p>
    <w:p>
      <w:pPr>
        <w:pStyle w:val="91"/>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i w:val="0"/>
          <w:iCs w:val="0"/>
        </w:rPr>
        <w:t>3.2服务内容和要求</w:t>
      </w:r>
      <w:bookmarkEnd w:id="21"/>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p>
      <w:pPr>
        <w:pStyle w:val="92"/>
        <w:keepNext w:val="0"/>
        <w:spacing w:before="0" w:after="0" w:line="360" w:lineRule="auto"/>
        <w:rPr>
          <w:rFonts w:ascii="仿宋_GB2312" w:hAnsi="仿宋_GB2312" w:eastAsia="仿宋_GB2312" w:cs="仿宋_GB2312"/>
          <w:b/>
          <w:bCs/>
          <w:sz w:val="28"/>
          <w:szCs w:val="28"/>
        </w:rPr>
      </w:pPr>
      <w:bookmarkStart w:id="22" w:name="_Toc256000018"/>
      <w:r>
        <w:rPr>
          <w:rFonts w:ascii="仿宋_GB2312" w:hAnsi="仿宋_GB2312" w:eastAsia="仿宋_GB2312" w:cs="仿宋_GB2312"/>
          <w:sz w:val="28"/>
          <w:szCs w:val="28"/>
        </w:rPr>
        <w:t>3.2.1技术和服务客观指标</w:t>
      </w:r>
      <w:bookmarkEnd w:id="22"/>
    </w:p>
    <w:p>
      <w:pPr>
        <w:pStyle w:val="92"/>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sz w:val="28"/>
          <w:szCs w:val="28"/>
        </w:rPr>
        <w:t>3.2.2具体内容</w:t>
      </w:r>
      <w:bookmarkEnd w:id="23"/>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（一）综合服务</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1.网络平台</w:t>
      </w:r>
    </w:p>
    <w:p>
      <w:pPr>
        <w:pStyle w:val="95"/>
        <w:spacing w:before="0" w:after="0" w:line="360" w:lineRule="auto"/>
        <w:ind w:firstLine="560"/>
        <w:jc w:val="both"/>
        <w:rPr>
          <w:rFonts w:ascii="Times New Roman" w:hAnsi="Times New Roman" w:eastAsia="Times New Roman" w:cs="Times New Roman"/>
        </w:rPr>
      </w:pPr>
      <w:r>
        <w:rPr>
          <w:rFonts w:ascii="仿宋" w:hAnsi="仿宋" w:eastAsia="仿宋" w:cs="仿宋"/>
          <w:sz w:val="28"/>
          <w:szCs w:val="28"/>
        </w:rPr>
        <w:t>——设立网络平台，对物业管理服务进行动态管理，实时宣传、公示、展示服务等。</w:t>
      </w:r>
    </w:p>
    <w:p>
      <w:pPr>
        <w:pStyle w:val="95"/>
        <w:spacing w:before="0" w:after="0" w:line="360" w:lineRule="auto"/>
        <w:ind w:firstLine="480"/>
        <w:rPr>
          <w:rFonts w:ascii="Times New Roman" w:hAnsi="Times New Roman" w:eastAsia="Times New Roman" w:cs="Times New Roman"/>
        </w:rPr>
      </w:pPr>
      <w:r>
        <w:t>2.</w:t>
      </w:r>
      <w:r>
        <w:rPr>
          <w:rFonts w:ascii="仿宋" w:hAnsi="仿宋" w:eastAsia="仿宋" w:cs="仿宋"/>
          <w:sz w:val="28"/>
          <w:szCs w:val="28"/>
        </w:rPr>
        <w:t> 接待服务</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——应设立物业管理服务中心，设立服务电话，24小时值班；</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——热情接待客户，受理有关咨询、报修、会议安排、求助、建议、问询、质疑、投诉等。</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信息公示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——物业服务企业营业执照、物业服务组织架构、服务流程、服务时间、服务咨询和投诉方式；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——物业管理服务工作情况定期报告或公示；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——社会公共保障部门的通知，如恶劣天气、停电停水等；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——信息公示应与建筑物标识系统保持协调，表达简洁易懂。</w:t>
      </w:r>
    </w:p>
    <w:p>
      <w:pPr>
        <w:pStyle w:val="95"/>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投诉处理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——建立物业管理服务投诉渠道，如投诉电话、网站、微信号、意见箱等，公布投诉处理流程；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——对受理的投诉，应核实情况，及时处理并对客户提出的投诉进行答复；</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——属于物业服务责任的，应向客户道歉，及时处理或纠正；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——不属于物业服务责任的，应耐心做好解释工作并提供必要的帮助；</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——受理、处置投诉应留存记录。</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5.客户意见征集、处理</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——建立健全调查制度、调查问卷、回访统计表、原因分析及整改措施记录。回访调查表、调查问卷应为收录用户签名的原始记录；</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——回访：迁入、维修及投诉处理完毕后均应进行回访，并留有回访调查表、回访统计表；</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——综合满意度调查：每年至少一次，向客户采用走访、问卷调查等形式，开展物业管理服务满意度调查，并对调查结果进行分析，持续改进；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——及时反馈客户动态信息；客户日常反馈的意见应及时处理，并留有记录。</w:t>
      </w:r>
    </w:p>
    <w:p>
      <w:pPr>
        <w:pStyle w:val="95"/>
        <w:spacing w:before="0" w:after="0" w:line="360" w:lineRule="auto"/>
        <w:ind w:firstLine="480"/>
        <w:rPr>
          <w:rFonts w:ascii="Times New Roman" w:hAnsi="Times New Roman" w:eastAsia="Times New Roman" w:cs="Times New Roman"/>
        </w:rPr>
      </w:pPr>
      <w:r>
        <w:t>6.</w:t>
      </w:r>
      <w:r>
        <w:rPr>
          <w:rFonts w:ascii="仿宋" w:hAnsi="仿宋" w:eastAsia="仿宋" w:cs="仿宋"/>
          <w:sz w:val="28"/>
          <w:szCs w:val="28"/>
        </w:rPr>
        <w:t> 信报收发</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——负责办公楼内客户的挂号信件、报纸、包裹等的签收、登记工作；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——负责客户资料、信函的邮寄，信函最迟应在次日发出；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——对挂号信（含特快专递）、汇款单、包裹单，应填写好通知单并分发到信箱；对特快专递邮件应负责通知到单位或个人，并有领取签字手续；</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——挂号信的分发严格按照签收登记执行，领取人需本人持有效证件签字确认，代领应持代领人和被领人的有效证件，登记姓名和领取日期，做到有据可查；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——当天的信函、报刊、印刷品应当天分发，并做到准确、及时；</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——分发报纸、杂志应认真核对，保证数量，准确无误,投递差错率不超过1%；</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——对地址不详或未写清信箱号的信函、汇款单、包裹单及印刷品等邮件，由收发人员负责查找收件人，如查无此人，应负责及时办理退回手续。</w:t>
      </w:r>
    </w:p>
    <w:p>
      <w:pPr>
        <w:pStyle w:val="95"/>
        <w:spacing w:before="0" w:after="0" w:line="360" w:lineRule="auto"/>
        <w:ind w:firstLine="480"/>
        <w:rPr>
          <w:rFonts w:ascii="Times New Roman" w:hAnsi="Times New Roman" w:eastAsia="Times New Roman" w:cs="Times New Roman"/>
        </w:rPr>
      </w:pPr>
      <w:r>
        <w:t>7.</w:t>
      </w:r>
      <w:r>
        <w:rPr>
          <w:rFonts w:ascii="仿宋" w:hAnsi="仿宋" w:eastAsia="仿宋" w:cs="仿宋"/>
          <w:sz w:val="28"/>
          <w:szCs w:val="28"/>
        </w:rPr>
        <w:t> 标识管理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——物业管理服务标识应与办公楼建筑标识保持协调；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——图形符号应符合GB/T1001.1《标志用公共信息图形符号 第1部分：通用符号》要求，消防与安全警示标识应符合GB2894《安全标志》、GB13495《消防安全标志》的要求；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——各类标识的悬挂（摆放）应安全、正规、醒目、便利、协调、无涂改、文字规范。</w:t>
      </w:r>
    </w:p>
    <w:p>
      <w:pPr>
        <w:pStyle w:val="95"/>
        <w:spacing w:before="0" w:after="0" w:line="360" w:lineRule="auto"/>
        <w:ind w:firstLine="480"/>
        <w:rPr>
          <w:rFonts w:ascii="Times New Roman" w:hAnsi="Times New Roman" w:eastAsia="Times New Roman" w:cs="Times New Roman"/>
        </w:rPr>
      </w:pPr>
      <w:r>
        <w:t>8.</w:t>
      </w:r>
      <w:r>
        <w:rPr>
          <w:rFonts w:ascii="仿宋" w:hAnsi="仿宋" w:eastAsia="仿宋" w:cs="仿宋"/>
          <w:sz w:val="28"/>
          <w:szCs w:val="28"/>
        </w:rPr>
        <w:t> 档案管理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——按采购人要求做好有关档案管理工作，建立设施设备维护检测记录、运行值班日记等物业档案管理内容。</w:t>
      </w:r>
    </w:p>
    <w:p>
      <w:pPr>
        <w:pStyle w:val="18"/>
        <w:spacing w:before="0" w:after="0" w:line="360" w:lineRule="auto"/>
        <w:rPr>
          <w:rFonts w:ascii="Times New Roman" w:hAnsi="Times New Roman" w:eastAsia="Times New Roman" w:cs="Times New Roman"/>
        </w:rPr>
      </w:pPr>
      <w:r>
        <w:rPr>
          <w:rFonts w:ascii="仿宋" w:hAnsi="仿宋" w:eastAsia="仿宋" w:cs="仿宋"/>
          <w:sz w:val="28"/>
          <w:szCs w:val="28"/>
        </w:rPr>
        <w:t>   （二）公共秩序管理</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1.秩序维护</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（1）门卫服务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——秩序维护员通过对采购人单位出入口进行值守、验证、检查登记，维护客户安全；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——查验出入人员的证件，办理登记手续，禁止无关人员进入；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——对出入的人员、车辆及其携带或装运的物品进行查验，防止采购人单位财物流失及违禁物品流入；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——指挥、疏导出入车辆，维护出入口的正常秩序；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——及时发现不法行为人，截获赃物，做好安全防范工作；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——协助采购人单位做好来访人员接待等工作；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——遇有重要活动，按照采购人安排配合完成相关工作；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——按规定填写岗位工作记录。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——熟记采购人单位有关门卫规章制度、出入手续，使用的各种证件、标志、车辆的牌号等；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——了解门卫区域内的环境状况和安全措施；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——熟悉和掌握单位内部机构的分布、位置、联系方式；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——基本熟悉和掌握采购人单位内部人员情况；</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——熟练使用本岗位配备的各种器械及工具装备；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——遵守保密制度规定，定期进行保密教育。</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（2）巡逻服务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——秩序维护员通过对特定区域、地段和目标进行的巡视检查、警戒；</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——检查、发现、报告并及时消除各种安全隐患。防止火灾、爆炸等事故或抢劫、盗窃等不法侵害；</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——在巡逻过程中，对己经发生的不法侵害案件或治安灾害事故，应及时报告上级主管部门和公安单位，并采取相应措施保护现场；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——按规定做好巡逻记录。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——执行巡逻任务的秩序维护员，应熟悉有关制度、规定及巡逻区域的重点目标；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——熟悉岗位周围的地形、地物及设施，熟悉应急设备的位置、性能和使用方法；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——熟记与有关部门、人员的联系方式；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——熟练掌握处置一般问题和紧急情况的方法，自身解决不了的，能及时、准确报告；</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（3）监控安防</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——办公楼的监视监控设施应24小时开通，执行双人值班制度，保持完整的监控记录，保证对办公楼安全出入口、内部重点区域的安全监控、录像及协助布警；</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——监控中心收到火情、险情及其他异常情况报警信号后，应按流程规定及时向有关人员或部门报告，并安排保安人员及时赶到现场进行前期处理；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——监控的摄录资料应至少保持45天，有特殊要求的参照相关规定或行业标准执行。</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——保障治安电话、紧急救援电话畅通，接听及时；</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——不得泄露和传播监控录像内容，非经后勤主管部门领导批准和相关查看手续准予，不外借录像资料；</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——按规定填写值班记录。</w:t>
      </w:r>
    </w:p>
    <w:p>
      <w:pPr>
        <w:pStyle w:val="18"/>
        <w:spacing w:before="0" w:after="0" w:line="360" w:lineRule="auto"/>
        <w:rPr>
          <w:rFonts w:ascii="Times New Roman" w:hAnsi="Times New Roman" w:eastAsia="Times New Roman" w:cs="Times New Roman"/>
        </w:rPr>
      </w:pPr>
      <w:r>
        <w:rPr>
          <w:rFonts w:ascii="仿宋" w:hAnsi="仿宋" w:eastAsia="仿宋" w:cs="仿宋"/>
          <w:sz w:val="28"/>
          <w:szCs w:val="28"/>
        </w:rPr>
        <w:t>   2.消防安全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——建立消防设备设施台账，了解掌握消防设备设施使用状态，确保消防通道畅通；</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——配合采购人保卫部门做好消防器材、标识标牌的日常检查与更新工作；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——定期开展消防培训和演习，签订安全责任书，保证值守人员掌握基本消防技能、熟练掌握防火、灭火知识、消防安全四个能力与消防安全四个知道及消防器材的使用方法，有自防自救能力；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——值守人员为第一义务消防员，具备应急突发事件处理能力；</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——针对火灾、治安以及公共安全卫生制定各类应急预案，落实到位，及时报告，协助相关部门及人员采取应对措施。</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停车场管理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机动车辆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——严格执行车辆出入登记；</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——车辆停放整齐；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——夜间车辆开出时，接到电话及时到岗放行；</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——维护停车场秩序，车辆停放有序；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——停车设施安全有效；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——主要道路及停车场应设必要标识；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——对违规的机动车辆进行劝阻；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——发现车辆有异常情况，应及时联系车主或向上级报告。</w:t>
      </w:r>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 非机动车辆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——为进入办公楼内的非机动车辆提供指定区域有序停放的服务。在场地内的车辆必须码放整齐，禁止乱停乱放；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——严格遵守岗位执勤规范，避免丢失事故发生；</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——原则上应拒绝共享单车进入管理区域。</w:t>
      </w:r>
    </w:p>
    <w:p>
      <w:pPr>
        <w:pStyle w:val="95"/>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紧急情况的处置</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当发生干扰、破坏采购人单位正常的生产、生活、工作秩序的特殊情况时，秩序维护员应按照应急工作预案，迅速将有关情况报告采购人单位或当地公安单位。协助做好疏导工作，维护正常秩序。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(三) 环境保洁服务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1.一般要求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——卫生设施完备、清洁、无异味，垃圾实施分类管理；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——明确清洁人员责任范围，实行标准化清洁；</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——垃圾分类，日产日清，定期消毒灭杀；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——房屋共用部位保持清洁，无擅自占用和堆放杂物；</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——清洁工具分区分类定点摆放，整齐、干净；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——保洁服务人员岗前培训工作到位，个人卫生保持良好；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——建立保洁、消杀档案，填写工作记录。</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2.清洁对象及标准</w:t>
      </w:r>
    </w:p>
    <w:p>
      <w:pPr>
        <w:pStyle w:val="97"/>
        <w:spacing w:before="0" w:after="0" w:line="360" w:lineRule="auto"/>
        <w:ind w:left="0" w:right="0" w:firstLine="0"/>
        <w:rPr>
          <w:rFonts w:ascii="Times New Roman" w:hAnsi="Times New Roman" w:eastAsia="Times New Roman" w:cs="Times New Roman"/>
        </w:rPr>
      </w:pPr>
      <w:r>
        <w:rPr>
          <w:rFonts w:ascii="仿宋" w:hAnsi="仿宋" w:eastAsia="仿宋" w:cs="仿宋"/>
          <w:sz w:val="28"/>
          <w:szCs w:val="28"/>
        </w:rPr>
        <w:t> 办公楼各区域的清洁对象及要求如（表1）</w:t>
      </w:r>
    </w:p>
    <w:p>
      <w:pPr>
        <w:pStyle w:val="95"/>
        <w:spacing w:before="0" w:after="0" w:line="360" w:lineRule="auto"/>
        <w:ind w:left="0" w:right="0" w:firstLine="0"/>
        <w:rPr>
          <w:rFonts w:ascii="Times New Roman" w:hAnsi="Times New Roman" w:eastAsia="Times New Roman" w:cs="Times New Roman"/>
        </w:rPr>
      </w:pPr>
      <w:r>
        <w:rPr>
          <w:rFonts w:ascii="Times New Roman" w:hAnsi="Times New Roman" w:eastAsia="Times New Roman" w:cs="Times New Roman"/>
        </w:rPr>
        <w:t> </w:t>
      </w:r>
    </w:p>
    <w:tbl>
      <w:tblPr>
        <w:tblStyle w:val="98"/>
        <w:tblW w:w="9310" w:type="dxa"/>
        <w:tblCellSpacing w:w="0" w:type="dxa"/>
        <w:tblInd w:w="236" w:type="dxa"/>
        <w:tblLayout w:type="autofit"/>
        <w:tblCellMar>
          <w:top w:w="15" w:type="dxa"/>
          <w:left w:w="15" w:type="dxa"/>
          <w:bottom w:w="15" w:type="dxa"/>
          <w:right w:w="15" w:type="dxa"/>
        </w:tblCellMar>
      </w:tblPr>
      <w:tblGrid>
        <w:gridCol w:w="1093"/>
        <w:gridCol w:w="1201"/>
        <w:gridCol w:w="2790"/>
        <w:gridCol w:w="4226"/>
      </w:tblGrid>
      <w:tr>
        <w:trPr>
          <w:trHeight w:val="1115" w:hRule="atLeast"/>
          <w:tblCellSpacing w:w="0" w:type="dxa"/>
        </w:trPr>
        <w:tc>
          <w:tcPr>
            <w:tcW w:w="1093"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200"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清洁区域</w:t>
            </w:r>
          </w:p>
        </w:tc>
        <w:tc>
          <w:tcPr>
            <w:tcW w:w="2789"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清洁对象</w:t>
            </w:r>
          </w:p>
        </w:tc>
        <w:tc>
          <w:tcPr>
            <w:tcW w:w="4224"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清洁标准</w:t>
            </w:r>
          </w:p>
        </w:tc>
      </w:tr>
      <w:tr>
        <w:trPr>
          <w:trHeight w:val="1159"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7"/>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楼内大厅、走廊</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天花板、灯罩、排风口</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清洁干净，无尘、无污、无网状物。</w:t>
            </w:r>
          </w:p>
        </w:tc>
      </w:tr>
      <w:tr>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无尘土、无手印、无污渍。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办公室内标牌、开关面板、窗台</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整洁干净，无污渍、尘土。</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消防栓箱</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内外整洁、干净、内部设施完好无缺。</w:t>
            </w:r>
          </w:p>
        </w:tc>
      </w:tr>
      <w:tr>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center"/>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1444"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大厅、走廊内摆放物品</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表面干净、无尘土。</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摆放的绿植</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盆体干净无尘土，绿叶无浮尘，盆内无杂物。</w:t>
            </w:r>
          </w:p>
        </w:tc>
      </w:tr>
      <w:tr>
        <w:tblPrEx>
          <w:tblCellMar>
            <w:top w:w="15" w:type="dxa"/>
            <w:left w:w="15" w:type="dxa"/>
            <w:bottom w:w="15" w:type="dxa"/>
            <w:right w:w="15" w:type="dxa"/>
          </w:tblCellMar>
        </w:tblPrEx>
        <w:trPr>
          <w:trHeight w:val="1670"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墙面、门面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洁净，无手印、无黑点、无污渍、无尘土。</w:t>
            </w:r>
          </w:p>
        </w:tc>
      </w:tr>
      <w:tr>
        <w:tblPrEx>
          <w:tblCellMar>
            <w:top w:w="15" w:type="dxa"/>
            <w:left w:w="15" w:type="dxa"/>
            <w:bottom w:w="15" w:type="dxa"/>
            <w:right w:w="15" w:type="dxa"/>
          </w:tblCellMar>
        </w:tblPrEx>
        <w:trPr>
          <w:trHeight w:val="1279"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玻璃镜面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保持光亮，无水点和水渍、无手印。</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灯罩、天花板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保证无尘土、无污渍。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台面、洗手盆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无污物、无水迹、无杂物，白洁光亮。</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大便器、小便池</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上下内外保持干净，光亮白洁，无黄垢、无毛发、无杂物。</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保持干净光洁，边角无杂物、无污迹、无水迹。</w:t>
            </w:r>
          </w:p>
        </w:tc>
      </w:tr>
      <w:tr>
        <w:tblPrEx>
          <w:tblCellMar>
            <w:top w:w="15" w:type="dxa"/>
            <w:left w:w="15" w:type="dxa"/>
            <w:bottom w:w="15" w:type="dxa"/>
            <w:right w:w="15" w:type="dxa"/>
          </w:tblCellMar>
        </w:tblPrEx>
        <w:trPr>
          <w:trHeight w:val="2224"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垃圾及时清倒，垃圾袋及时更换，垃圾桶内、桶及桶后墙面保持无污迹。</w:t>
            </w:r>
          </w:p>
        </w:tc>
      </w:tr>
      <w:tr>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卫生间内空气</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清新无异味。</w:t>
            </w:r>
          </w:p>
        </w:tc>
      </w:tr>
      <w:tr>
        <w:tblPrEx>
          <w:tblCellMar>
            <w:top w:w="15" w:type="dxa"/>
            <w:left w:w="15" w:type="dxa"/>
            <w:bottom w:w="15" w:type="dxa"/>
            <w:right w:w="15" w:type="dxa"/>
          </w:tblCellMar>
        </w:tblPrEx>
        <w:trPr>
          <w:trHeight w:val="1669"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卫生间内各种设备</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完好无损，发现损坏及时报修。</w:t>
            </w:r>
          </w:p>
        </w:tc>
      </w:tr>
      <w:tr>
        <w:tblPrEx>
          <w:tblCellMar>
            <w:top w:w="15" w:type="dxa"/>
            <w:left w:w="15" w:type="dxa"/>
            <w:bottom w:w="15" w:type="dxa"/>
            <w:right w:w="15" w:type="dxa"/>
          </w:tblCellMar>
        </w:tblPrEx>
        <w:trPr>
          <w:trHeight w:val="1115"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步梯</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楼梯内的顶板及灯具</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干净，无尘土、无污迹。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扶手、栏杆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无尘土、无污渍。</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楼道内</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无堆放杂物</w:t>
            </w:r>
          </w:p>
        </w:tc>
      </w:tr>
      <w:tr>
        <w:tblPrEx>
          <w:tblCellMar>
            <w:top w:w="15" w:type="dxa"/>
            <w:left w:w="15" w:type="dxa"/>
            <w:bottom w:w="15" w:type="dxa"/>
            <w:right w:w="15" w:type="dxa"/>
          </w:tblCellMar>
        </w:tblPrEx>
        <w:trPr>
          <w:trHeight w:val="2225"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室外环境和“门前三包”责任区</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整洁干净，无乱堆乱放，无积水。无违法张贴，无违法喷涂，无乱刻乱划。</w:t>
            </w:r>
          </w:p>
        </w:tc>
      </w:tr>
      <w:tr>
        <w:trPr>
          <w:trHeight w:val="2224"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会议室及活动室</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标牌、开关、面板、窗台、桌椅、电脑、地面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每天保洁一次，整洁干净。</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7754"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3"/>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三包区域内楼前灯、垃圾桶、宣传栏、室外标志牌等</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97"/>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1.宣传栏、室外标志牌、灯杆等无灰尘、无污痕、无破损、无黏贴；</w:t>
            </w:r>
          </w:p>
          <w:p>
            <w:pPr>
              <w:pStyle w:val="97"/>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2.生活垃圾装袋入桶，垃圾桶、果皮箱无异味，夏天每天消毒，桶、箱外壁干净、无明显污渍；</w:t>
            </w:r>
          </w:p>
          <w:p>
            <w:pPr>
              <w:pStyle w:val="97"/>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3.工程垃圾以及有害垃圾专门地点存放，不得放入垃圾桶内； </w:t>
            </w:r>
          </w:p>
          <w:p>
            <w:pPr>
              <w:pStyle w:val="93"/>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4.楼前灯无灰尘、无污痕、无损坏；</w:t>
            </w:r>
          </w:p>
          <w:p>
            <w:pPr>
              <w:pStyle w:val="97"/>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5.区域内落叶、积水等应按照每天作息时间上班前进行清扫，保证路面不积水、不结冰。</w:t>
            </w:r>
          </w:p>
        </w:tc>
      </w:tr>
    </w:tbl>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3.清洁作业要求</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rPr>
          <w:rFonts w:ascii="Times New Roman" w:hAnsi="Times New Roman" w:eastAsia="Times New Roman" w:cs="Times New Roman"/>
        </w:rPr>
      </w:pPr>
      <w:r>
        <w:rPr>
          <w:rFonts w:ascii="仿宋" w:hAnsi="仿宋" w:eastAsia="仿宋" w:cs="仿宋"/>
          <w:sz w:val="28"/>
          <w:szCs w:val="28"/>
        </w:rPr>
        <w:t> 办公楼各区域清洁作业要求如（表2）</w:t>
      </w:r>
    </w:p>
    <w:tbl>
      <w:tblPr>
        <w:tblStyle w:val="100"/>
        <w:tblW w:w="9342" w:type="dxa"/>
        <w:tblCellSpacing w:w="0" w:type="dxa"/>
        <w:tblInd w:w="344" w:type="dxa"/>
        <w:tblLayout w:type="autofit"/>
        <w:tblCellMar>
          <w:top w:w="15" w:type="dxa"/>
          <w:left w:w="15" w:type="dxa"/>
          <w:bottom w:w="15" w:type="dxa"/>
          <w:right w:w="15" w:type="dxa"/>
        </w:tblCellMar>
      </w:tblPr>
      <w:tblGrid>
        <w:gridCol w:w="1201"/>
        <w:gridCol w:w="1147"/>
        <w:gridCol w:w="2126"/>
        <w:gridCol w:w="1932"/>
        <w:gridCol w:w="2936"/>
      </w:tblGrid>
      <w:tr>
        <w:tblPrEx>
          <w:tblCellMar>
            <w:top w:w="15" w:type="dxa"/>
            <w:left w:w="15" w:type="dxa"/>
            <w:bottom w:w="15" w:type="dxa"/>
            <w:right w:w="15" w:type="dxa"/>
          </w:tblCellMar>
        </w:tblPrEx>
        <w:trPr>
          <w:tblCellSpacing w:w="0" w:type="dxa"/>
        </w:trPr>
        <w:tc>
          <w:tcPr>
            <w:tcW w:w="1485" w:type="dxa"/>
            <w:tcBorders>
              <w:top w:val="single" w:color="000000" w:sz="8" w:space="0"/>
              <w:left w:val="single" w:color="000000" w:sz="8" w:space="0"/>
              <w:bottom w:val="single" w:color="000000" w:sz="8" w:space="0"/>
              <w:right w:val="single" w:color="000000" w:sz="8" w:space="0"/>
            </w:tcBorders>
            <w:shd w:val="clear" w:color="auto" w:fill="D9D9D9"/>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区域</w:t>
            </w:r>
          </w:p>
        </w:tc>
        <w:tc>
          <w:tcPr>
            <w:tcW w:w="117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分类</w:t>
            </w:r>
          </w:p>
        </w:tc>
        <w:tc>
          <w:tcPr>
            <w:tcW w:w="273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作业项目</w:t>
            </w:r>
          </w:p>
        </w:tc>
        <w:tc>
          <w:tcPr>
            <w:tcW w:w="2446"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作业方式</w:t>
            </w:r>
          </w:p>
        </w:tc>
        <w:tc>
          <w:tcPr>
            <w:tcW w:w="3891"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周期</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一层大厅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地面及入口处</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不少于3次/日，随时巡视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玻璃门</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1次/月</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二层以上各楼层通道及茶水间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梯阶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窗台、楼梯扶手、栏杆及挡板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墙体附属物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大、小便池内外侧</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冲刷、擦拭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6-22时巡视保洁至少4次/日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纸篓</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倾倒垃圾，清洁纸篓，更换垃圾袋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云台、面盆、镜面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门窗、隔断板、墙壁、窗台</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水龙头等金属物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桌椅及其他家具、窗台、窗框</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茶具</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清洗、消毒</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根据会议情况准备</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倾倒垃圾，清洁垃圾桶，更换垃圾袋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顶灯、壁灯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楼宇外围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巡视清理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不锈钢围栏</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99"/>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99"/>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宣传栏、标志牌</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垃圾桶、果皮箱</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99"/>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bl>
    <w:p>
      <w:pPr>
        <w:pStyle w:val="95"/>
        <w:spacing w:before="0" w:after="0" w:line="360" w:lineRule="auto"/>
        <w:ind w:left="0" w:right="0" w:firstLine="560"/>
        <w:rPr>
          <w:rFonts w:ascii="Times New Roman" w:hAnsi="Times New Roman" w:eastAsia="Times New Roman" w:cs="Times New Roman"/>
        </w:rPr>
      </w:pPr>
      <w:r>
        <w:t>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 垃圾分类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——垃圾应分类管理，最大限度地实现垃圾资源利用，减少垃圾处置量；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——做好垃圾分类宣传，倡导绿色环保理念，实现垃圾分类投放；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——根据实际情况，按照可回收物、有害垃圾、厨余垃圾（湿垃圾）、其他垃圾（干垃圾）分别设置垃圾桶，实现分类储存；</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——垃圾收集严格按照分类原则，实现垃圾分类搬运。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5.垃圾中转站管理</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——中转站为办公楼保洁收集垃圾的临时存放处，垃圾应进行分类，做到分类存放，日产日清；</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——中转站应随脏随打扫,做到站内墙面及天花板无积灰、污迹、蛛网，无乱涂乱画，墙面光洁，外墙面整洁，垃圾清场后应认真冲洗；</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——废品不得堆放在中转站外，不得在中转站内外燃烧废品；</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——设立垃圾分类相关设施，做到垃圾减量化、垃圾资源化；</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——及时收管站内工具和设施，对站内设备和设施的完好情况登记，故障要及时汇报；</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——把安全生产放在首位，消除一切不安全因素，做到早发现，早预防，确保安全运行；</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——工作结束后，做好室内外环境卫生，切断电源，关闭水龙头，关锁好门窗；</w:t>
      </w:r>
    </w:p>
    <w:p>
      <w:pPr>
        <w:pStyle w:val="9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——做好节能环保和垃圾处理相关知识宣传，努力实现垃圾减量，厨余垃圾无害化处理。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6.有害生物防治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——防治方案：防治害虫采用预防为主，综合防治的方法。按照合同防治方案及标准进行治理；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——药物成份：符合国家规范要求，药物安全、环保、无异味；</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——防治人员服务时着装整齐，持证上岗，按照规范操作。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（四）会议服务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 1. 会议室及其用品管理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——会议室专人管理；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——茶具严格消毒、烫洗，封存，达到卫生安全标准；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——毛巾：洗净后应放在蒸箱内高温消毒。</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2.会议受理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——签订会议预定单，详细记录客户会议需求。</w:t>
      </w:r>
    </w:p>
    <w:p>
      <w:pPr>
        <w:pStyle w:val="95"/>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会议前准备</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——场地布置：根据组会方要求、场地大小、用途，明确摆放规定，同时须留有足够的应急疏散通道疏散出口；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——引导服务：按照会议预定单做好水牌并放置在指定位置；引导人员原则上于会议开始前就位。引导手势规范，语言标准；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4.</w:t>
      </w:r>
      <w:r>
        <w:rPr>
          <w:rFonts w:ascii="仿宋" w:hAnsi="仿宋" w:eastAsia="仿宋" w:cs="仿宋"/>
          <w:sz w:val="28"/>
          <w:szCs w:val="28"/>
        </w:rPr>
        <w:t> 会中服务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——会议开始，根据需要为主席台提供服务；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后立即给茶杯加满水；茶水加满后立即摆放热毛巾；首次满水后15分钟进行第二次续水；之后每30分钟续水一次；续水时应左手拿暖瓶，从客人右侧，微侧身用右手中指和无名指夹起杯盖，用拇指、食指握住杯把，在客人身后加水，再轻轻的将水杯放在桌上，盖上杯盖，杯把朝向客人的右边。注意续水时倒杯子的八分为宜，续水时应慢，以免开水溅到客人身上。如是矿泉水，要随时注意客人饮用情况，及时更换；</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——会议时间较长时：如果中间休息，服务员要及时整理好座椅、桌面用品，续水，增补便签。在整理时，注意不要弄乱和翻阅桌的文件、本册等；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不允许嬉笑、打闹、对会场内指指点点，做出不文明举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结束前，各引导人员迅速抵达岗位，进行疏散。不得影响其他会议正常进行。会议结束后将茶具、会议用品、台型及室内卫生恢复到最佳状态，茶具及时清洗、消毒。关闭所有设备，整理会场，最后关闭电灯、门窗离开。</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5.</w:t>
      </w:r>
      <w:r>
        <w:rPr>
          <w:rFonts w:ascii="仿宋" w:hAnsi="仿宋" w:eastAsia="仿宋" w:cs="仿宋"/>
          <w:sz w:val="28"/>
          <w:szCs w:val="28"/>
        </w:rPr>
        <w:t>会后整理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——对会议现场进行检查。如发现参会人员遗忘的物品，要立即归还；</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——请组会方填写会议满意度调查表。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rPr>
        <w:t>6.</w:t>
      </w:r>
      <w:r>
        <w:rPr>
          <w:rFonts w:ascii="仿宋" w:hAnsi="仿宋" w:eastAsia="仿宋" w:cs="仿宋"/>
          <w:sz w:val="28"/>
          <w:szCs w:val="28"/>
        </w:rPr>
        <w:t>会议安全服务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——制定会议、活动突发事件的应急预案；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——对于100人以上的大型会议，会前应将会议中心疏散图、各疏散通道位置告知组会方，并提醒组会方顺序退场；</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——发生紧急事件时，立即组织相关责任人处理，按应急方案制定的措施执行，并分析原因，提出整改方案和预防措施。</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（五）特约服务 （食堂餐饮服务）</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（1）人员管理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——投标方应积极维护采购人的利益，为采购人提供及时、高效、高质量的服务；投标方需配合采购人对食堂人员进行统一管理，采购人负责食堂食材的采买；</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——服从领导，积极工作，对本职工作认真负责；</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——厨师不得允许任何人在非吃饭时间进入餐厅；</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——严格遵守劳动纪律，不迟到不早退，自觉坚守工作岗位，工作时间不随意离开工作岗位。</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——注意个人卫生，定期体检，工作时间不准吸烟、不留长发、长指甲，搞好个人卫生和环境卫生，做到文明服务；虚心听取意见，改进工作。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——虚心学习技术，努力钻研业务，不断提高烹饪技术水平，逐步达到一定技术等级。</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（2）饮食管理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食品要烧熟煮透，烧好的菜要及时送进熟食间，生熟严格分开，隔餐要回锅烧透；配菜时要注意规格、质量，档次按配比标准执行。按时、按标准做饭，确保准时用餐；每天剩余的成品、半成品，妥善处理，安全存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——开饭时，要及时掌握窗口供需情况，及时补充，确保供应；严格执行用餐规定，杜绝浪费；</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——注意控制和节约食堂成本，热心为用餐者服务，提高服务质量，搞好饮食服务工作。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（3）卫生要求</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——严格把好食品卫生关，保证饮食卫生，防止食物中毒；认真做好厨房内清洁卫生工作；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——保持灶面和环境清洁卫生，调料盆放在固定位置，做到清洁卫生，操作工具用毕洗净擦干，放在架上；</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——服务人员必须保证食堂地面及桌椅的干净整洁；无灰尘、污渍、杂物；垃圾须清理。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（4）安全管理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——注意搞好防火工作，安全使用燃气，防止火灾。 节约水、电、煤、粮、油，爱护食堂设施。严格按操作规程使用机械炊具，避免伤亡事故发生；</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——在服务时应对食堂原有设备设施进行检查，确保所有设施设备正常工作。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（六）突发事件应急管理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重点部位及安全隐患排查</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——结合办公楼的实际情况，对重点部位及危险隐患进行排查，并建立清单/台账；</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——应对危险隐患进行风险分析，制定相应措施进行控制或整改并定期监控；</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——随着设施设备、服务内容的变化，及时更新清单/台账,使风险隐患始终处于受控状态。</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2.应急预案的建立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（1）应急预案类型</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——预案包括综合预案、专项预案和现场处置方案；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办公楼隐患排查的结果和实际情况，制定专项预案，包括但不限于：火情火警紧急处理应急预案、紧急疏散应急预案、停电应急预案、有限空间救援应急预案、高空作业救援应急预案、恶劣天气应对应急预案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（2）应急预案的培训和演练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——应急预案定期培训和演练，每半年至少组织相关岗位进行一次专项应急预案演练；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——留存培训及演练记录和影像资料，并对预案进行评价，确保与实际情况相结合。</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（3）应急物资的管理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——根据专项预案中的应对需要，合理配置必要的应急物资，建立清单或台账，并专人管理；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——定期对应急物资进行检查，确保能够随时正常使用。</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（七）绿色物业管理</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绿色物业管理的主要管理措施包括但不限于：</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——节水：利用节水技术和设施，杜绝“跑、冒、滴、漏”；</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——垃圾分类：配合当地的城市管理要求，进行垃圾分类宣传和行为引导，设立生活垃圾分类集中投放点和分类收集容器，对生活垃圾分类收集、分类暂存和分类交运；</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——环境绿化：选用有机肥料和生物治虫技术，营造生态环境；</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——控烟管理：办公楼内严禁吸烟，会议室、值班室等不设烟灰缸，发现吸烟人员及时劝阻；</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——污染防治：实施雨水、污水分流管理，控制设备噪声、作业噪声和粉尘排放，对有毒化学品容器、机油抹布等固体废弃物等进行有效处置等；</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——绿色采购：优先采购政府公布的绿色采购清单物质。 </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（八）标准化建设</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——熟悉并按照当地政务单位标准化服务要求做好相应的制度与保障服务工作；</w:t>
      </w:r>
    </w:p>
    <w:p>
      <w:pPr>
        <w:pStyle w:val="9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——根据政府部门要求做好相关的标准化服务。</w:t>
      </w:r>
    </w:p>
    <w:p>
      <w:pPr>
        <w:pStyle w:val="90"/>
        <w:keepNext w:val="0"/>
        <w:spacing w:before="0" w:after="0" w:line="360" w:lineRule="auto"/>
        <w:jc w:val="center"/>
        <w:rPr>
          <w:rFonts w:ascii="仿宋_GB2312" w:hAnsi="仿宋_GB2312" w:eastAsia="仿宋_GB2312" w:cs="仿宋_GB2312"/>
          <w:b/>
          <w:bCs/>
          <w:sz w:val="32"/>
          <w:szCs w:val="32"/>
        </w:rPr>
      </w:pPr>
      <w:bookmarkStart w:id="24" w:name="_Toc256000020"/>
      <w:r>
        <w:rPr>
          <w:rFonts w:ascii="仿宋_GB2312" w:hAnsi="仿宋_GB2312" w:eastAsia="仿宋_GB2312" w:cs="仿宋_GB2312"/>
          <w:kern w:val="36"/>
        </w:rPr>
        <w:t>4人员要求</w:t>
      </w:r>
      <w:bookmarkEnd w:id="24"/>
    </w:p>
    <w:p>
      <w:pPr>
        <w:pStyle w:val="91"/>
        <w:keepNext w:val="0"/>
        <w:spacing w:before="0" w:after="0" w:line="360" w:lineRule="auto"/>
        <w:rPr>
          <w:rFonts w:ascii="仿宋_GB2312" w:hAnsi="仿宋_GB2312" w:eastAsia="仿宋_GB2312" w:cs="仿宋_GB2312"/>
          <w:b/>
          <w:bCs/>
          <w:sz w:val="28"/>
          <w:szCs w:val="28"/>
        </w:rPr>
      </w:pPr>
      <w:bookmarkStart w:id="25" w:name="_Toc256000021"/>
      <w:r>
        <w:rPr>
          <w:rFonts w:ascii="仿宋_GB2312" w:hAnsi="仿宋_GB2312" w:eastAsia="仿宋_GB2312" w:cs="仿宋_GB2312"/>
          <w:i w:val="0"/>
          <w:iCs w:val="0"/>
        </w:rPr>
        <w:t>4.1总体要求</w:t>
      </w:r>
      <w:bookmarkEnd w:id="25"/>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1.持证上岗</w:t>
      </w:r>
    </w:p>
    <w:p>
      <w:pPr>
        <w:pStyle w:val="101"/>
        <w:spacing w:before="0" w:after="0" w:line="360" w:lineRule="auto"/>
        <w:rPr>
          <w:rFonts w:ascii="Times New Roman" w:hAnsi="Times New Roman" w:eastAsia="Times New Roman" w:cs="Times New Roman"/>
        </w:rPr>
      </w:pPr>
      <w:r>
        <w:rPr>
          <w:rFonts w:ascii="仿宋" w:hAnsi="仿宋" w:eastAsia="仿宋" w:cs="仿宋"/>
          <w:sz w:val="21"/>
          <w:szCs w:val="21"/>
        </w:rPr>
        <w:t>    </w:t>
      </w:r>
      <w:r>
        <w:rPr>
          <w:rFonts w:ascii="仿宋" w:hAnsi="仿宋" w:eastAsia="仿宋" w:cs="仿宋"/>
          <w:sz w:val="28"/>
          <w:szCs w:val="28"/>
        </w:rPr>
        <w:t>根据国家有关规定及行业要求，物业管理的部分岗位要求持证上岗：</w:t>
      </w:r>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2.职业素质</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（1）政治素质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热爱祖国、诚实守信；爱岗敬业，恪尽职守；遵纪守法，团结协作；无违法犯罪记录。</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（2）业务技能</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具备基本法律知识，了解有关岗位管理政策、规定，熟悉物业服务区域基本情况；具备较强的语言、文字表达能力和沟通能力；具备与岗位职责相应的观察、发现、处置问题能力；熟练使用相关专用设施设备。</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（3）身体素质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仪表端庄，具备岗位需要的身体条件等。</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（4）文化素质</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具备相应的专业业务知识和技能。</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（5）年龄条件</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依据国家有关行业危险等级划分，秩序维护员等岗位人员年龄应符合国家法律规定的最低或最高年龄要求。</w:t>
      </w:r>
    </w:p>
    <w:p>
      <w:pPr>
        <w:pStyle w:val="101"/>
        <w:spacing w:before="0" w:after="0" w:line="360" w:lineRule="auto"/>
        <w:ind w:firstLine="280"/>
        <w:rPr>
          <w:rFonts w:ascii="Times New Roman" w:hAnsi="Times New Roman" w:eastAsia="Times New Roman" w:cs="Times New Roman"/>
        </w:rPr>
      </w:pPr>
      <w:r>
        <w:rPr>
          <w:rFonts w:ascii="仿宋" w:hAnsi="仿宋" w:eastAsia="仿宋" w:cs="仿宋"/>
          <w:sz w:val="28"/>
          <w:szCs w:val="28"/>
        </w:rPr>
        <w:t>（6）安全生产</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严格按安全操作规程操作，不得违章作业、违章指挥。</w:t>
      </w:r>
    </w:p>
    <w:p>
      <w:pPr>
        <w:pStyle w:val="9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3.行为规范</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（1）着装</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统一着装、干净整洁，并按规定佩带标志，因私外出时应着便服。</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 xml:space="preserve">（2）纪律 </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姿态端正、工作规范、举止文明、精神饱满、表情自然；语言简洁、文明，主动、热情、耐心、周到并及时、主动提供服务；严格履行岗位职责；不准刁难客户及来访人员；不得脱岗、空岗、睡岗，不准迟到、早退，在岗期间不准做与工作无关的事；遵守采购人单位内部的规章制度，不准随意打听、记录、传播采购人单位内部的信息；有重要情况妥善处置并及时上报。不准迟报、漏报、瞒报；认真填写值班记录，做好交接班工作；爱护公物，爱护客户财物；自觉维护环境卫生，保持物业服务区域整齐清洁。</w:t>
      </w:r>
    </w:p>
    <w:p>
      <w:pPr>
        <w:pStyle w:val="101"/>
        <w:spacing w:before="0" w:after="0" w:line="360" w:lineRule="auto"/>
        <w:ind w:firstLine="560"/>
        <w:rPr>
          <w:rFonts w:ascii="Times New Roman" w:hAnsi="Times New Roman" w:eastAsia="Times New Roman" w:cs="Times New Roman"/>
        </w:rPr>
      </w:pPr>
      <w:r>
        <w:rPr>
          <w:rFonts w:ascii="仿宋" w:hAnsi="仿宋" w:eastAsia="仿宋" w:cs="仿宋"/>
          <w:sz w:val="28"/>
          <w:szCs w:val="28"/>
          <w:shd w:val="clear" w:color="auto" w:fill="FFFFFF"/>
        </w:rPr>
        <w:t>4.投标方根据管理和技术团队岗位制定人力资源配置，但总人数不得低于41人。</w:t>
      </w:r>
    </w:p>
    <w:p>
      <w:pPr>
        <w:pStyle w:val="91"/>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4.2管理团队</w:t>
      </w:r>
      <w:bookmarkEnd w:id="26"/>
    </w:p>
    <w:p>
      <w:pPr>
        <w:pStyle w:val="92"/>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sz w:val="28"/>
          <w:szCs w:val="28"/>
        </w:rPr>
        <w:t>4.2.1项目经理</w:t>
      </w:r>
      <w:bookmarkEnd w:id="27"/>
    </w:p>
    <w:tbl>
      <w:tblPr>
        <w:tblStyle w:val="98"/>
        <w:tblW w:w="10960" w:type="dxa"/>
        <w:jc w:val="center"/>
        <w:tblCellSpacing w:w="0" w:type="dxa"/>
        <w:tblLayout w:type="autofit"/>
        <w:tblCellMar>
          <w:top w:w="15" w:type="dxa"/>
          <w:left w:w="15" w:type="dxa"/>
          <w:bottom w:w="15" w:type="dxa"/>
          <w:right w:w="15" w:type="dxa"/>
        </w:tblCellMar>
      </w:tblPr>
      <w:tblGrid>
        <w:gridCol w:w="1176"/>
        <w:gridCol w:w="1633"/>
        <w:gridCol w:w="988"/>
        <w:gridCol w:w="1673"/>
        <w:gridCol w:w="1124"/>
        <w:gridCol w:w="1614"/>
        <w:gridCol w:w="2752"/>
      </w:tblGrid>
      <w:tr>
        <w:tblPrEx>
          <w:tblCellMar>
            <w:top w:w="15" w:type="dxa"/>
            <w:left w:w="15" w:type="dxa"/>
            <w:bottom w:w="15" w:type="dxa"/>
            <w:right w:w="15" w:type="dxa"/>
          </w:tblCellMar>
        </w:tblPrEx>
        <w:trPr>
          <w:trHeight w:val="2780" w:hRule="atLeast"/>
          <w:tblCellSpacing w:w="0" w:type="dxa"/>
          <w:jc w:val="center"/>
        </w:trPr>
        <w:tc>
          <w:tcPr>
            <w:tcW w:w="1175"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6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98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67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112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61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2747"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3690" w:hRule="atLeast"/>
          <w:tblCellSpacing w:w="0" w:type="dxa"/>
          <w:jc w:val="center"/>
        </w:trPr>
        <w:tc>
          <w:tcPr>
            <w:tcW w:w="1175"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98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67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项目经理1人</w:t>
            </w:r>
          </w:p>
        </w:tc>
        <w:tc>
          <w:tcPr>
            <w:tcW w:w="1122"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1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专职</w:t>
            </w:r>
          </w:p>
        </w:tc>
        <w:tc>
          <w:tcPr>
            <w:tcW w:w="2747"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1.品德良好，工作态度端正，责任心强，无不良行为记录。 </w:t>
            </w:r>
          </w:p>
          <w:p>
            <w:pPr>
              <w:pStyle w:val="93"/>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2.有类似本项目工作经验。</w:t>
            </w:r>
          </w:p>
        </w:tc>
      </w:tr>
    </w:tbl>
    <w:p>
      <w:pPr>
        <w:pStyle w:val="91"/>
        <w:keepNext w:val="0"/>
        <w:spacing w:before="0" w:after="0" w:line="360" w:lineRule="auto"/>
        <w:rPr>
          <w:rFonts w:ascii="仿宋_GB2312" w:hAnsi="仿宋_GB2312" w:eastAsia="仿宋_GB2312" w:cs="仿宋_GB2312"/>
          <w:b/>
          <w:bCs/>
          <w:sz w:val="28"/>
          <w:szCs w:val="28"/>
        </w:rPr>
      </w:pPr>
      <w:bookmarkStart w:id="28" w:name="_Toc256000024"/>
      <w:r>
        <w:rPr>
          <w:rFonts w:ascii="仿宋_GB2312" w:hAnsi="仿宋_GB2312" w:eastAsia="仿宋_GB2312" w:cs="仿宋_GB2312"/>
          <w:i w:val="0"/>
          <w:iCs w:val="0"/>
        </w:rPr>
        <w:t>4.3技术团队</w:t>
      </w:r>
      <w:bookmarkEnd w:id="28"/>
    </w:p>
    <w:p>
      <w:pPr>
        <w:pStyle w:val="95"/>
        <w:spacing w:before="0" w:after="0" w:line="360" w:lineRule="auto"/>
        <w:jc w:val="center"/>
        <w:rPr>
          <w:rFonts w:ascii="Times New Roman" w:hAnsi="Times New Roman" w:eastAsia="Times New Roman" w:cs="Times New Roman"/>
        </w:rPr>
      </w:pPr>
      <w:r>
        <w:rPr>
          <w:rFonts w:ascii="仿宋" w:hAnsi="仿宋" w:eastAsia="仿宋" w:cs="仿宋"/>
          <w:sz w:val="28"/>
          <w:szCs w:val="28"/>
        </w:rPr>
        <w:t>保安、保洁、会议及其他服务人员配置</w:t>
      </w:r>
    </w:p>
    <w:tbl>
      <w:tblPr>
        <w:tblStyle w:val="98"/>
        <w:tblW w:w="9397" w:type="dxa"/>
        <w:tblCellSpacing w:w="0" w:type="dxa"/>
        <w:tblInd w:w="260" w:type="dxa"/>
        <w:tblLayout w:type="autofit"/>
        <w:tblCellMar>
          <w:top w:w="15" w:type="dxa"/>
          <w:left w:w="15" w:type="dxa"/>
          <w:bottom w:w="15" w:type="dxa"/>
          <w:right w:w="15" w:type="dxa"/>
        </w:tblCellMar>
      </w:tblPr>
      <w:tblGrid>
        <w:gridCol w:w="1382"/>
        <w:gridCol w:w="1271"/>
        <w:gridCol w:w="1142"/>
        <w:gridCol w:w="1248"/>
        <w:gridCol w:w="826"/>
        <w:gridCol w:w="1762"/>
        <w:gridCol w:w="1766"/>
      </w:tblGrid>
      <w:tr>
        <w:trPr>
          <w:trHeight w:val="2285" w:hRule="atLeast"/>
          <w:tblCellSpacing w:w="0" w:type="dxa"/>
        </w:trPr>
        <w:tc>
          <w:tcPr>
            <w:tcW w:w="1666"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43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135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49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9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209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99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rPr>
          <w:trHeight w:val="124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432" w:type="dxa"/>
            <w:vMerge w:val="restart"/>
            <w:tcBorders>
              <w:right w:val="single" w:color="000000" w:sz="8" w:space="0"/>
            </w:tcBorders>
            <w:noWrap w:val="0"/>
            <w:tcMar>
              <w:top w:w="0" w:type="dxa"/>
              <w:left w:w="105" w:type="dxa"/>
              <w:bottom w:w="0" w:type="dxa"/>
              <w:right w:w="115" w:type="dxa"/>
            </w:tcMar>
            <w:vAlign w:val="center"/>
          </w:tcPr>
          <w:p>
            <w:pPr>
              <w:pStyle w:val="101"/>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101"/>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93"/>
              <w:spacing w:before="24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新区局主办公区</w:t>
            </w:r>
          </w:p>
        </w:tc>
        <w:tc>
          <w:tcPr>
            <w:tcW w:w="1354" w:type="dxa"/>
            <w:vMerge w:val="restart"/>
            <w:tcBorders>
              <w:bottom w:val="nil"/>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480"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567"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1615"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432" w:type="dxa"/>
            <w:tcBorders>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会议服务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40周岁（含）以下，女性 ，1.60米以上</w:t>
            </w:r>
          </w:p>
        </w:tc>
      </w:tr>
      <w:tr>
        <w:tblPrEx>
          <w:tblCellMar>
            <w:top w:w="15" w:type="dxa"/>
            <w:left w:w="15" w:type="dxa"/>
            <w:bottom w:w="15" w:type="dxa"/>
            <w:right w:w="15" w:type="dxa"/>
          </w:tblCellMar>
        </w:tblPrEx>
        <w:trPr>
          <w:trHeight w:val="83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432" w:type="dxa"/>
            <w:vMerge w:val="restart"/>
            <w:tcBorders>
              <w:top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1354" w:type="dxa"/>
            <w:tcBorders>
              <w:right w:val="single" w:color="000000" w:sz="8" w:space="0"/>
            </w:tcBorders>
            <w:noWrap w:val="0"/>
            <w:tcMar>
              <w:top w:w="0" w:type="dxa"/>
              <w:left w:w="105" w:type="dxa"/>
              <w:bottom w:w="0" w:type="dxa"/>
              <w:right w:w="115" w:type="dxa"/>
            </w:tcMar>
            <w:vAlign w:val="center"/>
          </w:tcPr>
          <w:p>
            <w:pPr>
              <w:pStyle w:val="93"/>
              <w:spacing w:line="540" w:lineRule="atLeast"/>
              <w:ind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vMerge w:val="continue"/>
            <w:tcBorders>
              <w:right w:val="single" w:color="000000" w:sz="8" w:space="0"/>
            </w:tcBorders>
            <w:vAlign w:val="center"/>
          </w:tcPr>
          <w:p>
            <w:pPr>
              <w:pStyle w:val="18"/>
              <w:rPr>
                <w:rFonts w:ascii="仿宋" w:hAnsi="仿宋" w:eastAsia="仿宋" w:cs="仿宋"/>
                <w:b w:val="0"/>
                <w:bCs w:val="0"/>
                <w:i w:val="0"/>
                <w:iCs w:val="0"/>
                <w:smallCaps w:val="0"/>
                <w:color w:val="000000"/>
                <w:sz w:val="28"/>
                <w:szCs w:val="28"/>
              </w:rPr>
            </w:pP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9</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11</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水暖电工</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12</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司机</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13</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档案库管理</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480" w:hRule="atLeast"/>
          <w:tblCellSpacing w:w="0" w:type="dxa"/>
        </w:trPr>
        <w:tc>
          <w:tcPr>
            <w:tcW w:w="528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r>
    </w:tbl>
    <w:p>
      <w:pPr>
        <w:pStyle w:val="95"/>
        <w:spacing w:before="0" w:after="0" w:line="360" w:lineRule="auto"/>
        <w:jc w:val="center"/>
        <w:rPr>
          <w:rFonts w:ascii="Times New Roman" w:hAnsi="Times New Roman" w:eastAsia="Times New Roman" w:cs="Times New Roman"/>
        </w:rPr>
      </w:pPr>
      <w:r>
        <w:rPr>
          <w:rFonts w:ascii="仿宋" w:hAnsi="仿宋" w:eastAsia="仿宋" w:cs="仿宋"/>
          <w:sz w:val="28"/>
          <w:szCs w:val="28"/>
        </w:rPr>
        <w:t>食堂服务岗位人员及节假日值班编制</w:t>
      </w:r>
    </w:p>
    <w:tbl>
      <w:tblPr>
        <w:tblStyle w:val="98"/>
        <w:tblW w:w="8979" w:type="dxa"/>
        <w:jc w:val="center"/>
        <w:tblCellSpacing w:w="0" w:type="dxa"/>
        <w:tblLayout w:type="autofit"/>
        <w:tblCellMar>
          <w:top w:w="15" w:type="dxa"/>
          <w:left w:w="15" w:type="dxa"/>
          <w:bottom w:w="15" w:type="dxa"/>
          <w:right w:w="15" w:type="dxa"/>
        </w:tblCellMar>
      </w:tblPr>
      <w:tblGrid>
        <w:gridCol w:w="1024"/>
        <w:gridCol w:w="1063"/>
        <w:gridCol w:w="897"/>
        <w:gridCol w:w="1764"/>
        <w:gridCol w:w="826"/>
        <w:gridCol w:w="1572"/>
        <w:gridCol w:w="1833"/>
      </w:tblGrid>
      <w:tr>
        <w:tblPrEx>
          <w:tblCellMar>
            <w:top w:w="15" w:type="dxa"/>
            <w:left w:w="15" w:type="dxa"/>
            <w:bottom w:w="15" w:type="dxa"/>
            <w:right w:w="15" w:type="dxa"/>
          </w:tblCellMar>
        </w:tblPrEx>
        <w:trPr>
          <w:trHeight w:val="380" w:hRule="atLeast"/>
          <w:tblCellSpacing w:w="0" w:type="dxa"/>
          <w:jc w:val="center"/>
        </w:trPr>
        <w:tc>
          <w:tcPr>
            <w:tcW w:w="1022"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06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895"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76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82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56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82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厨师1人，服务人员4人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厨师1人，服务人员5人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厨师1人，服务人员1人（晚餐）</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80" w:hRule="atLeast"/>
          <w:tblCellSpacing w:w="0" w:type="dxa"/>
          <w:jc w:val="center"/>
        </w:trPr>
        <w:tc>
          <w:tcPr>
            <w:tcW w:w="407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17</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93"/>
              <w:spacing w:line="540" w:lineRule="atLeast"/>
              <w:ind w:left="0" w:right="0"/>
              <w:rPr>
                <w:rFonts w:ascii="Times New Roman" w:hAnsi="Times New Roman" w:eastAsia="Times New Roman" w:cs="Times New Roman"/>
                <w:b w:val="0"/>
                <w:bCs w:val="0"/>
                <w:i w:val="0"/>
                <w:iCs w:val="0"/>
                <w:smallCaps w:val="0"/>
                <w:color w:val="000000"/>
              </w:rPr>
            </w:pPr>
            <w:r>
              <w:rPr>
                <w:rFonts w:ascii="Times New Roman" w:hAnsi="Times New Roman" w:eastAsia="Times New Roman" w:cs="Times New Roman"/>
                <w:b w:val="0"/>
                <w:bCs w:val="0"/>
                <w:i w:val="0"/>
                <w:iCs w:val="0"/>
                <w:smallCaps w:val="0"/>
                <w:color w:val="000000"/>
              </w:rPr>
              <w:t> </w:t>
            </w:r>
          </w:p>
        </w:tc>
      </w:tr>
    </w:tbl>
    <w:p>
      <w:pPr>
        <w:pStyle w:val="91"/>
        <w:keepNext w:val="0"/>
        <w:spacing w:before="0" w:after="0" w:line="360" w:lineRule="auto"/>
        <w:rPr>
          <w:rFonts w:ascii="仿宋_GB2312" w:hAnsi="仿宋_GB2312" w:eastAsia="仿宋_GB2312" w:cs="仿宋_GB2312"/>
          <w:b/>
          <w:bCs/>
          <w:sz w:val="28"/>
          <w:szCs w:val="28"/>
        </w:rPr>
      </w:pPr>
      <w:bookmarkStart w:id="29" w:name="_Toc256000025"/>
      <w:r>
        <w:rPr>
          <w:rFonts w:ascii="仿宋_GB2312" w:hAnsi="仿宋_GB2312" w:eastAsia="仿宋_GB2312" w:cs="仿宋_GB2312"/>
          <w:i w:val="0"/>
          <w:iCs w:val="0"/>
        </w:rPr>
        <w:t>4.4优选资质/优选指标</w:t>
      </w:r>
      <w:bookmarkEnd w:id="29"/>
    </w:p>
    <w:tbl>
      <w:tblPr>
        <w:tblStyle w:val="32"/>
        <w:tblW w:w="5000" w:type="pct"/>
        <w:tblInd w:w="30" w:type="dxa"/>
        <w:tblLayout w:type="autofit"/>
        <w:tblCellMar>
          <w:top w:w="15" w:type="dxa"/>
          <w:left w:w="15" w:type="dxa"/>
          <w:bottom w:w="15" w:type="dxa"/>
          <w:right w:w="15" w:type="dxa"/>
        </w:tblCellMar>
      </w:tblPr>
      <w:tblGrid>
        <w:gridCol w:w="926"/>
        <w:gridCol w:w="2036"/>
        <w:gridCol w:w="2036"/>
        <w:gridCol w:w="2036"/>
        <w:gridCol w:w="2036"/>
      </w:tblGrid>
      <w:tr>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具有2年以上物业管理工作经验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保洁人员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女性，45周岁（含）以下，具有1年以上相关工作经验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保安人员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男性，50周岁（含）以下，具有1年以上相关工作经验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食堂厨师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男50周岁（含）以下、女45周岁（含）以下，具有2年以上相关工作经验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男50周岁（含）以下、女45周岁（含）以下，具有1年以上相关工作经验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会议服务人员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35周岁（含）以下 ，1.60米以上，女性，形象较好，具有2年以上相关工作经验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水暖电工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配备具有相应资格证及以上或消防设施操作员证的人员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档案管理人员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45周岁（含）以下，女性，具有相关工作经验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司机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50周岁(含)以下，男性，具有5年以上驾驶经验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30" w:name="_Toc256000026"/>
      <w:r>
        <w:rPr>
          <w:rFonts w:ascii="仿宋_GB2312" w:hAnsi="仿宋_GB2312" w:eastAsia="仿宋_GB2312" w:cs="仿宋_GB2312"/>
          <w:kern w:val="36"/>
        </w:rPr>
        <w:t>5管理实施要求</w:t>
      </w:r>
      <w:bookmarkEnd w:id="30"/>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采购人每月按照物业管理服务指标及考评表对中标人进行物业管理监管考评，根据考评</w:t>
      </w:r>
      <w:r>
        <w:rPr>
          <w:rFonts w:ascii="仿宋" w:hAnsi="仿宋" w:eastAsia="仿宋" w:cs="仿宋"/>
          <w:spacing w:val="-10"/>
          <w:sz w:val="28"/>
          <w:szCs w:val="28"/>
        </w:rPr>
        <w:t>分</w:t>
      </w:r>
      <w:r>
        <w:rPr>
          <w:rFonts w:ascii="仿宋" w:hAnsi="仿宋" w:eastAsia="仿宋" w:cs="仿宋"/>
          <w:sz w:val="28"/>
          <w:szCs w:val="28"/>
        </w:rPr>
        <w:t>支付物业管理费，扣分和评分不及格处罚按考评办法执行。</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1. 事故过错责任。事故过错责任是指因中标人存在管理责任，导致标的物业发生事故造成财产损失或人身损</w:t>
      </w:r>
      <w:r>
        <w:rPr>
          <w:rFonts w:ascii="仿宋" w:hAnsi="仿宋" w:eastAsia="仿宋" w:cs="仿宋"/>
          <w:sz w:val="28"/>
          <w:szCs w:val="28"/>
        </w:rPr>
        <w:t>害的。事故过错责任分三个</w:t>
      </w:r>
      <w:r>
        <w:rPr>
          <w:rFonts w:ascii="仿宋" w:hAnsi="仿宋" w:eastAsia="仿宋" w:cs="仿宋"/>
          <w:spacing w:val="-2"/>
          <w:sz w:val="28"/>
          <w:szCs w:val="28"/>
        </w:rPr>
        <w:t>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2. 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3. 上述物业管理服务费的扣罚涉及的投诉类型、过错大小、事故性质、有效性有分歧异议的，以采购人的意见为准。</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4. 采购人将参照行业标准以及招标文件要求、投标文件响应情况、委托管理合同的有关约定，确定考核内容及标准，对中标公司物业服务事项进行考核，并根据考核结果，据实核定管理服务费。</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5. 考核采用百分制，其中:</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90分(含)以上为优秀，支付当期合同价款；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90分以下至85分(含)为良，支付当期98%的合同价款；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85分以下至80分(含)为中，支付当期95%的合同价款；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80分以下至75分(含)为一般，支付当期90%的合同价款；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75分以下至70分(含)为较差，支付当期85%的合同价款；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70分以下为差，采购人有权终止合同。</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采购人检查人员做好工作检查记录和投诉记录，检查中发现或受理投诉不符合服务标准及细则的，按照考核标准确定扣分，向物业公司发出书面整改及扣分通知书，物业负责人签字认可并整理保存。支付管理服务费时，统计扣分累计数，对照考评办法评定是否合格，不合格的进行处罚扣款。</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6. 中标人承担的责任</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——因物业服务人员在物业服务范围内从事违法活动导致的相关责任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——因工作失误或失职导致物业服务范围内财产被盗责任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——因工作方法不当、失误而伤害员工或访客以致引发的事故责任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——因操作不当造成物业服务范围内的设备、设施损坏的责任</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——因在管理内容或职责范围内未有效排除险情(自然灾害除外)或未及时反馈给采购人而造成访客及员工伤残责任。</w:t>
      </w:r>
    </w:p>
    <w:p>
      <w:pPr>
        <w:pStyle w:val="101"/>
        <w:spacing w:before="0" w:after="0" w:line="360" w:lineRule="auto"/>
        <w:ind w:left="0" w:right="0" w:firstLine="740"/>
        <w:rPr>
          <w:rFonts w:ascii="Times New Roman" w:hAnsi="Times New Roman" w:eastAsia="Times New Roman" w:cs="Times New Roman"/>
        </w:rPr>
      </w:pPr>
      <w:r>
        <w:rPr>
          <w:rFonts w:ascii="仿宋" w:hAnsi="仿宋" w:eastAsia="仿宋" w:cs="仿宋"/>
          <w:sz w:val="28"/>
          <w:szCs w:val="28"/>
        </w:rPr>
        <w:t>——因管理松散，未按采购人规定浪费资源，视情节轻重扣减物业管理费</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——因未达到物业管理质量量化考核标准，考核结果按评分细则进行奖惩，严重者解除</w:t>
      </w:r>
      <w:r>
        <w:rPr>
          <w:rFonts w:ascii="仿宋" w:hAnsi="仿宋" w:eastAsia="仿宋" w:cs="仿宋"/>
          <w:spacing w:val="-10"/>
          <w:sz w:val="28"/>
          <w:szCs w:val="28"/>
        </w:rPr>
        <w:t>合</w:t>
      </w:r>
      <w:r>
        <w:rPr>
          <w:rFonts w:ascii="仿宋" w:hAnsi="仿宋" w:eastAsia="仿宋" w:cs="仿宋"/>
          <w:sz w:val="28"/>
          <w:szCs w:val="28"/>
        </w:rPr>
        <w:t>同</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——因半个月内两天以上(含两天)人员配置不到位或者擅离工作岗位按缺岗计算，采购人有权扣减当季5%物业管理费。</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——因合同期内提供的服务与承诺相差较大或因管理问题而发生重大事故的，采购人有权要求中标人按要求整改或单方面解除合同，造成损失的，由中标人承担。</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——因合同期内中标人无故单方解除终止合同，需赔偿采购人经济损失。</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 物业管理服务前期交接工作的要求</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——中标人对物业管理服务前期交接工作不收取任何费用</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——中标人须提前做好进场准备工作，服务开始前一周所有工作人员、设备全部准备到位</w:t>
      </w:r>
      <w:r>
        <w:rPr>
          <w:rFonts w:ascii="仿宋" w:hAnsi="仿宋" w:eastAsia="仿宋" w:cs="仿宋"/>
          <w:spacing w:val="-10"/>
          <w:sz w:val="28"/>
          <w:szCs w:val="28"/>
        </w:rPr>
        <w:t>。</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——中标人必须参加物业管理项目的全部设备、设施的验收工作，履行交接手续后一切责任由中标人承担。</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 验收方式及标准</w:t>
      </w:r>
    </w:p>
    <w:p>
      <w:pPr>
        <w:pStyle w:val="95"/>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每期结算前，采购人依据本项目管理要求和中标人投标文件承诺，对中标人提供的服务质量进行考核打分。考核方式为，市局领导评价打分、各部门评价打分、管理部门打分，采取定期不定期相结合，确保评价客观准确。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pStyle w:val="95"/>
        <w:spacing w:before="0" w:after="0" w:line="360" w:lineRule="auto"/>
        <w:ind w:left="0" w:right="0" w:firstLine="416"/>
        <w:rPr>
          <w:rFonts w:ascii="Times New Roman" w:hAnsi="Times New Roman" w:eastAsia="Times New Roman" w:cs="Times New Roman"/>
        </w:rPr>
      </w:pPr>
      <w:r>
        <w:rPr>
          <w:rFonts w:ascii="仿宋" w:hAnsi="仿宋" w:eastAsia="仿宋" w:cs="仿宋"/>
          <w:spacing w:val="-1"/>
          <w:sz w:val="28"/>
          <w:szCs w:val="28"/>
        </w:rPr>
        <w:t>9. 考核规则表</w:t>
      </w:r>
    </w:p>
    <w:tbl>
      <w:tblPr>
        <w:tblStyle w:val="102"/>
        <w:tblW w:w="0" w:type="auto"/>
        <w:tblCellSpacing w:w="0" w:type="dxa"/>
        <w:tblInd w:w="236" w:type="dxa"/>
        <w:tblLayout w:type="autofit"/>
        <w:tblCellMar>
          <w:top w:w="15" w:type="dxa"/>
          <w:left w:w="15" w:type="dxa"/>
          <w:bottom w:w="15" w:type="dxa"/>
          <w:right w:w="15" w:type="dxa"/>
        </w:tblCellMar>
      </w:tblPr>
      <w:tblGrid>
        <w:gridCol w:w="1055"/>
        <w:gridCol w:w="1018"/>
        <w:gridCol w:w="1391"/>
        <w:gridCol w:w="4289"/>
        <w:gridCol w:w="200"/>
        <w:gridCol w:w="203"/>
        <w:gridCol w:w="930"/>
      </w:tblGrid>
      <w:tr>
        <w:trPr>
          <w:tblCellSpacing w:w="0" w:type="dxa"/>
        </w:trPr>
        <w:tc>
          <w:tcPr>
            <w:tcW w:w="1150"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7735"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firstLine="428"/>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评分项目</w:t>
            </w:r>
          </w:p>
        </w:tc>
        <w:tc>
          <w:tcPr>
            <w:tcW w:w="1017"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分值</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1</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人员配置</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管理人员、接待、秩序维护、保洁、数量、岗位、</w:t>
            </w:r>
            <w:r>
              <w:rPr>
                <w:rFonts w:ascii="仿宋" w:hAnsi="仿宋" w:eastAsia="仿宋" w:cs="仿宋"/>
                <w:b w:val="0"/>
                <w:bCs w:val="0"/>
                <w:i w:val="0"/>
                <w:iCs w:val="0"/>
                <w:smallCaps w:val="0"/>
                <w:color w:val="000000"/>
                <w:spacing w:val="-10"/>
                <w:sz w:val="21"/>
                <w:szCs w:val="21"/>
              </w:rPr>
              <w:t>标</w:t>
            </w:r>
            <w:r>
              <w:rPr>
                <w:rFonts w:ascii="仿宋" w:hAnsi="仿宋" w:eastAsia="仿宋" w:cs="仿宋"/>
                <w:b w:val="0"/>
                <w:bCs w:val="0"/>
                <w:i w:val="0"/>
                <w:iCs w:val="0"/>
                <w:smallCaps w:val="0"/>
                <w:color w:val="000000"/>
                <w:sz w:val="21"/>
                <w:szCs w:val="21"/>
              </w:rPr>
              <w:t>准是否符合采购文件要求。每出现1人(次)不符合扣2</w:t>
            </w:r>
            <w:r>
              <w:rPr>
                <w:rFonts w:ascii="仿宋" w:hAnsi="仿宋" w:eastAsia="仿宋" w:cs="仿宋"/>
                <w:b w:val="0"/>
                <w:bCs w:val="0"/>
                <w:i w:val="0"/>
                <w:iCs w:val="0"/>
                <w:smallCaps w:val="0"/>
                <w:color w:val="000000"/>
                <w:spacing w:val="-5"/>
                <w:sz w:val="21"/>
                <w:szCs w:val="21"/>
              </w:rPr>
              <w:t>分。</w:t>
            </w:r>
          </w:p>
        </w:tc>
        <w:tc>
          <w:tcPr>
            <w:tcW w:w="1017" w:type="dxa"/>
            <w:gridSpan w:val="2"/>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2</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保洁管理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工作日每日打扫、酒精擦拭、84消毒，桌面、地毯、地面、办公家具无浮尘、污渍，石材、地砖无灰尘、洁净光亮。相关办公室内保持整洁。玻璃、天花板各处无污渍、积灰，表面整洁。每发现一次(处)扣 1分。</w:t>
            </w:r>
          </w:p>
        </w:tc>
        <w:tc>
          <w:tcPr>
            <w:tcW w:w="1017"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3</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活动（运动）室、浴室保洁要求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39"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各种运动(活动)器材无污迹、无灰尘，地面干净、无水、无污迹，棚面无灰网，门、窗及窗台无灰尘，墙壁光亮、洁净、无污迹，储藏室整洁有序、无灰尘，其他设施均需明亮、洁净、无污迹，无灰尘，每周一次的全面清洁消毒。每发现一次(处)扣 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4</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卫生间保洁要求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面无杂物、无水迹，洗手盘、水龙头无污迹，纸篓、垃圾桶无污迹，垃圾桶及茶叶桶内垃圾不超过2/3，各洁具无异味、无污物，门、窗及窗台无灰尘，各种放水开关(龙头)干净，墙壁、镜面洁净明亮、无污迹，洗手盆及盆台面无污迹，洗手盆下端返水弯无灰尘，各种水管管线无灰尘，地面、水槽无污水、无杂物，棚壁无灰网，做到每周一次的全面清洁消毒，其他附设物明亮、洁净、无污渍，卫生间随时有卫生纸，洗手液使用正常。洗手间、走廊上下午各2次消毒。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5</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走廊保洁要求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垃圾桶表面洁净，内无沉积污物，指示牌干净、无灰尘，地面干净、无污迹、无杂物，窗台干净、无灰尘；三米下天棚墙面干净，无灰尘，垃圾清运时无撒漏、无乱堆乱放。每发现一次(处)扣1分。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楼梯保洁要求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台阶干净、无污迹，扶手、护栏光亮、无污迹，各种管线与各类窗台无灰尘，三米下棚、壁干净无灰尘。每发现一次(处)扣1分。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大厅、前门厅保洁要求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地面干净、无杂物、无灰尘，地垫上无灰尘、无污物，牌匾、水牌干净、无灰尘，窗台干净、无灰尘，三米棚、壁干净，无灰尘，大门玻璃干净、无污渍灰尘。每发现一次(处)扣1分。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8</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办公楼门及庭院保洁要求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门玻璃及门头干净整洁。庭院干净、无杂物、地面无烟头，垃圾桶表面洁净、桶内无沉积物。每发现一次(处)扣1分。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9</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有会议时要，会议结束立即保洁，无会议时，每周至少清洁2次，地面干净、无杂物、无灰尘，桌椅整齐、干净，会议室设备干净整齐。每发现一次(处)扣1分。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接待管理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会议接待</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做好重点区域接待工作和保洁工作。每发现一次(处)不符合要求的扣2分。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11</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秩序维护工作</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秩序维护人员职责要求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秩序维护人员必须坚守岗位、尽职尽责，严守工作时间，不准随意脱岗、空岗，作好值班日记和交接记录，值班时发生一切情况及时报告；关闭大门。 按时巡逻检查，对重点部位重点检查；办公楼各门岗站岗服务，做好安全保卫。在岗时不准喝酒、下棋、打扑克、看电视、玩手机、聊天、白班不准看报纸。热情服务，礼貌待人，不准接受或索取他人物品；节假日内部员工进入办公大楼，做好登记；外部人员未经有关部门批准严禁进入；要安排专人值守消防控制室，如有异常，作到发现及时，处理及时；作好防火、防盗的检查巡视工作，并做好相关记录，发现紧急情况应及时与办公大楼管理人员或有关主管部门报告，夜间对低层门窗重点巡视。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秩序维护白班巡查工作要求</w:t>
            </w:r>
          </w:p>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检查各楼层通道、走廊、卫生间等照明是否有损坏或丢失现象，检查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原则上不要进入各办公室。每天全面巡查不少于四次，控制中心要24小时有人监管系统，保证有人在岗，发现问题与秩序维护巡视人员联系，秩序维护人员到现场确定后反馈消防、控制中心，以确保大楼安全。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13</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秩序维护夜班巡查工作要求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每天21:00以后，对楼内进行一次彻底检查，检查电源(现场记录仪)发现问题能处理的及时处理，无法解决的向晚值班干部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报送维修部门，做好记录，做到及时发现及时处理；夜间要求执行坐班与巡查制相结合，即上半夜与下半夜不定时对大楼内巡查，要求不得少于四次，并做好巡查记录。项目负责人夜间抽查每周不少于一次，并做好记录，有利于督促指导消防、安全工作的落实。每发现一次(处)不符合要求的扣5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14</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 </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车场秩序维护</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引导准入的各类车辆进入并停放相应区域；对车辆进行及时、有效的指挥、疏导，保证道路通畅；进出车辆进行适当控制并详细记录。每发现一次(处)不符合要求的扣1分。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5</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15</w:t>
            </w:r>
          </w:p>
        </w:tc>
        <w:tc>
          <w:tcPr>
            <w:vMerge w:val="continue"/>
            <w:tcBorders>
              <w:right w:val="single" w:color="000000" w:sz="8" w:space="0"/>
            </w:tcBorders>
            <w:vAlign w:val="center"/>
          </w:tcPr>
          <w:p>
            <w:pPr>
              <w:pStyle w:val="18"/>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零星搬抬</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按照工作需要，随时组织人力对零星家具进行搬抬，应有必要的保护措施，确保物品无破损。每发现一次(处)不符合要求的扣1分。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16</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办公楼防灾</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按照应急预案等文件要求，规范操作，做好办公楼防洪、除雪以及极端天气影响的防范工作。每发现一次(处)不符合要求的扣2分。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17</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节能减排</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配合采购人做好节水、节电等节能相关减排工作。每发现一次(处)不符合要求的扣1分。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18</w:t>
            </w:r>
          </w:p>
        </w:tc>
        <w:tc>
          <w:tcPr>
            <w:tcW w:w="1136" w:type="dxa"/>
            <w:tcBorders>
              <w:bottom w:val="single" w:color="000000" w:sz="8" w:space="0"/>
              <w:right w:val="single" w:color="000000" w:sz="8" w:space="0"/>
            </w:tcBorders>
            <w:noWrap w:val="0"/>
            <w:tcMar>
              <w:top w:w="0" w:type="dxa"/>
              <w:left w:w="108" w:type="dxa"/>
              <w:bottom w:w="0" w:type="dxa"/>
              <w:right w:w="128" w:type="dxa"/>
            </w:tcMar>
            <w:vAlign w:val="center"/>
          </w:tcPr>
          <w:p>
            <w:pPr>
              <w:pStyle w:val="95"/>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人员管理未达到餐饮服务人员管理要求、按次扣0.5分；食堂饮食管理未达到餐饮服务饮食管理要求、按次扣0.5分；食堂卫生管理未达到餐饮服务卫生管理要求、按次扣0.5分；食堂安全管理未达到餐饮服务安全管理要求、按次扣0.5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合计</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95"/>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100</w:t>
            </w:r>
          </w:p>
        </w:tc>
      </w:tr>
    </w:tbl>
    <w:p>
      <w:pPr>
        <w:pStyle w:val="90"/>
        <w:keepNext w:val="0"/>
        <w:spacing w:before="0" w:after="0" w:line="360" w:lineRule="auto"/>
        <w:jc w:val="center"/>
        <w:rPr>
          <w:rFonts w:ascii="仿宋_GB2312" w:hAnsi="仿宋_GB2312" w:eastAsia="仿宋_GB2312" w:cs="仿宋_GB2312"/>
          <w:b/>
          <w:bCs/>
          <w:sz w:val="32"/>
          <w:szCs w:val="32"/>
        </w:rPr>
      </w:pPr>
      <w:bookmarkStart w:id="31" w:name="_Toc256000027"/>
      <w:r>
        <w:rPr>
          <w:rFonts w:ascii="仿宋_GB2312" w:hAnsi="仿宋_GB2312" w:eastAsia="仿宋_GB2312" w:cs="仿宋_GB2312"/>
          <w:kern w:val="36"/>
        </w:rPr>
        <w:t>6风险管控要求</w:t>
      </w:r>
      <w:bookmarkEnd w:id="31"/>
    </w:p>
    <w:p>
      <w:pPr>
        <w:pStyle w:val="9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pPr>
        <w:pStyle w:val="90"/>
        <w:keepNext w:val="0"/>
        <w:spacing w:before="0" w:after="0" w:line="360" w:lineRule="auto"/>
        <w:jc w:val="center"/>
        <w:rPr>
          <w:rFonts w:ascii="仿宋_GB2312" w:hAnsi="仿宋_GB2312" w:eastAsia="仿宋_GB2312" w:cs="仿宋_GB2312"/>
          <w:b/>
          <w:bCs/>
          <w:sz w:val="32"/>
          <w:szCs w:val="32"/>
        </w:rPr>
      </w:pPr>
      <w:bookmarkStart w:id="32" w:name="_Toc256000028"/>
      <w:r>
        <w:rPr>
          <w:rFonts w:ascii="仿宋_GB2312" w:hAnsi="仿宋_GB2312" w:eastAsia="仿宋_GB2312" w:cs="仿宋_GB2312"/>
          <w:kern w:val="36"/>
        </w:rPr>
        <w:t>7履约验收要求</w:t>
      </w:r>
      <w:bookmarkEnd w:id="32"/>
    </w:p>
    <w:p>
      <w:pPr>
        <w:pStyle w:val="91"/>
        <w:keepNext w:val="0"/>
        <w:spacing w:before="0" w:after="0" w:line="360" w:lineRule="auto"/>
        <w:rPr>
          <w:rFonts w:ascii="仿宋_GB2312" w:hAnsi="仿宋_GB2312" w:eastAsia="仿宋_GB2312" w:cs="仿宋_GB2312"/>
          <w:b/>
          <w:bCs/>
          <w:sz w:val="28"/>
          <w:szCs w:val="28"/>
        </w:rPr>
      </w:pPr>
      <w:bookmarkStart w:id="33" w:name="_Toc256000029"/>
      <w:r>
        <w:rPr>
          <w:rFonts w:ascii="仿宋_GB2312" w:hAnsi="仿宋_GB2312" w:eastAsia="仿宋_GB2312" w:cs="仿宋_GB2312"/>
          <w:i w:val="0"/>
          <w:iCs w:val="0"/>
        </w:rPr>
        <w:t>7.1总体要求</w:t>
      </w:r>
      <w:bookmarkEnd w:id="33"/>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月度验收考核</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每期结算前，采购人依据本项目管理要求和中标人投标文件承诺，对中标人提供的服务质量进行考核打分。月度验收考核 在符合项目验收条件后，中标人提出验收申请，采购人在收到中标人提出的合格的申请后，组织验收小组完成验收工作，按月执行</w:t>
            </w:r>
          </w:p>
        </w:tc>
      </w:tr>
    </w:tbl>
    <w:p>
      <w:pPr>
        <w:pStyle w:val="91"/>
        <w:keepNext w:val="0"/>
        <w:spacing w:before="0" w:after="0" w:line="360" w:lineRule="auto"/>
        <w:rPr>
          <w:rFonts w:ascii="仿宋_GB2312" w:hAnsi="仿宋_GB2312" w:eastAsia="仿宋_GB2312" w:cs="仿宋_GB2312"/>
          <w:b/>
          <w:bCs/>
          <w:sz w:val="28"/>
          <w:szCs w:val="28"/>
        </w:rPr>
      </w:pPr>
      <w:bookmarkStart w:id="34" w:name="_Toc256000030"/>
      <w:r>
        <w:rPr>
          <w:rFonts w:ascii="仿宋_GB2312" w:hAnsi="仿宋_GB2312" w:eastAsia="仿宋_GB2312" w:cs="仿宋_GB2312"/>
          <w:i w:val="0"/>
          <w:iCs w:val="0"/>
        </w:rPr>
        <w:t>7.2具体要求</w:t>
      </w:r>
      <w:bookmarkEnd w:id="34"/>
    </w:p>
    <w:p>
      <w:pPr>
        <w:pStyle w:val="95"/>
        <w:spacing w:before="0" w:after="0" w:line="360" w:lineRule="auto"/>
        <w:ind w:left="239" w:right="0" w:firstLine="210"/>
        <w:jc w:val="both"/>
        <w:rPr>
          <w:rFonts w:ascii="Times New Roman" w:hAnsi="Times New Roman" w:eastAsia="Times New Roman" w:cs="Times New Roman"/>
        </w:rPr>
      </w:pPr>
      <w:r>
        <w:rPr>
          <w:rFonts w:ascii="仿宋" w:hAnsi="仿宋" w:eastAsia="仿宋" w:cs="仿宋"/>
          <w:sz w:val="28"/>
          <w:szCs w:val="28"/>
        </w:rPr>
        <w:t>采购人以项目采购需求及合同相关内容为验收标准组织验收，中标人配合。</w:t>
      </w:r>
    </w:p>
    <w:p>
      <w:pPr>
        <w:pStyle w:val="99"/>
        <w:spacing w:before="0" w:after="0" w:line="360" w:lineRule="auto"/>
        <w:rPr>
          <w:rFonts w:ascii="Times New Roman" w:hAnsi="Times New Roman" w:eastAsia="Times New Roman" w:cs="Times New Roman"/>
        </w:rPr>
      </w:pPr>
      <w:r>
        <w:t>1.</w:t>
      </w:r>
      <w:r>
        <w:rPr>
          <w:rFonts w:ascii="仿宋" w:hAnsi="仿宋" w:eastAsia="仿宋" w:cs="仿宋"/>
        </w:rPr>
        <w:t> 验收条件</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中标人按照项目采购需求及合同相关内容完成全部服务，并通过采购人每个服务周期（1个月为一个服务周期）的考核。</w:t>
      </w:r>
    </w:p>
    <w:p>
      <w:pPr>
        <w:pStyle w:val="99"/>
        <w:spacing w:before="0" w:after="0" w:line="360" w:lineRule="auto"/>
        <w:rPr>
          <w:rFonts w:ascii="Times New Roman" w:hAnsi="Times New Roman" w:eastAsia="Times New Roman" w:cs="Times New Roman"/>
        </w:rPr>
      </w:pPr>
      <w:r>
        <w:rPr>
          <w:rFonts w:ascii="仿宋" w:hAnsi="仿宋" w:eastAsia="仿宋" w:cs="仿宋"/>
        </w:rPr>
        <w:t>2.验收标准</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采购人按照采购需求及合同约定的技术、服务和安全标准，对中标人各项义务履行情况、考核情况、整改情况等进行总体评价。验收标准应当符合采购文件及合同约定，未进行约定的，应当符合国家强制性规定、政策要求、安全标准和行业有关标准。</w:t>
      </w:r>
    </w:p>
    <w:p>
      <w:pPr>
        <w:pStyle w:val="99"/>
        <w:spacing w:before="0" w:after="0" w:line="360" w:lineRule="auto"/>
        <w:rPr>
          <w:rFonts w:ascii="Times New Roman" w:hAnsi="Times New Roman" w:eastAsia="Times New Roman" w:cs="Times New Roman"/>
        </w:rPr>
      </w:pPr>
      <w:r>
        <w:rPr>
          <w:rFonts w:ascii="仿宋" w:hAnsi="仿宋" w:eastAsia="仿宋" w:cs="仿宋"/>
        </w:rPr>
        <w:t>3.验收流程</w:t>
      </w:r>
    </w:p>
    <w:p>
      <w:pPr>
        <w:pStyle w:val="99"/>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在符合项目验收条件后，中标人可提出项目验收申请。采购人在收到中标人提出的合格的验收申请后，组织验收小组完成验收工作。具体验收流程如下：①中标人向采购人书面提出项目验收申请。②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各系统操作密码和门禁卡以及房间钥匙清单、应交回采购人历次移交的资料清单、应移交属于采购人的物资清单、拟移走的中标人物资清单。③采购人成立验收小组，召开项目验收评审会议，根据项目验收内容及相关要求，对中标人提交的项目过程文档进行验收评审。④验收评审通过后，由验收小组出具项目验收意见。⑤项目验收结束后，中标人配合采购人按照档案管理要求进行资料归档。</w:t>
      </w:r>
    </w:p>
    <w:p>
      <w:pPr>
        <w:pStyle w:val="90"/>
        <w:keepNext w:val="0"/>
        <w:spacing w:before="0" w:after="0" w:line="360" w:lineRule="auto"/>
        <w:jc w:val="center"/>
        <w:rPr>
          <w:rFonts w:ascii="仿宋_GB2312" w:hAnsi="仿宋_GB2312" w:eastAsia="仿宋_GB2312" w:cs="仿宋_GB2312"/>
          <w:b/>
          <w:bCs/>
          <w:sz w:val="32"/>
          <w:szCs w:val="32"/>
        </w:rPr>
      </w:pPr>
      <w:bookmarkStart w:id="35" w:name="_Toc256000031"/>
      <w:r>
        <w:rPr>
          <w:rFonts w:ascii="仿宋_GB2312" w:hAnsi="仿宋_GB2312" w:eastAsia="仿宋_GB2312" w:cs="仿宋_GB2312"/>
          <w:kern w:val="36"/>
        </w:rPr>
        <w:t>8其他要求</w:t>
      </w:r>
      <w:bookmarkEnd w:id="35"/>
    </w:p>
    <w:p>
      <w:pPr>
        <w:pStyle w:val="91"/>
        <w:keepNext w:val="0"/>
        <w:spacing w:before="0" w:after="0" w:line="360" w:lineRule="auto"/>
        <w:rPr>
          <w:rFonts w:ascii="仿宋_GB2312" w:hAnsi="仿宋_GB2312" w:eastAsia="仿宋_GB2312" w:cs="仿宋_GB2312"/>
          <w:b/>
          <w:bCs/>
          <w:sz w:val="28"/>
          <w:szCs w:val="28"/>
        </w:rPr>
      </w:pPr>
      <w:bookmarkStart w:id="36" w:name="_Toc256000032"/>
      <w:r>
        <w:rPr>
          <w:rFonts w:ascii="仿宋_GB2312" w:hAnsi="仿宋_GB2312" w:eastAsia="仿宋_GB2312" w:cs="仿宋_GB2312"/>
          <w:i w:val="0"/>
          <w:iCs w:val="0"/>
        </w:rPr>
        <w:t>8.1必备要求</w:t>
      </w:r>
      <w:bookmarkEnd w:id="36"/>
    </w:p>
    <w:p>
      <w:pPr>
        <w:pStyle w:val="92"/>
        <w:keepNext w:val="0"/>
        <w:spacing w:before="0" w:after="0" w:line="360" w:lineRule="auto"/>
        <w:rPr>
          <w:rFonts w:ascii="仿宋_GB2312" w:hAnsi="仿宋_GB2312" w:eastAsia="仿宋_GB2312" w:cs="仿宋_GB2312"/>
          <w:b/>
          <w:bCs/>
          <w:sz w:val="28"/>
          <w:szCs w:val="28"/>
        </w:rPr>
      </w:pPr>
      <w:bookmarkStart w:id="37" w:name="_Toc256000033"/>
      <w:r>
        <w:rPr>
          <w:rFonts w:ascii="仿宋_GB2312" w:hAnsi="仿宋_GB2312" w:eastAsia="仿宋_GB2312" w:cs="仿宋_GB2312"/>
          <w:sz w:val="28"/>
          <w:szCs w:val="28"/>
        </w:rPr>
        <w:t>8.1.1通用必备要求</w:t>
      </w:r>
      <w:bookmarkEnd w:id="37"/>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38" w:name="_Toc256000034"/>
      <w:r>
        <w:rPr>
          <w:rFonts w:ascii="仿宋_GB2312" w:hAnsi="仿宋_GB2312" w:eastAsia="仿宋_GB2312" w:cs="仿宋_GB2312"/>
          <w:i w:val="0"/>
          <w:iCs w:val="0"/>
        </w:rPr>
        <w:t>8.2付款安排建议</w:t>
      </w:r>
      <w:bookmarkEnd w:id="38"/>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自项目实施开始之日起次月，采购人根据考核验收结果，支付第1个月物业服务费用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自项目实施开始之日起第3个月，采购人根据考核验收结果，支付第2个月物业服务费用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自项目实施开始之日起第4个月，采购人根据考核验收结果，支付第3个月物业服务费用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自项目实施开始之日起第5个月，采购人根据考核验收结果，支付第4个月物业服务费用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自项目实施开始之日起第6个月，采购人根据考核验收结果，支付第5个月物业服务费用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自项目实施开始之日起第7个月，采购人根据考核验收结果，支付第6个月物业服务费用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自项目实施开始之日起第8个月，采购人根据考核验收结果，支付第7个月物业服务费用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自项目实施开始之日起第9个月，采购人根据考核验收结果，支付第8个月物业服务费用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自项目实施开始之日起第10个月，采购人根据考核验收结果，支付第9个月物业服务费用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自项目实施开始之日起第11个月，采购人根据考核验收结果，支付第10个月物业服务费用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自项目实施开始之日起第12个月，采购人根据考核验收结果，支付第11个月物业服务费用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自项目实施开始之日起第13个月，采购人根据考核验收结果，支付第12个月物业服务费用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8.37</w:t>
            </w:r>
          </w:p>
        </w:tc>
      </w:tr>
    </w:tbl>
    <w:p>
      <w:pPr>
        <w:pStyle w:val="91"/>
        <w:keepNext w:val="0"/>
        <w:spacing w:before="0" w:after="0" w:line="360" w:lineRule="auto"/>
        <w:rPr>
          <w:rFonts w:ascii="仿宋_GB2312" w:hAnsi="仿宋_GB2312" w:eastAsia="仿宋_GB2312" w:cs="仿宋_GB2312"/>
          <w:b/>
          <w:bCs/>
          <w:sz w:val="28"/>
          <w:szCs w:val="28"/>
        </w:rPr>
      </w:pPr>
      <w:bookmarkStart w:id="39" w:name="_Toc256000035"/>
      <w:r>
        <w:rPr>
          <w:rFonts w:ascii="仿宋_GB2312" w:hAnsi="仿宋_GB2312" w:eastAsia="仿宋_GB2312" w:cs="仿宋_GB2312"/>
          <w:i w:val="0"/>
          <w:iCs w:val="0"/>
        </w:rPr>
        <w:t>8.3其他要求</w:t>
      </w:r>
      <w:bookmarkEnd w:id="39"/>
    </w:p>
    <w:p>
      <w:pPr>
        <w:pStyle w:val="92"/>
        <w:keepNext w:val="0"/>
        <w:spacing w:before="0" w:after="0" w:line="360" w:lineRule="auto"/>
        <w:rPr>
          <w:rFonts w:ascii="仿宋_GB2312" w:hAnsi="仿宋_GB2312" w:eastAsia="仿宋_GB2312" w:cs="仿宋_GB2312"/>
          <w:b/>
          <w:bCs/>
          <w:sz w:val="28"/>
          <w:szCs w:val="28"/>
        </w:rPr>
      </w:pPr>
      <w:bookmarkStart w:id="40" w:name="_Toc256000036"/>
      <w:r>
        <w:rPr>
          <w:rFonts w:ascii="仿宋_GB2312" w:hAnsi="仿宋_GB2312" w:eastAsia="仿宋_GB2312" w:cs="仿宋_GB2312"/>
          <w:sz w:val="28"/>
          <w:szCs w:val="28"/>
        </w:rPr>
        <w:t>8.3.1其他具体要求</w:t>
      </w:r>
      <w:bookmarkEnd w:id="40"/>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1.中标人严格按照合同的要求向采购人提供物业管理服务，达到质量标准，确保采购人的正常工作环境，办公秩序及安全。采购人有权要求中标人重做未达到标准的工作。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2.中标人严格遵守采购人的各项规章制度和管理规定，编制物业管理服务年度计划，本着高效、精干的原则设置人员，服从采购人的整体管理。</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3.中标人应及时向采购人汇报工作，征求意见，协助采购人更好的开展工作。</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4.中标人应定期组织员工进行培训，提高其专业技能，牢固树立为采购人服务的思想意识。</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5.建立安全责任制，中标人在工作中应注意防火、防盗，注意工作安全，中标人员工在工作区域内因操作不当造成设备设施、配件损坏，由中标人承担全部责任。并对给采购人造成的损失按实际发生金额进行赔偿。</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6.在合同履约期内，中标人应对任何时候、任何情况下发生的用工人员意外伤害事故或用工人员致他人意外伤害等事故涉及的责任和赔偿承担全部责任，不得就此向采购人主张任何权利。凡提供的服务人员出现任何事故和伤害，全部由中标人负责（包括人身伤害事故）。</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7.采购人有权要求中标人配齐符合规定的工作人员（全体工作人员必须具有身体健康证明）。投标人为本项目所配备的人员不得随意辞退、调离、转岗，且投标人所有人员进场服务前，需向采购人提供人员清单由采购人进行确认，经采购人确认无误后，方可进场。如有特殊情况必须调整，须提交书面申请并征得采购人同意后方可调整。中标人因故无法正常工作时，应报采购人同意。</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8.采购人对中标人不尽职责的项目经理、员工，有辞退的建议权。因中标人工作失误给采购人造成经济损失或重大不利影响的，采购人有权终止合同，并要求中标人给予经济赔偿并消除影响。</w:t>
      </w:r>
    </w:p>
    <w:p>
      <w:pPr>
        <w:pStyle w:val="101"/>
        <w:shd w:val="clear" w:color="auto" w:fill="FFFFFF"/>
        <w:spacing w:before="0" w:after="0" w:line="360" w:lineRule="auto"/>
        <w:ind w:firstLine="480"/>
        <w:rPr>
          <w:rFonts w:ascii="Times New Roman" w:hAnsi="Times New Roman" w:eastAsia="Times New Roman" w:cs="Times New Roman"/>
        </w:rPr>
      </w:pPr>
      <w:r>
        <w:rPr>
          <w:rFonts w:ascii="仿宋" w:hAnsi="仿宋" w:eastAsia="仿宋" w:cs="仿宋"/>
          <w:sz w:val="28"/>
          <w:szCs w:val="28"/>
        </w:rPr>
        <w:t>9.物业工作人员工资、各项保险及伤亡，严格执行《劳动法》、《民法典》相关规定。中标人应为物业工作人员购买相关保险。如发生意外情况由中标人自行承担。</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10.中标人不得拖欠物业服务人员工资，如因拖欠工资而导致的服务质量下降甚至出现重大延误，采购人有权对中标人进行处罚直至终止合同履行。</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11.采购人为中标人提供生活用水、用电、办公场所，提供保洁保安所需清洁消耗品、工具、用具、设备、维修所用材料等。</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12.采购人提供中标人使用的全部资产属采购人所有，中标人不得出售或转让。</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13.中标人所有员工不得使用电饭锅电磁炉等与工作无关的电器设备，不得在楼内存放易燃易爆物品，对违反规定的，由采购人按考核规定扣减相应费用。</w:t>
      </w:r>
    </w:p>
    <w:p>
      <w:pPr>
        <w:pStyle w:val="9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14.物业工作人员服装由中标人提供且须先征得采购人认可。</w:t>
      </w:r>
    </w:p>
    <w:p>
      <w:pPr>
        <w:pStyle w:val="101"/>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15.采购人向中标人提供用餐服务，中标人需按用餐标准统一向采购人交纳餐费。</w:t>
      </w:r>
    </w:p>
    <w:p>
      <w:pPr>
        <w:pStyle w:val="18"/>
        <w:spacing w:before="0" w:after="0" w:line="360" w:lineRule="auto"/>
        <w:jc w:val="left"/>
      </w:pPr>
    </w:p>
    <w:sectPr>
      <w:footerReference r:id="rId5" w:type="default"/>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CC"/>
    <w:family w:val="swiss"/>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FangSong_GB2312">
    <w:altName w:val="仿宋"/>
    <w:panose1 w:val="020B0604020202020204"/>
    <w:charset w:val="00"/>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长城仿宋">
    <w:altName w:val="微软雅黑"/>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36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0630A3E"/>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3">
    <w:name w:val="Default Paragraph Font"/>
    <w:semiHidden/>
    <w:unhideWhenUsed/>
    <w:qFormat/>
    <w:uiPriority w:val="1"/>
  </w:style>
  <w:style w:type="table" w:default="1" w:styleId="32">
    <w:name w:val="Normal Table"/>
    <w:semiHidden/>
    <w:unhideWhenUsed/>
    <w:uiPriority w:val="99"/>
    <w:tblPr>
      <w:tblCellMar>
        <w:top w:w="0" w:type="dxa"/>
        <w:left w:w="108" w:type="dxa"/>
        <w:bottom w:w="0" w:type="dxa"/>
        <w:right w:w="108" w:type="dxa"/>
      </w:tblCellMar>
    </w:tblPr>
  </w:style>
  <w:style w:type="paragraph" w:styleId="2">
    <w:name w:val="Body Text"/>
    <w:basedOn w:val="1"/>
    <w:link w:val="38"/>
    <w:qFormat/>
    <w:uiPriority w:val="0"/>
    <w:pPr>
      <w:spacing w:after="120"/>
    </w:p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uiPriority w:val="0"/>
    <w:pPr>
      <w:widowControl/>
      <w:spacing w:after="0" w:line="240" w:lineRule="auto"/>
      <w:ind w:left="480"/>
      <w:jc w:val="left"/>
    </w:pPr>
    <w:rPr>
      <w:rFonts w:eastAsia="Times New Roman"/>
      <w:kern w:val="0"/>
      <w:sz w:val="24"/>
      <w:lang w:eastAsia="en-US"/>
    </w:rPr>
  </w:style>
  <w:style w:type="paragraph" w:customStyle="1" w:styleId="18">
    <w:name w:val="Normal_0"/>
    <w:qFormat/>
    <w:uiPriority w:val="0"/>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宋体"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宋体"/>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b/>
      <w:bCs/>
      <w:caps/>
      <w:sz w:val="20"/>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qFormat/>
    <w:uiPriority w:val="0"/>
    <w:pPr>
      <w:widowControl/>
      <w:spacing w:after="0" w:line="240" w:lineRule="auto"/>
      <w:ind w:left="240"/>
      <w:jc w:val="left"/>
    </w:pPr>
    <w:rPr>
      <w:rFonts w:eastAsia="Times New Roman"/>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2"/>
    <w:link w:val="58"/>
    <w:qFormat/>
    <w:uiPriority w:val="0"/>
    <w:pPr>
      <w:ind w:firstLine="420" w:firstLineChars="100"/>
    </w:pPr>
    <w:rPr>
      <w:kern w:val="0"/>
      <w:sz w:val="20"/>
    </w:r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character" w:customStyle="1" w:styleId="38">
    <w:name w:val="Body Text Char"/>
    <w:link w:val="2"/>
    <w:qFormat/>
    <w:uiPriority w:val="0"/>
    <w:rPr>
      <w:rFonts w:ascii="Times New Roman" w:hAnsi="Times New Roman" w:eastAsia="宋体"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Heading 4 Char"/>
    <w:link w:val="6"/>
    <w:qFormat/>
    <w:uiPriority w:val="0"/>
    <w:rPr>
      <w:rFonts w:ascii="宋体" w:hAnsi="宋体" w:eastAsia="宋体" w:cs="Times New Roman"/>
      <w:color w:val="0000FF"/>
      <w:sz w:val="28"/>
      <w:lang w:val="en-US" w:eastAsia="zh-CN" w:bidi="ar-SA"/>
    </w:rPr>
  </w:style>
  <w:style w:type="character" w:customStyle="1" w:styleId="42">
    <w:name w:val="Heading 5 Char"/>
    <w:link w:val="7"/>
    <w:qFormat/>
    <w:uiPriority w:val="0"/>
    <w:rPr>
      <w:rFonts w:ascii="Verdana" w:hAnsi="Verdana" w:eastAsia="宋体" w:cs="Times New Roman"/>
      <w:b/>
      <w:bCs/>
      <w:kern w:val="2"/>
      <w:sz w:val="28"/>
      <w:szCs w:val="28"/>
      <w:lang w:val="en-US" w:eastAsia="zh-CN" w:bidi="ar-SA"/>
    </w:rPr>
  </w:style>
  <w:style w:type="character" w:customStyle="1" w:styleId="43">
    <w:name w:val="Heading 6 Char"/>
    <w:link w:val="8"/>
    <w:qFormat/>
    <w:uiPriority w:val="0"/>
    <w:rPr>
      <w:rFonts w:ascii="Arial" w:hAnsi="Arial" w:eastAsia="黑体" w:cs="Times New Roman"/>
      <w:b/>
      <w:bCs/>
      <w:kern w:val="2"/>
      <w:sz w:val="24"/>
      <w:szCs w:val="24"/>
      <w:lang w:val="en-US" w:eastAsia="zh-CN" w:bidi="ar-SA"/>
    </w:rPr>
  </w:style>
  <w:style w:type="character" w:customStyle="1" w:styleId="44">
    <w:name w:val="Heading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Heading 8 Char"/>
    <w:link w:val="10"/>
    <w:qFormat/>
    <w:uiPriority w:val="0"/>
    <w:rPr>
      <w:rFonts w:ascii="Arial" w:hAnsi="Arial" w:eastAsia="黑体" w:cs="Times New Roman"/>
      <w:kern w:val="2"/>
      <w:sz w:val="24"/>
      <w:szCs w:val="24"/>
      <w:lang w:val="en-US" w:eastAsia="zh-CN" w:bidi="ar-SA"/>
    </w:rPr>
  </w:style>
  <w:style w:type="character" w:customStyle="1" w:styleId="46">
    <w:name w:val="Heading 9 Char"/>
    <w:link w:val="11"/>
    <w:qFormat/>
    <w:uiPriority w:val="0"/>
    <w:rPr>
      <w:rFonts w:ascii="Arial" w:hAnsi="Arial" w:eastAsia="黑体" w:cs="Times New Roman"/>
      <w:kern w:val="2"/>
      <w:sz w:val="21"/>
      <w:szCs w:val="21"/>
      <w:lang w:val="en-US" w:eastAsia="zh-CN" w:bidi="ar-SA"/>
    </w:rPr>
  </w:style>
  <w:style w:type="character" w:customStyle="1" w:styleId="47">
    <w:name w:val="Document Map Char"/>
    <w:link w:val="13"/>
    <w:qFormat/>
    <w:uiPriority w:val="0"/>
    <w:rPr>
      <w:rFonts w:ascii="Times New Roman" w:hAnsi="Times New Roman" w:eastAsia="宋体"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宋体" w:cs="Times New Roman"/>
      <w:lang w:bidi="ar-SA"/>
    </w:rPr>
  </w:style>
  <w:style w:type="character" w:customStyle="1" w:styleId="49">
    <w:name w:val="Plain Text Char"/>
    <w:link w:val="19"/>
    <w:qFormat/>
    <w:uiPriority w:val="0"/>
    <w:rPr>
      <w:rFonts w:ascii="宋体" w:hAnsi="Courier New" w:eastAsia="宋体" w:cs="Times New Roman"/>
      <w:szCs w:val="21"/>
      <w:lang w:bidi="ar-SA"/>
    </w:rPr>
  </w:style>
  <w:style w:type="character" w:customStyle="1" w:styleId="50">
    <w:name w:val="Date Char"/>
    <w:link w:val="20"/>
    <w:qFormat/>
    <w:uiPriority w:val="0"/>
    <w:rPr>
      <w:rFonts w:ascii="Times New Roman" w:hAnsi="Times New Roman" w:eastAsia="宋体" w:cs="Times New Roman"/>
      <w:szCs w:val="24"/>
      <w:lang w:bidi="ar-SA"/>
    </w:rPr>
  </w:style>
  <w:style w:type="character" w:customStyle="1" w:styleId="51">
    <w:name w:val="Body Text Indent 2 Char"/>
    <w:link w:val="21"/>
    <w:qFormat/>
    <w:uiPriority w:val="0"/>
    <w:rPr>
      <w:rFonts w:ascii="宋体" w:hAnsi="Times New Roman" w:eastAsia="宋体" w:cs="Times New Roman"/>
      <w:sz w:val="28"/>
      <w:lang w:bidi="ar-SA"/>
    </w:rPr>
  </w:style>
  <w:style w:type="character" w:customStyle="1" w:styleId="52">
    <w:name w:val="Balloon Text Char"/>
    <w:link w:val="22"/>
    <w:qFormat/>
    <w:uiPriority w:val="0"/>
    <w:rPr>
      <w:rFonts w:ascii="Times New Roman" w:hAnsi="Times New Roman" w:eastAsia="宋体" w:cs="Times New Roman"/>
      <w:sz w:val="18"/>
      <w:szCs w:val="18"/>
      <w:lang w:bidi="ar-SA"/>
    </w:rPr>
  </w:style>
  <w:style w:type="character" w:customStyle="1" w:styleId="53">
    <w:name w:val="Footer Char"/>
    <w:link w:val="23"/>
    <w:qFormat/>
    <w:uiPriority w:val="0"/>
    <w:rPr>
      <w:rFonts w:ascii="Times New Roman" w:hAnsi="Times New Roman" w:eastAsia="宋体" w:cs="Times New Roman"/>
      <w:sz w:val="18"/>
      <w:szCs w:val="24"/>
      <w:lang w:bidi="ar-SA"/>
    </w:rPr>
  </w:style>
  <w:style w:type="character" w:customStyle="1" w:styleId="54">
    <w:name w:val="Header Char"/>
    <w:link w:val="24"/>
    <w:qFormat/>
    <w:uiPriority w:val="0"/>
    <w:rPr>
      <w:rFonts w:ascii="Times New Roman" w:hAnsi="Times New Roman" w:eastAsia="宋体" w:cs="Times New Roman"/>
      <w:sz w:val="18"/>
      <w:szCs w:val="18"/>
      <w:lang w:bidi="ar-SA"/>
    </w:rPr>
  </w:style>
  <w:style w:type="character" w:customStyle="1" w:styleId="55">
    <w:name w:val="Body Text Indent 3 Char"/>
    <w:link w:val="26"/>
    <w:qFormat/>
    <w:uiPriority w:val="0"/>
    <w:rPr>
      <w:rFonts w:ascii="Times New Roman" w:hAnsi="Times New Roman" w:eastAsia="宋体"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宋体" w:cs="Times New Roman"/>
      <w:b/>
      <w:bCs/>
      <w:sz w:val="32"/>
      <w:szCs w:val="32"/>
      <w:lang w:bidi="ar-SA"/>
    </w:rPr>
  </w:style>
  <w:style w:type="character" w:customStyle="1" w:styleId="58">
    <w:name w:val="Body Text First Indent Char"/>
    <w:link w:val="31"/>
    <w:qFormat/>
    <w:uiPriority w:val="0"/>
    <w:rPr>
      <w:rFonts w:ascii="Times New Roman" w:hAnsi="Times New Roman" w:eastAsia="宋体"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本 Char1"/>
    <w:qFormat/>
    <w:uiPriority w:val="0"/>
    <w:rPr>
      <w:rFonts w:ascii="Times New Roman" w:hAnsi="Times New Roman" w:eastAsia="宋体" w:cs="Times New Roman"/>
      <w:szCs w:val="24"/>
    </w:rPr>
  </w:style>
  <w:style w:type="character" w:customStyle="1" w:styleId="62">
    <w:name w:val="redfilenumber"/>
    <w:qFormat/>
    <w:uiPriority w:val="0"/>
    <w:rPr>
      <w:rFonts w:ascii="Times New Roman" w:hAnsi="Times New Roman" w:eastAsia="宋体" w:cs="Times New Roman"/>
      <w:color w:val="BA2636"/>
      <w:sz w:val="12"/>
      <w:szCs w:val="12"/>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宋体" w:hAnsi="宋体" w:eastAsia="宋体"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7">
    <w:name w:val="15"/>
    <w:basedOn w:val="33"/>
    <w:qFormat/>
    <w:uiPriority w:val="0"/>
    <w:rPr>
      <w:rFonts w:hint="default" w:ascii="Times New Roman" w:hAnsi="Times New Roman" w:eastAsia="宋体" w:cs="Times New Roman"/>
    </w:rPr>
  </w:style>
  <w:style w:type="character" w:customStyle="1" w:styleId="68">
    <w:name w:val="正文文字 Char"/>
    <w:link w:val="69"/>
    <w:qFormat/>
    <w:uiPriority w:val="0"/>
    <w:rPr>
      <w:rFonts w:ascii="Times New Roman" w:hAnsi="Times New Roman" w:eastAsia="宋体"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redfilefwwh"/>
    <w:qFormat/>
    <w:uiPriority w:val="0"/>
    <w:rPr>
      <w:rFonts w:ascii="Times New Roman" w:hAnsi="Times New Roman" w:eastAsia="宋体" w:cs="Times New Roman"/>
      <w:color w:val="BA2636"/>
      <w:sz w:val="12"/>
      <w:szCs w:val="12"/>
    </w:rPr>
  </w:style>
  <w:style w:type="character" w:customStyle="1" w:styleId="74">
    <w:name w:val="qxdate"/>
    <w:qFormat/>
    <w:uiPriority w:val="0"/>
    <w:rPr>
      <w:rFonts w:ascii="Times New Roman" w:hAnsi="Times New Roman" w:eastAsia="宋体"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黑体" w:cs="黑体"/>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宋体" w:hAnsi="宋体"/>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qFormat/>
    <w:uiPriority w:val="0"/>
    <w:rPr>
      <w:color w:val="0000FF"/>
      <w:u w:val="single"/>
    </w:rPr>
  </w:style>
  <w:style w:type="paragraph" w:customStyle="1" w:styleId="89">
    <w:name w:val="TOC 1_0"/>
    <w:basedOn w:val="1"/>
    <w:next w:val="18"/>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MsoNormal"/>
    <w:basedOn w:val="1"/>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 w:type="paragraph" w:customStyle="1" w:styleId="95">
    <w:name w:val="17"/>
    <w:basedOn w:val="1"/>
    <w:uiPriority w:val="0"/>
    <w:pPr>
      <w:widowControl/>
      <w:spacing w:after="0" w:line="240" w:lineRule="auto"/>
      <w:jc w:val="left"/>
    </w:pPr>
    <w:rPr>
      <w:rFonts w:eastAsia="Times New Roman"/>
      <w:kern w:val="0"/>
      <w:sz w:val="24"/>
      <w:lang w:eastAsia="en-US"/>
    </w:rPr>
  </w:style>
  <w:style w:type="table" w:customStyle="1" w:styleId="96">
    <w:name w:val="19"/>
    <w:basedOn w:val="32"/>
    <w:uiPriority w:val="0"/>
    <w:rPr>
      <w:rFonts w:eastAsia="Times New Roman"/>
      <w:lang w:val="en-US" w:eastAsia="en-US"/>
    </w:rPr>
  </w:style>
  <w:style w:type="paragraph" w:customStyle="1" w:styleId="97">
    <w:name w:val="19 Paragraph"/>
    <w:basedOn w:val="1"/>
    <w:uiPriority w:val="0"/>
    <w:pPr>
      <w:widowControl/>
      <w:spacing w:after="0" w:line="240" w:lineRule="auto"/>
      <w:jc w:val="left"/>
    </w:pPr>
    <w:rPr>
      <w:rFonts w:eastAsia="Times New Roman"/>
      <w:kern w:val="0"/>
      <w:sz w:val="24"/>
      <w:lang w:eastAsia="en-US"/>
    </w:rPr>
  </w:style>
  <w:style w:type="table" w:customStyle="1" w:styleId="98">
    <w:name w:val="MsoNormalTable"/>
    <w:basedOn w:val="32"/>
    <w:uiPriority w:val="0"/>
    <w:rPr>
      <w:rFonts w:eastAsia="Times New Roman"/>
      <w:lang w:val="en-US" w:eastAsia="en-US"/>
    </w:rPr>
  </w:style>
  <w:style w:type="paragraph" w:customStyle="1" w:styleId="99">
    <w:name w:val="16"/>
    <w:basedOn w:val="1"/>
    <w:uiPriority w:val="0"/>
    <w:pPr>
      <w:widowControl/>
      <w:spacing w:after="0" w:line="240" w:lineRule="auto"/>
      <w:jc w:val="left"/>
    </w:pPr>
    <w:rPr>
      <w:rFonts w:eastAsia="Times New Roman"/>
      <w:kern w:val="0"/>
      <w:sz w:val="24"/>
      <w:lang w:eastAsia="en-US"/>
    </w:rPr>
  </w:style>
  <w:style w:type="table" w:customStyle="1" w:styleId="100">
    <w:name w:val="17 Table"/>
    <w:basedOn w:val="32"/>
    <w:uiPriority w:val="0"/>
    <w:rPr>
      <w:rFonts w:eastAsia="Times New Roman"/>
      <w:lang w:val="en-US" w:eastAsia="en-US"/>
    </w:rPr>
  </w:style>
  <w:style w:type="paragraph" w:customStyle="1" w:styleId="101">
    <w:name w:val="18"/>
    <w:basedOn w:val="1"/>
    <w:uiPriority w:val="0"/>
    <w:pPr>
      <w:widowControl/>
      <w:spacing w:after="0" w:line="240" w:lineRule="auto"/>
      <w:jc w:val="left"/>
    </w:pPr>
    <w:rPr>
      <w:rFonts w:eastAsia="Times New Roman"/>
      <w:kern w:val="0"/>
      <w:sz w:val="24"/>
      <w:lang w:eastAsia="en-US"/>
    </w:rPr>
  </w:style>
  <w:style w:type="table" w:customStyle="1" w:styleId="102">
    <w:name w:val="18 Table"/>
    <w:basedOn w:val="32"/>
    <w:uiPriority w:val="0"/>
    <w:rPr>
      <w:rFonts w:eastAsia="Times New Roman"/>
      <w:lang w:val="en-US"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9</Words>
  <Characters>53</Characters>
  <Lines>1</Lines>
  <Paragraphs>1</Paragraphs>
  <TotalTime>2</TotalTime>
  <ScaleCrop>false</ScaleCrop>
  <LinksUpToDate>false</LinksUpToDate>
  <CharactersWithSpaces>61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2020-05-09T07:26:00Z</dcterms:created>
  <dc:creator>Administrator</dc:creator>
  <cp:lastModifiedBy>华佳</cp:lastModifiedBy>
  <cp:lastPrinted>2023-10-01T11:04:00Z</cp:lastPrinted>
  <dcterms:modified xsi:type="dcterms:W3CDTF">2025-07-29T03:07:31Z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2052-11.8.2.10158</vt:lpwstr>
  </property>
</Properties>
</file>