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Ansi="宋体"/>
          <w:b/>
          <w:sz w:val="96"/>
          <w:szCs w:val="96"/>
        </w:rPr>
      </w:pPr>
    </w:p>
    <w:p>
      <w:pPr>
        <w:topLinePunct/>
        <w:autoSpaceDE w:val="0"/>
        <w:autoSpaceDN w:val="0"/>
        <w:jc w:val="center"/>
        <w:rPr>
          <w:rFonts w:hAnsi="宋体"/>
          <w:b/>
          <w:sz w:val="96"/>
          <w:szCs w:val="96"/>
        </w:rPr>
      </w:pPr>
      <w:r>
        <w:rPr>
          <w:rFonts w:hint="eastAsia" w:hAnsi="宋体"/>
          <w:b/>
          <w:sz w:val="96"/>
          <w:szCs w:val="96"/>
        </w:rPr>
        <w:t>招 标 文 件</w:t>
      </w:r>
    </w:p>
    <w:p>
      <w:pPr>
        <w:topLinePunct/>
        <w:autoSpaceDE w:val="0"/>
        <w:autoSpaceDN w:val="0"/>
        <w:spacing w:line="60" w:lineRule="exact"/>
        <w:jc w:val="center"/>
        <w:rPr>
          <w:rFonts w:hAnsi="宋体"/>
          <w:sz w:val="96"/>
          <w:szCs w:val="96"/>
        </w:rPr>
      </w:pPr>
    </w:p>
    <w:p>
      <w:pPr>
        <w:topLinePunct/>
        <w:autoSpaceDE w:val="0"/>
        <w:autoSpaceDN w:val="0"/>
        <w:snapToGrid w:val="0"/>
        <w:jc w:val="center"/>
        <w:rPr>
          <w:rFonts w:ascii="宋体" w:hAnsi="宋体"/>
          <w:sz w:val="96"/>
          <w:szCs w:val="96"/>
        </w:rPr>
      </w:pPr>
      <w:r>
        <w:rPr>
          <w:rFonts w:hint="eastAsia" w:hAnsi="宋体"/>
          <w:b/>
          <w:sz w:val="56"/>
          <w:szCs w:val="56"/>
        </w:rPr>
        <w:t>（技术部分）</w:t>
      </w: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1402" w:leftChars="534" w:hanging="281" w:hangingChars="100"/>
        <w:rPr>
          <w:rFonts w:ascii="宋体"/>
          <w:b/>
          <w:bCs/>
          <w:sz w:val="28"/>
          <w:szCs w:val="28"/>
        </w:rPr>
      </w:pPr>
      <w:r>
        <w:rPr>
          <w:rFonts w:hint="eastAsia" w:ascii="宋体"/>
          <w:b/>
          <w:bCs/>
          <w:sz w:val="28"/>
          <w:szCs w:val="28"/>
        </w:rPr>
        <w:t>项目名称：</w:t>
      </w:r>
      <w:bookmarkStart w:id="0" w:name="项目名称_fa_planName"/>
      <w:r>
        <w:rPr>
          <w:rFonts w:hint="eastAsia" w:ascii="宋体"/>
          <w:b/>
          <w:bCs/>
          <w:sz w:val="28"/>
          <w:szCs w:val="28"/>
        </w:rPr>
        <w:t>国家税务总局吉林市税务局2026年食材采购项目</w:t>
      </w:r>
      <w:bookmarkEnd w:id="0"/>
    </w:p>
    <w:p>
      <w:pPr>
        <w:topLinePunct/>
        <w:autoSpaceDE w:val="0"/>
        <w:autoSpaceDN w:val="0"/>
        <w:snapToGrid w:val="0"/>
        <w:spacing w:line="360" w:lineRule="auto"/>
        <w:ind w:left="1402" w:leftChars="534" w:hanging="281" w:hangingChars="100"/>
        <w:rPr>
          <w:rFonts w:ascii="宋体"/>
          <w:b/>
          <w:bCs/>
          <w:sz w:val="28"/>
          <w:szCs w:val="28"/>
        </w:rPr>
      </w:pPr>
      <w:r>
        <w:rPr>
          <w:rFonts w:hint="eastAsia" w:ascii="宋体"/>
          <w:b/>
          <w:bCs/>
          <w:sz w:val="28"/>
          <w:szCs w:val="28"/>
        </w:rPr>
        <w:t>项目编号：</w:t>
      </w:r>
      <w:bookmarkStart w:id="1" w:name="项目编号_fa_planNo"/>
      <w:r>
        <w:rPr>
          <w:rFonts w:hint="eastAsia" w:ascii="宋体"/>
          <w:b/>
          <w:bCs/>
          <w:sz w:val="28"/>
          <w:szCs w:val="28"/>
        </w:rPr>
        <w:t>JL2025-ZXGK-C0128-B02</w:t>
      </w:r>
      <w:bookmarkEnd w:id="1"/>
    </w:p>
    <w:p>
      <w:pPr>
        <w:topLinePunct/>
        <w:autoSpaceDE w:val="0"/>
        <w:autoSpaceDN w:val="0"/>
        <w:snapToGrid w:val="0"/>
        <w:spacing w:line="360" w:lineRule="auto"/>
        <w:ind w:firstLine="1124" w:firstLineChars="400"/>
        <w:rPr>
          <w:rFonts w:ascii="宋体"/>
          <w:b/>
          <w:bCs/>
          <w:sz w:val="28"/>
          <w:szCs w:val="28"/>
        </w:rPr>
      </w:pPr>
    </w:p>
    <w:p>
      <w:pPr>
        <w:topLinePunct/>
        <w:autoSpaceDE w:val="0"/>
        <w:autoSpaceDN w:val="0"/>
        <w:snapToGrid w:val="0"/>
        <w:spacing w:line="360" w:lineRule="auto"/>
        <w:rPr>
          <w:rFonts w:ascii="宋体"/>
          <w:b/>
          <w:bCs/>
          <w:sz w:val="28"/>
          <w:szCs w:val="28"/>
        </w:rPr>
      </w:pPr>
    </w:p>
    <w:p>
      <w:pPr>
        <w:topLinePunct/>
        <w:autoSpaceDE w:val="0"/>
        <w:autoSpaceDN w:val="0"/>
        <w:spacing w:line="460" w:lineRule="exact"/>
        <w:rPr>
          <w:rFonts w:ascii="黑体" w:eastAsia="黑体"/>
          <w:b/>
          <w:sz w:val="52"/>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bookmarkStart w:id="2" w:name="采购人名称_cgrmc"/>
      <w:r>
        <w:rPr>
          <w:rFonts w:hint="eastAsia" w:ascii="黑体" w:eastAsia="黑体"/>
          <w:sz w:val="36"/>
          <w:szCs w:val="36"/>
        </w:rPr>
        <w:t>国家税务总局吉林市税务局</w:t>
      </w:r>
      <w:bookmarkEnd w:id="2"/>
    </w:p>
    <w:p>
      <w:pPr>
        <w:widowControl/>
        <w:topLinePunct/>
        <w:autoSpaceDE w:val="0"/>
        <w:autoSpaceDN w:val="0"/>
        <w:jc w:val="center"/>
        <w:rPr>
          <w:rFonts w:ascii="宋体" w:hAnsi="宋体" w:cs="宋体"/>
        </w:rPr>
        <w:sectPr>
          <w:pgSz w:w="11906" w:h="16838"/>
          <w:pgMar w:top="1440" w:right="1508" w:bottom="1440" w:left="1588" w:header="851" w:footer="851" w:gutter="0"/>
          <w:cols w:space="720" w:num="1"/>
          <w:titlePg/>
          <w:docGrid w:type="lines" w:linePitch="312" w:charSpace="0"/>
        </w:sectPr>
      </w:pPr>
      <w:bookmarkStart w:id="3" w:name="生成日期_currentDateTime_ymd"/>
      <w:r>
        <w:rPr>
          <w:rFonts w:hint="eastAsia" w:ascii="黑体" w:hAnsi="Courier New" w:eastAsia="黑体" w:cs="Courier New"/>
          <w:sz w:val="36"/>
          <w:szCs w:val="36"/>
        </w:rPr>
        <w:t>2025年12月</w:t>
      </w:r>
      <w:bookmarkEnd w:id="3"/>
    </w:p>
    <w:p>
      <w:pPr>
        <w:pStyle w:val="18"/>
        <w:spacing w:before="0" w:after="0" w:line="360" w:lineRule="auto"/>
        <w:jc w:val="center"/>
        <w:rPr>
          <w:rFonts w:ascii="宋体" w:hAnsi="宋体" w:eastAsia="宋体" w:cs="宋体"/>
          <w:sz w:val="32"/>
        </w:rPr>
      </w:pPr>
      <w:r>
        <w:rPr>
          <w:rFonts w:ascii="宋体" w:hAnsi="宋体" w:eastAsia="宋体" w:cs="宋体"/>
          <w:sz w:val="32"/>
        </w:rPr>
        <w:t>目 录</w:t>
      </w:r>
    </w:p>
    <w:p>
      <w:pPr>
        <w:pStyle w:val="25"/>
        <w:tabs>
          <w:tab w:val="right" w:leader="dot" w:pos="9016"/>
        </w:tabs>
        <w:spacing w:before="0" w:after="0" w:line="360" w:lineRule="auto"/>
        <w:rPr>
          <w:rFonts w:asciiTheme="minorHAnsi" w:hAnsiTheme="minorHAnsi"/>
          <w:sz w:val="22"/>
        </w:rPr>
      </w:pPr>
      <w:r>
        <w:rPr>
          <w:rFonts w:ascii="宋体" w:hAnsi="宋体" w:eastAsia="宋体" w:cs="宋体"/>
          <w:sz w:val="32"/>
        </w:rPr>
        <w:fldChar w:fldCharType="begin"/>
      </w:r>
      <w:r>
        <w:rPr>
          <w:rFonts w:ascii="宋体" w:hAnsi="宋体" w:eastAsia="宋体" w:cs="宋体"/>
          <w:sz w:val="32"/>
        </w:rPr>
        <w:instrText xml:space="preserve">TOC \o "1-3" \h \z \u</w:instrText>
      </w:r>
      <w:r>
        <w:rPr>
          <w:rFonts w:ascii="宋体" w:hAnsi="宋体" w:eastAsia="宋体" w:cs="宋体"/>
          <w:sz w:val="32"/>
        </w:rPr>
        <w:fldChar w:fldCharType="separate"/>
      </w:r>
      <w:r>
        <w:fldChar w:fldCharType="begin"/>
      </w:r>
      <w:r>
        <w:instrText xml:space="preserve"> HYPERLINK \l "_Toc256000000" </w:instrText>
      </w:r>
      <w:r>
        <w:fldChar w:fldCharType="separate"/>
      </w:r>
      <w:r>
        <w:rPr>
          <w:rStyle w:val="37"/>
          <w:rFonts w:ascii="仿宋_GB2312" w:hAnsi="仿宋_GB2312" w:eastAsia="仿宋_GB2312" w:cs="仿宋_GB2312"/>
          <w:kern w:val="36"/>
        </w:rPr>
        <w:t>1项目概述</w:t>
      </w:r>
      <w:r>
        <w:tab/>
      </w:r>
      <w:r>
        <w:fldChar w:fldCharType="begin"/>
      </w:r>
      <w:r>
        <w:instrText xml:space="preserve"> PAGEREF _Toc256000000 \h </w:instrText>
      </w:r>
      <w:r>
        <w:fldChar w:fldCharType="separate"/>
      </w:r>
      <w:r>
        <w:t>3</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"_Toc256000001" </w:instrText>
      </w:r>
      <w:r>
        <w:fldChar w:fldCharType="separate"/>
      </w:r>
      <w:r>
        <w:rPr>
          <w:rStyle w:val="37"/>
          <w:rFonts w:ascii="仿宋_GB2312" w:hAnsi="仿宋_GB2312" w:eastAsia="仿宋_GB2312" w:cs="仿宋_GB2312"/>
        </w:rPr>
        <w:t>1.1项目背景</w:t>
      </w:r>
      <w:r>
        <w:tab/>
      </w:r>
      <w:r>
        <w:fldChar w:fldCharType="begin"/>
      </w:r>
      <w:r>
        <w:instrText xml:space="preserve"> PAGEREF _Toc256000001 \h </w:instrText>
      </w:r>
      <w:r>
        <w:fldChar w:fldCharType="separate"/>
      </w:r>
      <w:r>
        <w:t>3</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"_Toc256000002" </w:instrText>
      </w:r>
      <w:r>
        <w:fldChar w:fldCharType="separate"/>
      </w:r>
      <w:r>
        <w:rPr>
          <w:rStyle w:val="37"/>
          <w:rFonts w:ascii="仿宋_GB2312" w:hAnsi="仿宋_GB2312" w:eastAsia="仿宋_GB2312" w:cs="仿宋_GB2312"/>
        </w:rPr>
        <w:t>1.1.1项目目的、意义及背景</w:t>
      </w:r>
      <w:r>
        <w:tab/>
      </w:r>
      <w:r>
        <w:fldChar w:fldCharType="begin"/>
      </w:r>
      <w:r>
        <w:instrText xml:space="preserve"> PAGEREF _Toc256000002 \h </w:instrText>
      </w:r>
      <w:r>
        <w:fldChar w:fldCharType="separate"/>
      </w:r>
      <w:r>
        <w:t>3</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"_Toc256000003" </w:instrText>
      </w:r>
      <w:r>
        <w:fldChar w:fldCharType="separate"/>
      </w:r>
      <w:r>
        <w:rPr>
          <w:rStyle w:val="37"/>
          <w:rFonts w:ascii="仿宋_GB2312" w:hAnsi="仿宋_GB2312" w:eastAsia="仿宋_GB2312" w:cs="仿宋_GB2312"/>
        </w:rPr>
        <w:t>1.2项目内容</w:t>
      </w:r>
      <w:r>
        <w:tab/>
      </w:r>
      <w:r>
        <w:fldChar w:fldCharType="begin"/>
      </w:r>
      <w:r>
        <w:instrText xml:space="preserve"> PAGEREF _Toc256000003 \h </w:instrText>
      </w:r>
      <w:r>
        <w:fldChar w:fldCharType="separate"/>
      </w:r>
      <w:r>
        <w:t>3</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"_Toc256000004" </w:instrText>
      </w:r>
      <w:r>
        <w:fldChar w:fldCharType="separate"/>
      </w:r>
      <w:r>
        <w:rPr>
          <w:rStyle w:val="37"/>
          <w:rFonts w:ascii="仿宋_GB2312" w:hAnsi="仿宋_GB2312" w:eastAsia="仿宋_GB2312" w:cs="仿宋_GB2312"/>
        </w:rPr>
        <w:t>1.2.1采购内容</w:t>
      </w:r>
      <w:r>
        <w:tab/>
      </w:r>
      <w:r>
        <w:fldChar w:fldCharType="begin"/>
      </w:r>
      <w:r>
        <w:instrText xml:space="preserve"> PAGEREF _Toc256000004 \h </w:instrText>
      </w:r>
      <w:r>
        <w:fldChar w:fldCharType="separate"/>
      </w:r>
      <w:r>
        <w:t>3</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"_Toc256000005" </w:instrText>
      </w:r>
      <w:r>
        <w:fldChar w:fldCharType="separate"/>
      </w:r>
      <w:r>
        <w:rPr>
          <w:rStyle w:val="37"/>
          <w:rFonts w:ascii="仿宋_GB2312" w:hAnsi="仿宋_GB2312" w:eastAsia="仿宋_GB2312" w:cs="仿宋_GB2312"/>
        </w:rPr>
        <w:t>1.2.2项目实施要求</w:t>
      </w:r>
      <w:r>
        <w:tab/>
      </w:r>
      <w:r>
        <w:fldChar w:fldCharType="begin"/>
      </w:r>
      <w:r>
        <w:instrText xml:space="preserve"> PAGEREF _Toc256000005 \h </w:instrText>
      </w:r>
      <w:r>
        <w:fldChar w:fldCharType="separate"/>
      </w:r>
      <w:r>
        <w:t>3</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"_Toc256000006" </w:instrText>
      </w:r>
      <w:r>
        <w:fldChar w:fldCharType="separate"/>
      </w:r>
      <w:r>
        <w:rPr>
          <w:rStyle w:val="37"/>
          <w:rFonts w:ascii="仿宋_GB2312" w:hAnsi="仿宋_GB2312" w:eastAsia="仿宋_GB2312" w:cs="仿宋_GB2312"/>
          <w:kern w:val="36"/>
        </w:rPr>
        <w:t>2投标/响应要求</w:t>
      </w:r>
      <w:r>
        <w:tab/>
      </w:r>
      <w:r>
        <w:fldChar w:fldCharType="begin"/>
      </w:r>
      <w:r>
        <w:instrText xml:space="preserve"> PAGEREF _Toc256000006 \h </w:instrText>
      </w:r>
      <w:r>
        <w:fldChar w:fldCharType="separate"/>
      </w:r>
      <w:r>
        <w:t>3</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"_Toc256000007" </w:instrText>
      </w:r>
      <w:r>
        <w:fldChar w:fldCharType="separate"/>
      </w:r>
      <w:r>
        <w:rPr>
          <w:rStyle w:val="37"/>
          <w:rFonts w:ascii="仿宋_GB2312" w:hAnsi="仿宋_GB2312" w:eastAsia="仿宋_GB2312" w:cs="仿宋_GB2312"/>
        </w:rPr>
        <w:t>2.1对供应商的要求</w:t>
      </w:r>
      <w:r>
        <w:tab/>
      </w:r>
      <w:r>
        <w:fldChar w:fldCharType="begin"/>
      </w:r>
      <w:r>
        <w:instrText xml:space="preserve"> PAGEREF _Toc256000007 \h </w:instrText>
      </w:r>
      <w:r>
        <w:fldChar w:fldCharType="separate"/>
      </w:r>
      <w:r>
        <w:t>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"_Toc256000008" </w:instrText>
      </w:r>
      <w:r>
        <w:fldChar w:fldCharType="separate"/>
      </w:r>
      <w:r>
        <w:rPr>
          <w:rStyle w:val="37"/>
          <w:rFonts w:ascii="仿宋_GB2312" w:hAnsi="仿宋_GB2312" w:eastAsia="仿宋_GB2312" w:cs="仿宋_GB2312"/>
        </w:rPr>
        <w:t>2.1.1必备资质</w:t>
      </w:r>
      <w:r>
        <w:tab/>
      </w:r>
      <w:r>
        <w:fldChar w:fldCharType="begin"/>
      </w:r>
      <w:r>
        <w:instrText xml:space="preserve"> PAGEREF _Toc256000008 \h </w:instrText>
      </w:r>
      <w:r>
        <w:fldChar w:fldCharType="separate"/>
      </w:r>
      <w:r>
        <w:t>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"_Toc256000009" </w:instrText>
      </w:r>
      <w:r>
        <w:fldChar w:fldCharType="separate"/>
      </w:r>
      <w:r>
        <w:rPr>
          <w:rStyle w:val="37"/>
          <w:rFonts w:ascii="仿宋_GB2312" w:hAnsi="仿宋_GB2312" w:eastAsia="仿宋_GB2312" w:cs="仿宋_GB2312"/>
        </w:rPr>
        <w:t>2.1.2优选资质/优选指标</w:t>
      </w:r>
      <w:r>
        <w:tab/>
      </w:r>
      <w:r>
        <w:fldChar w:fldCharType="begin"/>
      </w:r>
      <w:r>
        <w:instrText xml:space="preserve"> PAGEREF _Toc256000009 \h </w:instrText>
      </w:r>
      <w:r>
        <w:fldChar w:fldCharType="separate"/>
      </w:r>
      <w:r>
        <w:t>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"_Toc256000010" </w:instrText>
      </w:r>
      <w:r>
        <w:fldChar w:fldCharType="separate"/>
      </w:r>
      <w:r>
        <w:rPr>
          <w:rStyle w:val="37"/>
          <w:rFonts w:ascii="仿宋_GB2312" w:hAnsi="仿宋_GB2312" w:eastAsia="仿宋_GB2312" w:cs="仿宋_GB2312"/>
        </w:rPr>
        <w:t>2.1.3是否允许联合体</w:t>
      </w:r>
      <w:r>
        <w:tab/>
      </w:r>
      <w:r>
        <w:fldChar w:fldCharType="begin"/>
      </w:r>
      <w:r>
        <w:instrText xml:space="preserve"> PAGEREF _Toc256000010 \h </w:instrText>
      </w:r>
      <w:r>
        <w:fldChar w:fldCharType="separate"/>
      </w:r>
      <w:r>
        <w:t>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"_Toc256000011" </w:instrText>
      </w:r>
      <w:r>
        <w:fldChar w:fldCharType="separate"/>
      </w:r>
      <w:r>
        <w:rPr>
          <w:rStyle w:val="37"/>
          <w:rFonts w:ascii="仿宋_GB2312" w:hAnsi="仿宋_GB2312" w:eastAsia="仿宋_GB2312" w:cs="仿宋_GB2312"/>
        </w:rPr>
        <w:t>2.1.4是否专门面向中小企业</w:t>
      </w:r>
      <w:r>
        <w:tab/>
      </w:r>
      <w:r>
        <w:fldChar w:fldCharType="begin"/>
      </w:r>
      <w:r>
        <w:instrText xml:space="preserve"> PAGEREF _Toc256000011 \h </w:instrText>
      </w:r>
      <w:r>
        <w:fldChar w:fldCharType="separate"/>
      </w:r>
      <w:r>
        <w:t>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"_Toc256000012" </w:instrText>
      </w:r>
      <w:r>
        <w:fldChar w:fldCharType="separate"/>
      </w:r>
      <w:r>
        <w:rPr>
          <w:rStyle w:val="37"/>
          <w:rFonts w:ascii="仿宋_GB2312" w:hAnsi="仿宋_GB2312" w:eastAsia="仿宋_GB2312" w:cs="仿宋_GB2312"/>
        </w:rPr>
        <w:t>2.1.5其他要求</w:t>
      </w:r>
      <w:r>
        <w:tab/>
      </w:r>
      <w:r>
        <w:fldChar w:fldCharType="begin"/>
      </w:r>
      <w:r>
        <w:instrText xml:space="preserve"> PAGEREF _Toc256000012 \h </w:instrText>
      </w:r>
      <w:r>
        <w:fldChar w:fldCharType="separate"/>
      </w:r>
      <w:r>
        <w:t>4</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"_Toc256000013" </w:instrText>
      </w:r>
      <w:r>
        <w:fldChar w:fldCharType="separate"/>
      </w:r>
      <w:r>
        <w:rPr>
          <w:rStyle w:val="37"/>
          <w:rFonts w:ascii="仿宋_GB2312" w:hAnsi="仿宋_GB2312" w:eastAsia="仿宋_GB2312" w:cs="仿宋_GB2312"/>
        </w:rPr>
        <w:t>2.2技术部分投标/响应内容</w:t>
      </w:r>
      <w:r>
        <w:tab/>
      </w:r>
      <w:r>
        <w:fldChar w:fldCharType="begin"/>
      </w:r>
      <w:r>
        <w:instrText xml:space="preserve"> PAGEREF _Toc256000013 \h </w:instrText>
      </w:r>
      <w:r>
        <w:fldChar w:fldCharType="separate"/>
      </w:r>
      <w:r>
        <w:t>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"_Toc256000014" </w:instrText>
      </w:r>
      <w:r>
        <w:fldChar w:fldCharType="separate"/>
      </w:r>
      <w:r>
        <w:rPr>
          <w:rStyle w:val="37"/>
          <w:rFonts w:ascii="仿宋_GB2312" w:hAnsi="仿宋_GB2312" w:eastAsia="仿宋_GB2312" w:cs="仿宋_GB2312"/>
        </w:rPr>
        <w:t>2.2.1技术投标/响应总要求</w:t>
      </w:r>
      <w:r>
        <w:tab/>
      </w:r>
      <w:r>
        <w:fldChar w:fldCharType="begin"/>
      </w:r>
      <w:r>
        <w:instrText xml:space="preserve"> PAGEREF _Toc256000014 \h </w:instrText>
      </w:r>
      <w:r>
        <w:fldChar w:fldCharType="separate"/>
      </w:r>
      <w:r>
        <w:t>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"_Toc256000015" </w:instrText>
      </w:r>
      <w:r>
        <w:fldChar w:fldCharType="separate"/>
      </w:r>
      <w:r>
        <w:rPr>
          <w:rStyle w:val="37"/>
          <w:rFonts w:ascii="仿宋_GB2312" w:hAnsi="仿宋_GB2312" w:eastAsia="仿宋_GB2312" w:cs="仿宋_GB2312"/>
        </w:rPr>
        <w:t>2.2.2投标/响应方案要求</w:t>
      </w:r>
      <w:r>
        <w:tab/>
      </w:r>
      <w:r>
        <w:fldChar w:fldCharType="begin"/>
      </w:r>
      <w:r>
        <w:instrText xml:space="preserve"> PAGEREF _Toc256000015 \h </w:instrText>
      </w:r>
      <w:r>
        <w:fldChar w:fldCharType="separate"/>
      </w:r>
      <w:r>
        <w:t>5</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"_Toc256000016" </w:instrText>
      </w:r>
      <w:r>
        <w:fldChar w:fldCharType="separate"/>
      </w:r>
      <w:r>
        <w:rPr>
          <w:rStyle w:val="37"/>
          <w:rFonts w:ascii="仿宋_GB2312" w:hAnsi="仿宋_GB2312" w:eastAsia="仿宋_GB2312" w:cs="仿宋_GB2312"/>
          <w:kern w:val="36"/>
        </w:rPr>
        <w:t>3项目需求</w:t>
      </w:r>
      <w:r>
        <w:tab/>
      </w:r>
      <w:r>
        <w:fldChar w:fldCharType="begin"/>
      </w:r>
      <w:r>
        <w:instrText xml:space="preserve"> PAGEREF _Toc256000016 \h </w:instrText>
      </w:r>
      <w:r>
        <w:fldChar w:fldCharType="separate"/>
      </w:r>
      <w:r>
        <w:t>5</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"_Toc256000017" </w:instrText>
      </w:r>
      <w:r>
        <w:fldChar w:fldCharType="separate"/>
      </w:r>
      <w:r>
        <w:rPr>
          <w:rStyle w:val="37"/>
          <w:rFonts w:ascii="仿宋_GB2312" w:hAnsi="仿宋_GB2312" w:eastAsia="仿宋_GB2312" w:cs="仿宋_GB2312"/>
        </w:rPr>
        <w:t>3.1总体要求</w:t>
      </w:r>
      <w:r>
        <w:tab/>
      </w:r>
      <w:r>
        <w:fldChar w:fldCharType="begin"/>
      </w:r>
      <w:r>
        <w:instrText xml:space="preserve"> PAGEREF _Toc256000017 \h </w:instrText>
      </w:r>
      <w:r>
        <w:fldChar w:fldCharType="separate"/>
      </w:r>
      <w:r>
        <w:t>5</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"_Toc256000018" </w:instrText>
      </w:r>
      <w:r>
        <w:fldChar w:fldCharType="separate"/>
      </w:r>
      <w:r>
        <w:rPr>
          <w:rStyle w:val="37"/>
          <w:rFonts w:ascii="仿宋_GB2312" w:hAnsi="仿宋_GB2312" w:eastAsia="仿宋_GB2312" w:cs="仿宋_GB2312"/>
        </w:rPr>
        <w:t>3.2服务内容和要求</w:t>
      </w:r>
      <w:r>
        <w:tab/>
      </w:r>
      <w:r>
        <w:fldChar w:fldCharType="begin"/>
      </w:r>
      <w:r>
        <w:instrText xml:space="preserve"> PAGEREF _Toc256000018 \h </w:instrText>
      </w:r>
      <w:r>
        <w:fldChar w:fldCharType="separate"/>
      </w:r>
      <w:r>
        <w:t>5</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"_Toc256000019" </w:instrText>
      </w:r>
      <w:r>
        <w:fldChar w:fldCharType="separate"/>
      </w:r>
      <w:r>
        <w:rPr>
          <w:rStyle w:val="37"/>
          <w:rFonts w:ascii="仿宋_GB2312" w:hAnsi="仿宋_GB2312" w:eastAsia="仿宋_GB2312" w:cs="仿宋_GB2312"/>
        </w:rPr>
        <w:t>3.2.1具体采购食材清单</w:t>
      </w:r>
      <w:r>
        <w:tab/>
      </w:r>
      <w:r>
        <w:fldChar w:fldCharType="begin"/>
      </w:r>
      <w:r>
        <w:instrText xml:space="preserve"> PAGEREF _Toc256000019 \h </w:instrText>
      </w:r>
      <w:r>
        <w:fldChar w:fldCharType="separate"/>
      </w:r>
      <w:r>
        <w:t>5</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"_Toc256000020" </w:instrText>
      </w:r>
      <w:r>
        <w:fldChar w:fldCharType="separate"/>
      </w:r>
      <w:r>
        <w:rPr>
          <w:rStyle w:val="37"/>
          <w:rFonts w:ascii="仿宋_GB2312" w:hAnsi="仿宋_GB2312" w:eastAsia="仿宋_GB2312" w:cs="仿宋_GB2312"/>
        </w:rPr>
        <w:t>3.2.2技术和服务客观指标</w:t>
      </w:r>
      <w:r>
        <w:tab/>
      </w:r>
      <w:r>
        <w:fldChar w:fldCharType="begin"/>
      </w:r>
      <w:r>
        <w:instrText xml:space="preserve"> PAGEREF _Toc256000020 \h </w:instrText>
      </w:r>
      <w:r>
        <w:fldChar w:fldCharType="separate"/>
      </w:r>
      <w:r>
        <w:t>11</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"_Toc256000021" </w:instrText>
      </w:r>
      <w:r>
        <w:fldChar w:fldCharType="separate"/>
      </w:r>
      <w:r>
        <w:rPr>
          <w:rStyle w:val="37"/>
          <w:rFonts w:ascii="仿宋_GB2312" w:hAnsi="仿宋_GB2312" w:eastAsia="仿宋_GB2312" w:cs="仿宋_GB2312"/>
          <w:kern w:val="36"/>
        </w:rPr>
        <w:t>4人员要求</w:t>
      </w:r>
      <w:r>
        <w:tab/>
      </w:r>
      <w:r>
        <w:fldChar w:fldCharType="begin"/>
      </w:r>
      <w:r>
        <w:instrText xml:space="preserve"> PAGEREF _Toc256000021 \h </w:instrText>
      </w:r>
      <w:r>
        <w:fldChar w:fldCharType="separate"/>
      </w:r>
      <w:r>
        <w:t>14</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"_Toc256000022" </w:instrText>
      </w:r>
      <w:r>
        <w:fldChar w:fldCharType="separate"/>
      </w:r>
      <w:r>
        <w:rPr>
          <w:rStyle w:val="37"/>
          <w:rFonts w:ascii="仿宋_GB2312" w:hAnsi="仿宋_GB2312" w:eastAsia="仿宋_GB2312" w:cs="仿宋_GB2312"/>
        </w:rPr>
        <w:t>4.1总体要求</w:t>
      </w:r>
      <w:r>
        <w:tab/>
      </w:r>
      <w:r>
        <w:fldChar w:fldCharType="begin"/>
      </w:r>
      <w:r>
        <w:instrText xml:space="preserve"> PAGEREF _Toc256000022 \h </w:instrText>
      </w:r>
      <w:r>
        <w:fldChar w:fldCharType="separate"/>
      </w:r>
      <w:r>
        <w:t>14</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"_Toc256000023" </w:instrText>
      </w:r>
      <w:r>
        <w:fldChar w:fldCharType="separate"/>
      </w:r>
      <w:r>
        <w:rPr>
          <w:rStyle w:val="37"/>
          <w:rFonts w:ascii="仿宋_GB2312" w:hAnsi="仿宋_GB2312" w:eastAsia="仿宋_GB2312" w:cs="仿宋_GB2312"/>
        </w:rPr>
        <w:t>4.2管理团队</w:t>
      </w:r>
      <w:r>
        <w:tab/>
      </w:r>
      <w:r>
        <w:fldChar w:fldCharType="begin"/>
      </w:r>
      <w:r>
        <w:instrText xml:space="preserve"> PAGEREF _Toc256000023 \h </w:instrText>
      </w:r>
      <w:r>
        <w:fldChar w:fldCharType="separate"/>
      </w:r>
      <w:r>
        <w:t>14</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"_Toc256000024" </w:instrText>
      </w:r>
      <w:r>
        <w:fldChar w:fldCharType="separate"/>
      </w:r>
      <w:r>
        <w:rPr>
          <w:rStyle w:val="37"/>
          <w:rFonts w:ascii="仿宋_GB2312" w:hAnsi="仿宋_GB2312" w:eastAsia="仿宋_GB2312" w:cs="仿宋_GB2312"/>
        </w:rPr>
        <w:t>4.3技术团队</w:t>
      </w:r>
      <w:r>
        <w:tab/>
      </w:r>
      <w:r>
        <w:fldChar w:fldCharType="begin"/>
      </w:r>
      <w:r>
        <w:instrText xml:space="preserve"> PAGEREF _Toc256000024 \h </w:instrText>
      </w:r>
      <w:r>
        <w:fldChar w:fldCharType="separate"/>
      </w:r>
      <w:r>
        <w:t>14</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"_Toc256000025" </w:instrText>
      </w:r>
      <w:r>
        <w:fldChar w:fldCharType="separate"/>
      </w:r>
      <w:r>
        <w:rPr>
          <w:rStyle w:val="37"/>
          <w:rFonts w:ascii="仿宋_GB2312" w:hAnsi="仿宋_GB2312" w:eastAsia="仿宋_GB2312" w:cs="仿宋_GB2312"/>
        </w:rPr>
        <w:t>4.4优选资质/优选指标</w:t>
      </w:r>
      <w:r>
        <w:tab/>
      </w:r>
      <w:r>
        <w:fldChar w:fldCharType="begin"/>
      </w:r>
      <w:r>
        <w:instrText xml:space="preserve"> PAGEREF _Toc256000025 \h </w:instrText>
      </w:r>
      <w:r>
        <w:fldChar w:fldCharType="separate"/>
      </w:r>
      <w:r>
        <w:t>14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"_Toc256000026" </w:instrText>
      </w:r>
      <w:r>
        <w:fldChar w:fldCharType="separate"/>
      </w:r>
      <w:r>
        <w:rPr>
          <w:rStyle w:val="37"/>
          <w:rFonts w:ascii="仿宋_GB2312" w:hAnsi="仿宋_GB2312" w:eastAsia="仿宋_GB2312" w:cs="仿宋_GB2312"/>
        </w:rPr>
        <w:t>4.4.1包件一</w:t>
      </w:r>
      <w:r>
        <w:tab/>
      </w:r>
      <w:r>
        <w:fldChar w:fldCharType="begin"/>
      </w:r>
      <w:r>
        <w:instrText xml:space="preserve"> PAGEREF _Toc256000026 \h </w:instrText>
      </w:r>
      <w:r>
        <w:fldChar w:fldCharType="separate"/>
      </w:r>
      <w:r>
        <w:t>14</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"_Toc256000027" </w:instrText>
      </w:r>
      <w:r>
        <w:fldChar w:fldCharType="separate"/>
      </w:r>
      <w:r>
        <w:rPr>
          <w:rStyle w:val="37"/>
          <w:rFonts w:ascii="仿宋_GB2312" w:hAnsi="仿宋_GB2312" w:eastAsia="仿宋_GB2312" w:cs="仿宋_GB2312"/>
        </w:rPr>
        <w:t>4.4.2包件二</w:t>
      </w:r>
      <w:r>
        <w:tab/>
      </w:r>
      <w:r>
        <w:fldChar w:fldCharType="begin"/>
      </w:r>
      <w:r>
        <w:instrText xml:space="preserve"> PAGEREF _Toc256000027 \h </w:instrText>
      </w:r>
      <w:r>
        <w:fldChar w:fldCharType="separate"/>
      </w:r>
      <w:r>
        <w:t>15</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"_Toc256000028" </w:instrText>
      </w:r>
      <w:r>
        <w:fldChar w:fldCharType="separate"/>
      </w:r>
      <w:r>
        <w:rPr>
          <w:rStyle w:val="37"/>
          <w:rFonts w:ascii="仿宋_GB2312" w:hAnsi="仿宋_GB2312" w:eastAsia="仿宋_GB2312" w:cs="仿宋_GB2312"/>
          <w:kern w:val="36"/>
        </w:rPr>
        <w:t>5管理实施要求</w:t>
      </w:r>
      <w:r>
        <w:tab/>
      </w:r>
      <w:r>
        <w:fldChar w:fldCharType="begin"/>
      </w:r>
      <w:r>
        <w:instrText xml:space="preserve"> PAGEREF _Toc256000028 \h </w:instrText>
      </w:r>
      <w:r>
        <w:fldChar w:fldCharType="separate"/>
      </w:r>
      <w:r>
        <w:t>15</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"_Toc256000029" </w:instrText>
      </w:r>
      <w:r>
        <w:fldChar w:fldCharType="separate"/>
      </w:r>
      <w:r>
        <w:rPr>
          <w:rStyle w:val="37"/>
          <w:rFonts w:ascii="仿宋_GB2312" w:hAnsi="仿宋_GB2312" w:eastAsia="仿宋_GB2312" w:cs="仿宋_GB2312"/>
          <w:kern w:val="36"/>
        </w:rPr>
        <w:t>6风险管控要求</w:t>
      </w:r>
      <w:r>
        <w:tab/>
      </w:r>
      <w:r>
        <w:fldChar w:fldCharType="begin"/>
      </w:r>
      <w:r>
        <w:instrText xml:space="preserve"> PAGEREF _Toc256000029 \h </w:instrText>
      </w:r>
      <w:r>
        <w:fldChar w:fldCharType="separate"/>
      </w:r>
      <w:r>
        <w:t>15</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"_Toc256000030" </w:instrText>
      </w:r>
      <w:r>
        <w:fldChar w:fldCharType="separate"/>
      </w:r>
      <w:r>
        <w:rPr>
          <w:rStyle w:val="37"/>
          <w:rFonts w:ascii="仿宋_GB2312" w:hAnsi="仿宋_GB2312" w:eastAsia="仿宋_GB2312" w:cs="仿宋_GB2312"/>
          <w:kern w:val="36"/>
        </w:rPr>
        <w:t>7履约验收要求</w:t>
      </w:r>
      <w:r>
        <w:tab/>
      </w:r>
      <w:r>
        <w:fldChar w:fldCharType="begin"/>
      </w:r>
      <w:r>
        <w:instrText xml:space="preserve"> PAGEREF _Toc256000030 \h </w:instrText>
      </w:r>
      <w:r>
        <w:fldChar w:fldCharType="separate"/>
      </w:r>
      <w:r>
        <w:t>16</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"_Toc256000031" </w:instrText>
      </w:r>
      <w:r>
        <w:fldChar w:fldCharType="separate"/>
      </w:r>
      <w:r>
        <w:rPr>
          <w:rStyle w:val="37"/>
          <w:rFonts w:ascii="仿宋_GB2312" w:hAnsi="仿宋_GB2312" w:eastAsia="仿宋_GB2312" w:cs="仿宋_GB2312"/>
        </w:rPr>
        <w:t>7.1总体要求</w:t>
      </w:r>
      <w:r>
        <w:tab/>
      </w:r>
      <w:r>
        <w:fldChar w:fldCharType="begin"/>
      </w:r>
      <w:r>
        <w:instrText xml:space="preserve"> PAGEREF _Toc256000031 \h </w:instrText>
      </w:r>
      <w:r>
        <w:fldChar w:fldCharType="separate"/>
      </w:r>
      <w:r>
        <w:t>16</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"_Toc256000032" </w:instrText>
      </w:r>
      <w:r>
        <w:fldChar w:fldCharType="separate"/>
      </w:r>
      <w:r>
        <w:rPr>
          <w:rStyle w:val="37"/>
          <w:rFonts w:ascii="仿宋_GB2312" w:hAnsi="仿宋_GB2312" w:eastAsia="仿宋_GB2312" w:cs="仿宋_GB2312"/>
        </w:rPr>
        <w:t>7.2具体要求</w:t>
      </w:r>
      <w:r>
        <w:tab/>
      </w:r>
      <w:r>
        <w:fldChar w:fldCharType="begin"/>
      </w:r>
      <w:r>
        <w:instrText xml:space="preserve"> PAGEREF _Toc256000032 \h </w:instrText>
      </w:r>
      <w:r>
        <w:fldChar w:fldCharType="separate"/>
      </w:r>
      <w:r>
        <w:t>16</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"_Toc256000033" </w:instrText>
      </w:r>
      <w:r>
        <w:fldChar w:fldCharType="separate"/>
      </w:r>
      <w:r>
        <w:rPr>
          <w:rStyle w:val="37"/>
          <w:rFonts w:ascii="仿宋_GB2312" w:hAnsi="仿宋_GB2312" w:eastAsia="仿宋_GB2312" w:cs="仿宋_GB2312"/>
          <w:kern w:val="36"/>
        </w:rPr>
        <w:t>8其他要求</w:t>
      </w:r>
      <w:r>
        <w:tab/>
      </w:r>
      <w:r>
        <w:fldChar w:fldCharType="begin"/>
      </w:r>
      <w:r>
        <w:instrText xml:space="preserve"> PAGEREF _Toc256000033 \h </w:instrText>
      </w:r>
      <w:r>
        <w:fldChar w:fldCharType="separate"/>
      </w:r>
      <w:r>
        <w:t>17</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"_Toc256000034" </w:instrText>
      </w:r>
      <w:r>
        <w:fldChar w:fldCharType="separate"/>
      </w:r>
      <w:r>
        <w:rPr>
          <w:rStyle w:val="37"/>
          <w:rFonts w:ascii="仿宋_GB2312" w:hAnsi="仿宋_GB2312" w:eastAsia="仿宋_GB2312" w:cs="仿宋_GB2312"/>
        </w:rPr>
        <w:t>8.1必备要求</w:t>
      </w:r>
      <w:r>
        <w:tab/>
      </w:r>
      <w:r>
        <w:fldChar w:fldCharType="begin"/>
      </w:r>
      <w:r>
        <w:instrText xml:space="preserve"> PAGEREF _Toc256000034 \h </w:instrText>
      </w:r>
      <w:r>
        <w:fldChar w:fldCharType="separate"/>
      </w:r>
      <w:r>
        <w:t>17</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"_Toc256000035" </w:instrText>
      </w:r>
      <w:r>
        <w:fldChar w:fldCharType="separate"/>
      </w:r>
      <w:r>
        <w:rPr>
          <w:rStyle w:val="37"/>
          <w:rFonts w:ascii="仿宋_GB2312" w:hAnsi="仿宋_GB2312" w:eastAsia="仿宋_GB2312" w:cs="仿宋_GB2312"/>
        </w:rPr>
        <w:t>8.1.1通用必备要求</w:t>
      </w:r>
      <w:r>
        <w:tab/>
      </w:r>
      <w:r>
        <w:fldChar w:fldCharType="begin"/>
      </w:r>
      <w:r>
        <w:instrText xml:space="preserve"> PAGEREF _Toc256000035 \h </w:instrText>
      </w:r>
      <w:r>
        <w:fldChar w:fldCharType="separate"/>
      </w:r>
      <w:r>
        <w:t>18</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"_Toc256000036" </w:instrText>
      </w:r>
      <w:r>
        <w:fldChar w:fldCharType="separate"/>
      </w:r>
      <w:r>
        <w:rPr>
          <w:rStyle w:val="37"/>
          <w:rFonts w:ascii="仿宋_GB2312" w:hAnsi="仿宋_GB2312" w:eastAsia="仿宋_GB2312" w:cs="仿宋_GB2312"/>
        </w:rPr>
        <w:t>8.2定价方式</w:t>
      </w:r>
      <w:r>
        <w:tab/>
      </w:r>
      <w:r>
        <w:fldChar w:fldCharType="begin"/>
      </w:r>
      <w:r>
        <w:instrText xml:space="preserve"> PAGEREF _Toc256000036 \h </w:instrText>
      </w:r>
      <w:r>
        <w:fldChar w:fldCharType="separate"/>
      </w:r>
      <w:r>
        <w:t>18</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"_Toc256000037" </w:instrText>
      </w:r>
      <w:r>
        <w:fldChar w:fldCharType="separate"/>
      </w:r>
      <w:r>
        <w:rPr>
          <w:rStyle w:val="37"/>
          <w:rFonts w:ascii="仿宋_GB2312" w:hAnsi="仿宋_GB2312" w:eastAsia="仿宋_GB2312" w:cs="仿宋_GB2312"/>
        </w:rPr>
        <w:t>8.3付款安排建议</w:t>
      </w:r>
      <w:r>
        <w:tab/>
      </w:r>
      <w:r>
        <w:fldChar w:fldCharType="begin"/>
      </w:r>
      <w:r>
        <w:instrText xml:space="preserve"> PAGEREF _Toc256000037 \h </w:instrText>
      </w:r>
      <w:r>
        <w:fldChar w:fldCharType="separate"/>
      </w:r>
      <w:r>
        <w:t>19</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"_Toc256000038" </w:instrText>
      </w:r>
      <w:r>
        <w:fldChar w:fldCharType="separate"/>
      </w:r>
      <w:r>
        <w:rPr>
          <w:rStyle w:val="37"/>
          <w:rFonts w:ascii="仿宋_GB2312" w:hAnsi="仿宋_GB2312" w:eastAsia="仿宋_GB2312" w:cs="仿宋_GB2312"/>
        </w:rPr>
        <w:t>8.4付款方式</w:t>
      </w:r>
      <w:r>
        <w:tab/>
      </w:r>
      <w:r>
        <w:fldChar w:fldCharType="begin"/>
      </w:r>
      <w:r>
        <w:instrText xml:space="preserve"> PAGEREF _Toc256000038 \h </w:instrText>
      </w:r>
      <w:r>
        <w:fldChar w:fldCharType="separate"/>
      </w:r>
      <w:r>
        <w:t>19</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"_Toc256000039" </w:instrText>
      </w:r>
      <w:r>
        <w:fldChar w:fldCharType="separate"/>
      </w:r>
      <w:r>
        <w:rPr>
          <w:rStyle w:val="37"/>
          <w:rFonts w:ascii="仿宋_GB2312" w:hAnsi="仿宋_GB2312" w:eastAsia="仿宋_GB2312" w:cs="仿宋_GB2312"/>
        </w:rPr>
        <w:t>8.5其他要求</w:t>
      </w:r>
      <w:r>
        <w:tab/>
      </w:r>
      <w:r>
        <w:fldChar w:fldCharType="begin"/>
      </w:r>
      <w:r>
        <w:instrText xml:space="preserve"> PAGEREF _Toc256000039 \h </w:instrText>
      </w:r>
      <w:r>
        <w:fldChar w:fldCharType="separate"/>
      </w:r>
      <w:r>
        <w:t>19</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"_Toc256000040" </w:instrText>
      </w:r>
      <w:r>
        <w:fldChar w:fldCharType="separate"/>
      </w:r>
      <w:r>
        <w:rPr>
          <w:rStyle w:val="37"/>
          <w:rFonts w:ascii="仿宋_GB2312" w:hAnsi="仿宋_GB2312" w:eastAsia="仿宋_GB2312" w:cs="仿宋_GB2312"/>
        </w:rPr>
        <w:t>8.5.1保密要求</w:t>
      </w:r>
      <w:r>
        <w:tab/>
      </w:r>
      <w:r>
        <w:fldChar w:fldCharType="begin"/>
      </w:r>
      <w:r>
        <w:instrText xml:space="preserve"> PAGEREF _Toc256000040 \h </w:instrText>
      </w:r>
      <w:r>
        <w:fldChar w:fldCharType="separate"/>
      </w:r>
      <w:r>
        <w:t>19</w:t>
      </w:r>
      <w:r>
        <w:fldChar w:fldCharType="end"/>
      </w:r>
      <w:r>
        <w:fldChar w:fldCharType="end"/>
      </w:r>
    </w:p>
    <w:p>
      <w:pPr>
        <w:pStyle w:val="18"/>
        <w:spacing w:before="0" w:after="0" w:line="360" w:lineRule="auto"/>
        <w:jc w:val="left"/>
      </w:pPr>
      <w:r>
        <w:rPr>
          <w:rFonts w:ascii="宋体" w:hAnsi="宋体" w:eastAsia="宋体" w:cs="宋体"/>
          <w:sz w:val="32"/>
        </w:rPr>
        <w:fldChar w:fldCharType="end"/>
      </w:r>
      <w:r>
        <w:br w:type="page"/>
      </w:r>
    </w:p>
    <w:p>
      <w:pPr>
        <w:pStyle w:val="90"/>
        <w:keepNext w:val="0"/>
        <w:spacing w:before="0" w:after="0" w:line="360" w:lineRule="auto"/>
        <w:jc w:val="center"/>
        <w:rPr>
          <w:rFonts w:ascii="仿宋_GB2312" w:hAnsi="仿宋_GB2312" w:eastAsia="仿宋_GB2312" w:cs="仿宋_GB2312"/>
          <w:b/>
          <w:bCs/>
          <w:sz w:val="32"/>
          <w:szCs w:val="32"/>
        </w:rPr>
      </w:pPr>
      <w:bookmarkStart w:id="4" w:name="_Toc256000000"/>
      <w:r>
        <w:rPr>
          <w:rFonts w:ascii="仿宋_GB2312" w:hAnsi="仿宋_GB2312" w:eastAsia="仿宋_GB2312" w:cs="仿宋_GB2312"/>
          <w:kern w:val="36"/>
        </w:rPr>
        <w:t>1项目概述</w:t>
      </w:r>
      <w:bookmarkEnd w:id="4"/>
    </w:p>
    <w:p>
      <w:pPr>
        <w:pStyle w:val="91"/>
        <w:keepNext w:val="0"/>
        <w:spacing w:before="0" w:after="0" w:line="360" w:lineRule="auto"/>
        <w:rPr>
          <w:rFonts w:ascii="仿宋_GB2312" w:hAnsi="仿宋_GB2312" w:eastAsia="仿宋_GB2312" w:cs="仿宋_GB2312"/>
          <w:b/>
          <w:bCs/>
          <w:sz w:val="28"/>
          <w:szCs w:val="28"/>
        </w:rPr>
      </w:pPr>
      <w:bookmarkStart w:id="5" w:name="_Toc256000001"/>
      <w:r>
        <w:rPr>
          <w:rFonts w:ascii="仿宋_GB2312" w:hAnsi="仿宋_GB2312" w:eastAsia="仿宋_GB2312" w:cs="仿宋_GB2312"/>
          <w:i w:val="0"/>
          <w:iCs w:val="0"/>
        </w:rPr>
        <w:t>1.1项目背景</w:t>
      </w:r>
      <w:bookmarkEnd w:id="5"/>
    </w:p>
    <w:p>
      <w:pPr>
        <w:pStyle w:val="92"/>
        <w:keepNext w:val="0"/>
        <w:spacing w:before="0" w:after="0" w:line="360" w:lineRule="auto"/>
        <w:rPr>
          <w:rFonts w:ascii="仿宋_GB2312" w:hAnsi="仿宋_GB2312" w:eastAsia="仿宋_GB2312" w:cs="仿宋_GB2312"/>
          <w:b/>
          <w:bCs/>
          <w:sz w:val="28"/>
          <w:szCs w:val="28"/>
        </w:rPr>
      </w:pPr>
      <w:bookmarkStart w:id="6" w:name="_Toc256000002"/>
      <w:r>
        <w:rPr>
          <w:rFonts w:ascii="仿宋_GB2312" w:hAnsi="仿宋_GB2312" w:eastAsia="仿宋_GB2312" w:cs="仿宋_GB2312"/>
          <w:sz w:val="28"/>
          <w:szCs w:val="28"/>
        </w:rPr>
        <w:t>1.1.1项目目的、意义及背景</w:t>
      </w:r>
      <w:bookmarkEnd w:id="6"/>
    </w:p>
    <w:p>
      <w:pPr>
        <w:pStyle w:val="93"/>
        <w:spacing w:before="0" w:after="0" w:line="360" w:lineRule="auto"/>
        <w:ind w:firstLine="560"/>
        <w:jc w:val="both"/>
        <w:rPr>
          <w:sz w:val="21"/>
          <w:szCs w:val="21"/>
        </w:rPr>
      </w:pPr>
      <w:r>
        <w:rPr>
          <w:rFonts w:ascii="仿宋_GB2312" w:hAnsi="仿宋_GB2312" w:eastAsia="仿宋_GB2312" w:cs="仿宋_GB2312"/>
          <w:sz w:val="28"/>
          <w:szCs w:val="28"/>
        </w:rPr>
        <w:t>按照上级相关要求，为将全体干部职工餐饮工作做到安全卫生、营养健康，吉林市税务局机关及一二三稽查局将对食堂食材进行采购。</w:t>
      </w:r>
    </w:p>
    <w:p>
      <w:pPr>
        <w:pStyle w:val="91"/>
        <w:keepNext w:val="0"/>
        <w:spacing w:before="0" w:after="0" w:line="360" w:lineRule="auto"/>
        <w:rPr>
          <w:rFonts w:ascii="仿宋_GB2312" w:hAnsi="仿宋_GB2312" w:eastAsia="仿宋_GB2312" w:cs="仿宋_GB2312"/>
          <w:b/>
          <w:bCs/>
          <w:sz w:val="28"/>
          <w:szCs w:val="28"/>
        </w:rPr>
      </w:pPr>
      <w:bookmarkStart w:id="7" w:name="_Toc256000003"/>
      <w:r>
        <w:rPr>
          <w:rFonts w:ascii="仿宋_GB2312" w:hAnsi="仿宋_GB2312" w:eastAsia="仿宋_GB2312" w:cs="仿宋_GB2312"/>
          <w:i w:val="0"/>
          <w:iCs w:val="0"/>
        </w:rPr>
        <w:t>1.2项目内容</w:t>
      </w:r>
      <w:bookmarkEnd w:id="7"/>
    </w:p>
    <w:p>
      <w:pPr>
        <w:pStyle w:val="92"/>
        <w:keepNext w:val="0"/>
        <w:spacing w:before="0" w:after="0" w:line="360" w:lineRule="auto"/>
        <w:rPr>
          <w:rFonts w:ascii="仿宋_GB2312" w:hAnsi="仿宋_GB2312" w:eastAsia="仿宋_GB2312" w:cs="仿宋_GB2312"/>
          <w:b/>
          <w:bCs/>
          <w:sz w:val="28"/>
          <w:szCs w:val="28"/>
        </w:rPr>
      </w:pPr>
      <w:bookmarkStart w:id="8" w:name="_Toc256000004"/>
      <w:r>
        <w:rPr>
          <w:rFonts w:ascii="仿宋_GB2312" w:hAnsi="仿宋_GB2312" w:eastAsia="仿宋_GB2312" w:cs="仿宋_GB2312"/>
          <w:sz w:val="28"/>
          <w:szCs w:val="28"/>
        </w:rPr>
        <w:t>1.2.1采购内容</w:t>
      </w:r>
      <w:bookmarkEnd w:id="8"/>
    </w:p>
    <w:p>
      <w:pPr>
        <w:pStyle w:val="93"/>
        <w:spacing w:before="0" w:after="0" w:line="360" w:lineRule="auto"/>
        <w:ind w:firstLine="480"/>
        <w:rPr>
          <w:rFonts w:ascii="Times New Roman" w:hAnsi="Times New Roman" w:eastAsia="Times New Roman" w:cs="Times New Roman"/>
        </w:rPr>
      </w:pPr>
      <w:r>
        <w:rPr>
          <w:rFonts w:ascii="FangSong_GB2312" w:hAnsi="FangSong_GB2312" w:eastAsia="FangSong_GB2312" w:cs="FangSong_GB2312"/>
          <w:sz w:val="28"/>
          <w:szCs w:val="28"/>
        </w:rPr>
        <w:t>本项目采购国家税务总局吉林市税务局机关及一二三稽查局食堂所需食材，含相应配送服务，项目预算金额为286.176万元/年。本项目分为2个包采购，其中，第一包提供国家税务总局吉林市税务局机关食堂食材，预算162.8万元/年。第二包提供国家税务总局吉林市税务局第一稽查局、国家税务总局吉林市税务局第二稽查局、国家税务总局吉林市税务局第三稽查局食堂食材，预算123.376万元/年。供应商以结算率（以百分数表示，小数点后保留两位）报价，根据供应商报送的结算率计算出的总价金额不得超过采购预算，采购食材按实际采购量进行结算，总结算金额不超过采购预算。</w:t>
      </w:r>
    </w:p>
    <w:p>
      <w:pPr>
        <w:pStyle w:val="92"/>
        <w:keepNext w:val="0"/>
        <w:spacing w:before="0" w:after="0" w:line="360" w:lineRule="auto"/>
        <w:rPr>
          <w:rFonts w:ascii="仿宋_GB2312" w:hAnsi="仿宋_GB2312" w:eastAsia="仿宋_GB2312" w:cs="仿宋_GB2312"/>
          <w:b/>
          <w:bCs/>
          <w:sz w:val="28"/>
          <w:szCs w:val="28"/>
        </w:rPr>
      </w:pPr>
      <w:bookmarkStart w:id="9" w:name="_Toc256000005"/>
      <w:r>
        <w:rPr>
          <w:rFonts w:ascii="仿宋_GB2312" w:hAnsi="仿宋_GB2312" w:eastAsia="仿宋_GB2312" w:cs="仿宋_GB2312"/>
          <w:sz w:val="28"/>
          <w:szCs w:val="28"/>
        </w:rPr>
        <w:t>1.2.2项目实施要求</w:t>
      </w:r>
      <w:bookmarkEnd w:id="9"/>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1.2.2.1实施范围要求</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依据采购项目内容相关需求进行配送。</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1.2.2.2实施时间要求</w:t>
      </w:r>
    </w:p>
    <w:p>
      <w:pPr>
        <w:pStyle w:val="93"/>
        <w:spacing w:before="0" w:after="0" w:line="360" w:lineRule="auto"/>
        <w:ind w:firstLine="480"/>
        <w:jc w:val="left"/>
        <w:rPr>
          <w:rFonts w:ascii="Times New Roman" w:hAnsi="Times New Roman" w:eastAsia="Times New Roman" w:cs="Times New Roman"/>
        </w:rPr>
      </w:pPr>
      <w:r>
        <w:rPr>
          <w:rFonts w:ascii="FangSong_GB2312" w:hAnsi="FangSong_GB2312" w:eastAsia="FangSong_GB2312" w:cs="FangSong_GB2312"/>
          <w:sz w:val="28"/>
          <w:szCs w:val="28"/>
        </w:rPr>
        <w:t>服务期为自项目开始实施之日起两年，合同一年一签，第二年合同金额以第二年预算批复为准。</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1.2.2.3实施地点要求</w:t>
      </w:r>
    </w:p>
    <w:p>
      <w:pPr>
        <w:pStyle w:val="9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95"/>
        <w:spacing w:before="0" w:after="0" w:line="360" w:lineRule="auto"/>
        <w:ind w:firstLine="480"/>
        <w:rPr>
          <w:rFonts w:ascii="Times New Roman" w:hAnsi="Times New Roman" w:eastAsia="Times New Roman" w:cs="Times New Roman"/>
        </w:rPr>
      </w:pPr>
      <w:r>
        <w:rPr>
          <w:rFonts w:ascii="Times New Roman" w:hAnsi="Times New Roman" w:eastAsia="Times New Roman" w:cs="Times New Roman"/>
        </w:rPr>
        <w:t> </w:t>
      </w:r>
    </w:p>
    <w:p>
      <w:pPr>
        <w:pStyle w:val="96"/>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i w:val="0"/>
          <w:iCs w:val="0"/>
          <w:sz w:val="28"/>
          <w:szCs w:val="28"/>
        </w:rPr>
        <w:t>1.2.2.3.1包件一</w:t>
      </w:r>
    </w:p>
    <w:p>
      <w:pPr>
        <w:pStyle w:val="18"/>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国家税务总局吉林市税务局（吉林市丰满区三亚路33号）</w:t>
      </w:r>
    </w:p>
    <w:p>
      <w:pPr>
        <w:pStyle w:val="96"/>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i w:val="0"/>
          <w:iCs w:val="0"/>
          <w:sz w:val="28"/>
          <w:szCs w:val="28"/>
        </w:rPr>
        <w:t>1.2.2.3.2包件二</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pacing w:val="0"/>
          <w:sz w:val="28"/>
          <w:szCs w:val="28"/>
        </w:rPr>
        <w:t>国家税务总局吉林市税务局第一稽查局（吉林市吉林大街73号）</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pacing w:val="0"/>
          <w:sz w:val="28"/>
          <w:szCs w:val="28"/>
        </w:rPr>
        <w:t>国家税务总局吉林市税务局第二稽查局（吉林市吉林大街73号）</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pacing w:val="0"/>
          <w:sz w:val="28"/>
          <w:szCs w:val="28"/>
        </w:rPr>
        <w:t>国家税务总局吉林市税务局第三稽查局（吉林市徐州路9号）</w:t>
      </w:r>
    </w:p>
    <w:p>
      <w:pPr>
        <w:pStyle w:val="90"/>
        <w:keepNext w:val="0"/>
        <w:spacing w:before="0" w:after="0" w:line="360" w:lineRule="auto"/>
        <w:jc w:val="center"/>
        <w:rPr>
          <w:rFonts w:ascii="仿宋_GB2312" w:hAnsi="仿宋_GB2312" w:eastAsia="仿宋_GB2312" w:cs="仿宋_GB2312"/>
          <w:b/>
          <w:bCs/>
          <w:sz w:val="32"/>
          <w:szCs w:val="32"/>
        </w:rPr>
      </w:pPr>
      <w:bookmarkStart w:id="10" w:name="_Toc256000006"/>
      <w:r>
        <w:rPr>
          <w:rFonts w:ascii="仿宋_GB2312" w:hAnsi="仿宋_GB2312" w:eastAsia="仿宋_GB2312" w:cs="仿宋_GB2312"/>
          <w:kern w:val="36"/>
        </w:rPr>
        <w:t>2投标/响应要求</w:t>
      </w:r>
      <w:bookmarkEnd w:id="10"/>
    </w:p>
    <w:p>
      <w:pPr>
        <w:pStyle w:val="91"/>
        <w:keepNext w:val="0"/>
        <w:spacing w:before="0" w:after="0" w:line="360" w:lineRule="auto"/>
        <w:rPr>
          <w:rFonts w:ascii="仿宋_GB2312" w:hAnsi="仿宋_GB2312" w:eastAsia="仿宋_GB2312" w:cs="仿宋_GB2312"/>
          <w:b/>
          <w:bCs/>
          <w:sz w:val="28"/>
          <w:szCs w:val="28"/>
        </w:rPr>
      </w:pPr>
      <w:bookmarkStart w:id="11" w:name="_Toc256000007"/>
      <w:r>
        <w:rPr>
          <w:rFonts w:ascii="仿宋_GB2312" w:hAnsi="仿宋_GB2312" w:eastAsia="仿宋_GB2312" w:cs="仿宋_GB2312"/>
          <w:i w:val="0"/>
          <w:iCs w:val="0"/>
        </w:rPr>
        <w:t>2.1对供应商的要求</w:t>
      </w:r>
      <w:bookmarkEnd w:id="11"/>
    </w:p>
    <w:p>
      <w:pPr>
        <w:pStyle w:val="92"/>
        <w:keepNext w:val="0"/>
        <w:spacing w:before="0" w:after="0" w:line="360" w:lineRule="auto"/>
        <w:rPr>
          <w:rFonts w:ascii="仿宋_GB2312" w:hAnsi="仿宋_GB2312" w:eastAsia="仿宋_GB2312" w:cs="仿宋_GB2312"/>
          <w:b/>
          <w:bCs/>
          <w:sz w:val="28"/>
          <w:szCs w:val="28"/>
        </w:rPr>
      </w:pPr>
      <w:bookmarkStart w:id="12" w:name="_Toc256000008"/>
      <w:r>
        <w:rPr>
          <w:rFonts w:ascii="仿宋_GB2312" w:hAnsi="仿宋_GB2312" w:eastAsia="仿宋_GB2312" w:cs="仿宋_GB2312"/>
          <w:sz w:val="28"/>
          <w:szCs w:val="28"/>
        </w:rPr>
        <w:t>2.1.1必备资质</w:t>
      </w:r>
      <w:bookmarkEnd w:id="12"/>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2.1.1.1投标人应遵守有关国家法律、法规和条例,具备《中华人民共和国政府采购法》第二十二条的规定和本文件中规定的条件。</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2.1.1.2本项目的特定资格要求</w:t>
      </w:r>
    </w:p>
    <w:p>
      <w:pPr>
        <w:pStyle w:val="93"/>
        <w:spacing w:before="0" w:after="0" w:line="360" w:lineRule="auto"/>
        <w:ind w:left="0" w:right="0"/>
        <w:jc w:val="both"/>
        <w:rPr>
          <w:sz w:val="21"/>
          <w:szCs w:val="21"/>
        </w:rPr>
      </w:pPr>
      <w:r>
        <w:rPr>
          <w:rFonts w:ascii="FangSong_GB2312" w:hAnsi="FangSong_GB2312" w:eastAsia="FangSong_GB2312" w:cs="FangSong_GB2312"/>
          <w:sz w:val="28"/>
          <w:szCs w:val="28"/>
        </w:rPr>
        <w:t>供应商具有《食品经营许可证》或《食品生产许可证》。仅提供《食品生产许可证》的，许可范围应包括本包中除食用农产品外的全部供应品类。</w:t>
      </w:r>
    </w:p>
    <w:p>
      <w:pPr>
        <w:pStyle w:val="92"/>
        <w:keepNext w:val="0"/>
        <w:spacing w:before="0" w:after="0" w:line="360" w:lineRule="auto"/>
        <w:rPr>
          <w:rFonts w:ascii="仿宋_GB2312" w:hAnsi="仿宋_GB2312" w:eastAsia="仿宋_GB2312" w:cs="仿宋_GB2312"/>
          <w:b/>
          <w:bCs/>
          <w:sz w:val="28"/>
          <w:szCs w:val="28"/>
        </w:rPr>
      </w:pPr>
      <w:bookmarkStart w:id="13" w:name="_Toc256000009"/>
      <w:r>
        <w:rPr>
          <w:rFonts w:ascii="仿宋_GB2312" w:hAnsi="仿宋_GB2312" w:eastAsia="仿宋_GB2312" w:cs="仿宋_GB2312"/>
          <w:sz w:val="28"/>
          <w:szCs w:val="28"/>
        </w:rPr>
        <w:t>2.1.2优选资质/优选指标</w:t>
      </w:r>
      <w:bookmarkEnd w:id="13"/>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2.1.2.1相关证书</w:t>
      </w:r>
    </w:p>
    <w:tbl>
      <w:tblPr>
        <w:tblStyle w:val="32"/>
        <w:tblW w:w="5000" w:type="pct"/>
        <w:tblInd w:w="30" w:type="dxa"/>
        <w:tblLayout w:type="autofit"/>
        <w:tblCellMar>
          <w:top w:w="15" w:type="dxa"/>
          <w:left w:w="15" w:type="dxa"/>
          <w:bottom w:w="15" w:type="dxa"/>
          <w:right w:w="15" w:type="dxa"/>
        </w:tblCellMar>
      </w:tblPr>
      <w:tblGrid>
        <w:gridCol w:w="1814"/>
        <w:gridCol w:w="3628"/>
        <w:gridCol w:w="3628"/>
      </w:tblGrid>
      <w:tr>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证书名称</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备注</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质量管理体系认证证书（IS09001）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职业健康安全管理体系认证证书（ISO45001）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bl>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2.1.2.2成功案例</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有效案例为2023年1月1日以来（以合同签订日期为准），供应商独立承担的肉类、蔬菜类、主副食类等食材供应项目案例，予以加分考虑。</w:t>
      </w:r>
    </w:p>
    <w:p>
      <w:pPr>
        <w:pStyle w:val="92"/>
        <w:keepNext w:val="0"/>
        <w:spacing w:before="0" w:after="0" w:line="360" w:lineRule="auto"/>
        <w:rPr>
          <w:rFonts w:ascii="仿宋_GB2312" w:hAnsi="仿宋_GB2312" w:eastAsia="仿宋_GB2312" w:cs="仿宋_GB2312"/>
          <w:b/>
          <w:bCs/>
          <w:sz w:val="28"/>
          <w:szCs w:val="28"/>
        </w:rPr>
      </w:pPr>
      <w:bookmarkStart w:id="14" w:name="_Toc256000010"/>
      <w:r>
        <w:rPr>
          <w:rFonts w:ascii="仿宋_GB2312" w:hAnsi="仿宋_GB2312" w:eastAsia="仿宋_GB2312" w:cs="仿宋_GB2312"/>
          <w:sz w:val="28"/>
          <w:szCs w:val="28"/>
        </w:rPr>
        <w:t>2.1.3是否允许联合体</w:t>
      </w:r>
      <w:bookmarkEnd w:id="14"/>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否</w:t>
      </w:r>
    </w:p>
    <w:p>
      <w:pPr>
        <w:pStyle w:val="92"/>
        <w:keepNext w:val="0"/>
        <w:spacing w:before="0" w:after="0" w:line="360" w:lineRule="auto"/>
        <w:rPr>
          <w:rFonts w:ascii="仿宋_GB2312" w:hAnsi="仿宋_GB2312" w:eastAsia="仿宋_GB2312" w:cs="仿宋_GB2312"/>
          <w:b/>
          <w:bCs/>
          <w:sz w:val="28"/>
          <w:szCs w:val="28"/>
        </w:rPr>
      </w:pPr>
      <w:bookmarkStart w:id="15" w:name="_Toc256000011"/>
      <w:r>
        <w:rPr>
          <w:rFonts w:ascii="仿宋_GB2312" w:hAnsi="仿宋_GB2312" w:eastAsia="仿宋_GB2312" w:cs="仿宋_GB2312"/>
          <w:sz w:val="28"/>
          <w:szCs w:val="28"/>
        </w:rPr>
        <w:t>2.1.4是否专门面向中小企业</w:t>
      </w:r>
      <w:bookmarkEnd w:id="15"/>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本项目专门面向中小企业采购项目</w:t>
      </w:r>
    </w:p>
    <w:p>
      <w:pPr>
        <w:pStyle w:val="92"/>
        <w:keepNext w:val="0"/>
        <w:spacing w:before="0" w:after="0" w:line="360" w:lineRule="auto"/>
        <w:rPr>
          <w:rFonts w:ascii="仿宋_GB2312" w:hAnsi="仿宋_GB2312" w:eastAsia="仿宋_GB2312" w:cs="仿宋_GB2312"/>
          <w:b/>
          <w:bCs/>
          <w:sz w:val="28"/>
          <w:szCs w:val="28"/>
        </w:rPr>
      </w:pPr>
      <w:bookmarkStart w:id="16" w:name="_Toc256000012"/>
      <w:r>
        <w:rPr>
          <w:rFonts w:ascii="仿宋_GB2312" w:hAnsi="仿宋_GB2312" w:eastAsia="仿宋_GB2312" w:cs="仿宋_GB2312"/>
          <w:sz w:val="28"/>
          <w:szCs w:val="28"/>
        </w:rPr>
        <w:t>2.1.5其他要求</w:t>
      </w:r>
      <w:bookmarkEnd w:id="16"/>
    </w:p>
    <w:p>
      <w:pPr>
        <w:pStyle w:val="91"/>
        <w:keepNext w:val="0"/>
        <w:spacing w:before="0" w:after="0" w:line="360" w:lineRule="auto"/>
        <w:rPr>
          <w:rFonts w:ascii="仿宋_GB2312" w:hAnsi="仿宋_GB2312" w:eastAsia="仿宋_GB2312" w:cs="仿宋_GB2312"/>
          <w:b/>
          <w:bCs/>
          <w:sz w:val="28"/>
          <w:szCs w:val="28"/>
        </w:rPr>
      </w:pPr>
      <w:bookmarkStart w:id="17" w:name="_Toc256000013"/>
      <w:r>
        <w:rPr>
          <w:rFonts w:ascii="仿宋_GB2312" w:hAnsi="仿宋_GB2312" w:eastAsia="仿宋_GB2312" w:cs="仿宋_GB2312"/>
          <w:i w:val="0"/>
          <w:iCs w:val="0"/>
        </w:rPr>
        <w:t>2.2技术部分投标/响应内容</w:t>
      </w:r>
      <w:bookmarkEnd w:id="17"/>
    </w:p>
    <w:p>
      <w:pPr>
        <w:pStyle w:val="92"/>
        <w:keepNext w:val="0"/>
        <w:spacing w:before="0" w:after="0" w:line="360" w:lineRule="auto"/>
        <w:rPr>
          <w:rFonts w:ascii="仿宋_GB2312" w:hAnsi="仿宋_GB2312" w:eastAsia="仿宋_GB2312" w:cs="仿宋_GB2312"/>
          <w:b/>
          <w:bCs/>
          <w:sz w:val="28"/>
          <w:szCs w:val="28"/>
        </w:rPr>
      </w:pPr>
      <w:bookmarkStart w:id="18" w:name="_Toc256000014"/>
      <w:r>
        <w:rPr>
          <w:rFonts w:ascii="仿宋_GB2312" w:hAnsi="仿宋_GB2312" w:eastAsia="仿宋_GB2312" w:cs="仿宋_GB2312"/>
          <w:sz w:val="28"/>
          <w:szCs w:val="28"/>
        </w:rPr>
        <w:t>2.2.1技术投标/响应总要求</w:t>
      </w:r>
      <w:bookmarkEnd w:id="18"/>
    </w:p>
    <w:p>
      <w:pPr>
        <w:pStyle w:val="95"/>
        <w:spacing w:before="0" w:after="0" w:line="360" w:lineRule="auto"/>
        <w:ind w:left="0" w:firstLine="480"/>
        <w:jc w:val="both"/>
        <w:rPr>
          <w:rFonts w:ascii="Times New Roman" w:hAnsi="Times New Roman" w:eastAsia="Times New Roman" w:cs="Times New Roman"/>
        </w:rPr>
      </w:pPr>
      <w:r>
        <w:rPr>
          <w:rFonts w:ascii="FangSong_GB2312" w:hAnsi="FangSong_GB2312" w:eastAsia="FangSong_GB2312" w:cs="FangSong_GB2312"/>
          <w:sz w:val="28"/>
          <w:szCs w:val="28"/>
        </w:rPr>
        <w:t>投标人必须针对技术部分中的需求逐个或分块作出实质性响应，其响应与采购文件内容采用同样的顺序。对每个需求的响应必须遵循如下规则：</w:t>
      </w:r>
    </w:p>
    <w:p>
      <w:pPr>
        <w:pStyle w:val="95"/>
        <w:spacing w:before="0" w:after="0" w:line="360" w:lineRule="auto"/>
        <w:ind w:left="0" w:firstLine="480"/>
        <w:jc w:val="both"/>
        <w:rPr>
          <w:rFonts w:ascii="Times New Roman" w:hAnsi="Times New Roman" w:eastAsia="Times New Roman" w:cs="Times New Roman"/>
        </w:rPr>
      </w:pPr>
      <w:r>
        <w:rPr>
          <w:rFonts w:ascii="FangSong_GB2312" w:hAnsi="FangSong_GB2312" w:eastAsia="FangSong_GB2312" w:cs="FangSong_GB2312"/>
          <w:sz w:val="28"/>
          <w:szCs w:val="28"/>
        </w:rPr>
        <w:t>（</w:t>
      </w:r>
      <w:r>
        <w:rPr>
          <w:sz w:val="28"/>
          <w:szCs w:val="28"/>
        </w:rPr>
        <w:t>1）重复该需求。</w:t>
      </w:r>
    </w:p>
    <w:p>
      <w:pPr>
        <w:pStyle w:val="95"/>
        <w:spacing w:before="0" w:after="0" w:line="360" w:lineRule="auto"/>
        <w:ind w:left="0" w:firstLine="480"/>
        <w:jc w:val="both"/>
        <w:rPr>
          <w:rFonts w:ascii="Times New Roman" w:hAnsi="Times New Roman" w:eastAsia="Times New Roman" w:cs="Times New Roman"/>
        </w:rPr>
      </w:pPr>
      <w:r>
        <w:rPr>
          <w:rFonts w:ascii="FangSong_GB2312" w:hAnsi="FangSong_GB2312" w:eastAsia="FangSong_GB2312" w:cs="FangSong_GB2312"/>
          <w:sz w:val="28"/>
          <w:szCs w:val="28"/>
        </w:rPr>
        <w:t>（</w:t>
      </w:r>
      <w:r>
        <w:rPr>
          <w:sz w:val="28"/>
          <w:szCs w:val="28"/>
        </w:rPr>
        <w:t>2）用“是/否”响应来表明该需求是否被满足。</w:t>
      </w:r>
    </w:p>
    <w:p>
      <w:pPr>
        <w:pStyle w:val="95"/>
        <w:spacing w:before="0" w:after="0" w:line="360" w:lineRule="auto"/>
        <w:ind w:left="0" w:firstLine="480"/>
        <w:jc w:val="both"/>
        <w:rPr>
          <w:rFonts w:ascii="Times New Roman" w:hAnsi="Times New Roman" w:eastAsia="Times New Roman" w:cs="Times New Roman"/>
        </w:rPr>
      </w:pPr>
      <w:r>
        <w:rPr>
          <w:rFonts w:ascii="FangSong_GB2312" w:hAnsi="FangSong_GB2312" w:eastAsia="FangSong_GB2312" w:cs="FangSong_GB2312"/>
          <w:sz w:val="28"/>
          <w:szCs w:val="28"/>
        </w:rPr>
        <w:t>（</w:t>
      </w:r>
      <w:r>
        <w:rPr>
          <w:sz w:val="28"/>
          <w:szCs w:val="28"/>
        </w:rPr>
        <w:t>3）简要描述投标文件如何满足该需求，如果该响应在投标文件其他部分有详述，可在该处简单应答，但必须给出确切的位置索引。</w:t>
      </w:r>
    </w:p>
    <w:p>
      <w:pPr>
        <w:pStyle w:val="95"/>
        <w:spacing w:before="0" w:after="0" w:line="360" w:lineRule="auto"/>
        <w:ind w:left="0" w:firstLine="480"/>
        <w:jc w:val="both"/>
        <w:rPr>
          <w:rFonts w:ascii="Times New Roman" w:hAnsi="Times New Roman" w:eastAsia="Times New Roman" w:cs="Times New Roman"/>
        </w:rPr>
      </w:pPr>
      <w:r>
        <w:rPr>
          <w:rFonts w:ascii="FangSong_GB2312" w:hAnsi="FangSong_GB2312" w:eastAsia="FangSong_GB2312" w:cs="FangSong_GB2312"/>
          <w:sz w:val="28"/>
          <w:szCs w:val="28"/>
        </w:rPr>
        <w:t>（</w:t>
      </w:r>
      <w:r>
        <w:rPr>
          <w:sz w:val="28"/>
          <w:szCs w:val="28"/>
        </w:rPr>
        <w:t>4）解释投标文件与用户需求之间的偏差，用数量来表示的需求，必须用确切的数字、单位来响应。</w:t>
      </w:r>
    </w:p>
    <w:p>
      <w:pPr>
        <w:pStyle w:val="95"/>
        <w:spacing w:before="0" w:after="0" w:line="360" w:lineRule="auto"/>
        <w:ind w:left="0" w:firstLine="480"/>
        <w:jc w:val="both"/>
        <w:rPr>
          <w:rFonts w:ascii="Times New Roman" w:hAnsi="Times New Roman" w:eastAsia="Times New Roman" w:cs="Times New Roman"/>
        </w:rPr>
      </w:pPr>
      <w:r>
        <w:rPr>
          <w:rFonts w:ascii="FangSong_GB2312" w:hAnsi="FangSong_GB2312" w:eastAsia="FangSong_GB2312" w:cs="FangSong_GB2312"/>
          <w:sz w:val="28"/>
          <w:szCs w:val="28"/>
        </w:rPr>
        <w:t>（</w:t>
      </w:r>
      <w:r>
        <w:rPr>
          <w:sz w:val="28"/>
          <w:szCs w:val="28"/>
        </w:rPr>
        <w:t>5）对采购文件（技术部分）的应答应至少包含采购文件技术部分中的全部内容。投标人应提供实质性确切响应，并有详细的文字描述和说明，任何仅采用“符合”、“满足”或非确定性数值（如“&gt;=”或“&lt;=”）的响应均将被视为没有对采购文件的实质性响应，从而可能导致严重后果直至投标被拒绝。</w:t>
      </w:r>
    </w:p>
    <w:p>
      <w:pPr>
        <w:pStyle w:val="95"/>
        <w:spacing w:before="0" w:after="0" w:line="360" w:lineRule="auto"/>
        <w:ind w:left="0" w:firstLine="480"/>
        <w:jc w:val="both"/>
        <w:rPr>
          <w:rFonts w:ascii="Times New Roman" w:hAnsi="Times New Roman" w:eastAsia="Times New Roman" w:cs="Times New Roman"/>
        </w:rPr>
      </w:pPr>
      <w:r>
        <w:rPr>
          <w:rFonts w:ascii="FangSong_GB2312" w:hAnsi="FangSong_GB2312" w:eastAsia="FangSong_GB2312" w:cs="FangSong_GB2312"/>
          <w:sz w:val="28"/>
          <w:szCs w:val="28"/>
        </w:rPr>
        <w:t>（</w:t>
      </w:r>
      <w:r>
        <w:rPr>
          <w:sz w:val="28"/>
          <w:szCs w:val="28"/>
        </w:rPr>
        <w:t>6）投标人认为对整个项目建设特别重要的建议，需单独说明（此项单列为可选性需求）。</w:t>
      </w:r>
    </w:p>
    <w:p>
      <w:pPr>
        <w:pStyle w:val="92"/>
        <w:keepNext w:val="0"/>
        <w:spacing w:before="0" w:after="0" w:line="360" w:lineRule="auto"/>
        <w:rPr>
          <w:rFonts w:ascii="仿宋_GB2312" w:hAnsi="仿宋_GB2312" w:eastAsia="仿宋_GB2312" w:cs="仿宋_GB2312"/>
          <w:b/>
          <w:bCs/>
          <w:sz w:val="28"/>
          <w:szCs w:val="28"/>
        </w:rPr>
      </w:pPr>
      <w:bookmarkStart w:id="19" w:name="_Toc256000015"/>
      <w:r>
        <w:rPr>
          <w:rFonts w:ascii="仿宋_GB2312" w:hAnsi="仿宋_GB2312" w:eastAsia="仿宋_GB2312" w:cs="仿宋_GB2312"/>
          <w:sz w:val="28"/>
          <w:szCs w:val="28"/>
        </w:rPr>
        <w:t>2.2.2投标/响应方案要求</w:t>
      </w:r>
      <w:bookmarkEnd w:id="19"/>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以下相关方案，若作为评审因素，则投标人应在满足★必备指标项要求的前提下，根据项目特点和采购需求，制定更为完整、详细、可操作性强的方案。</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对本项目技术需求书的完全响应，具体包括：项目需求理解、供应方案、质量安全把控方案、应急保障方案和货物验收方案。</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（1）项目需求理解</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投标人应详细阐述对本包整体技术业务需求内容的理解，深入分析并提供详细的需求分析说明。</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（2）供应方案和质量安全把控方案的具体要求见“5、管理实施要求和6、风险管控要求”</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（3）应急保障方案的具体要求见“6、风险管控要求”。</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（4）货物验收方案的具体要求见“7、履约验收要求”。</w:t>
      </w:r>
    </w:p>
    <w:p>
      <w:pPr>
        <w:pStyle w:val="90"/>
        <w:keepNext w:val="0"/>
        <w:spacing w:before="0" w:after="0" w:line="360" w:lineRule="auto"/>
        <w:jc w:val="center"/>
        <w:rPr>
          <w:rFonts w:ascii="仿宋_GB2312" w:hAnsi="仿宋_GB2312" w:eastAsia="仿宋_GB2312" w:cs="仿宋_GB2312"/>
          <w:b/>
          <w:bCs/>
          <w:sz w:val="32"/>
          <w:szCs w:val="32"/>
        </w:rPr>
      </w:pPr>
      <w:bookmarkStart w:id="20" w:name="_Toc256000016"/>
      <w:r>
        <w:rPr>
          <w:rFonts w:ascii="仿宋_GB2312" w:hAnsi="仿宋_GB2312" w:eastAsia="仿宋_GB2312" w:cs="仿宋_GB2312"/>
          <w:kern w:val="36"/>
        </w:rPr>
        <w:t>3项目需求</w:t>
      </w:r>
      <w:bookmarkEnd w:id="20"/>
    </w:p>
    <w:p>
      <w:pPr>
        <w:pStyle w:val="91"/>
        <w:keepNext w:val="0"/>
        <w:spacing w:before="0" w:after="0" w:line="360" w:lineRule="auto"/>
        <w:rPr>
          <w:rFonts w:ascii="仿宋_GB2312" w:hAnsi="仿宋_GB2312" w:eastAsia="仿宋_GB2312" w:cs="仿宋_GB2312"/>
          <w:b/>
          <w:bCs/>
          <w:sz w:val="28"/>
          <w:szCs w:val="28"/>
        </w:rPr>
      </w:pPr>
      <w:bookmarkStart w:id="21" w:name="_Toc256000017"/>
      <w:r>
        <w:rPr>
          <w:rFonts w:ascii="仿宋_GB2312" w:hAnsi="仿宋_GB2312" w:eastAsia="仿宋_GB2312" w:cs="仿宋_GB2312"/>
          <w:i w:val="0"/>
          <w:iCs w:val="0"/>
        </w:rPr>
        <w:t>3.1总体要求</w:t>
      </w:r>
      <w:bookmarkEnd w:id="21"/>
    </w:p>
    <w:p>
      <w:pPr>
        <w:pStyle w:val="95"/>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28"/>
          <w:szCs w:val="28"/>
        </w:rPr>
        <w:t>投标人应严格遵守《中华人民共和国食品安全法》和《中华人民共和国动物防疫法》等相关规定，严格保证食品质量符合国家相关产品质量标准，符合国家各级强制性规范的要求。在中标后如出现因食用其提供的食品导致食物中毒事故发生，投标人应对此承担一切法律责任。</w:t>
      </w:r>
    </w:p>
    <w:p>
      <w:pPr>
        <w:pStyle w:val="91"/>
        <w:keepNext w:val="0"/>
        <w:spacing w:before="0" w:after="0" w:line="360" w:lineRule="auto"/>
        <w:rPr>
          <w:rFonts w:ascii="仿宋_GB2312" w:hAnsi="仿宋_GB2312" w:eastAsia="仿宋_GB2312" w:cs="仿宋_GB2312"/>
          <w:b/>
          <w:bCs/>
          <w:sz w:val="28"/>
          <w:szCs w:val="28"/>
        </w:rPr>
      </w:pPr>
      <w:bookmarkStart w:id="22" w:name="_Toc256000018"/>
      <w:r>
        <w:rPr>
          <w:rFonts w:ascii="仿宋_GB2312" w:hAnsi="仿宋_GB2312" w:eastAsia="仿宋_GB2312" w:cs="仿宋_GB2312"/>
          <w:i w:val="0"/>
          <w:iCs w:val="0"/>
        </w:rPr>
        <w:t>3.2服务内容和要求</w:t>
      </w:r>
      <w:bookmarkEnd w:id="22"/>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采购文件（技术部分）中有标注★号的，为必备要求，必须满足，如未作出响应，将导致响应无效；#为重要内容、△为一般内容。</w:t>
      </w:r>
    </w:p>
    <w:p>
      <w:pPr>
        <w:pStyle w:val="92"/>
        <w:keepNext w:val="0"/>
        <w:spacing w:before="0" w:after="0" w:line="360" w:lineRule="auto"/>
        <w:rPr>
          <w:rFonts w:ascii="仿宋_GB2312" w:hAnsi="仿宋_GB2312" w:eastAsia="仿宋_GB2312" w:cs="仿宋_GB2312"/>
          <w:b/>
          <w:bCs/>
          <w:sz w:val="28"/>
          <w:szCs w:val="28"/>
        </w:rPr>
      </w:pPr>
      <w:bookmarkStart w:id="23" w:name="_Toc256000019"/>
      <w:r>
        <w:rPr>
          <w:rFonts w:ascii="仿宋_GB2312" w:hAnsi="仿宋_GB2312" w:eastAsia="仿宋_GB2312" w:cs="仿宋_GB2312"/>
          <w:sz w:val="28"/>
          <w:szCs w:val="28"/>
        </w:rPr>
        <w:t>3.2.1具体采购食材清单</w:t>
      </w:r>
      <w:bookmarkEnd w:id="23"/>
    </w:p>
    <w:p>
      <w:pPr>
        <w:pStyle w:val="97"/>
        <w:spacing w:before="0" w:after="0" w:line="360" w:lineRule="auto"/>
        <w:jc w:val="center"/>
        <w:rPr>
          <w:rFonts w:ascii="Times New Roman" w:hAnsi="Times New Roman" w:eastAsia="Times New Roman" w:cs="Times New Roman"/>
        </w:rPr>
      </w:pPr>
      <w:r>
        <w:t> </w:t>
      </w:r>
    </w:p>
    <w:tbl>
      <w:tblPr>
        <w:tblStyle w:val="98"/>
        <w:tblW w:w="8324" w:type="dxa"/>
        <w:jc w:val="center"/>
        <w:tblCellSpacing w:w="0" w:type="dxa"/>
        <w:tblLayout w:type="autofit"/>
        <w:tblCellMar>
          <w:top w:w="15" w:type="dxa"/>
          <w:left w:w="15" w:type="dxa"/>
          <w:bottom w:w="15" w:type="dxa"/>
          <w:right w:w="15" w:type="dxa"/>
        </w:tblCellMar>
      </w:tblPr>
      <w:tblGrid>
        <w:gridCol w:w="1681"/>
        <w:gridCol w:w="4224"/>
        <w:gridCol w:w="2419"/>
      </w:tblGrid>
      <w:tr>
        <w:tblPrEx>
          <w:tblCellMar>
            <w:top w:w="15" w:type="dxa"/>
            <w:left w:w="15" w:type="dxa"/>
            <w:bottom w:w="15" w:type="dxa"/>
            <w:right w:w="15" w:type="dxa"/>
          </w:tblCellMar>
        </w:tblPrEx>
        <w:trPr>
          <w:trHeight w:val="600" w:hRule="atLeast"/>
          <w:tblCellSpacing w:w="0" w:type="dxa"/>
          <w:jc w:val="center"/>
        </w:trPr>
        <w:tc>
          <w:tcPr>
            <w:tcW w:w="1837" w:type="dxa"/>
            <w:tcBorders>
              <w:top w:val="single" w:color="000000" w:sz="8" w:space="0"/>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序号</w:t>
            </w:r>
          </w:p>
        </w:tc>
        <w:tc>
          <w:tcPr>
            <w:tcW w:w="5226" w:type="dxa"/>
            <w:tcBorders>
              <w:top w:val="single" w:color="000000" w:sz="8" w:space="0"/>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分类</w:t>
            </w:r>
          </w:p>
        </w:tc>
        <w:tc>
          <w:tcPr>
            <w:tcW w:w="2967" w:type="dxa"/>
            <w:tcBorders>
              <w:top w:val="single" w:color="000000" w:sz="8" w:space="0"/>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品种名称</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猪肉、脏器及副产品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猪前尖</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猪肉、脏器及副产品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猪后尖</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猪肉、脏器及副产品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猪通脊</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猪肉、脏器及副产品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猪后腿骨</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猪肉、脏器及副产品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猪鲜肉馅</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猪肉、脏器及副产品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猪五花</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8"/>
                <w:szCs w:val="28"/>
              </w:rPr>
              <w:t>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猪脏器及副产品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猪肝</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猪脏器及副产品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猪带跟耳朵</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猪脏器及副产品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猪前肘</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猪脏器及副产品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带筋猪蹄</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牛肉及各部件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牛腩</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牛肉及各部件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牛肉馅</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牛肉及各部件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外脊</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牛肉及各部件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牛肋排块</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牛肉及各部件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牛后腿肉</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牛肉及各部件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原切牛肉片</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羊肉及各部件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羊肉卷</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羊肉及各部件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羊肋排</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羊肉及各部件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羊杂</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20. 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禽肉及各部件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鸡肉</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21. 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禽肉及各部件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鸡胗</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22. 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禽肉及各部件</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鸭肉</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23. 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肉制品/半成品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梅花肉</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24. 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肉制品/半成品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烤肠</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25. 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水产类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鲤鱼</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26. 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水产类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小黄花鱼</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27. 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水产类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刀鱼</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28. 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水产类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草鱼</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29. 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水产类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鲅鱼</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30. 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水产类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胖头鱼</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31. 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水产类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青虾</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32. 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水产类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河虾</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33. 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水产类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虾仁</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34. 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粮食类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面粉</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35. 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粮食类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大米</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36. 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粮食类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花生</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37. 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粮食类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绿豆</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38. 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粮食类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黄豆</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39. 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粮食类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红豆</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40. 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粮食类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玉米</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41. 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粮食类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薏米</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42. 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食用油</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大豆油</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43. 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食用油</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花生油</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44. 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食用油</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葵花籽油</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45. 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食用油</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色拉油</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46. 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食用油</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玉米油</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47. 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油豆角</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48. 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大白菜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49. 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包菜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50. 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油菜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51. 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菠菜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52. 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香菜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53. 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蒜苗</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54. 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芥菜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55. 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小白菜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56. 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菜心</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57. 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油麦菜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58. 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生菜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59. 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香葱</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60. 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西红柿</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61. 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茄子</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62. 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冬瓜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63. 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黄瓜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64. 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南瓜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65. 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青椒</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66. 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红椒</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67. 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青豆</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68. 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荷兰豆</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69. 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豇豆</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70. 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芹菜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71. 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绿豆芽</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72. 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黄豆芽</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73. 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洋葱</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74. 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土豆</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75. 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红薯</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76. 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胡萝卜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77. 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青萝卜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78. 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白萝卜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79. 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山药</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80. 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红葱头</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81. 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西兰花</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82. 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83. 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大葱</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84. 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小葱</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85. 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86. 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杏鲍菇</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87. 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蔬菜类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金针菇</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88. 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柑类</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89. 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桔类</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90. 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橙类</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91. 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苹果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92. 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梨</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93. 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香蕉</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94. 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桃</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95. 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李子</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96. 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西瓜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97. 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水果类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top"/>
          </w:tcPr>
          <w:p>
            <w:pPr>
              <w:pStyle w:val="95"/>
              <w:spacing w:line="600" w:lineRule="atLeast"/>
              <w:jc w:val="center"/>
              <w:textAlignment w:val="top"/>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香瓜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98. 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豆蛋乳制品类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干豆腐</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99. 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豆蛋乳制品类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大豆腐</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100. 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豆蛋乳制品类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蛋类</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101. 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豆蛋乳制品类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纯牛奶</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102. 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豆蛋乳制品类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酸牛奶</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103. 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速冻食品</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速冻汤圆</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104. 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花椒</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105. 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八角</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106. 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桂皮</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107. 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丁香</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108. 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小茴香</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109. 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草果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110. 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黑胡椒</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111. 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白胡椒</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112. 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辣椒干</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113. 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白芝麻</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114. 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黑芝麻</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115. 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香油</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116. 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酵母</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117. 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生粉</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118. 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米粉</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119. 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粉丝</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120. 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黑木耳</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121. 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银耳</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122. 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紫菜</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123. 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水产干货</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124. 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食盐</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125. 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白糖</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126. 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红糖</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127. 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冰糖</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128. 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酱油</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129. 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食醋</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130. 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味精</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131. 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酱料</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132. 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蚝油</w:t>
            </w:r>
          </w:p>
        </w:tc>
      </w:tr>
      <w:tr>
        <w:tblPrEx>
          <w:tblCellMar>
            <w:top w:w="15" w:type="dxa"/>
            <w:left w:w="15" w:type="dxa"/>
            <w:bottom w:w="15" w:type="dxa"/>
            <w:right w:w="15" w:type="dxa"/>
          </w:tblCellMar>
        </w:tblPrEx>
        <w:trPr>
          <w:trHeight w:val="600" w:hRule="atLeast"/>
          <w:tblCellSpacing w:w="0" w:type="dxa"/>
          <w:jc w:val="center"/>
        </w:trPr>
        <w:tc>
          <w:tcPr>
            <w:tcW w:w="1867" w:type="dxa"/>
            <w:tcBorders>
              <w:left w:val="single" w:color="000000" w:sz="8" w:space="0"/>
              <w:bottom w:val="single" w:color="000000" w:sz="8" w:space="0"/>
              <w:right w:val="single" w:color="000000" w:sz="8" w:space="0"/>
            </w:tcBorders>
            <w:noWrap w:val="0"/>
            <w:tcMar>
              <w:top w:w="0" w:type="dxa"/>
              <w:left w:w="128" w:type="dxa"/>
              <w:bottom w:w="0" w:type="dxa"/>
              <w:right w:w="178" w:type="dxa"/>
            </w:tcMar>
            <w:vAlign w:val="center"/>
          </w:tcPr>
          <w:p>
            <w:pPr>
              <w:pStyle w:val="95"/>
              <w:spacing w:line="600" w:lineRule="atLeast"/>
              <w:ind w:left="425" w:hanging="42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133. </w:t>
            </w:r>
          </w:p>
        </w:tc>
        <w:tc>
          <w:tcPr>
            <w:tcW w:w="5226"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干货调料类</w:t>
            </w:r>
          </w:p>
        </w:tc>
        <w:tc>
          <w:tcPr>
            <w:tcW w:w="2967" w:type="dxa"/>
            <w:tcBorders>
              <w:bottom w:val="single" w:color="000000" w:sz="8" w:space="0"/>
              <w:right w:val="single" w:color="000000" w:sz="8" w:space="0"/>
            </w:tcBorders>
            <w:noWrap w:val="0"/>
            <w:tcMar>
              <w:top w:w="0" w:type="dxa"/>
              <w:left w:w="108" w:type="dxa"/>
              <w:bottom w:w="0" w:type="dxa"/>
              <w:right w:w="178" w:type="dxa"/>
            </w:tcMar>
            <w:vAlign w:val="center"/>
          </w:tcPr>
          <w:p>
            <w:pPr>
              <w:pStyle w:val="95"/>
              <w:spacing w:line="600" w:lineRule="atLeast"/>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32"/>
                <w:szCs w:val="32"/>
              </w:rPr>
              <w:t>奶粉</w:t>
            </w:r>
          </w:p>
        </w:tc>
      </w:tr>
    </w:tbl>
    <w:p>
      <w:pPr>
        <w:pStyle w:val="95"/>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备注：本表仅列举国家税务总局吉林市税务局需求，项目实际采购的品种和数量不限于表内，根据实际采购需求确定。</w:t>
      </w:r>
    </w:p>
    <w:p>
      <w:pPr>
        <w:pStyle w:val="92"/>
        <w:keepNext w:val="0"/>
        <w:spacing w:before="0" w:after="0" w:line="360" w:lineRule="auto"/>
        <w:rPr>
          <w:rFonts w:ascii="仿宋_GB2312" w:hAnsi="仿宋_GB2312" w:eastAsia="仿宋_GB2312" w:cs="仿宋_GB2312"/>
          <w:b/>
          <w:bCs/>
          <w:sz w:val="28"/>
          <w:szCs w:val="28"/>
        </w:rPr>
      </w:pPr>
      <w:bookmarkStart w:id="24" w:name="_Toc256000020"/>
      <w:r>
        <w:rPr>
          <w:rFonts w:ascii="仿宋_GB2312" w:hAnsi="仿宋_GB2312" w:eastAsia="仿宋_GB2312" w:cs="仿宋_GB2312"/>
          <w:sz w:val="28"/>
          <w:szCs w:val="28"/>
        </w:rPr>
        <w:t>3.2.2技术和服务客观指标</w:t>
      </w:r>
      <w:bookmarkEnd w:id="24"/>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3.2.2.1最关键指标项清单</w:t>
      </w:r>
    </w:p>
    <w:tbl>
      <w:tblPr>
        <w:tblStyle w:val="100"/>
        <w:tblW w:w="11395" w:type="dxa"/>
        <w:jc w:val="center"/>
        <w:tblCellSpacing w:w="0" w:type="dxa"/>
        <w:tblLayout w:type="autofit"/>
        <w:tblCellMar>
          <w:top w:w="15" w:type="dxa"/>
          <w:left w:w="15" w:type="dxa"/>
          <w:bottom w:w="15" w:type="dxa"/>
          <w:right w:w="15" w:type="dxa"/>
        </w:tblCellMar>
      </w:tblPr>
      <w:tblGrid>
        <w:gridCol w:w="1449"/>
        <w:gridCol w:w="1945"/>
        <w:gridCol w:w="1981"/>
        <w:gridCol w:w="1583"/>
        <w:gridCol w:w="162"/>
        <w:gridCol w:w="1912"/>
        <w:gridCol w:w="62"/>
        <w:gridCol w:w="2301"/>
      </w:tblGrid>
      <w:tr>
        <w:tblPrEx>
          <w:tblCellMar>
            <w:top w:w="15" w:type="dxa"/>
            <w:left w:w="15" w:type="dxa"/>
            <w:bottom w:w="15" w:type="dxa"/>
            <w:right w:w="15" w:type="dxa"/>
          </w:tblCellMar>
        </w:tblPrEx>
        <w:trPr>
          <w:tblCellSpacing w:w="0" w:type="dxa"/>
          <w:jc w:val="center"/>
        </w:trPr>
        <w:tc>
          <w:tcPr>
            <w:tcW w:w="1685" w:type="dxa"/>
            <w:tcBorders>
              <w:top w:val="single" w:color="000000" w:sz="8" w:space="0"/>
              <w:left w:val="single" w:color="000000" w:sz="8" w:space="0"/>
              <w:bottom w:val="single" w:color="000000" w:sz="8" w:space="0"/>
              <w:right w:val="single" w:color="000000" w:sz="8" w:space="0"/>
            </w:tcBorders>
            <w:shd w:val="clear" w:color="auto" w:fill="D3D3D3"/>
            <w:noWrap w:val="0"/>
            <w:tcMar>
              <w:top w:w="9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序号</w:t>
            </w:r>
          </w:p>
        </w:tc>
        <w:tc>
          <w:tcPr>
            <w:tcW w:w="2318" w:type="dxa"/>
            <w:tcBorders>
              <w:top w:val="single" w:color="000000" w:sz="8" w:space="0"/>
              <w:bottom w:val="single" w:color="000000" w:sz="8" w:space="0"/>
              <w:right w:val="single" w:color="000000" w:sz="8" w:space="0"/>
            </w:tcBorders>
            <w:shd w:val="clear" w:color="auto" w:fill="D3D3D3"/>
            <w:noWrap w:val="0"/>
            <w:tcMar>
              <w:top w:w="92" w:type="dxa"/>
              <w:left w:w="2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指标种类</w:t>
            </w:r>
          </w:p>
        </w:tc>
        <w:tc>
          <w:tcPr>
            <w:tcW w:w="2402" w:type="dxa"/>
            <w:tcBorders>
              <w:top w:val="single" w:color="000000" w:sz="8" w:space="0"/>
              <w:bottom w:val="single" w:color="000000" w:sz="8" w:space="0"/>
              <w:right w:val="single" w:color="000000" w:sz="8" w:space="0"/>
            </w:tcBorders>
            <w:shd w:val="clear" w:color="auto" w:fill="D3D3D3"/>
            <w:noWrap w:val="0"/>
            <w:tcMar>
              <w:top w:w="92" w:type="dxa"/>
              <w:left w:w="2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指标名称</w:t>
            </w:r>
          </w:p>
        </w:tc>
        <w:tc>
          <w:tcPr>
            <w:tcW w:w="1999" w:type="dxa"/>
            <w:gridSpan w:val="2"/>
            <w:tcBorders>
              <w:top w:val="single" w:color="000000" w:sz="8" w:space="0"/>
              <w:bottom w:val="single" w:color="000000" w:sz="8" w:space="0"/>
              <w:right w:val="single" w:color="000000" w:sz="8" w:space="0"/>
            </w:tcBorders>
            <w:shd w:val="clear" w:color="auto" w:fill="D3D3D3"/>
            <w:noWrap w:val="0"/>
            <w:tcMar>
              <w:top w:w="92" w:type="dxa"/>
              <w:left w:w="2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指标内容</w:t>
            </w:r>
          </w:p>
        </w:tc>
        <w:tc>
          <w:tcPr>
            <w:tcW w:w="2318" w:type="dxa"/>
            <w:tcBorders>
              <w:top w:val="single" w:color="000000" w:sz="8" w:space="0"/>
              <w:bottom w:val="single" w:color="000000" w:sz="8" w:space="0"/>
              <w:right w:val="single" w:color="000000" w:sz="8" w:space="0"/>
            </w:tcBorders>
            <w:shd w:val="clear" w:color="auto" w:fill="D3D3D3"/>
            <w:noWrap w:val="0"/>
            <w:tcMar>
              <w:top w:w="92" w:type="dxa"/>
              <w:left w:w="2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重要性</w:t>
            </w:r>
          </w:p>
        </w:tc>
        <w:tc>
          <w:tcPr>
            <w:tcW w:w="2829" w:type="dxa"/>
            <w:gridSpan w:val="2"/>
            <w:tcBorders>
              <w:top w:val="single" w:color="000000" w:sz="8" w:space="0"/>
              <w:bottom w:val="single" w:color="000000" w:sz="8" w:space="0"/>
              <w:right w:val="single" w:color="000000" w:sz="8" w:space="0"/>
            </w:tcBorders>
            <w:shd w:val="clear" w:color="auto" w:fill="D3D3D3"/>
            <w:noWrap w:val="0"/>
            <w:tcMar>
              <w:top w:w="92" w:type="dxa"/>
              <w:left w:w="2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是否需要证明材料</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1</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总体质量要求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肉类的理化指标及卫生标准符合国家或采购人所在地区最新标准执行。</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2</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总体质量要求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对于没有国家标准的应符合行业标准或企业标准，其中国家有强制性技术标准要求的产品，还应符合国家强制性技术标准，确保配送的货物安全、卫生。</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总体质量要求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肉类供应商供应的动物类食品必须经过检验检疫，供货时一并提交出厂合格证复印件，必要时应按采购人要求提供生产厂家的卫生许可证。</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4</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总体质量要求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所供生鲜肉确保为出厂后48小时内；冻肉确保为出厂后3个月内。</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5</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通用质量要求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鲜肉品须表皮洁净、膘厚适中、色泽鲜亮、脂肪洁白；纹理清晰、肉质细腻、无异味、去骨、无毛；按压无水迹，肉质有弹性，放手后指压的凹陷立即恢复，不粘手；外表微干或微湿润，脂肪团聚于表面为白色或乳白色，整体色泽光润；切面红色、微微湿润但不粘手；无淤血，无注水，无寄生虫。</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6</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通用质量要求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冻品外包装需密封、完整，无破损，商品合格证齐全。冻品在解冻后，发现质量问题承诺退货。</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7</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总体质量要求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食品必须符合国家饮食卫生标准，同时保证食品新鲜，不得出现腐烂、变质，以次充好等情况。</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8</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总体质量要求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食品的质量与包装应符合国家相关法律法规的规定，符合行业主管部门发布的规定、标准、规范。</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9</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总体质量要求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按规定必须经由法定食品检验机构检测的食品，投标人应在交货时向采购人提供同批次食品检验报告或合格证（复印件加盖公章）。</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10</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总体质量要求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蔬菜和水果化学药物不超标，保持较好的色泽及新鲜度，无黄叶、泥沙；包装食品标注生产厂家，生产日期，并在保质期范围内，保持较好的外观；水产品品质新鲜质量安全。</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11</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总体质量要求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配送食材送达时不超过食材生产日期至保质期限日的 1/3（例如：食材保质期限为 10 天以内的，送达时间不能超过3天；食材保质期为6个月以内的，送达时间不能超过2个月，其他同理以此类推）。</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685"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12</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402"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特殊准入认证要求</w:t>
            </w:r>
          </w:p>
        </w:tc>
        <w:tc>
          <w:tcPr>
            <w:tcW w:w="199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对实行食品质量（SC）安全市场准入制的食品，须在验收时提供 SC 认证的相关证明资料。</w:t>
            </w:r>
          </w:p>
        </w:tc>
        <w:tc>
          <w:tcPr>
            <w:tcW w:w="2318" w:type="dxa"/>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2829"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是，提供承诺函，格式自拟并加盖公章。</w:t>
            </w:r>
          </w:p>
        </w:tc>
      </w:tr>
      <w:tr>
        <w:tblPrEx>
          <w:tblCellMar>
            <w:top w:w="15" w:type="dxa"/>
            <w:left w:w="15" w:type="dxa"/>
            <w:bottom w:w="15" w:type="dxa"/>
            <w:right w:w="15" w:type="dxa"/>
          </w:tblCellMar>
        </w:tblPrEx>
        <w:trPr>
          <w:tblCellSpacing w:w="0" w:type="dxa"/>
          <w:jc w:val="center"/>
        </w:trPr>
        <w:tc>
          <w:tcPr>
            <w:tcW w:w="1706" w:type="dxa"/>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13</w:t>
            </w:r>
          </w:p>
        </w:tc>
        <w:tc>
          <w:tcPr>
            <w:tcW w:w="2357"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403"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运输卫生要求</w:t>
            </w:r>
          </w:p>
        </w:tc>
        <w:tc>
          <w:tcPr>
            <w:tcW w:w="1798"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投标人整个运输过程应采用符合卫生要求的外包装和运载工具，对运输工具做到每日清洗消毒，车厢内无不良气味、异味，确保运输过程安全卫生。冷冻制品、冷冻家禽、鲜猪肉、等冷链食品必须使用符合规范标准的冷藏车进行运输。</w:t>
            </w:r>
          </w:p>
        </w:tc>
        <w:tc>
          <w:tcPr>
            <w:tcW w:w="259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46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06" w:type="dxa"/>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14</w:t>
            </w:r>
          </w:p>
        </w:tc>
        <w:tc>
          <w:tcPr>
            <w:tcW w:w="2357"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403"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运输工具管理要求</w:t>
            </w:r>
          </w:p>
        </w:tc>
        <w:tc>
          <w:tcPr>
            <w:tcW w:w="1798"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投标人运输工具进入采购人管理范围，必须接受采购人统一管理，发生任何人员与设施损伤，均由投标人承担责任。</w:t>
            </w:r>
          </w:p>
        </w:tc>
        <w:tc>
          <w:tcPr>
            <w:tcW w:w="259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46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06" w:type="dxa"/>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15</w:t>
            </w:r>
          </w:p>
        </w:tc>
        <w:tc>
          <w:tcPr>
            <w:tcW w:w="2357"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403"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安全完整包装要求</w:t>
            </w:r>
          </w:p>
        </w:tc>
        <w:tc>
          <w:tcPr>
            <w:tcW w:w="1798"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包装产品交付时，必须保证原包装完好无损，不得使用有色、有毒塑料制品包装食材，否则采购人有权拒收。</w:t>
            </w:r>
          </w:p>
        </w:tc>
        <w:tc>
          <w:tcPr>
            <w:tcW w:w="259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46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06" w:type="dxa"/>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16</w:t>
            </w:r>
          </w:p>
        </w:tc>
        <w:tc>
          <w:tcPr>
            <w:tcW w:w="2357"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403"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一般配送要求</w:t>
            </w:r>
          </w:p>
        </w:tc>
        <w:tc>
          <w:tcPr>
            <w:tcW w:w="1798"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采购人按期日向投标人发布采购内容，投标人应在送货前一个工作日与采购人核对确认采购内容无误后，在次日6点前配送至采购人指定验收地点。</w:t>
            </w:r>
          </w:p>
        </w:tc>
        <w:tc>
          <w:tcPr>
            <w:tcW w:w="259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46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7"/>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是，提供承诺函，格式自拟，加盖公章。</w:t>
            </w:r>
          </w:p>
        </w:tc>
      </w:tr>
    </w:tbl>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3.2.2.2重要指标项和一般指标项清单</w:t>
      </w:r>
    </w:p>
    <w:tbl>
      <w:tblPr>
        <w:tblStyle w:val="101"/>
        <w:tblW w:w="11395" w:type="dxa"/>
        <w:jc w:val="center"/>
        <w:tblCellSpacing w:w="0" w:type="dxa"/>
        <w:tblLayout w:type="autofit"/>
        <w:tblCellMar>
          <w:top w:w="15" w:type="dxa"/>
          <w:left w:w="15" w:type="dxa"/>
          <w:bottom w:w="15" w:type="dxa"/>
          <w:right w:w="15" w:type="dxa"/>
        </w:tblCellMar>
      </w:tblPr>
      <w:tblGrid>
        <w:gridCol w:w="1547"/>
        <w:gridCol w:w="5"/>
        <w:gridCol w:w="38"/>
        <w:gridCol w:w="1926"/>
        <w:gridCol w:w="13"/>
        <w:gridCol w:w="57"/>
        <w:gridCol w:w="2064"/>
        <w:gridCol w:w="2334"/>
        <w:gridCol w:w="16"/>
        <w:gridCol w:w="27"/>
        <w:gridCol w:w="1937"/>
        <w:gridCol w:w="9"/>
        <w:gridCol w:w="48"/>
        <w:gridCol w:w="1374"/>
      </w:tblGrid>
      <w:tr>
        <w:tblPrEx>
          <w:tblCellMar>
            <w:top w:w="15" w:type="dxa"/>
            <w:left w:w="15" w:type="dxa"/>
            <w:bottom w:w="15" w:type="dxa"/>
            <w:right w:w="15" w:type="dxa"/>
          </w:tblCellMar>
        </w:tblPrEx>
        <w:trPr>
          <w:tblCellSpacing w:w="0" w:type="dxa"/>
          <w:jc w:val="center"/>
        </w:trPr>
        <w:tc>
          <w:tcPr>
            <w:tcW w:w="1842" w:type="dxa"/>
            <w:gridSpan w:val="3"/>
            <w:tcBorders>
              <w:top w:val="single" w:color="000000" w:sz="8" w:space="0"/>
              <w:left w:val="single" w:color="000000" w:sz="8" w:space="0"/>
              <w:bottom w:val="single" w:color="000000" w:sz="8" w:space="0"/>
              <w:right w:val="single" w:color="000000" w:sz="8" w:space="0"/>
            </w:tcBorders>
            <w:shd w:val="clear" w:color="auto" w:fill="D3D3D3"/>
            <w:noWrap w:val="0"/>
            <w:tcMar>
              <w:top w:w="102" w:type="dxa"/>
              <w:left w:w="102" w:type="dxa"/>
              <w:bottom w:w="102" w:type="dxa"/>
              <w:right w:w="10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序号</w:t>
            </w:r>
          </w:p>
        </w:tc>
        <w:tc>
          <w:tcPr>
            <w:tcW w:w="2358" w:type="dxa"/>
            <w:gridSpan w:val="3"/>
            <w:tcBorders>
              <w:top w:val="single" w:color="000000" w:sz="8" w:space="0"/>
              <w:bottom w:val="single" w:color="000000" w:sz="8" w:space="0"/>
              <w:right w:val="single" w:color="000000" w:sz="8" w:space="0"/>
            </w:tcBorders>
            <w:shd w:val="clear" w:color="auto" w:fill="D3D3D3"/>
            <w:noWrap w:val="0"/>
            <w:tcMar>
              <w:top w:w="102" w:type="dxa"/>
              <w:left w:w="22" w:type="dxa"/>
              <w:bottom w:w="102" w:type="dxa"/>
              <w:right w:w="10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指标种类</w:t>
            </w:r>
          </w:p>
        </w:tc>
        <w:tc>
          <w:tcPr>
            <w:tcW w:w="2358" w:type="dxa"/>
            <w:tcBorders>
              <w:top w:val="single" w:color="000000" w:sz="8" w:space="0"/>
              <w:bottom w:val="single" w:color="000000" w:sz="8" w:space="0"/>
              <w:right w:val="single" w:color="000000" w:sz="8" w:space="0"/>
            </w:tcBorders>
            <w:shd w:val="clear" w:color="auto" w:fill="D3D3D3"/>
            <w:noWrap w:val="0"/>
            <w:tcMar>
              <w:top w:w="102" w:type="dxa"/>
              <w:left w:w="22" w:type="dxa"/>
              <w:bottom w:w="102" w:type="dxa"/>
              <w:right w:w="10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指标名称</w:t>
            </w:r>
          </w:p>
        </w:tc>
        <w:tc>
          <w:tcPr>
            <w:tcW w:w="2523" w:type="dxa"/>
            <w:gridSpan w:val="3"/>
            <w:tcBorders>
              <w:top w:val="single" w:color="000000" w:sz="8" w:space="0"/>
              <w:bottom w:val="single" w:color="000000" w:sz="8" w:space="0"/>
              <w:right w:val="single" w:color="000000" w:sz="8" w:space="0"/>
            </w:tcBorders>
            <w:shd w:val="clear" w:color="auto" w:fill="D3D3D3"/>
            <w:noWrap w:val="0"/>
            <w:tcMar>
              <w:top w:w="102" w:type="dxa"/>
              <w:left w:w="22" w:type="dxa"/>
              <w:bottom w:w="102" w:type="dxa"/>
              <w:right w:w="10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指标内容</w:t>
            </w:r>
          </w:p>
        </w:tc>
        <w:tc>
          <w:tcPr>
            <w:tcW w:w="2358" w:type="dxa"/>
            <w:gridSpan w:val="3"/>
            <w:tcBorders>
              <w:top w:val="single" w:color="000000" w:sz="8" w:space="0"/>
              <w:bottom w:val="single" w:color="000000" w:sz="8" w:space="0"/>
              <w:right w:val="single" w:color="000000" w:sz="8" w:space="0"/>
            </w:tcBorders>
            <w:shd w:val="clear" w:color="auto" w:fill="D3D3D3"/>
            <w:noWrap w:val="0"/>
            <w:tcMar>
              <w:top w:w="102" w:type="dxa"/>
              <w:left w:w="22" w:type="dxa"/>
              <w:bottom w:w="102" w:type="dxa"/>
              <w:right w:w="10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重要性</w:t>
            </w:r>
          </w:p>
        </w:tc>
        <w:tc>
          <w:tcPr>
            <w:tcW w:w="1554" w:type="dxa"/>
            <w:tcBorders>
              <w:top w:val="single" w:color="000000" w:sz="8" w:space="0"/>
              <w:bottom w:val="single" w:color="000000" w:sz="8" w:space="0"/>
              <w:right w:val="single" w:color="000000" w:sz="8" w:space="0"/>
            </w:tcBorders>
            <w:shd w:val="clear" w:color="auto" w:fill="D3D3D3"/>
            <w:noWrap w:val="0"/>
            <w:tcMar>
              <w:top w:w="102" w:type="dxa"/>
              <w:left w:w="22" w:type="dxa"/>
              <w:bottom w:w="102" w:type="dxa"/>
              <w:right w:w="102" w:type="dxa"/>
            </w:tcMar>
            <w:vAlign w:val="center"/>
          </w:tcPr>
          <w:p>
            <w:pPr>
              <w:pStyle w:val="99"/>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是否需要证明材料</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102"/>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1</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总体质量要求</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保证所供肉类渠道来源正规可溯，参考正规市场品质及来源。</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是，提供承诺函，格式自拟并加盖公章。</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102"/>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2</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鲜冻鱼质量要求</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体表光滑，有鳞鱼鳞片完整，无鳞鱼无浑浊粘液，呈白色或淡黄色，眼球外突饱满透明，鳃丝清晰鲜红或暗红，保持活体状态固有本色，无异味，肌肉紧密有弹性，内脏清晰可辨、无腐烂。净膛鱼鳞片，内脏，鱼鳃去除干净，无残留物，眼球外突饱满透明，无异味。</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102"/>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总体质量要求</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所有食材的来源清晰，蔬菜来源于受到地方政府部门监管的自有基地、商品菜基地或蔬菜专业流通市场，不供应散户溯源不清的蔬菜。</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是，提供承诺函，格式自拟并加盖公章。</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102"/>
              <w:spacing w:before="0" w:after="0"/>
              <w:ind w:left="0" w:right="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4</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鸡蛋质量要求</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鸡蛋蛋壳清洁完整，呈规则卵圆形，具有蛋壳固有的色泽，表面无肉眼可见污物，鸡蛋新鲜，蛋白浓稠、蛋黄圆润，单个鸡蛋重量58～68g。</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5</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冻品质量要求</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冻品外包装需密封、完整，无破损，商品合格证齐全。冻品在解冻后，发现质量问题承诺退货。</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是，提供承诺函，格式自拟并加盖公章。</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6</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蔬菜质量要求</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供应当季各类新鲜蔬菜以及大棚种植蔬菜，蔬菜类无黄叶、枯死叶，无虫，无杂质，原菜菜面干净、无明显泥土、码放整齐、无破损、大小基本统一、不得过熟或欠熟。</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7</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蔬菜质量要求</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净菜须保证菜面完全干净、无泥土、按统一标准加工、码放整齐、无须二次处理可以直接进行熟加工。</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8</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水果质量要求</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供应当季各类水果，无虫、无杂质。果面干净，无明显泥土，码放整齐，无破损，大小基本统一，不过熟或欠熟。</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9</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豆腐及豆制品质量要求</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须保证食品干净，不含非食品用化学物质，按统一标准加工，码放整齐，无须二次处理可以直接进行熟加工。</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10</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大米质量标准</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符合GB/T 1354-2018中关于一级米的标准，加工精度为精碾，小碎米含量≤1.0%，不完善粒≤3.0%，带壳稗粒≤3粒/公斤，带谷粒≤4粒/公斤。</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11</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面粉（含面粉配料）质量标准</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通用面粉达GB/T 1355-2021国家标准。</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12</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面粉（含面粉配料）质量标准</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高筋面粉达GB/T 8607-1988国家标准，质量等级一级；低筋面粉达GB8608-1988标准，质量等级一级。色泽正常，干爽无异味。</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8" w:type="dxa"/>
            <w:gridSpan w:val="2"/>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13</w:t>
            </w:r>
          </w:p>
        </w:tc>
        <w:tc>
          <w:tcPr>
            <w:tcW w:w="2343"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58"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食用油通用标准</w:t>
            </w:r>
          </w:p>
        </w:tc>
        <w:tc>
          <w:tcPr>
            <w:tcW w:w="2475" w:type="dxa"/>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供应非转基因食用油。外观的色泽、透明度、气味滋味等无异常，定型包装。</w:t>
            </w:r>
          </w:p>
        </w:tc>
        <w:tc>
          <w:tcPr>
            <w:tcW w:w="2347"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2"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14</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硬件设施要求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仓储设施要求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投标人自有或租赁冷库，面积不小于50平米。能够满足按采购人需求完成配送任务，确保多个办公区按时送货。</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是，提供产权证明或租赁合同复印件。</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15</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硬件设施要求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物流设施要求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投标人自有或租赁配送中心，面积不小于50平米。能够满足按采购人需求完成配送任务，确保多个办公区按时送货。</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是，提供产权证明或租赁合同复印件。</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16</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硬件设施要求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配送车辆要求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投标人应自有或固定租赁不少于1台冷藏车辆，确保24小时响应，按采购人需求完成配送任务。</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102"/>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是，自有车辆提供自有证明材料，租赁车辆提供租赁合同复印件证明。</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17</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猪肉供应链能力要求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具有自有、签约的猪肉屠宰、加工厂或者直销、代理、经销商资格之一。</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102"/>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是，提供相应证明材料复印件</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18</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牛肉供应链能力要求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具有自有、签约的牛肉屠宰、加工厂或者直销、代理、经销商资格之一。</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102"/>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是，提供相应证明材料复印件</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19</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羊肉供应链能力要求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具有自有、签约的羊肉屠宰、加工厂或者直销、代理、经销商资格之一。</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102"/>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是，提供相应证明材料复印件</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20</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禽肉供应链能力要求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具有自有、签约的禽肉屠宰、加工厂或者直销、代理、经销商资格之一。</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是，提供相应证明材料复印件</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21</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简易加工能力要求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能够完成本合同采购鲜冻禽畜肉的简易加工，如切丝、丁、块、片等。</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是，提供承诺函，格式自拟，加盖公章。</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22</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应急配送要求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投标人应能按采购人要求及时补货，具备应急采购、储备、运输等能力，通讯工具24小时保持畅通，全天候备勤。在收到采购人布置的临时需求后 半小时内响应，1 个小时内完成配送。</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是，提供承诺函，格式自拟，加盖公章。</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23</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果蔬供应链能力要求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投标人具有自有、签约的蔬菜、水果供应渠道。</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5"/>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是，提供承诺函，格式自拟，加盖公章。</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24</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主食供应链能力要求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具有自有、签约的大米、面粉生产基地、加工厂或者直销、代理、经销商资格之一。</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5"/>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是，提供承诺函，格式自拟，加盖公章。</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25</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食用油供应链能力要求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具有自有或签约的食用油加工厂或者直销、代理、经销商资格之一。</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5"/>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是，提供承诺函，格式自拟，加盖公章。</w:t>
            </w:r>
          </w:p>
        </w:tc>
      </w:tr>
      <w:tr>
        <w:tblPrEx>
          <w:tblCellMar>
            <w:top w:w="15" w:type="dxa"/>
            <w:left w:w="15" w:type="dxa"/>
            <w:bottom w:w="15" w:type="dxa"/>
            <w:right w:w="15" w:type="dxa"/>
          </w:tblCellMar>
        </w:tblPrEx>
        <w:trPr>
          <w:tblCellSpacing w:w="0" w:type="dxa"/>
          <w:jc w:val="center"/>
        </w:trPr>
        <w:tc>
          <w:tcPr>
            <w:tcW w:w="1844"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26</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362"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牛奶供应链能力要求</w:t>
            </w:r>
          </w:p>
        </w:tc>
        <w:tc>
          <w:tcPr>
            <w:tcW w:w="2527"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具有自有或签约的牛奶生产工厂或者直销、代理、经销商资格之一。</w:t>
            </w:r>
          </w:p>
        </w:tc>
        <w:tc>
          <w:tcPr>
            <w:tcW w:w="2362"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6" w:type="dxa"/>
            <w:tcBorders>
              <w:bottom w:val="single" w:color="000000" w:sz="8" w:space="0"/>
              <w:right w:val="single" w:color="000000" w:sz="8" w:space="0"/>
            </w:tcBorders>
            <w:noWrap w:val="0"/>
            <w:tcMar>
              <w:top w:w="22" w:type="dxa"/>
              <w:left w:w="22" w:type="dxa"/>
              <w:bottom w:w="102" w:type="dxa"/>
              <w:right w:w="102" w:type="dxa"/>
            </w:tcMar>
            <w:vAlign w:val="center"/>
          </w:tcPr>
          <w:p>
            <w:pPr>
              <w:pStyle w:val="95"/>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是，提供承诺函，格式自拟，加盖公章。</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27</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鲜猪肉通用质量要求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猪主要部位肉符合GB/T 9959.1和GB/T9959.3等规定。包括去骨前腿肉、去骨后腿肉、带骨方肉和去骨方肉，均要求一级。肌肉颜色为鲜红色，脂肪颜色为白色。肥膘厚度1.0～2.5cm，质地呈现肉色红、光亮、致密，没有霜降或异味。</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28</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五花肉质量要求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一级五花肉，肥膘厚度≤2.0cm，肥瘦相间，肉质细腻，三层见花。</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29</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肋排质量要求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肋排去剔前排后11-13根肋骨，整块重量1.2KG-1.8KG，纹理清晰，边缘整齐。</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30</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猪脏器及副产品质量要求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心肝、腰子类：品质新鲜、外形完整、无异味、无病变、无凝血块、无血污、泥污、颜色正常。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肚：品质新鲜、外形完整、无溃疡面及其他病变现象、无内容物、无粘膜、无边油。</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大肠、肥肠类：品质新鲜、无破损、无病变组织、无肠头细毛、无内容物、去净粘膜。</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舌：品质新鲜、外形完整、无病变、无异物、无舌苔、附肉少、无血污、泥污。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耳：品质新鲜、外形完整、无溃烂、病斑、无破损。</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蹄爪类：品质新鲜、去蹄壳、不带蹄筋、刮除粗毛、细毛及趾间黑垢、无松香残留。</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蹄筋类：品质新鲜、无色透明、表面光亮、无油脂、无精肉、无充血现象、顺直、干燥。</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猪心：淡红色，脂肪乳白色稍红色，结实，有弹性，外形完整，心房内无瘀血，无凝血块，无病变，气味正常。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猪肝：红褐色或棕黄色，有光泽，湿润，略有弹性，组织结实微密，肝叶完整，无脂肪，胆囊、粗输、胆管、无寄生虫、炎症水泡、薄膜，无胆汁污染，微有鱼腥味。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猪口条：品质新鲜，外形完整，无根附着的肌肉、舌骨、舌苔、脂肪、无病伤，无异物。</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猪尾：品质新鲜，去毛洁净，不带毛根或绒毛。</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31</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鲜牛肉通用质量要求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精修牛肉，颜色呈正常鲜红状，脂肪微黄，表面有光泽有正常油脂分泌，触摸略感粘稠，按压有弹性，无发酸发臭气味，无腐坏变色现象，挤压无水溢出。</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32</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牛柳（牛里脊肉）质量要求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精修牛里脊，圆形长条，形如黄瓜，肉质非常细嫩。</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33</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牛腩质量要求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精修牛腩肉，牛腹部及靠近牛肋处的松软肌肉，带有筋、肉、油花的肉块。</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34</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鲜羊肉质量要求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精修羊肉，肌肉红色均匀，有光泽，脂肪洁白。外表微干或有风干膜，触摸不粘手。弹性好，指压后凹陷立即恢复。具有鲜羊肉正常气味，无泥污，血污，肉边整齐，无碎肉，碎骨，按标准部位分割，无多余脂肪及血管。</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35</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冻畜肉质量要求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色泽：颜色比冷却肉鲜明，在表面切开处为浅玫瑰色至灰色，用手或热刀触之，立显示鲜红色。脂肪猪、羊为白色，牛为淡黄色。肌腱为白色，石灰色。</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外表：无杂质，无肌肉风干现象，无白、黄、绿斑、紫斑、污血、过多冰衣无白霜、</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气味：化冻时，有肉的正常味，略潮，没有熟肉味。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包装：按标准部位分割外包装无破损有生产日期。</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36</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鲜鸡（鸭、鹅）类质量要求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眼球：无干缩凹陷或晶体状浑浊现象。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外表：具有其固有表皮颜色、肌肉切面有光泽、无绿、紫等异常颜色、无残羽（万其在脖、翅等处无较长细毛）、无破损、无残缺、新切面不发粘。</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气味：具有其固有气味、无异味。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弹性：指压后凹陷、能恢复。</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37</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鲜鸡类各部件质量要求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鸡爪：品质新鲜、呈白色或灰白色、无黄皮趾壳、无血污、血水、无残缺、脚趾根上无黑斑、允许有少量红斑。</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鸡翅：品质新鲜、无残羽、无黄衣、无伤斑及溃烂、无血水血污、允许有少数斑、允许剪修但最大范围不超转弯关节处。</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鸡腿：无残羽、无血水、血污、品质新鲜、无残骨无伤斑及溃烂、炎症、允许有少数红斑、外形美观。</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鸡胸肉：品质新鲜、无残羽、无血水、血污、无残骨、无伤斑、溃烂、炎症，允许有少数红斑。</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鸡肝：品质新鲜、外形完整、去胆、无寄生虫、炎症、水泡，无胆汁污染无血渍。</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鸡胗：品质新鲜、外形完整无内容物、鸡内金、腺胃、肠管及脂肪，无出血、瘀血、病变。</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鸡心：品质新鲜、褐红色，脂肪稍红，组织结实，有弹性，心房内无瘀血、病变，气味正常。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鸡脖：品质新鲜、去劲部皮、无羽毛、无血污。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鸡头：品质新鲜、外形完整、无伤斑、无溃烂、无血污。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蹄筋：品质新鲜，无色透明，表面光亮，无油脂，无精肉，无充血现顺直、干燥。</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38</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禽肉(冻)</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色泽：外观滋润，呈乳白或微黄色。</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外表：基本无血脉、风干现象，无白、黄绿、紫斑、无冰衣，解冻后与鲜禽特征相同。</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气味：无腐臭气味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包装：分割部件应符合标准，外包装完好、商标规格、产品说明清晰完整。</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39</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面条米线质量要求</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不含非食品用化学物质、无杂质。以小麦、大米为原料的面条、米线颜色呈白色、乳白色、奶黄色，色亮不发灰发暗。表面结构细密、光滑。软硬适中，爽口不粘牙，口感光滑，具有清香，无异味。</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40</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大豆油质量标准</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符合质量标准GB/T1535-2017，质量等级一级，色泽为淡黄至浅黄色，冷冻实验澄清、透明，无异味、口感好，水分及挥发物质含量≤0.10%，不溶性杂质含量≤0.05%，酸价≤0.50ng/g，过氧化值≤5.0mmol/kg,烟点≥190℃。</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blCellSpacing w:w="0" w:type="dxa"/>
          <w:jc w:val="center"/>
        </w:trPr>
        <w:tc>
          <w:tcPr>
            <w:tcW w:w="1792" w:type="dxa"/>
            <w:tcBorders>
              <w:left w:val="single" w:color="000000" w:sz="8" w:space="0"/>
              <w:bottom w:val="single" w:color="000000" w:sz="8" w:space="0"/>
              <w:right w:val="single" w:color="000000" w:sz="8" w:space="0"/>
            </w:tcBorders>
            <w:noWrap w:val="0"/>
            <w:tcMar>
              <w:top w:w="22" w:type="dxa"/>
              <w:left w:w="92" w:type="dxa"/>
              <w:bottom w:w="92" w:type="dxa"/>
              <w:right w:w="92" w:type="dxa"/>
            </w:tcMar>
            <w:vAlign w:val="center"/>
          </w:tcPr>
          <w:p>
            <w:pPr>
              <w:pStyle w:val="95"/>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41</w:t>
            </w:r>
          </w:p>
        </w:tc>
        <w:tc>
          <w:tcPr>
            <w:tcW w:w="2334"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技术指标</w:t>
            </w:r>
          </w:p>
        </w:tc>
        <w:tc>
          <w:tcPr>
            <w:tcW w:w="2370"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其他食材质量标准</w:t>
            </w:r>
          </w:p>
        </w:tc>
        <w:tc>
          <w:tcPr>
            <w:tcW w:w="2494"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以上未详细列明的商品须符合国家食品安全卫生相关质量标准。</w:t>
            </w:r>
          </w:p>
        </w:tc>
        <w:tc>
          <w:tcPr>
            <w:tcW w:w="2338" w:type="dxa"/>
            <w:gridSpan w:val="3"/>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45" w:type="dxa"/>
            <w:gridSpan w:val="2"/>
            <w:tcBorders>
              <w:bottom w:val="single" w:color="000000" w:sz="8" w:space="0"/>
              <w:right w:val="single" w:color="000000" w:sz="8" w:space="0"/>
            </w:tcBorders>
            <w:noWrap w:val="0"/>
            <w:tcMar>
              <w:top w:w="22" w:type="dxa"/>
              <w:left w:w="22" w:type="dxa"/>
              <w:bottom w:w="92" w:type="dxa"/>
              <w:right w:w="92" w:type="dxa"/>
            </w:tcMar>
            <w:vAlign w:val="center"/>
          </w:tcPr>
          <w:p>
            <w:pPr>
              <w:pStyle w:val="102"/>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rPr>
          <w:trHeight w:val="1415" w:hRule="atLeast"/>
          <w:tblCellSpacing w:w="0" w:type="dxa"/>
          <w:jc w:val="center"/>
        </w:trPr>
        <w:tc>
          <w:tcPr>
            <w:tcW w:w="1842"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42</w:t>
            </w:r>
          </w:p>
        </w:tc>
        <w:tc>
          <w:tcPr>
            <w:tcW w:w="2358"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综合供应能力要求</w:t>
            </w:r>
          </w:p>
        </w:tc>
        <w:tc>
          <w:tcPr>
            <w:tcW w:w="2358"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采购能力要求</w:t>
            </w:r>
          </w:p>
        </w:tc>
        <w:tc>
          <w:tcPr>
            <w:tcW w:w="2523"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有效案例为2023年1月1日以来（以合同签订日期为准），供应商独立承担的肉类、蔬菜类、主副食类等食材供应项目案例。</w:t>
            </w:r>
          </w:p>
        </w:tc>
        <w:tc>
          <w:tcPr>
            <w:tcW w:w="2358"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4"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是，提供2023年1月1日以来的从上游供货商进货单或双方的合作协议或交易发票。合作协议或交易发票中应体现投标人名称。</w:t>
            </w:r>
          </w:p>
        </w:tc>
      </w:tr>
      <w:tr>
        <w:tblPrEx>
          <w:tblCellMar>
            <w:top w:w="15" w:type="dxa"/>
            <w:left w:w="15" w:type="dxa"/>
            <w:bottom w:w="15" w:type="dxa"/>
            <w:right w:w="15" w:type="dxa"/>
          </w:tblCellMar>
        </w:tblPrEx>
        <w:trPr>
          <w:trHeight w:val="1415" w:hRule="atLeast"/>
          <w:tblCellSpacing w:w="0" w:type="dxa"/>
          <w:jc w:val="center"/>
        </w:trPr>
        <w:tc>
          <w:tcPr>
            <w:tcW w:w="1842"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43</w:t>
            </w:r>
          </w:p>
        </w:tc>
        <w:tc>
          <w:tcPr>
            <w:tcW w:w="2358"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质量安全把控能力要求</w:t>
            </w:r>
          </w:p>
        </w:tc>
        <w:tc>
          <w:tcPr>
            <w:tcW w:w="2358"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质量检验场所要求</w:t>
            </w:r>
          </w:p>
        </w:tc>
        <w:tc>
          <w:tcPr>
            <w:tcW w:w="2523"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投标人具有自有、租赁或固定合作质检实验室，能够用于检测本项目采购的食材。</w:t>
            </w:r>
          </w:p>
        </w:tc>
        <w:tc>
          <w:tcPr>
            <w:tcW w:w="2358"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4" w:type="dxa"/>
            <w:tcBorders>
              <w:bottom w:val="single" w:color="000000" w:sz="8" w:space="0"/>
              <w:right w:val="single" w:color="000000" w:sz="8" w:space="0"/>
            </w:tcBorders>
            <w:noWrap w:val="0"/>
            <w:tcMar>
              <w:top w:w="22" w:type="dxa"/>
              <w:left w:w="22" w:type="dxa"/>
              <w:bottom w:w="102" w:type="dxa"/>
              <w:right w:w="102" w:type="dxa"/>
            </w:tcMar>
            <w:vAlign w:val="center"/>
          </w:tcPr>
          <w:p>
            <w:pPr>
              <w:pStyle w:val="95"/>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是，提供自有证明或租赁、合作合同等证明材料复印件。</w:t>
            </w:r>
          </w:p>
        </w:tc>
      </w:tr>
      <w:tr>
        <w:tblPrEx>
          <w:tblCellMar>
            <w:top w:w="15" w:type="dxa"/>
            <w:left w:w="15" w:type="dxa"/>
            <w:bottom w:w="15" w:type="dxa"/>
            <w:right w:w="15" w:type="dxa"/>
          </w:tblCellMar>
        </w:tblPrEx>
        <w:trPr>
          <w:tblCellSpacing w:w="0" w:type="dxa"/>
          <w:jc w:val="center"/>
        </w:trPr>
        <w:tc>
          <w:tcPr>
            <w:tcW w:w="1842"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44</w:t>
            </w:r>
          </w:p>
        </w:tc>
        <w:tc>
          <w:tcPr>
            <w:tcW w:w="2358"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质量安全把控能力要求</w:t>
            </w:r>
          </w:p>
        </w:tc>
        <w:tc>
          <w:tcPr>
            <w:tcW w:w="2358"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质量检验能力</w:t>
            </w:r>
          </w:p>
        </w:tc>
        <w:tc>
          <w:tcPr>
            <w:tcW w:w="2523"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能够检测成品和半成品中的食品添加剂，包括防腐剂、抗氧化剂、甜味剂、着色剂、漂白剂、酸度调节剂。</w:t>
            </w:r>
          </w:p>
        </w:tc>
        <w:tc>
          <w:tcPr>
            <w:tcW w:w="2358"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4" w:type="dxa"/>
            <w:tcBorders>
              <w:bottom w:val="single" w:color="000000" w:sz="8" w:space="0"/>
              <w:right w:val="single" w:color="000000" w:sz="8" w:space="0"/>
            </w:tcBorders>
            <w:noWrap w:val="0"/>
            <w:tcMar>
              <w:top w:w="22" w:type="dxa"/>
              <w:left w:w="22" w:type="dxa"/>
              <w:bottom w:w="102" w:type="dxa"/>
              <w:right w:w="102" w:type="dxa"/>
            </w:tcMar>
            <w:vAlign w:val="center"/>
          </w:tcPr>
          <w:p>
            <w:pPr>
              <w:pStyle w:val="95"/>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是，提供承诺函，格式自拟，加盖公章。</w:t>
            </w:r>
          </w:p>
        </w:tc>
      </w:tr>
      <w:tr>
        <w:tblPrEx>
          <w:tblCellMar>
            <w:top w:w="15" w:type="dxa"/>
            <w:left w:w="15" w:type="dxa"/>
            <w:bottom w:w="15" w:type="dxa"/>
            <w:right w:w="15" w:type="dxa"/>
          </w:tblCellMar>
        </w:tblPrEx>
        <w:trPr>
          <w:tblCellSpacing w:w="0" w:type="dxa"/>
          <w:jc w:val="center"/>
        </w:trPr>
        <w:tc>
          <w:tcPr>
            <w:tcW w:w="1842"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45</w:t>
            </w:r>
          </w:p>
        </w:tc>
        <w:tc>
          <w:tcPr>
            <w:tcW w:w="2358"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质量安全把控能力要求</w:t>
            </w:r>
          </w:p>
        </w:tc>
        <w:tc>
          <w:tcPr>
            <w:tcW w:w="2358"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质量检验能力</w:t>
            </w:r>
          </w:p>
        </w:tc>
        <w:tc>
          <w:tcPr>
            <w:tcW w:w="2523"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能够检测食材中的重金属，至少包括铅（Pb）镉（Cd）汞（Hg）砷（As）铬（Cr），及能够检测鲜冻禽畜肉中的瘦肉精（克伦特罗、莱克多巴胺、沙丁胺醇）、微生物，至少包括菌落总数和大肠菌群。</w:t>
            </w:r>
          </w:p>
        </w:tc>
        <w:tc>
          <w:tcPr>
            <w:tcW w:w="2358"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4" w:type="dxa"/>
            <w:tcBorders>
              <w:bottom w:val="single" w:color="000000" w:sz="8" w:space="0"/>
              <w:right w:val="single" w:color="000000" w:sz="8" w:space="0"/>
            </w:tcBorders>
            <w:noWrap w:val="0"/>
            <w:tcMar>
              <w:top w:w="22" w:type="dxa"/>
              <w:left w:w="22" w:type="dxa"/>
              <w:bottom w:w="102" w:type="dxa"/>
              <w:right w:w="102" w:type="dxa"/>
            </w:tcMar>
            <w:vAlign w:val="center"/>
          </w:tcPr>
          <w:p>
            <w:pPr>
              <w:pStyle w:val="95"/>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是，提供承诺函，格式自拟，加盖公章。</w:t>
            </w:r>
          </w:p>
        </w:tc>
      </w:tr>
      <w:tr>
        <w:tblPrEx>
          <w:tblCellMar>
            <w:top w:w="15" w:type="dxa"/>
            <w:left w:w="15" w:type="dxa"/>
            <w:bottom w:w="15" w:type="dxa"/>
            <w:right w:w="15" w:type="dxa"/>
          </w:tblCellMar>
        </w:tblPrEx>
        <w:trPr>
          <w:tblCellSpacing w:w="0" w:type="dxa"/>
          <w:jc w:val="center"/>
        </w:trPr>
        <w:tc>
          <w:tcPr>
            <w:tcW w:w="1842" w:type="dxa"/>
            <w:gridSpan w:val="3"/>
            <w:tcBorders>
              <w:left w:val="single" w:color="000000" w:sz="8" w:space="0"/>
              <w:bottom w:val="single" w:color="000000" w:sz="8" w:space="0"/>
              <w:right w:val="single" w:color="000000" w:sz="8" w:space="0"/>
            </w:tcBorders>
            <w:noWrap w:val="0"/>
            <w:tcMar>
              <w:top w:w="22" w:type="dxa"/>
              <w:left w:w="102" w:type="dxa"/>
              <w:bottom w:w="102" w:type="dxa"/>
              <w:right w:w="102" w:type="dxa"/>
            </w:tcMar>
            <w:vAlign w:val="center"/>
          </w:tcPr>
          <w:p>
            <w:pPr>
              <w:pStyle w:val="97"/>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46</w:t>
            </w:r>
          </w:p>
        </w:tc>
        <w:tc>
          <w:tcPr>
            <w:tcW w:w="2358"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质量安全把控能力要求</w:t>
            </w:r>
          </w:p>
        </w:tc>
        <w:tc>
          <w:tcPr>
            <w:tcW w:w="2358"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质量检验能力</w:t>
            </w:r>
          </w:p>
        </w:tc>
        <w:tc>
          <w:tcPr>
            <w:tcW w:w="2523"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能够检测食材中的农药（至少包含敌敌畏、六六六、滴滴涕）和兽药（磺胺类、甲氧苄啶、氟苯尼考、四环素、土霉素、金霉素、多西环素、地塞米松、喹乙醇代谢物、氯丙嗪、替米考星、甲硝锉、恩诺沙星和环丙沙星、氯毒素、AOZ、SEM、无氯芬酸钠）残留。</w:t>
            </w:r>
          </w:p>
        </w:tc>
        <w:tc>
          <w:tcPr>
            <w:tcW w:w="2358" w:type="dxa"/>
            <w:gridSpan w:val="3"/>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w:t>
            </w:r>
          </w:p>
        </w:tc>
        <w:tc>
          <w:tcPr>
            <w:tcW w:w="1554" w:type="dxa"/>
            <w:tcBorders>
              <w:bottom w:val="single" w:color="000000" w:sz="8" w:space="0"/>
              <w:right w:val="single" w:color="000000" w:sz="8" w:space="0"/>
            </w:tcBorders>
            <w:noWrap w:val="0"/>
            <w:tcMar>
              <w:top w:w="22" w:type="dxa"/>
              <w:left w:w="22" w:type="dxa"/>
              <w:bottom w:w="102" w:type="dxa"/>
              <w:right w:w="102" w:type="dxa"/>
            </w:tcMar>
            <w:vAlign w:val="center"/>
          </w:tcPr>
          <w:p>
            <w:pPr>
              <w:pStyle w:val="99"/>
              <w:spacing w:before="0" w:after="0"/>
              <w:ind w:left="0" w:right="0"/>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是，提供承诺函，格式自拟，加盖公章。</w:t>
            </w:r>
          </w:p>
        </w:tc>
      </w:tr>
    </w:tbl>
    <w:p>
      <w:pPr>
        <w:pStyle w:val="90"/>
        <w:keepNext w:val="0"/>
        <w:spacing w:before="0" w:after="0" w:line="360" w:lineRule="auto"/>
        <w:jc w:val="center"/>
        <w:rPr>
          <w:rFonts w:ascii="仿宋_GB2312" w:hAnsi="仿宋_GB2312" w:eastAsia="仿宋_GB2312" w:cs="仿宋_GB2312"/>
          <w:b/>
          <w:bCs/>
          <w:sz w:val="32"/>
          <w:szCs w:val="32"/>
        </w:rPr>
      </w:pPr>
      <w:bookmarkStart w:id="25" w:name="_Toc256000021"/>
      <w:r>
        <w:rPr>
          <w:rFonts w:ascii="仿宋_GB2312" w:hAnsi="仿宋_GB2312" w:eastAsia="仿宋_GB2312" w:cs="仿宋_GB2312"/>
          <w:kern w:val="36"/>
        </w:rPr>
        <w:t>4人员要求</w:t>
      </w:r>
      <w:bookmarkEnd w:id="25"/>
    </w:p>
    <w:p>
      <w:pPr>
        <w:pStyle w:val="91"/>
        <w:keepNext w:val="0"/>
        <w:spacing w:before="0" w:after="0" w:line="360" w:lineRule="auto"/>
        <w:rPr>
          <w:rFonts w:ascii="仿宋_GB2312" w:hAnsi="仿宋_GB2312" w:eastAsia="仿宋_GB2312" w:cs="仿宋_GB2312"/>
          <w:b/>
          <w:bCs/>
          <w:sz w:val="28"/>
          <w:szCs w:val="28"/>
        </w:rPr>
      </w:pPr>
      <w:bookmarkStart w:id="26" w:name="_Toc256000022"/>
      <w:r>
        <w:rPr>
          <w:rFonts w:ascii="仿宋_GB2312" w:hAnsi="仿宋_GB2312" w:eastAsia="仿宋_GB2312" w:cs="仿宋_GB2312"/>
          <w:i w:val="0"/>
          <w:iCs w:val="0"/>
        </w:rPr>
        <w:t>4.1总体要求</w:t>
      </w:r>
      <w:bookmarkEnd w:id="26"/>
    </w:p>
    <w:p>
      <w:pPr>
        <w:pStyle w:val="97"/>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1、投标人应提供专业的管理和采购团队，团队编制和人员资质务必保证运营服务质量。提供的服务团队应保持稳定，承诺项目执行期间人员变动不超过20%；投标人应出具盖有投标人公章的服务团队人员名单；</w:t>
      </w:r>
    </w:p>
    <w:p>
      <w:pPr>
        <w:pStyle w:val="97"/>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★2、投标人为本项目提供的服务团队中所有人员必须具有从业人员健康证明，否则不予认可；</w:t>
      </w:r>
    </w:p>
    <w:p>
      <w:pPr>
        <w:pStyle w:val="97"/>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3、服务团队人员在服务过程中应热情服务、遵规守法，具备较强的沟通能力和临时紧急配送调换的处置能力。</w:t>
      </w:r>
    </w:p>
    <w:p>
      <w:pPr>
        <w:pStyle w:val="91"/>
        <w:keepNext w:val="0"/>
        <w:spacing w:before="0" w:after="0" w:line="360" w:lineRule="auto"/>
        <w:rPr>
          <w:rFonts w:ascii="仿宋_GB2312" w:hAnsi="仿宋_GB2312" w:eastAsia="仿宋_GB2312" w:cs="仿宋_GB2312"/>
          <w:b/>
          <w:bCs/>
          <w:sz w:val="28"/>
          <w:szCs w:val="28"/>
        </w:rPr>
      </w:pPr>
      <w:bookmarkStart w:id="27" w:name="_Toc256000023"/>
      <w:r>
        <w:rPr>
          <w:rFonts w:ascii="仿宋_GB2312" w:hAnsi="仿宋_GB2312" w:eastAsia="仿宋_GB2312" w:cs="仿宋_GB2312"/>
          <w:i w:val="0"/>
          <w:iCs w:val="0"/>
        </w:rPr>
        <w:t>4.2管理团队</w:t>
      </w:r>
      <w:bookmarkEnd w:id="27"/>
    </w:p>
    <w:p>
      <w:pPr>
        <w:pStyle w:val="91"/>
        <w:keepNext w:val="0"/>
        <w:spacing w:before="0" w:after="0" w:line="360" w:lineRule="auto"/>
        <w:rPr>
          <w:rFonts w:ascii="仿宋_GB2312" w:hAnsi="仿宋_GB2312" w:eastAsia="仿宋_GB2312" w:cs="仿宋_GB2312"/>
          <w:b/>
          <w:bCs/>
          <w:sz w:val="28"/>
          <w:szCs w:val="28"/>
        </w:rPr>
      </w:pPr>
      <w:bookmarkStart w:id="28" w:name="_Toc256000024"/>
      <w:r>
        <w:rPr>
          <w:rFonts w:ascii="仿宋_GB2312" w:hAnsi="仿宋_GB2312" w:eastAsia="仿宋_GB2312" w:cs="仿宋_GB2312"/>
          <w:i w:val="0"/>
          <w:iCs w:val="0"/>
        </w:rPr>
        <w:t>4.3技术团队</w:t>
      </w:r>
      <w:bookmarkEnd w:id="28"/>
    </w:p>
    <w:p>
      <w:pPr>
        <w:pStyle w:val="91"/>
        <w:keepNext w:val="0"/>
        <w:spacing w:before="0" w:after="0" w:line="360" w:lineRule="auto"/>
        <w:rPr>
          <w:rFonts w:ascii="仿宋_GB2312" w:hAnsi="仿宋_GB2312" w:eastAsia="仿宋_GB2312" w:cs="仿宋_GB2312"/>
          <w:b/>
          <w:bCs/>
          <w:sz w:val="28"/>
          <w:szCs w:val="28"/>
        </w:rPr>
      </w:pPr>
      <w:bookmarkStart w:id="29" w:name="_Toc256000025"/>
      <w:r>
        <w:rPr>
          <w:rFonts w:ascii="仿宋_GB2312" w:hAnsi="仿宋_GB2312" w:eastAsia="仿宋_GB2312" w:cs="仿宋_GB2312"/>
          <w:i w:val="0"/>
          <w:iCs w:val="0"/>
        </w:rPr>
        <w:t>4.4优选资质/优选指标</w:t>
      </w:r>
      <w:bookmarkEnd w:id="29"/>
    </w:p>
    <w:p>
      <w:pPr>
        <w:pStyle w:val="92"/>
        <w:keepNext w:val="0"/>
        <w:spacing w:before="0" w:after="0" w:line="360" w:lineRule="auto"/>
        <w:rPr>
          <w:rFonts w:ascii="仿宋_GB2312" w:hAnsi="仿宋_GB2312" w:eastAsia="仿宋_GB2312" w:cs="仿宋_GB2312"/>
          <w:b/>
          <w:bCs/>
          <w:sz w:val="28"/>
          <w:szCs w:val="28"/>
        </w:rPr>
      </w:pPr>
      <w:bookmarkStart w:id="30" w:name="_Toc256000026"/>
      <w:r>
        <w:rPr>
          <w:rFonts w:ascii="仿宋_GB2312" w:hAnsi="仿宋_GB2312" w:eastAsia="仿宋_GB2312" w:cs="仿宋_GB2312"/>
          <w:sz w:val="28"/>
          <w:szCs w:val="28"/>
        </w:rPr>
        <w:t>4.4.1包件一</w:t>
      </w:r>
      <w:bookmarkEnd w:id="30"/>
    </w:p>
    <w:p>
      <w:pPr>
        <w:pStyle w:val="18"/>
        <w:spacing w:before="0" w:after="0" w:line="360" w:lineRule="auto"/>
        <w:jc w:val="center"/>
        <w:rPr>
          <w:rFonts w:ascii="Times New Roman" w:hAnsi="Times New Roman" w:eastAsia="Times New Roman" w:cs="Times New Roman"/>
        </w:rPr>
      </w:pPr>
      <w:r>
        <w:rPr>
          <w:rFonts w:ascii="Times New Roman" w:hAnsi="Times New Roman" w:eastAsia="Times New Roman" w:cs="Times New Roman"/>
        </w:rPr>
        <w:t> </w:t>
      </w:r>
    </w:p>
    <w:tbl>
      <w:tblPr>
        <w:tblStyle w:val="103"/>
        <w:tblW w:w="5000" w:type="pct"/>
        <w:tblCellSpacing w:w="0" w:type="dxa"/>
        <w:tblInd w:w="177" w:type="dxa"/>
        <w:tblLayout w:type="autofit"/>
        <w:tblCellMar>
          <w:top w:w="15" w:type="dxa"/>
          <w:left w:w="15" w:type="dxa"/>
          <w:bottom w:w="15" w:type="dxa"/>
          <w:right w:w="15" w:type="dxa"/>
        </w:tblCellMar>
      </w:tblPr>
      <w:tblGrid>
        <w:gridCol w:w="1012"/>
        <w:gridCol w:w="2028"/>
        <w:gridCol w:w="2030"/>
        <w:gridCol w:w="2030"/>
        <w:gridCol w:w="2030"/>
      </w:tblGrid>
      <w:tr>
        <w:tblPrEx>
          <w:tblCellMar>
            <w:top w:w="15" w:type="dxa"/>
            <w:left w:w="15" w:type="dxa"/>
            <w:bottom w:w="15" w:type="dxa"/>
            <w:right w:w="15" w:type="dxa"/>
          </w:tblCellMar>
        </w:tblPrEx>
        <w:trPr>
          <w:tblCellSpacing w:w="0" w:type="dxa"/>
        </w:trPr>
        <w:tc>
          <w:tcPr>
            <w:tcW w:w="554" w:type="pct"/>
            <w:tcBorders>
              <w:top w:val="single" w:color="000000" w:sz="8" w:space="0"/>
              <w:left w:val="single" w:color="000000" w:sz="8" w:space="0"/>
              <w:bottom w:val="single" w:color="000000" w:sz="8" w:space="0"/>
              <w:right w:val="single" w:color="000000" w:sz="8" w:space="0"/>
            </w:tcBorders>
            <w:shd w:val="clear" w:color="auto" w:fill="D3D3D3"/>
            <w:noWrap w:val="0"/>
            <w:tcMar>
              <w:top w:w="32" w:type="dxa"/>
              <w:left w:w="32" w:type="dxa"/>
              <w:bottom w:w="32" w:type="dxa"/>
              <w:right w:w="32"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序号</w:t>
            </w:r>
          </w:p>
        </w:tc>
        <w:tc>
          <w:tcPr>
            <w:tcW w:w="111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人员类别</w:t>
            </w:r>
          </w:p>
        </w:tc>
        <w:tc>
          <w:tcPr>
            <w:tcW w:w="1111"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人员岗位</w:t>
            </w:r>
          </w:p>
        </w:tc>
        <w:tc>
          <w:tcPr>
            <w:tcW w:w="1111"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人员要求</w:t>
            </w:r>
          </w:p>
        </w:tc>
        <w:tc>
          <w:tcPr>
            <w:tcW w:w="1111"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是否作为加分项</w:t>
            </w:r>
          </w:p>
        </w:tc>
      </w:tr>
      <w:tr>
        <w:tblPrEx>
          <w:tblCellMar>
            <w:top w:w="15" w:type="dxa"/>
            <w:left w:w="15" w:type="dxa"/>
            <w:bottom w:w="15" w:type="dxa"/>
            <w:right w:w="15" w:type="dxa"/>
          </w:tblCellMar>
        </w:tblPrEx>
        <w:trPr>
          <w:trHeight w:val="479" w:hRule="atLeast"/>
          <w:tblCellSpacing w:w="0" w:type="dxa"/>
        </w:trPr>
        <w:tc>
          <w:tcPr>
            <w:tcW w:w="554"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pPr>
              <w:pStyle w:val="95"/>
              <w:ind w:left="0" w:firstLine="40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1</w:t>
            </w:r>
          </w:p>
        </w:tc>
        <w:tc>
          <w:tcPr>
            <w:tcW w:w="1110"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管理人员</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经理1人</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 </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rPr>
          <w:tblCellSpacing w:w="0" w:type="dxa"/>
        </w:trPr>
        <w:tc>
          <w:tcPr>
            <w:tcW w:w="554"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pPr>
              <w:pStyle w:val="95"/>
              <w:ind w:left="0" w:firstLine="40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2</w:t>
            </w:r>
          </w:p>
        </w:tc>
        <w:tc>
          <w:tcPr>
            <w:tcW w:w="1110" w:type="pct"/>
            <w:tcBorders>
              <w:bottom w:val="single" w:color="000000" w:sz="8" w:space="0"/>
              <w:right w:val="single" w:color="000000" w:sz="8" w:space="0"/>
            </w:tcBorders>
            <w:noWrap w:val="0"/>
            <w:tcMar>
              <w:top w:w="22" w:type="dxa"/>
              <w:left w:w="22" w:type="dxa"/>
              <w:bottom w:w="32" w:type="dxa"/>
              <w:right w:w="32"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技术人员</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供应业务员1人</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 </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rPr>
          <w:tblCellSpacing w:w="0" w:type="dxa"/>
        </w:trPr>
        <w:tc>
          <w:tcPr>
            <w:tcW w:w="554"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pPr>
              <w:pStyle w:val="95"/>
              <w:ind w:left="0" w:firstLine="40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w:t>
            </w:r>
          </w:p>
        </w:tc>
        <w:tc>
          <w:tcPr>
            <w:tcW w:w="1110" w:type="pct"/>
            <w:tcBorders>
              <w:bottom w:val="single" w:color="000000" w:sz="8" w:space="0"/>
              <w:right w:val="single" w:color="000000" w:sz="8" w:space="0"/>
            </w:tcBorders>
            <w:noWrap w:val="0"/>
            <w:tcMar>
              <w:top w:w="22" w:type="dxa"/>
              <w:left w:w="22" w:type="dxa"/>
              <w:bottom w:w="32" w:type="dxa"/>
              <w:right w:w="32"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技术人员</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食品安全管理员1人</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 </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rPr>
          <w:trHeight w:val="451" w:hRule="atLeast"/>
          <w:tblCellSpacing w:w="0" w:type="dxa"/>
        </w:trPr>
        <w:tc>
          <w:tcPr>
            <w:tcW w:w="554"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pPr>
              <w:pStyle w:val="95"/>
              <w:ind w:left="0" w:firstLine="40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4</w:t>
            </w:r>
          </w:p>
        </w:tc>
        <w:tc>
          <w:tcPr>
            <w:tcW w:w="1110"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技术人员</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采购员1人</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 </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rPr>
          <w:tblCellSpacing w:w="0" w:type="dxa"/>
        </w:trPr>
        <w:tc>
          <w:tcPr>
            <w:tcW w:w="554"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pPr>
              <w:pStyle w:val="95"/>
              <w:ind w:left="0" w:firstLine="40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5</w:t>
            </w:r>
          </w:p>
        </w:tc>
        <w:tc>
          <w:tcPr>
            <w:tcW w:w="1110"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技术人员</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配送司机1人</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具有符合配送车辆型号的驾驶资格证书</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w:t>
            </w:r>
          </w:p>
        </w:tc>
      </w:tr>
    </w:tbl>
    <w:p>
      <w:pPr>
        <w:pStyle w:val="95"/>
        <w:spacing w:before="0" w:after="0" w:line="360" w:lineRule="auto"/>
        <w:jc w:val="center"/>
        <w:rPr>
          <w:rFonts w:ascii="Times New Roman" w:hAnsi="Times New Roman" w:eastAsia="Times New Roman" w:cs="Times New Roman"/>
        </w:rPr>
      </w:pPr>
      <w:r>
        <w:rPr>
          <w:rFonts w:ascii="仿宋_GB2312" w:hAnsi="仿宋_GB2312" w:eastAsia="仿宋_GB2312" w:cs="仿宋_GB2312"/>
          <w:b/>
          <w:bCs/>
          <w:sz w:val="32"/>
          <w:szCs w:val="32"/>
        </w:rPr>
        <w:t> </w:t>
      </w:r>
    </w:p>
    <w:p>
      <w:pPr>
        <w:pStyle w:val="92"/>
        <w:keepNext w:val="0"/>
        <w:spacing w:before="0" w:after="0" w:line="360" w:lineRule="auto"/>
        <w:rPr>
          <w:rFonts w:ascii="仿宋_GB2312" w:hAnsi="仿宋_GB2312" w:eastAsia="仿宋_GB2312" w:cs="仿宋_GB2312"/>
          <w:b/>
          <w:bCs/>
          <w:sz w:val="28"/>
          <w:szCs w:val="28"/>
        </w:rPr>
      </w:pPr>
      <w:bookmarkStart w:id="31" w:name="_Toc256000027"/>
      <w:r>
        <w:rPr>
          <w:rFonts w:ascii="仿宋_GB2312" w:hAnsi="仿宋_GB2312" w:eastAsia="仿宋_GB2312" w:cs="仿宋_GB2312"/>
          <w:sz w:val="28"/>
          <w:szCs w:val="28"/>
        </w:rPr>
        <w:t>4.4.2包件二</w:t>
      </w:r>
      <w:bookmarkEnd w:id="31"/>
    </w:p>
    <w:tbl>
      <w:tblPr>
        <w:tblStyle w:val="103"/>
        <w:tblW w:w="5000" w:type="pct"/>
        <w:tblCellSpacing w:w="0" w:type="dxa"/>
        <w:tblInd w:w="177" w:type="dxa"/>
        <w:tblLayout w:type="autofit"/>
        <w:tblCellMar>
          <w:top w:w="15" w:type="dxa"/>
          <w:left w:w="15" w:type="dxa"/>
          <w:bottom w:w="15" w:type="dxa"/>
          <w:right w:w="15" w:type="dxa"/>
        </w:tblCellMar>
      </w:tblPr>
      <w:tblGrid>
        <w:gridCol w:w="1013"/>
        <w:gridCol w:w="2027"/>
        <w:gridCol w:w="2030"/>
        <w:gridCol w:w="2030"/>
        <w:gridCol w:w="2030"/>
      </w:tblGrid>
      <w:tr>
        <w:tblPrEx>
          <w:tblCellMar>
            <w:top w:w="15" w:type="dxa"/>
            <w:left w:w="15" w:type="dxa"/>
            <w:bottom w:w="15" w:type="dxa"/>
            <w:right w:w="15" w:type="dxa"/>
          </w:tblCellMar>
        </w:tblPrEx>
        <w:trPr>
          <w:tblCellSpacing w:w="0" w:type="dxa"/>
        </w:trPr>
        <w:tc>
          <w:tcPr>
            <w:tcW w:w="555" w:type="pct"/>
            <w:tcBorders>
              <w:top w:val="single" w:color="000000" w:sz="8" w:space="0"/>
              <w:left w:val="single" w:color="000000" w:sz="8" w:space="0"/>
              <w:bottom w:val="single" w:color="000000" w:sz="8" w:space="0"/>
              <w:right w:val="single" w:color="000000" w:sz="8" w:space="0"/>
            </w:tcBorders>
            <w:shd w:val="clear" w:color="auto" w:fill="D3D3D3"/>
            <w:noWrap w:val="0"/>
            <w:tcMar>
              <w:top w:w="32" w:type="dxa"/>
              <w:left w:w="32" w:type="dxa"/>
              <w:bottom w:w="32" w:type="dxa"/>
              <w:right w:w="32"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序号</w:t>
            </w:r>
          </w:p>
        </w:tc>
        <w:tc>
          <w:tcPr>
            <w:tcW w:w="1110"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人员类别</w:t>
            </w:r>
          </w:p>
        </w:tc>
        <w:tc>
          <w:tcPr>
            <w:tcW w:w="1111"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人员岗位</w:t>
            </w:r>
          </w:p>
        </w:tc>
        <w:tc>
          <w:tcPr>
            <w:tcW w:w="1111"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人员要求</w:t>
            </w:r>
          </w:p>
        </w:tc>
        <w:tc>
          <w:tcPr>
            <w:tcW w:w="1111" w:type="pct"/>
            <w:tcBorders>
              <w:top w:val="single" w:color="000000" w:sz="8" w:space="0"/>
              <w:bottom w:val="single" w:color="000000" w:sz="8" w:space="0"/>
              <w:right w:val="single" w:color="000000" w:sz="8" w:space="0"/>
            </w:tcBorders>
            <w:shd w:val="clear" w:color="auto" w:fill="D3D3D3"/>
            <w:noWrap w:val="0"/>
            <w:tcMar>
              <w:top w:w="32" w:type="dxa"/>
              <w:left w:w="22" w:type="dxa"/>
              <w:bottom w:w="32" w:type="dxa"/>
              <w:right w:w="32"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1"/>
                <w:szCs w:val="21"/>
              </w:rPr>
              <w:t>是否作为加分项</w:t>
            </w:r>
          </w:p>
        </w:tc>
      </w:tr>
      <w:tr>
        <w:tblPrEx>
          <w:tblCellMar>
            <w:top w:w="15" w:type="dxa"/>
            <w:left w:w="15" w:type="dxa"/>
            <w:bottom w:w="15" w:type="dxa"/>
            <w:right w:w="15" w:type="dxa"/>
          </w:tblCellMar>
        </w:tblPrEx>
        <w:trPr>
          <w:trHeight w:val="479" w:hRule="atLeast"/>
          <w:tblCellSpacing w:w="0" w:type="dxa"/>
        </w:trPr>
        <w:tc>
          <w:tcPr>
            <w:tcW w:w="555"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pPr>
              <w:pStyle w:val="95"/>
              <w:ind w:left="0" w:firstLine="40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1</w:t>
            </w:r>
          </w:p>
        </w:tc>
        <w:tc>
          <w:tcPr>
            <w:tcW w:w="1110"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管理人员</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经理1人</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 </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rPr>
          <w:tblCellSpacing w:w="0" w:type="dxa"/>
        </w:trPr>
        <w:tc>
          <w:tcPr>
            <w:tcW w:w="555"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pPr>
              <w:pStyle w:val="95"/>
              <w:ind w:left="0" w:firstLine="40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2</w:t>
            </w:r>
          </w:p>
        </w:tc>
        <w:tc>
          <w:tcPr>
            <w:tcW w:w="1110" w:type="pct"/>
            <w:tcBorders>
              <w:bottom w:val="single" w:color="000000" w:sz="8" w:space="0"/>
              <w:right w:val="single" w:color="000000" w:sz="8" w:space="0"/>
            </w:tcBorders>
            <w:noWrap w:val="0"/>
            <w:tcMar>
              <w:top w:w="22" w:type="dxa"/>
              <w:left w:w="22" w:type="dxa"/>
              <w:bottom w:w="32" w:type="dxa"/>
              <w:right w:w="32"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技术人员</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供应业务员1人</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 </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rPr>
          <w:tblCellSpacing w:w="0" w:type="dxa"/>
        </w:trPr>
        <w:tc>
          <w:tcPr>
            <w:tcW w:w="555"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pPr>
              <w:pStyle w:val="95"/>
              <w:ind w:left="0" w:firstLine="40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3</w:t>
            </w:r>
          </w:p>
        </w:tc>
        <w:tc>
          <w:tcPr>
            <w:tcW w:w="1110" w:type="pct"/>
            <w:tcBorders>
              <w:bottom w:val="single" w:color="000000" w:sz="8" w:space="0"/>
              <w:right w:val="single" w:color="000000" w:sz="8" w:space="0"/>
            </w:tcBorders>
            <w:noWrap w:val="0"/>
            <w:tcMar>
              <w:top w:w="22" w:type="dxa"/>
              <w:left w:w="22" w:type="dxa"/>
              <w:bottom w:w="32" w:type="dxa"/>
              <w:right w:w="32"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技术人员</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食品安全管理员1人</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 </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rPr>
          <w:trHeight w:val="451" w:hRule="atLeast"/>
          <w:tblCellSpacing w:w="0" w:type="dxa"/>
        </w:trPr>
        <w:tc>
          <w:tcPr>
            <w:tcW w:w="555"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pPr>
              <w:pStyle w:val="95"/>
              <w:ind w:left="0" w:firstLine="40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4</w:t>
            </w:r>
          </w:p>
        </w:tc>
        <w:tc>
          <w:tcPr>
            <w:tcW w:w="1110"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技术人员</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采购员1人</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 </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rPr>
          <w:tblCellSpacing w:w="0" w:type="dxa"/>
        </w:trPr>
        <w:tc>
          <w:tcPr>
            <w:tcW w:w="555" w:type="pct"/>
            <w:tcBorders>
              <w:left w:val="single" w:color="000000" w:sz="8" w:space="0"/>
              <w:bottom w:val="single" w:color="000000" w:sz="8" w:space="0"/>
              <w:right w:val="single" w:color="000000" w:sz="8" w:space="0"/>
            </w:tcBorders>
            <w:noWrap w:val="0"/>
            <w:tcMar>
              <w:top w:w="22" w:type="dxa"/>
              <w:left w:w="32" w:type="dxa"/>
              <w:bottom w:w="32" w:type="dxa"/>
              <w:right w:w="32" w:type="dxa"/>
            </w:tcMar>
            <w:vAlign w:val="center"/>
          </w:tcPr>
          <w:p>
            <w:pPr>
              <w:pStyle w:val="95"/>
              <w:ind w:left="0" w:firstLine="40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5</w:t>
            </w:r>
          </w:p>
        </w:tc>
        <w:tc>
          <w:tcPr>
            <w:tcW w:w="1110"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技术人员</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配送司机1人</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具有符合配送车辆型号的驾驶资格证书</w:t>
            </w:r>
          </w:p>
        </w:tc>
        <w:tc>
          <w:tcPr>
            <w:tcW w:w="1111" w:type="pct"/>
            <w:tcBorders>
              <w:bottom w:val="single" w:color="000000" w:sz="8" w:space="0"/>
              <w:right w:val="single" w:color="000000" w:sz="8" w:space="0"/>
            </w:tcBorders>
            <w:noWrap w:val="0"/>
            <w:tcMar>
              <w:top w:w="22" w:type="dxa"/>
              <w:left w:w="22" w:type="dxa"/>
              <w:bottom w:w="32" w:type="dxa"/>
              <w:right w:w="32" w:type="dxa"/>
            </w:tcMar>
            <w:vAlign w:val="center"/>
          </w:tcPr>
          <w:p>
            <w:pPr>
              <w:pStyle w:val="95"/>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是</w:t>
            </w:r>
          </w:p>
        </w:tc>
      </w:tr>
    </w:tbl>
    <w:p>
      <w:pPr>
        <w:pStyle w:val="90"/>
        <w:keepNext w:val="0"/>
        <w:spacing w:before="0" w:after="0" w:line="360" w:lineRule="auto"/>
        <w:jc w:val="center"/>
        <w:rPr>
          <w:rFonts w:ascii="仿宋_GB2312" w:hAnsi="仿宋_GB2312" w:eastAsia="仿宋_GB2312" w:cs="仿宋_GB2312"/>
          <w:b/>
          <w:bCs/>
          <w:sz w:val="32"/>
          <w:szCs w:val="32"/>
        </w:rPr>
      </w:pPr>
      <w:bookmarkStart w:id="32" w:name="_Toc256000028"/>
      <w:r>
        <w:rPr>
          <w:rFonts w:ascii="仿宋_GB2312" w:hAnsi="仿宋_GB2312" w:eastAsia="仿宋_GB2312" w:cs="仿宋_GB2312"/>
          <w:kern w:val="36"/>
        </w:rPr>
        <w:t>5管理实施要求</w:t>
      </w:r>
      <w:bookmarkEnd w:id="32"/>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投标人应提交科学合理的供应方案。方案应包含服务团队管理措施、内部采购管理措施、储存分拣管理措施、科学合理运输措施等。</w:t>
      </w:r>
    </w:p>
    <w:p>
      <w:pPr>
        <w:pStyle w:val="90"/>
        <w:keepNext w:val="0"/>
        <w:spacing w:before="0" w:after="0" w:line="360" w:lineRule="auto"/>
        <w:jc w:val="center"/>
        <w:rPr>
          <w:rFonts w:ascii="仿宋_GB2312" w:hAnsi="仿宋_GB2312" w:eastAsia="仿宋_GB2312" w:cs="仿宋_GB2312"/>
          <w:b/>
          <w:bCs/>
          <w:sz w:val="32"/>
          <w:szCs w:val="32"/>
        </w:rPr>
      </w:pPr>
      <w:bookmarkStart w:id="33" w:name="_Toc256000029"/>
      <w:r>
        <w:rPr>
          <w:rFonts w:ascii="仿宋_GB2312" w:hAnsi="仿宋_GB2312" w:eastAsia="仿宋_GB2312" w:cs="仿宋_GB2312"/>
          <w:kern w:val="36"/>
        </w:rPr>
        <w:t>6风险管控要求</w:t>
      </w:r>
      <w:bookmarkEnd w:id="33"/>
    </w:p>
    <w:p>
      <w:pPr>
        <w:pStyle w:val="99"/>
        <w:spacing w:before="0" w:after="0" w:line="360" w:lineRule="auto"/>
        <w:ind w:firstLine="480"/>
        <w:rPr>
          <w:rFonts w:ascii="Times New Roman" w:hAnsi="Times New Roman" w:eastAsia="Times New Roman" w:cs="Times New Roman"/>
        </w:rPr>
      </w:pPr>
      <w:r>
        <w:rPr>
          <w:rFonts w:ascii="仿宋_GB2312" w:hAnsi="仿宋_GB2312" w:eastAsia="仿宋_GB2312" w:cs="仿宋_GB2312"/>
          <w:b/>
          <w:bCs/>
          <w:sz w:val="28"/>
          <w:szCs w:val="28"/>
        </w:rPr>
        <w:t>（一）质量安全把控方案要求</w:t>
      </w:r>
    </w:p>
    <w:p>
      <w:pPr>
        <w:pStyle w:val="99"/>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1. 投标人应提供质量安全把控方案。方案内容详细描述供应货物质量把控措施、检验检疫关键环节把控、不符合质量标准货品处置等内容，确保提供食材安全可靠。</w:t>
      </w:r>
    </w:p>
    <w:p>
      <w:pPr>
        <w:pStyle w:val="102"/>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28"/>
          <w:szCs w:val="28"/>
        </w:rPr>
        <w:t>2.投标人供应以下食品的，采购人全部退货，投标人承担由此造成的一切经济责任和法律责任：</w:t>
      </w:r>
    </w:p>
    <w:p>
      <w:pPr>
        <w:pStyle w:val="102"/>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28"/>
          <w:szCs w:val="28"/>
        </w:rPr>
        <w:t xml:space="preserve">（1）腐败变质、油脂酸败、霉变、生虫、污秽不洁、混有异物或者其他感官性状异常，对人体健康有害的； </w:t>
      </w:r>
    </w:p>
    <w:p>
      <w:pPr>
        <w:pStyle w:val="102"/>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28"/>
          <w:szCs w:val="28"/>
        </w:rPr>
        <w:t xml:space="preserve">（2）含有毒、有害物质或者被有毒、有害物质污染，对人体健康有害的； </w:t>
      </w:r>
    </w:p>
    <w:p>
      <w:pPr>
        <w:pStyle w:val="102"/>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28"/>
          <w:szCs w:val="28"/>
        </w:rPr>
        <w:t>（3）含有致病性寄生虫、微生物或者微生物含量超过国家限定标准的；</w:t>
      </w:r>
    </w:p>
    <w:p>
      <w:pPr>
        <w:pStyle w:val="102"/>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28"/>
          <w:szCs w:val="28"/>
        </w:rPr>
        <w:t xml:space="preserve">（4）未经动物检疫部门检疫、检验或者检疫、检验不合格的肉类及其制品； </w:t>
      </w:r>
    </w:p>
    <w:p>
      <w:pPr>
        <w:pStyle w:val="102"/>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28"/>
          <w:szCs w:val="28"/>
        </w:rPr>
        <w:t xml:space="preserve">（5）病死、毒死或者死因不明的禽、畜、兽等及其制品； </w:t>
      </w:r>
    </w:p>
    <w:p>
      <w:pPr>
        <w:pStyle w:val="102"/>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28"/>
          <w:szCs w:val="28"/>
        </w:rPr>
        <w:t xml:space="preserve">（6）掺假、掺杂、伪造，影响营养、卫生的； </w:t>
      </w:r>
    </w:p>
    <w:p>
      <w:pPr>
        <w:pStyle w:val="102"/>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28"/>
          <w:szCs w:val="28"/>
        </w:rPr>
        <w:t xml:space="preserve">（7）用非食品原料加工的，加入非食品用化学物质或者将非食品当作食品的； </w:t>
      </w:r>
    </w:p>
    <w:p>
      <w:pPr>
        <w:pStyle w:val="102"/>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28"/>
          <w:szCs w:val="28"/>
        </w:rPr>
        <w:t>（8）超过保质期限的；</w:t>
      </w:r>
    </w:p>
    <w:p>
      <w:pPr>
        <w:pStyle w:val="102"/>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28"/>
          <w:szCs w:val="28"/>
        </w:rPr>
        <w:t>（9）使用有色、有毒塑料制品、包装食材的；</w:t>
      </w:r>
    </w:p>
    <w:p>
      <w:pPr>
        <w:pStyle w:val="102"/>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28"/>
          <w:szCs w:val="28"/>
        </w:rPr>
        <w:t>（10）其他不符合《食品安全法》、《产品质量法》和《动物检疫管理办法》等相关规定的。</w:t>
      </w:r>
    </w:p>
    <w:p>
      <w:pPr>
        <w:pStyle w:val="97"/>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3.凡投标人所供应货物应为原箱包装，拆包或重组包装的应提前向采购人说明，定量包装批量误差不应超过实际标示的5%。</w:t>
      </w:r>
    </w:p>
    <w:p>
      <w:pPr>
        <w:pStyle w:val="99"/>
        <w:spacing w:before="0" w:after="0" w:line="360" w:lineRule="auto"/>
        <w:ind w:firstLine="480"/>
        <w:rPr>
          <w:rFonts w:ascii="Times New Roman" w:hAnsi="Times New Roman" w:eastAsia="Times New Roman" w:cs="Times New Roman"/>
        </w:rPr>
      </w:pPr>
      <w:r>
        <w:rPr>
          <w:rFonts w:ascii="仿宋_GB2312" w:hAnsi="仿宋_GB2312" w:eastAsia="仿宋_GB2312" w:cs="仿宋_GB2312"/>
          <w:b/>
          <w:bCs/>
          <w:sz w:val="28"/>
          <w:szCs w:val="28"/>
        </w:rPr>
        <w:t>（二）应急保障方案要求</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投标人应提供在自然灾害、极端事件、市场关闭、物资紧缺等突发紧急情况下拟采取的应急保障方案，包括充分供应、按时保障等措施，确保国家税务总局吉林市税务局及一、二、三稽查局食堂食材及时供应不间断。</w:t>
      </w:r>
    </w:p>
    <w:p>
      <w:pPr>
        <w:pStyle w:val="99"/>
        <w:spacing w:before="0" w:after="0" w:line="360" w:lineRule="auto"/>
        <w:ind w:firstLine="480"/>
        <w:rPr>
          <w:rFonts w:ascii="Times New Roman" w:hAnsi="Times New Roman" w:eastAsia="Times New Roman" w:cs="Times New Roman"/>
        </w:rPr>
      </w:pPr>
      <w:r>
        <w:rPr>
          <w:rFonts w:ascii="仿宋_GB2312" w:hAnsi="仿宋_GB2312" w:eastAsia="仿宋_GB2312" w:cs="仿宋_GB2312"/>
          <w:b/>
          <w:bCs/>
          <w:sz w:val="28"/>
          <w:szCs w:val="28"/>
        </w:rPr>
        <w:t>（三）违约风险管控要求</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1.投标人中标后采用先送货后结账的模式，不收取履约保证金。有下列情形之一的，采购人有权按照以下约定及合同违约相关条款处理：</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（1）因投标人配送不及时导致采购人供餐延误并造成重大影响的；</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（2）凡经相关部门认定，因投标人所提供的原料原因造成采购人食堂出现食物中毒等卫生安全事故的，投标人除必须承担全部的法律责任外，还要全额承担因食物中毒发生所造成后果的一切费用；</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（3）除不可抗力及采购人原因外，因投标人配送不及时导致采购人伙食供应延时，但经投标人采取补救措施未造成采购人不良影响的，出现三次终止供货合同；</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（4）凡投标人向采购人提供产品发生质量问题影响食用，并拒绝退换的；</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（5）采购人将不定期组织专人对食材进行抽检，若发现质量不符，采购人有权要求予以退换货。</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2.投标人有下列情形之一的，采购人有权解除合同，由投标人承担全部经济损失和相关责任：</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（1）投标人以书面、微信、短信等方式通知采购人不再供货，包括对部分食材不再供货；</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（2）投标人虽未通知采购人不再供货，但1天没有供应采购人采购的货物，包括对部分食材没有供货；</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（3）投标人未经采购人同意单方面提价的。</w:t>
      </w:r>
    </w:p>
    <w:p>
      <w:pPr>
        <w:pStyle w:val="90"/>
        <w:keepNext w:val="0"/>
        <w:spacing w:before="0" w:after="0" w:line="360" w:lineRule="auto"/>
        <w:jc w:val="center"/>
        <w:rPr>
          <w:rFonts w:ascii="仿宋_GB2312" w:hAnsi="仿宋_GB2312" w:eastAsia="仿宋_GB2312" w:cs="仿宋_GB2312"/>
          <w:b/>
          <w:bCs/>
          <w:sz w:val="32"/>
          <w:szCs w:val="32"/>
        </w:rPr>
      </w:pPr>
      <w:bookmarkStart w:id="34" w:name="_Toc256000030"/>
      <w:r>
        <w:rPr>
          <w:rFonts w:ascii="仿宋_GB2312" w:hAnsi="仿宋_GB2312" w:eastAsia="仿宋_GB2312" w:cs="仿宋_GB2312"/>
          <w:kern w:val="36"/>
        </w:rPr>
        <w:t>7履约验收要求</w:t>
      </w:r>
      <w:bookmarkEnd w:id="34"/>
    </w:p>
    <w:p>
      <w:pPr>
        <w:pStyle w:val="91"/>
        <w:keepNext w:val="0"/>
        <w:spacing w:before="0" w:after="0" w:line="360" w:lineRule="auto"/>
        <w:rPr>
          <w:rFonts w:ascii="仿宋_GB2312" w:hAnsi="仿宋_GB2312" w:eastAsia="仿宋_GB2312" w:cs="仿宋_GB2312"/>
          <w:b/>
          <w:bCs/>
          <w:sz w:val="28"/>
          <w:szCs w:val="28"/>
        </w:rPr>
      </w:pPr>
      <w:bookmarkStart w:id="35" w:name="_Toc256000031"/>
      <w:r>
        <w:rPr>
          <w:rFonts w:ascii="仿宋_GB2312" w:hAnsi="仿宋_GB2312" w:eastAsia="仿宋_GB2312" w:cs="仿宋_GB2312"/>
          <w:i w:val="0"/>
          <w:iCs w:val="0"/>
        </w:rPr>
        <w:t>7.1总体要求</w:t>
      </w:r>
      <w:bookmarkEnd w:id="35"/>
    </w:p>
    <w:tbl>
      <w:tblPr>
        <w:tblStyle w:val="32"/>
        <w:tblW w:w="5000" w:type="pct"/>
        <w:tblInd w:w="30" w:type="dxa"/>
        <w:tblLayout w:type="autofit"/>
        <w:tblCellMar>
          <w:top w:w="15" w:type="dxa"/>
          <w:left w:w="15" w:type="dxa"/>
          <w:bottom w:w="15" w:type="dxa"/>
          <w:right w:w="15" w:type="dxa"/>
        </w:tblCellMar>
      </w:tblPr>
      <w:tblGrid>
        <w:gridCol w:w="4535"/>
        <w:gridCol w:w="4535"/>
      </w:tblGrid>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验收要求</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送货当场验收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1.验收人员：由采购人食堂管理人员、库房管理人员组成验收小组，投标人送货人员应积极配合验收。2.验收时间和地点（1）验收时间：到货当天。（2）验收地点：国家税务总局吉林市税务局指定地点。（3）验收组织形式：采购人组织验收。（4）验收方式：现场验收。（5）验收内容：所供食材（a）质量是否符合约定标准；（b）重量、数量、价格是否与采购人的预定量一致。</w:t>
            </w:r>
          </w:p>
        </w:tc>
      </w:tr>
    </w:tbl>
    <w:p>
      <w:pPr>
        <w:pStyle w:val="91"/>
        <w:keepNext w:val="0"/>
        <w:spacing w:before="0" w:after="0" w:line="360" w:lineRule="auto"/>
        <w:rPr>
          <w:rFonts w:ascii="仿宋_GB2312" w:hAnsi="仿宋_GB2312" w:eastAsia="仿宋_GB2312" w:cs="仿宋_GB2312"/>
          <w:b/>
          <w:bCs/>
          <w:sz w:val="28"/>
          <w:szCs w:val="28"/>
        </w:rPr>
      </w:pPr>
      <w:bookmarkStart w:id="36" w:name="_Toc256000032"/>
      <w:r>
        <w:rPr>
          <w:rFonts w:ascii="仿宋_GB2312" w:hAnsi="仿宋_GB2312" w:eastAsia="仿宋_GB2312" w:cs="仿宋_GB2312"/>
          <w:i w:val="0"/>
          <w:iCs w:val="0"/>
        </w:rPr>
        <w:t>7.2具体要求</w:t>
      </w:r>
      <w:bookmarkEnd w:id="36"/>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1.验收场所的准备</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应当在固定的场所进行验收，采购人定期清扫消毒，保持清洁，保证无积尘、无食品残渣，无霉斑、鼠迹、苍蝇、蟑螂，验收场所不准存放有毒、有害物品及个人生活用品。</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2.验收小组按订单对采购货物的品种、质量、数量进行检查验收，对货不对版、质量不好、价格明显过于偏高的食材不予验收且有权拒收，对于数量不足的食材，按照实际数量入账，填制验收记录和验收单。</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3.验收流程</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（1）投标人应在验收时提供与送货内容一致的送货单，并加盖公章。</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（2）卸货前的检查。验收人员卸货前应对货物的外观质量进行初步了解。</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（3）采取当场验收的方式，验收人认真检查货物，按核对品种→索证→抽查(检测）→数量、重量、质量、价格验收→签名确认→入库的程序完成验收。</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要求投标人提供产品质量检测报告及卫生合格报告书，肉类产品应提供当地卫生部门开具的动物检验检疫合格票、产品检疫合格证，证明内容与产品内容要一致。投标人以提供原件为主，不能留原件的提供复印件。</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（4）发现食品安全质量问题的处理：</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抽查时发现食品质量不过关或影响食用安全的，对当日所送同批次产品全部退货。</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若抽查未发现问题，按储藏要求储藏后在加工食用前发现产品质量问题的，投标人必须退货或更换。</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4.退（补）货流程</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1小时内补送订单品种。</w:t>
      </w:r>
    </w:p>
    <w:p>
      <w:pPr>
        <w:pStyle w:val="102"/>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5. 包装带箱、筐的食材按照去除箱、筐后的重量计算。投标人需配合采购人库管人员进行倒筐称重，共同签字确认。</w:t>
      </w:r>
    </w:p>
    <w:p>
      <w:pPr>
        <w:pStyle w:val="97"/>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6.货物验收方案</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投标人必须按照本项目需求书要求详细阐述货物验收方案。对规定各项验收指标提出明确的验收前提条件和验收依据及标准，列明需要移交和交付的各类检验报告和证明证书。对验收中可能发现的问题，投标人应提出有效解决办法和补救措施。</w:t>
      </w:r>
    </w:p>
    <w:p>
      <w:pPr>
        <w:pStyle w:val="90"/>
        <w:keepNext w:val="0"/>
        <w:spacing w:before="0" w:after="0" w:line="360" w:lineRule="auto"/>
        <w:jc w:val="center"/>
        <w:rPr>
          <w:rFonts w:ascii="仿宋_GB2312" w:hAnsi="仿宋_GB2312" w:eastAsia="仿宋_GB2312" w:cs="仿宋_GB2312"/>
          <w:b/>
          <w:bCs/>
          <w:sz w:val="32"/>
          <w:szCs w:val="32"/>
        </w:rPr>
      </w:pPr>
      <w:bookmarkStart w:id="37" w:name="_Toc256000033"/>
      <w:r>
        <w:rPr>
          <w:rFonts w:ascii="仿宋_GB2312" w:hAnsi="仿宋_GB2312" w:eastAsia="仿宋_GB2312" w:cs="仿宋_GB2312"/>
          <w:kern w:val="36"/>
        </w:rPr>
        <w:t>8其他要求</w:t>
      </w:r>
      <w:bookmarkEnd w:id="37"/>
    </w:p>
    <w:p>
      <w:pPr>
        <w:pStyle w:val="91"/>
        <w:keepNext w:val="0"/>
        <w:spacing w:before="0" w:after="0" w:line="360" w:lineRule="auto"/>
        <w:rPr>
          <w:rFonts w:ascii="仿宋_GB2312" w:hAnsi="仿宋_GB2312" w:eastAsia="仿宋_GB2312" w:cs="仿宋_GB2312"/>
          <w:b/>
          <w:bCs/>
          <w:sz w:val="28"/>
          <w:szCs w:val="28"/>
        </w:rPr>
      </w:pPr>
      <w:bookmarkStart w:id="38" w:name="_Toc256000034"/>
      <w:r>
        <w:rPr>
          <w:rFonts w:ascii="仿宋_GB2312" w:hAnsi="仿宋_GB2312" w:eastAsia="仿宋_GB2312" w:cs="仿宋_GB2312"/>
          <w:i w:val="0"/>
          <w:iCs w:val="0"/>
        </w:rPr>
        <w:t>8.1必备要求</w:t>
      </w:r>
      <w:bookmarkEnd w:id="38"/>
    </w:p>
    <w:p>
      <w:pPr>
        <w:pStyle w:val="92"/>
        <w:keepNext w:val="0"/>
        <w:spacing w:before="0" w:after="0" w:line="360" w:lineRule="auto"/>
        <w:rPr>
          <w:rFonts w:ascii="仿宋_GB2312" w:hAnsi="仿宋_GB2312" w:eastAsia="仿宋_GB2312" w:cs="仿宋_GB2312"/>
          <w:b/>
          <w:bCs/>
          <w:sz w:val="28"/>
          <w:szCs w:val="28"/>
        </w:rPr>
      </w:pPr>
      <w:bookmarkStart w:id="39" w:name="_Toc256000035"/>
      <w:r>
        <w:rPr>
          <w:rFonts w:ascii="仿宋_GB2312" w:hAnsi="仿宋_GB2312" w:eastAsia="仿宋_GB2312" w:cs="仿宋_GB2312"/>
          <w:sz w:val="28"/>
          <w:szCs w:val="28"/>
        </w:rPr>
        <w:t>8.1.1通用必备要求</w:t>
      </w:r>
      <w:bookmarkEnd w:id="39"/>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91"/>
        <w:keepNext w:val="0"/>
        <w:spacing w:before="0" w:after="0" w:line="360" w:lineRule="auto"/>
        <w:rPr>
          <w:rFonts w:ascii="仿宋_GB2312" w:hAnsi="仿宋_GB2312" w:eastAsia="仿宋_GB2312" w:cs="仿宋_GB2312"/>
          <w:b/>
          <w:bCs/>
          <w:sz w:val="28"/>
          <w:szCs w:val="28"/>
        </w:rPr>
      </w:pPr>
      <w:bookmarkStart w:id="40" w:name="_Toc256000036"/>
      <w:r>
        <w:rPr>
          <w:rFonts w:ascii="仿宋_GB2312" w:hAnsi="仿宋_GB2312" w:eastAsia="仿宋_GB2312" w:cs="仿宋_GB2312"/>
          <w:i w:val="0"/>
          <w:iCs w:val="0"/>
        </w:rPr>
        <w:t>8.2定价方式</w:t>
      </w:r>
      <w:bookmarkEnd w:id="40"/>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1.本项目以结算率(以百分数表示，小数点后保留两位)进行报价，采购人不接受任何其他方式的报价。供应商的报价是供应商响应本项目要求的全部工作内容的价格体现，包括供应商完成本项目所需支出的一切成本和费用(包括但不限于人工劳务、货物成本、运输成本、仓储成本、搬运费、二次搬运费、抽样检测费、风险、保险、售后服务、招标代理服务费、税金等)、获得的合法合理利润及其投标文件中所给与的一切附加服务，供应商须认真阅读招标文件，根据本项目所需提供的货物清单、相关服务要求、质量要求、商务要求及其他要求等的内容，结合供应商自身实际情况和项目执行过程中可能遇到的各类因素，科学测算成本，理性报价，中标后全部费用均包含在其中标报价中，供应商不得以遗漏报价等任何理由要求另行增加费用，同时由于供应商的原因造成报价低于成本价的，其责任由供应商自行承担。</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本项目投标人在报价时均应按结算率(以百分数表示，小数点后保留两位)进行报价，在实际结算时采购人将按中标人报价时所报的结算率及不同产品固定的价格调整系数进行结算，即：实际结算价格＝市场询价价格×该类产品的固定价格调整系数×结算率(例如：中标人在报价时所报牛羊肉的结算率为80%，市场询价价格为100元/kg，牛羊肉的固定价格调整系数为0.98，则实际结算价格为：100元/kg×0.98×80%＝78.4元/kg)。牛羊肉固定价格调整系数0.98，其他类别产品固定价格调整系数0.95。供应商的报价(结算率)不得小于等于0(表示免费提供)或大于100%，否则将按无效投标处理。</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市场询价价格是以每月月底采购人在“吉林市发展和改革委员会”—“政府信息公开”—“吉林市粮油、副食品零售价格监测表”中每周公布的商品平均价格作为采购基准价。吉林市发展和改革委员会官方网站发布的“吉林市粮油、副食品零售价格监测表”中无法查询的商品，采购人依次参照“大润发优鲜小程序（江南店）”、采购人所在地周边大型连锁超市或品牌连锁店价格作为参照，牛羊肉固定价格调整系数为0.96，其他产品固定价格调整系数0.93。报价（结算率）在合同履行过程中是固定不变的，任何可调整的报价(结算率)将不予接受，并按无效投标处理。供应商应当按照招标文件要求进行报价，否则将被作为无效投标处理。供应食材价格总额由采购人在不超过项目预算的前提下核定。本合同执行期间合同总价不变，采购人无须另向中标人支付合同规定之外的其他任何费用。</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2.投标总价：投标人应在定价依据基础上，同时结合产品价格、运输、装卸、售后服务、搬运费、税金等情况，对采购项目进行报价，投标总价不得超过项目预算。</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3.如遇某品目食材市场价格在一个价格周期内出现剧烈波动超过5%以上的，中标供应商应主动向采购人提交申请，经双方友好协商，该食材的结算价格在该价格周期可做调整。</w:t>
      </w:r>
    </w:p>
    <w:p>
      <w:pPr>
        <w:pStyle w:val="91"/>
        <w:keepNext w:val="0"/>
        <w:spacing w:before="0" w:after="0" w:line="360" w:lineRule="auto"/>
        <w:rPr>
          <w:rFonts w:ascii="仿宋_GB2312" w:hAnsi="仿宋_GB2312" w:eastAsia="仿宋_GB2312" w:cs="仿宋_GB2312"/>
          <w:b/>
          <w:bCs/>
          <w:sz w:val="28"/>
          <w:szCs w:val="28"/>
        </w:rPr>
      </w:pPr>
      <w:bookmarkStart w:id="41" w:name="_Toc256000037"/>
      <w:r>
        <w:rPr>
          <w:rFonts w:ascii="仿宋_GB2312" w:hAnsi="仿宋_GB2312" w:eastAsia="仿宋_GB2312" w:cs="仿宋_GB2312"/>
          <w:i w:val="0"/>
          <w:iCs w:val="0"/>
        </w:rPr>
        <w:t>8.3付款安排建议</w:t>
      </w:r>
      <w:bookmarkEnd w:id="41"/>
    </w:p>
    <w:tbl>
      <w:tblPr>
        <w:tblStyle w:val="32"/>
        <w:tblW w:w="5000" w:type="pct"/>
        <w:tblInd w:w="30" w:type="dxa"/>
        <w:tblLayout w:type="autofit"/>
        <w:tblCellMar>
          <w:top w:w="15" w:type="dxa"/>
          <w:left w:w="15" w:type="dxa"/>
          <w:bottom w:w="15" w:type="dxa"/>
          <w:right w:w="15" w:type="dxa"/>
        </w:tblCellMar>
      </w:tblPr>
      <w:tblGrid>
        <w:gridCol w:w="1814"/>
        <w:gridCol w:w="5442"/>
        <w:gridCol w:w="1814"/>
      </w:tblGrid>
      <w:tr>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1次/月，共12次/年</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按上月实际采购金额付款</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100.0</w:t>
            </w:r>
          </w:p>
        </w:tc>
      </w:tr>
    </w:tbl>
    <w:p>
      <w:pPr>
        <w:pStyle w:val="91"/>
        <w:keepNext w:val="0"/>
        <w:spacing w:before="0" w:after="0" w:line="360" w:lineRule="auto"/>
        <w:rPr>
          <w:rFonts w:ascii="仿宋_GB2312" w:hAnsi="仿宋_GB2312" w:eastAsia="仿宋_GB2312" w:cs="仿宋_GB2312"/>
          <w:b/>
          <w:bCs/>
          <w:sz w:val="28"/>
          <w:szCs w:val="28"/>
        </w:rPr>
      </w:pPr>
      <w:bookmarkStart w:id="42" w:name="_Toc256000038"/>
      <w:r>
        <w:rPr>
          <w:rFonts w:ascii="仿宋_GB2312" w:hAnsi="仿宋_GB2312" w:eastAsia="仿宋_GB2312" w:cs="仿宋_GB2312"/>
          <w:i w:val="0"/>
          <w:iCs w:val="0"/>
        </w:rPr>
        <w:t>8.4付款方式</w:t>
      </w:r>
      <w:bookmarkEnd w:id="42"/>
    </w:p>
    <w:p>
      <w:pPr>
        <w:pStyle w:val="93"/>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双方核对账目无误后，中标供应商于每月10日前向采购人（国家税务总局吉林市税务局）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p>
      <w:pPr>
        <w:pStyle w:val="91"/>
        <w:keepNext w:val="0"/>
        <w:spacing w:before="0" w:after="0" w:line="360" w:lineRule="auto"/>
        <w:rPr>
          <w:rFonts w:ascii="仿宋_GB2312" w:hAnsi="仿宋_GB2312" w:eastAsia="仿宋_GB2312" w:cs="仿宋_GB2312"/>
          <w:b/>
          <w:bCs/>
          <w:sz w:val="28"/>
          <w:szCs w:val="28"/>
        </w:rPr>
      </w:pPr>
      <w:bookmarkStart w:id="43" w:name="_Toc256000039"/>
      <w:bookmarkStart w:id="45" w:name="_GoBack"/>
      <w:bookmarkEnd w:id="45"/>
      <w:r>
        <w:rPr>
          <w:rFonts w:ascii="仿宋_GB2312" w:hAnsi="仿宋_GB2312" w:eastAsia="仿宋_GB2312" w:cs="仿宋_GB2312"/>
          <w:i w:val="0"/>
          <w:iCs w:val="0"/>
        </w:rPr>
        <w:t>8.5其他要求</w:t>
      </w:r>
      <w:bookmarkEnd w:id="43"/>
    </w:p>
    <w:p>
      <w:pPr>
        <w:pStyle w:val="92"/>
        <w:keepNext w:val="0"/>
        <w:spacing w:before="0" w:after="0" w:line="360" w:lineRule="auto"/>
        <w:rPr>
          <w:rFonts w:ascii="仿宋_GB2312" w:hAnsi="仿宋_GB2312" w:eastAsia="仿宋_GB2312" w:cs="仿宋_GB2312"/>
          <w:b/>
          <w:bCs/>
          <w:sz w:val="28"/>
          <w:szCs w:val="28"/>
        </w:rPr>
      </w:pPr>
      <w:bookmarkStart w:id="44" w:name="_Toc256000040"/>
      <w:r>
        <w:rPr>
          <w:rFonts w:ascii="仿宋_GB2312" w:hAnsi="仿宋_GB2312" w:eastAsia="仿宋_GB2312" w:cs="仿宋_GB2312"/>
          <w:sz w:val="28"/>
          <w:szCs w:val="28"/>
        </w:rPr>
        <w:t>8.5.1保密要求</w:t>
      </w:r>
      <w:bookmarkEnd w:id="44"/>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服务团队人员上岗前应通过内容包括国家保密法律法规、保密制度、服务过程中的保密知识技能及相关要求、典型案例等的保密培训，签订《保密承诺书》；重点岗位员工须上报采购人进行审核后方可入职，进入办公区域的服务人员禁止摄影、摄像、录音；每季度至少开展1次对服务人员进行保密、思想政治教育的培训，提高服务人员保密意识和思想政治意识。新入职员工应当接受保密、思想政治教育培训，进行必要的人员经历审查，合格后签订保密协议方可上岗。</w:t>
      </w:r>
    </w:p>
    <w:p>
      <w:pPr>
        <w:pStyle w:val="18"/>
        <w:spacing w:before="0" w:after="0" w:line="360" w:lineRule="auto"/>
        <w:jc w:val="left"/>
      </w:pPr>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FangSong_GB2312">
    <w:altName w:val="仿宋_GB2312"/>
    <w:panose1 w:val="020B0604020202020204"/>
    <w:charset w:val="00"/>
    <w:family w:val="auto"/>
    <w:pitch w:val="default"/>
    <w:sig w:usb0="00000000" w:usb1="00000000" w:usb2="00000000" w:usb3="00000000" w:csb0="00040000" w:csb1="00000000"/>
  </w:font>
  <w:font w:name="长城仿宋">
    <w:altName w:val="微软雅黑"/>
    <w:panose1 w:val="020B0604020202020204"/>
    <w:charset w:val="00"/>
    <w:family w:val="modern"/>
    <w:pitch w:val="default"/>
    <w:sig w:usb0="00000000" w:usb1="00000000" w:usb2="00000010" w:usb3="00000000" w:csb0="00040000" w:csb1="00000000"/>
  </w:font>
  <w:font w:name="Calibri Light">
    <w:altName w:val="Calibri"/>
    <w:panose1 w:val="020F0302020204030204"/>
    <w:charset w:val="00"/>
    <w:family w:val="swiss"/>
    <w:pitch w:val="default"/>
    <w:sig w:usb0="00000000" w:usb1="00000000" w:usb2="00000009" w:usb3="00000000" w:csb0="000001FF"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spacing w:before="0" w:after="0" w:line="360" w:lineRule="auto"/>
      <w:jc w:val="center"/>
    </w:pPr>
    <w:r>
      <w:fldChar w:fldCharType="begin"/>
    </w:r>
    <w:r>
      <w:instrText xml:space="preserve"> PAGE </w:instrText>
    </w:r>
    <w:r>
      <w:fldChar w:fldCharType="separate"/>
    </w:r>
    <w:r>
      <w:t>19</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1">
    <w:nsid w:val="00000002"/>
    <w:multiLevelType w:val="multilevel"/>
    <w:tmpl w:val="00000002"/>
    <w:lvl w:ilvl="0" w:tentative="0">
      <w:start w:val="1"/>
      <w:numFmt w:val="decimal"/>
      <w:pStyle w:val="84"/>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00000003"/>
    <w:multiLevelType w:val="multilevel"/>
    <w:tmpl w:val="00000003"/>
    <w:lvl w:ilvl="0" w:tentative="0">
      <w:start w:val="1"/>
      <w:numFmt w:val="decimal"/>
      <w:pStyle w:val="64"/>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cumentProtection w:enforcement="0"/>
  <w:defaultTabStop w:val="420"/>
  <w:drawingGridVerticalSpacing w:val="156"/>
  <w:displayHorizontalDrawingGridEvery w:val="0"/>
  <w:displayVerticalDrawingGridEvery w:val="2"/>
  <w:doNotShadeFormData w:val="1"/>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36229E"/>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365690"/>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9"/>
    <w:qFormat/>
    <w:uiPriority w:val="0"/>
    <w:pPr>
      <w:keepNext/>
      <w:keepLines/>
      <w:spacing w:before="340" w:after="330" w:line="576" w:lineRule="auto"/>
      <w:outlineLvl w:val="0"/>
    </w:pPr>
    <w:rPr>
      <w:b/>
      <w:bCs/>
      <w:kern w:val="44"/>
      <w:sz w:val="44"/>
      <w:szCs w:val="44"/>
    </w:rPr>
  </w:style>
  <w:style w:type="paragraph" w:styleId="4">
    <w:name w:val="heading 2"/>
    <w:basedOn w:val="3"/>
    <w:next w:val="5"/>
    <w:qFormat/>
    <w:uiPriority w:val="0"/>
    <w:pPr>
      <w:numPr>
        <w:ilvl w:val="1"/>
        <w:numId w:val="1"/>
      </w:numPr>
      <w:tabs>
        <w:tab w:val="left" w:pos="2400"/>
      </w:tabs>
      <w:spacing w:before="260" w:afterLines="50" w:line="416" w:lineRule="auto"/>
      <w:outlineLvl w:val="1"/>
    </w:pPr>
    <w:rPr>
      <w:rFonts w:ascii="Arial" w:hAnsi="Arial" w:eastAsia="黑体" w:cs="Calibri"/>
      <w:sz w:val="32"/>
      <w:szCs w:val="32"/>
    </w:rPr>
  </w:style>
  <w:style w:type="paragraph" w:styleId="5">
    <w:name w:val="heading 3"/>
    <w:basedOn w:val="1"/>
    <w:next w:val="1"/>
    <w:link w:val="40"/>
    <w:qFormat/>
    <w:uiPriority w:val="0"/>
    <w:pPr>
      <w:keepNext/>
      <w:keepLines/>
      <w:tabs>
        <w:tab w:val="left" w:pos="0"/>
      </w:tabs>
      <w:spacing w:before="260" w:after="260" w:line="415" w:lineRule="auto"/>
      <w:outlineLvl w:val="2"/>
    </w:pPr>
    <w:rPr>
      <w:b/>
      <w:sz w:val="32"/>
      <w:szCs w:val="32"/>
    </w:rPr>
  </w:style>
  <w:style w:type="paragraph" w:styleId="6">
    <w:name w:val="heading 4"/>
    <w:basedOn w:val="1"/>
    <w:next w:val="1"/>
    <w:link w:val="41"/>
    <w:qFormat/>
    <w:uiPriority w:val="0"/>
    <w:pPr>
      <w:keepNext/>
      <w:autoSpaceDE w:val="0"/>
      <w:autoSpaceDN w:val="0"/>
      <w:adjustRightInd w:val="0"/>
      <w:jc w:val="left"/>
      <w:outlineLvl w:val="3"/>
    </w:pPr>
    <w:rPr>
      <w:rFonts w:ascii="宋体" w:hAnsi="宋体"/>
      <w:color w:val="0000FF"/>
      <w:kern w:val="0"/>
      <w:sz w:val="28"/>
      <w:szCs w:val="20"/>
    </w:rPr>
  </w:style>
  <w:style w:type="paragraph" w:styleId="7">
    <w:name w:val="heading 5"/>
    <w:basedOn w:val="1"/>
    <w:next w:val="1"/>
    <w:link w:val="42"/>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8">
    <w:name w:val="heading 6"/>
    <w:basedOn w:val="1"/>
    <w:next w:val="1"/>
    <w:link w:val="43"/>
    <w:qFormat/>
    <w:uiPriority w:val="0"/>
    <w:pPr>
      <w:keepNext/>
      <w:keepLines/>
      <w:tabs>
        <w:tab w:val="left" w:pos="1152"/>
      </w:tabs>
      <w:spacing w:before="240" w:after="64" w:line="319" w:lineRule="auto"/>
      <w:ind w:left="1152" w:hanging="1152"/>
      <w:outlineLvl w:val="5"/>
    </w:pPr>
    <w:rPr>
      <w:rFonts w:ascii="Arial" w:hAnsi="Arial" w:eastAsia="黑体"/>
      <w:b/>
      <w:bCs/>
      <w:sz w:val="24"/>
    </w:rPr>
  </w:style>
  <w:style w:type="paragraph" w:styleId="9">
    <w:name w:val="heading 7"/>
    <w:basedOn w:val="1"/>
    <w:next w:val="1"/>
    <w:link w:val="44"/>
    <w:qFormat/>
    <w:uiPriority w:val="0"/>
    <w:pPr>
      <w:keepNext/>
      <w:keepLines/>
      <w:tabs>
        <w:tab w:val="left" w:pos="1296"/>
      </w:tabs>
      <w:spacing w:before="240" w:after="64" w:line="319" w:lineRule="auto"/>
      <w:ind w:left="1296" w:hanging="1296"/>
      <w:outlineLvl w:val="6"/>
    </w:pPr>
    <w:rPr>
      <w:b/>
      <w:bCs/>
      <w:sz w:val="24"/>
    </w:rPr>
  </w:style>
  <w:style w:type="paragraph" w:styleId="10">
    <w:name w:val="heading 8"/>
    <w:basedOn w:val="1"/>
    <w:next w:val="1"/>
    <w:link w:val="45"/>
    <w:qFormat/>
    <w:uiPriority w:val="0"/>
    <w:pPr>
      <w:keepNext/>
      <w:keepLines/>
      <w:tabs>
        <w:tab w:val="left" w:pos="1440"/>
      </w:tabs>
      <w:spacing w:before="240" w:after="64" w:line="319" w:lineRule="auto"/>
      <w:ind w:left="1440" w:hanging="1440"/>
      <w:outlineLvl w:val="7"/>
    </w:pPr>
    <w:rPr>
      <w:rFonts w:ascii="Arial" w:hAnsi="Arial" w:eastAsia="黑体"/>
      <w:sz w:val="24"/>
    </w:rPr>
  </w:style>
  <w:style w:type="paragraph" w:styleId="11">
    <w:name w:val="heading 9"/>
    <w:basedOn w:val="1"/>
    <w:next w:val="1"/>
    <w:link w:val="46"/>
    <w:qFormat/>
    <w:uiPriority w:val="0"/>
    <w:pPr>
      <w:keepNext/>
      <w:keepLines/>
      <w:tabs>
        <w:tab w:val="left" w:pos="1584"/>
      </w:tabs>
      <w:spacing w:before="240" w:after="64" w:line="319" w:lineRule="auto"/>
      <w:ind w:left="1584" w:hanging="1584"/>
      <w:outlineLvl w:val="8"/>
    </w:pPr>
    <w:rPr>
      <w:rFonts w:ascii="Arial" w:hAnsi="Arial" w:eastAsia="黑体"/>
      <w:szCs w:val="21"/>
    </w:rPr>
  </w:style>
  <w:style w:type="character" w:default="1" w:styleId="33">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38"/>
    <w:qFormat/>
    <w:uiPriority w:val="0"/>
    <w:pPr>
      <w:spacing w:after="120"/>
    </w:pPr>
  </w:style>
  <w:style w:type="paragraph" w:styleId="12">
    <w:name w:val="List Number 2"/>
    <w:basedOn w:val="1"/>
    <w:qFormat/>
    <w:uiPriority w:val="0"/>
    <w:pPr>
      <w:numPr>
        <w:ilvl w:val="0"/>
        <w:numId w:val="2"/>
      </w:numPr>
    </w:pPr>
  </w:style>
  <w:style w:type="paragraph" w:styleId="13">
    <w:name w:val="Document Map"/>
    <w:basedOn w:val="1"/>
    <w:link w:val="47"/>
    <w:qFormat/>
    <w:uiPriority w:val="0"/>
    <w:pPr>
      <w:shd w:val="clear" w:color="auto" w:fill="000080"/>
    </w:pPr>
    <w:rPr>
      <w:kern w:val="0"/>
      <w:sz w:val="20"/>
      <w:shd w:val="clear" w:color="auto" w:fill="000080"/>
    </w:rPr>
  </w:style>
  <w:style w:type="paragraph" w:styleId="14">
    <w:name w:val="annotation text"/>
    <w:basedOn w:val="1"/>
    <w:qFormat/>
    <w:uiPriority w:val="0"/>
    <w:pPr>
      <w:jc w:val="left"/>
    </w:p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Indent"/>
    <w:basedOn w:val="1"/>
    <w:link w:val="48"/>
    <w:qFormat/>
    <w:uiPriority w:val="0"/>
    <w:pPr>
      <w:ind w:firstLine="360"/>
    </w:pPr>
    <w:rPr>
      <w:kern w:val="0"/>
      <w:sz w:val="20"/>
      <w:szCs w:val="20"/>
    </w:rPr>
  </w:style>
  <w:style w:type="paragraph" w:styleId="17">
    <w:name w:val="toc 3"/>
    <w:basedOn w:val="1"/>
    <w:next w:val="18"/>
    <w:qFormat/>
    <w:uiPriority w:val="0"/>
    <w:pPr>
      <w:widowControl/>
      <w:spacing w:after="0" w:line="240" w:lineRule="auto"/>
      <w:ind w:left="480"/>
      <w:jc w:val="left"/>
    </w:pPr>
    <w:rPr>
      <w:rFonts w:ascii="仿宋_GB2312" w:hAnsi="仿宋_GB2312" w:eastAsia="仿宋_GB2312" w:cs="仿宋_GB2312"/>
      <w:color w:val="000000"/>
      <w:kern w:val="0"/>
      <w:sz w:val="24"/>
      <w:lang w:eastAsia="en-US"/>
    </w:rPr>
  </w:style>
  <w:style w:type="paragraph" w:customStyle="1" w:styleId="18">
    <w:name w:val="Normal_0"/>
    <w:qFormat/>
    <w:uiPriority w:val="0"/>
    <w:rPr>
      <w:rFonts w:ascii="Times New Roman" w:hAnsi="Times New Roman" w:eastAsia="Times New Roman" w:cs="Times New Roman"/>
      <w:sz w:val="24"/>
      <w:szCs w:val="24"/>
      <w:lang w:val="en-US" w:eastAsia="en-US" w:bidi="ar-SA"/>
    </w:rPr>
  </w:style>
  <w:style w:type="paragraph" w:styleId="19">
    <w:name w:val="Plain Text"/>
    <w:basedOn w:val="1"/>
    <w:link w:val="49"/>
    <w:qFormat/>
    <w:uiPriority w:val="0"/>
    <w:pPr>
      <w:spacing w:after="0"/>
    </w:pPr>
    <w:rPr>
      <w:rFonts w:ascii="宋体" w:hAnsi="Courier New"/>
      <w:kern w:val="0"/>
      <w:sz w:val="20"/>
      <w:szCs w:val="21"/>
    </w:rPr>
  </w:style>
  <w:style w:type="paragraph" w:styleId="20">
    <w:name w:val="Date"/>
    <w:basedOn w:val="1"/>
    <w:next w:val="1"/>
    <w:link w:val="50"/>
    <w:qFormat/>
    <w:uiPriority w:val="0"/>
    <w:pPr>
      <w:ind w:left="100" w:leftChars="2500"/>
    </w:pPr>
    <w:rPr>
      <w:kern w:val="0"/>
      <w:sz w:val="20"/>
    </w:rPr>
  </w:style>
  <w:style w:type="paragraph" w:styleId="21">
    <w:name w:val="Body Text Indent 2"/>
    <w:basedOn w:val="1"/>
    <w:link w:val="51"/>
    <w:qFormat/>
    <w:uiPriority w:val="0"/>
    <w:pPr>
      <w:ind w:firstLine="630"/>
    </w:pPr>
    <w:rPr>
      <w:rFonts w:ascii="宋体"/>
      <w:kern w:val="0"/>
      <w:sz w:val="28"/>
      <w:szCs w:val="20"/>
    </w:rPr>
  </w:style>
  <w:style w:type="paragraph" w:styleId="22">
    <w:name w:val="Balloon Text"/>
    <w:basedOn w:val="1"/>
    <w:link w:val="52"/>
    <w:qFormat/>
    <w:uiPriority w:val="0"/>
    <w:rPr>
      <w:kern w:val="0"/>
      <w:sz w:val="18"/>
      <w:szCs w:val="18"/>
    </w:rPr>
  </w:style>
  <w:style w:type="paragraph" w:styleId="23">
    <w:name w:val="footer"/>
    <w:basedOn w:val="1"/>
    <w:link w:val="53"/>
    <w:qFormat/>
    <w:uiPriority w:val="0"/>
    <w:pPr>
      <w:tabs>
        <w:tab w:val="center" w:pos="4140"/>
        <w:tab w:val="right" w:pos="8300"/>
      </w:tabs>
      <w:snapToGrid w:val="0"/>
      <w:spacing w:after="0"/>
      <w:jc w:val="left"/>
    </w:pPr>
    <w:rPr>
      <w:kern w:val="0"/>
      <w:sz w:val="18"/>
    </w:rPr>
  </w:style>
  <w:style w:type="paragraph" w:styleId="24">
    <w:name w:val="header"/>
    <w:basedOn w:val="1"/>
    <w:link w:val="54"/>
    <w:qFormat/>
    <w:uiPriority w:val="0"/>
    <w:pPr>
      <w:pBdr>
        <w:bottom w:val="single" w:color="auto" w:sz="6" w:space="1"/>
      </w:pBdr>
      <w:tabs>
        <w:tab w:val="center" w:pos="4153"/>
        <w:tab w:val="right" w:pos="8306"/>
      </w:tabs>
      <w:snapToGrid w:val="0"/>
      <w:jc w:val="center"/>
    </w:pPr>
    <w:rPr>
      <w:kern w:val="0"/>
      <w:sz w:val="18"/>
      <w:szCs w:val="18"/>
    </w:rPr>
  </w:style>
  <w:style w:type="paragraph" w:styleId="25">
    <w:name w:val="toc 1"/>
    <w:basedOn w:val="1"/>
    <w:next w:val="1"/>
    <w:qFormat/>
    <w:uiPriority w:val="0"/>
    <w:pPr>
      <w:spacing w:before="120" w:after="120"/>
      <w:jc w:val="left"/>
    </w:pPr>
    <w:rPr>
      <w:rFonts w:ascii="仿宋_GB2312" w:hAnsi="仿宋_GB2312" w:eastAsia="仿宋_GB2312" w:cs="仿宋_GB2312"/>
      <w:bCs/>
      <w:caps/>
      <w:color w:val="000000"/>
      <w:sz w:val="24"/>
      <w:szCs w:val="20"/>
    </w:rPr>
  </w:style>
  <w:style w:type="paragraph" w:styleId="26">
    <w:name w:val="Body Text Indent 3"/>
    <w:basedOn w:val="1"/>
    <w:link w:val="55"/>
    <w:qFormat/>
    <w:uiPriority w:val="0"/>
    <w:pPr>
      <w:spacing w:line="360" w:lineRule="auto"/>
      <w:ind w:firstLine="480" w:firstLineChars="200"/>
      <w:jc w:val="left"/>
    </w:pPr>
    <w:rPr>
      <w:kern w:val="0"/>
      <w:sz w:val="24"/>
      <w:szCs w:val="20"/>
    </w:rPr>
  </w:style>
  <w:style w:type="paragraph" w:styleId="27">
    <w:name w:val="toc 2"/>
    <w:basedOn w:val="1"/>
    <w:next w:val="18"/>
    <w:qFormat/>
    <w:uiPriority w:val="0"/>
    <w:pPr>
      <w:widowControl/>
      <w:spacing w:after="0" w:line="240" w:lineRule="auto"/>
      <w:ind w:left="240"/>
      <w:jc w:val="left"/>
    </w:pPr>
    <w:rPr>
      <w:rFonts w:ascii="仿宋_GB2312" w:hAnsi="仿宋_GB2312" w:eastAsia="仿宋_GB2312" w:cs="仿宋_GB2312"/>
      <w:color w:val="000000"/>
      <w:kern w:val="0"/>
      <w:sz w:val="24"/>
      <w:lang w:eastAsia="en-US"/>
    </w:rPr>
  </w:style>
  <w:style w:type="paragraph" w:styleId="28">
    <w:name w:val="Body Text 2"/>
    <w:basedOn w:val="1"/>
    <w:link w:val="56"/>
    <w:qFormat/>
    <w:uiPriority w:val="0"/>
    <w:rPr>
      <w:rFonts w:ascii="FangSong_GB2312" w:eastAsia="FangSong_GB2312"/>
      <w:kern w:val="0"/>
      <w:sz w:val="28"/>
      <w:szCs w:val="20"/>
    </w:rPr>
  </w:style>
  <w:style w:type="paragraph" w:styleId="29">
    <w:name w:val="Normal (Web)"/>
    <w:basedOn w:val="1"/>
    <w:qFormat/>
    <w:uiPriority w:val="0"/>
    <w:pPr>
      <w:spacing w:before="100" w:beforeAutospacing="1" w:after="100" w:afterAutospacing="1"/>
      <w:jc w:val="left"/>
    </w:pPr>
    <w:rPr>
      <w:kern w:val="0"/>
      <w:sz w:val="24"/>
    </w:rPr>
  </w:style>
  <w:style w:type="paragraph" w:styleId="30">
    <w:name w:val="Title"/>
    <w:basedOn w:val="1"/>
    <w:link w:val="57"/>
    <w:qFormat/>
    <w:uiPriority w:val="0"/>
    <w:pPr>
      <w:spacing w:before="240" w:after="60"/>
      <w:jc w:val="center"/>
      <w:outlineLvl w:val="0"/>
    </w:pPr>
    <w:rPr>
      <w:rFonts w:ascii="Cambria" w:hAnsi="Cambria"/>
      <w:b/>
      <w:bCs/>
      <w:kern w:val="0"/>
      <w:sz w:val="32"/>
      <w:szCs w:val="32"/>
    </w:rPr>
  </w:style>
  <w:style w:type="paragraph" w:styleId="31">
    <w:name w:val="Body Text First Indent"/>
    <w:basedOn w:val="2"/>
    <w:link w:val="58"/>
    <w:qFormat/>
    <w:uiPriority w:val="0"/>
    <w:pPr>
      <w:ind w:firstLine="420" w:firstLineChars="100"/>
    </w:pPr>
    <w:rPr>
      <w:kern w:val="0"/>
      <w:sz w:val="20"/>
    </w:rPr>
  </w:style>
  <w:style w:type="character" w:styleId="34">
    <w:name w:val="Strong"/>
    <w:qFormat/>
    <w:uiPriority w:val="0"/>
    <w:rPr>
      <w:rFonts w:ascii="Times New Roman" w:hAnsi="Times New Roman" w:eastAsia="宋体" w:cs="Times New Roman"/>
      <w:b/>
    </w:rPr>
  </w:style>
  <w:style w:type="character" w:styleId="35">
    <w:name w:val="page number"/>
    <w:qFormat/>
    <w:uiPriority w:val="0"/>
    <w:rPr>
      <w:rFonts w:ascii="Times New Roman" w:hAnsi="Times New Roman" w:eastAsia="宋体" w:cs="Times New Roman"/>
    </w:rPr>
  </w:style>
  <w:style w:type="character" w:styleId="36">
    <w:name w:val="FollowedHyperlink"/>
    <w:qFormat/>
    <w:uiPriority w:val="0"/>
    <w:rPr>
      <w:rFonts w:hint="eastAsia" w:ascii="微软雅黑" w:hAnsi="微软雅黑" w:eastAsia="微软雅黑" w:cs="微软雅黑"/>
      <w:color w:val="02396F"/>
      <w:u w:val="single"/>
    </w:rPr>
  </w:style>
  <w:style w:type="character" w:styleId="37">
    <w:name w:val="Hyperlink"/>
    <w:qFormat/>
    <w:uiPriority w:val="0"/>
    <w:rPr>
      <w:rFonts w:ascii="Times New Roman" w:hAnsi="Times New Roman" w:eastAsia="宋体" w:cs="Times New Roman"/>
      <w:color w:val="0000FF"/>
      <w:u w:val="single"/>
    </w:rPr>
  </w:style>
  <w:style w:type="character" w:customStyle="1" w:styleId="38">
    <w:name w:val="Body Text Char"/>
    <w:link w:val="2"/>
    <w:qFormat/>
    <w:uiPriority w:val="0"/>
    <w:rPr>
      <w:rFonts w:ascii="Times New Roman" w:hAnsi="Times New Roman" w:eastAsia="宋体" w:cs="Times New Roman"/>
      <w:kern w:val="2"/>
      <w:sz w:val="21"/>
      <w:szCs w:val="24"/>
      <w:lang w:val="en-US" w:eastAsia="zh-CN" w:bidi="ar-SA"/>
    </w:rPr>
  </w:style>
  <w:style w:type="character" w:customStyle="1" w:styleId="39">
    <w:name w:val="Heading 1 Char"/>
    <w:link w:val="3"/>
    <w:qFormat/>
    <w:uiPriority w:val="0"/>
    <w:rPr>
      <w:rFonts w:ascii="Times New Roman" w:hAnsi="Times New Roman" w:eastAsia="宋体" w:cs="Times New Roman"/>
      <w:b/>
      <w:bCs/>
      <w:kern w:val="44"/>
      <w:sz w:val="44"/>
      <w:szCs w:val="44"/>
      <w:lang w:val="en-US" w:eastAsia="zh-CN" w:bidi="ar-SA"/>
    </w:rPr>
  </w:style>
  <w:style w:type="character" w:customStyle="1" w:styleId="40">
    <w:name w:val="Heading 3 Char"/>
    <w:link w:val="5"/>
    <w:qFormat/>
    <w:uiPriority w:val="0"/>
    <w:rPr>
      <w:rFonts w:ascii="Times New Roman" w:hAnsi="Times New Roman" w:eastAsia="宋体" w:cs="Times New Roman"/>
      <w:b/>
      <w:bCs/>
      <w:kern w:val="2"/>
      <w:sz w:val="32"/>
      <w:szCs w:val="32"/>
      <w:lang w:val="en-US" w:eastAsia="zh-CN" w:bidi="ar-SA"/>
    </w:rPr>
  </w:style>
  <w:style w:type="character" w:customStyle="1" w:styleId="41">
    <w:name w:val="Heading 4 Char"/>
    <w:link w:val="6"/>
    <w:qFormat/>
    <w:uiPriority w:val="0"/>
    <w:rPr>
      <w:rFonts w:ascii="宋体" w:hAnsi="宋体" w:eastAsia="宋体" w:cs="Times New Roman"/>
      <w:color w:val="0000FF"/>
      <w:sz w:val="28"/>
      <w:lang w:val="en-US" w:eastAsia="zh-CN" w:bidi="ar-SA"/>
    </w:rPr>
  </w:style>
  <w:style w:type="character" w:customStyle="1" w:styleId="42">
    <w:name w:val="Heading 5 Char"/>
    <w:link w:val="7"/>
    <w:qFormat/>
    <w:uiPriority w:val="0"/>
    <w:rPr>
      <w:rFonts w:ascii="Verdana" w:hAnsi="Verdana" w:eastAsia="宋体" w:cs="Times New Roman"/>
      <w:b/>
      <w:bCs/>
      <w:kern w:val="2"/>
      <w:sz w:val="28"/>
      <w:szCs w:val="28"/>
      <w:lang w:val="en-US" w:eastAsia="zh-CN" w:bidi="ar-SA"/>
    </w:rPr>
  </w:style>
  <w:style w:type="character" w:customStyle="1" w:styleId="43">
    <w:name w:val="Heading 6 Char"/>
    <w:link w:val="8"/>
    <w:qFormat/>
    <w:uiPriority w:val="0"/>
    <w:rPr>
      <w:rFonts w:ascii="Arial" w:hAnsi="Arial" w:eastAsia="黑体" w:cs="Times New Roman"/>
      <w:b/>
      <w:bCs/>
      <w:kern w:val="2"/>
      <w:sz w:val="24"/>
      <w:szCs w:val="24"/>
      <w:lang w:val="en-US" w:eastAsia="zh-CN" w:bidi="ar-SA"/>
    </w:rPr>
  </w:style>
  <w:style w:type="character" w:customStyle="1" w:styleId="44">
    <w:name w:val="Heading 7 Char"/>
    <w:link w:val="9"/>
    <w:qFormat/>
    <w:uiPriority w:val="0"/>
    <w:rPr>
      <w:rFonts w:ascii="Times New Roman" w:hAnsi="Times New Roman" w:eastAsia="宋体" w:cs="Times New Roman"/>
      <w:b/>
      <w:bCs/>
      <w:kern w:val="2"/>
      <w:sz w:val="24"/>
      <w:szCs w:val="24"/>
      <w:lang w:val="en-US" w:eastAsia="zh-CN" w:bidi="ar-SA"/>
    </w:rPr>
  </w:style>
  <w:style w:type="character" w:customStyle="1" w:styleId="45">
    <w:name w:val="Heading 8 Char"/>
    <w:link w:val="10"/>
    <w:qFormat/>
    <w:uiPriority w:val="0"/>
    <w:rPr>
      <w:rFonts w:ascii="Arial" w:hAnsi="Arial" w:eastAsia="黑体" w:cs="Times New Roman"/>
      <w:kern w:val="2"/>
      <w:sz w:val="24"/>
      <w:szCs w:val="24"/>
      <w:lang w:val="en-US" w:eastAsia="zh-CN" w:bidi="ar-SA"/>
    </w:rPr>
  </w:style>
  <w:style w:type="character" w:customStyle="1" w:styleId="46">
    <w:name w:val="Heading 9 Char"/>
    <w:link w:val="11"/>
    <w:qFormat/>
    <w:uiPriority w:val="0"/>
    <w:rPr>
      <w:rFonts w:ascii="Arial" w:hAnsi="Arial" w:eastAsia="黑体" w:cs="Times New Roman"/>
      <w:kern w:val="2"/>
      <w:sz w:val="21"/>
      <w:szCs w:val="21"/>
      <w:lang w:val="en-US" w:eastAsia="zh-CN" w:bidi="ar-SA"/>
    </w:rPr>
  </w:style>
  <w:style w:type="character" w:customStyle="1" w:styleId="47">
    <w:name w:val="Document Map Char"/>
    <w:link w:val="13"/>
    <w:qFormat/>
    <w:uiPriority w:val="0"/>
    <w:rPr>
      <w:rFonts w:ascii="Times New Roman" w:hAnsi="Times New Roman" w:eastAsia="宋体" w:cs="Times New Roman"/>
      <w:szCs w:val="24"/>
      <w:shd w:val="clear" w:color="auto" w:fill="000080"/>
      <w:lang w:bidi="ar-SA"/>
    </w:rPr>
  </w:style>
  <w:style w:type="character" w:customStyle="1" w:styleId="48">
    <w:name w:val="Body Text Indent Char"/>
    <w:link w:val="16"/>
    <w:qFormat/>
    <w:uiPriority w:val="0"/>
    <w:rPr>
      <w:rFonts w:ascii="Times New Roman" w:hAnsi="Times New Roman" w:eastAsia="宋体" w:cs="Times New Roman"/>
      <w:lang w:bidi="ar-SA"/>
    </w:rPr>
  </w:style>
  <w:style w:type="character" w:customStyle="1" w:styleId="49">
    <w:name w:val="Plain Text Char"/>
    <w:link w:val="19"/>
    <w:qFormat/>
    <w:uiPriority w:val="0"/>
    <w:rPr>
      <w:rFonts w:ascii="宋体" w:hAnsi="Courier New" w:eastAsia="宋体" w:cs="Times New Roman"/>
      <w:szCs w:val="21"/>
      <w:lang w:bidi="ar-SA"/>
    </w:rPr>
  </w:style>
  <w:style w:type="character" w:customStyle="1" w:styleId="50">
    <w:name w:val="Date Char"/>
    <w:link w:val="20"/>
    <w:qFormat/>
    <w:uiPriority w:val="0"/>
    <w:rPr>
      <w:rFonts w:ascii="Times New Roman" w:hAnsi="Times New Roman" w:eastAsia="宋体" w:cs="Times New Roman"/>
      <w:szCs w:val="24"/>
      <w:lang w:bidi="ar-SA"/>
    </w:rPr>
  </w:style>
  <w:style w:type="character" w:customStyle="1" w:styleId="51">
    <w:name w:val="Body Text Indent 2 Char"/>
    <w:link w:val="21"/>
    <w:qFormat/>
    <w:uiPriority w:val="0"/>
    <w:rPr>
      <w:rFonts w:ascii="宋体" w:hAnsi="Times New Roman" w:eastAsia="宋体" w:cs="Times New Roman"/>
      <w:sz w:val="28"/>
      <w:lang w:bidi="ar-SA"/>
    </w:rPr>
  </w:style>
  <w:style w:type="character" w:customStyle="1" w:styleId="52">
    <w:name w:val="Balloon Text Char"/>
    <w:link w:val="22"/>
    <w:qFormat/>
    <w:uiPriority w:val="0"/>
    <w:rPr>
      <w:rFonts w:ascii="Times New Roman" w:hAnsi="Times New Roman" w:eastAsia="宋体" w:cs="Times New Roman"/>
      <w:sz w:val="18"/>
      <w:szCs w:val="18"/>
      <w:lang w:bidi="ar-SA"/>
    </w:rPr>
  </w:style>
  <w:style w:type="character" w:customStyle="1" w:styleId="53">
    <w:name w:val="Footer Char"/>
    <w:link w:val="23"/>
    <w:qFormat/>
    <w:uiPriority w:val="0"/>
    <w:rPr>
      <w:rFonts w:ascii="Times New Roman" w:hAnsi="Times New Roman" w:eastAsia="宋体" w:cs="Times New Roman"/>
      <w:sz w:val="18"/>
      <w:szCs w:val="24"/>
      <w:lang w:bidi="ar-SA"/>
    </w:rPr>
  </w:style>
  <w:style w:type="character" w:customStyle="1" w:styleId="54">
    <w:name w:val="Header Char"/>
    <w:link w:val="24"/>
    <w:qFormat/>
    <w:uiPriority w:val="0"/>
    <w:rPr>
      <w:rFonts w:ascii="Times New Roman" w:hAnsi="Times New Roman" w:eastAsia="宋体" w:cs="Times New Roman"/>
      <w:sz w:val="18"/>
      <w:szCs w:val="18"/>
      <w:lang w:bidi="ar-SA"/>
    </w:rPr>
  </w:style>
  <w:style w:type="character" w:customStyle="1" w:styleId="55">
    <w:name w:val="Body Text Indent 3 Char"/>
    <w:link w:val="26"/>
    <w:qFormat/>
    <w:uiPriority w:val="0"/>
    <w:rPr>
      <w:rFonts w:ascii="Times New Roman" w:hAnsi="Times New Roman" w:eastAsia="宋体" w:cs="Times New Roman"/>
      <w:sz w:val="24"/>
      <w:lang w:bidi="ar-SA"/>
    </w:rPr>
  </w:style>
  <w:style w:type="character" w:customStyle="1" w:styleId="56">
    <w:name w:val="Body Text 2 Char"/>
    <w:link w:val="28"/>
    <w:qFormat/>
    <w:uiPriority w:val="0"/>
    <w:rPr>
      <w:rFonts w:ascii="FangSong_GB2312" w:hAnsi="Times New Roman" w:eastAsia="FangSong_GB2312" w:cs="Times New Roman"/>
      <w:sz w:val="28"/>
      <w:lang w:bidi="ar-SA"/>
    </w:rPr>
  </w:style>
  <w:style w:type="character" w:customStyle="1" w:styleId="57">
    <w:name w:val="Title Char"/>
    <w:link w:val="30"/>
    <w:qFormat/>
    <w:uiPriority w:val="0"/>
    <w:rPr>
      <w:rFonts w:ascii="Cambria" w:hAnsi="Cambria" w:eastAsia="宋体" w:cs="Times New Roman"/>
      <w:b/>
      <w:bCs/>
      <w:sz w:val="32"/>
      <w:szCs w:val="32"/>
      <w:lang w:bidi="ar-SA"/>
    </w:rPr>
  </w:style>
  <w:style w:type="character" w:customStyle="1" w:styleId="58">
    <w:name w:val="Body Text First Indent Char"/>
    <w:link w:val="31"/>
    <w:qFormat/>
    <w:uiPriority w:val="0"/>
    <w:rPr>
      <w:rFonts w:ascii="Times New Roman" w:hAnsi="Times New Roman" w:eastAsia="宋体" w:cs="Times New Roman"/>
      <w:szCs w:val="24"/>
      <w:lang w:bidi="ar-SA"/>
    </w:rPr>
  </w:style>
  <w:style w:type="character" w:customStyle="1" w:styleId="59">
    <w:name w:val="gjfg"/>
    <w:basedOn w:val="33"/>
    <w:qFormat/>
    <w:uiPriority w:val="0"/>
  </w:style>
  <w:style w:type="character" w:customStyle="1" w:styleId="60">
    <w:name w:val="cfdate"/>
    <w:qFormat/>
    <w:uiPriority w:val="0"/>
    <w:rPr>
      <w:rFonts w:ascii="Times New Roman" w:hAnsi="Times New Roman" w:eastAsia="宋体" w:cs="Times New Roman"/>
      <w:color w:val="333333"/>
      <w:sz w:val="12"/>
      <w:szCs w:val="12"/>
    </w:rPr>
  </w:style>
  <w:style w:type="character" w:customStyle="1" w:styleId="61">
    <w:name w:val="正文文本 Char1"/>
    <w:qFormat/>
    <w:uiPriority w:val="0"/>
    <w:rPr>
      <w:rFonts w:ascii="Times New Roman" w:hAnsi="Times New Roman" w:eastAsia="宋体" w:cs="Times New Roman"/>
      <w:szCs w:val="24"/>
    </w:rPr>
  </w:style>
  <w:style w:type="character" w:customStyle="1" w:styleId="62">
    <w:name w:val="redfilenumber"/>
    <w:qFormat/>
    <w:uiPriority w:val="0"/>
    <w:rPr>
      <w:rFonts w:ascii="Times New Roman" w:hAnsi="Times New Roman" w:eastAsia="宋体" w:cs="Times New Roman"/>
      <w:color w:val="BA2636"/>
      <w:sz w:val="12"/>
      <w:szCs w:val="12"/>
    </w:rPr>
  </w:style>
  <w:style w:type="character" w:customStyle="1" w:styleId="63">
    <w:name w:val="ll2 Char Char"/>
    <w:link w:val="64"/>
    <w:qFormat/>
    <w:uiPriority w:val="0"/>
    <w:rPr>
      <w:rFonts w:ascii="宋体" w:hAnsi="宋体" w:eastAsia="Times New Roman" w:cs="Times New Roman"/>
      <w:bCs/>
      <w:color w:val="000000"/>
      <w:sz w:val="24"/>
      <w:szCs w:val="32"/>
      <w:lang w:val="en-US" w:eastAsia="zh-CN" w:bidi="ar-SA"/>
    </w:rPr>
  </w:style>
  <w:style w:type="paragraph" w:customStyle="1" w:styleId="64">
    <w:name w:val="ll2"/>
    <w:link w:val="63"/>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5">
    <w:name w:val="Style .. + 宋体 五号 Black Char"/>
    <w:link w:val="66"/>
    <w:qFormat/>
    <w:uiPriority w:val="0"/>
    <w:rPr>
      <w:rFonts w:ascii="宋体" w:hAnsi="宋体" w:eastAsia="宋体" w:cs="Times New Roman"/>
      <w:color w:val="000000"/>
      <w:sz w:val="24"/>
      <w:lang w:bidi="ar-SA"/>
    </w:rPr>
  </w:style>
  <w:style w:type="paragraph" w:customStyle="1" w:styleId="66">
    <w:name w:val="Style .. + 宋体 五号 Black"/>
    <w:basedOn w:val="1"/>
    <w:link w:val="65"/>
    <w:qFormat/>
    <w:uiPriority w:val="0"/>
    <w:pPr>
      <w:autoSpaceDE w:val="0"/>
      <w:autoSpaceDN w:val="0"/>
      <w:adjustRightInd w:val="0"/>
      <w:spacing w:line="360" w:lineRule="auto"/>
      <w:jc w:val="left"/>
    </w:pPr>
    <w:rPr>
      <w:rFonts w:ascii="宋体" w:hAnsi="宋体"/>
      <w:color w:val="000000"/>
      <w:kern w:val="0"/>
      <w:sz w:val="24"/>
      <w:szCs w:val="20"/>
    </w:rPr>
  </w:style>
  <w:style w:type="character" w:customStyle="1" w:styleId="67">
    <w:name w:val="15"/>
    <w:basedOn w:val="33"/>
    <w:qFormat/>
    <w:uiPriority w:val="0"/>
    <w:rPr>
      <w:rFonts w:hint="default" w:ascii="Times New Roman" w:hAnsi="Times New Roman" w:eastAsia="宋体" w:cs="Times New Roman"/>
    </w:rPr>
  </w:style>
  <w:style w:type="character" w:customStyle="1" w:styleId="68">
    <w:name w:val="正文文字 Char"/>
    <w:link w:val="69"/>
    <w:qFormat/>
    <w:uiPriority w:val="0"/>
    <w:rPr>
      <w:rFonts w:ascii="Times New Roman" w:hAnsi="Times New Roman" w:eastAsia="宋体" w:cs="Times New Roman"/>
      <w:sz w:val="24"/>
      <w:szCs w:val="24"/>
      <w:lang w:bidi="ar-SA"/>
    </w:rPr>
  </w:style>
  <w:style w:type="paragraph" w:customStyle="1" w:styleId="69">
    <w:name w:val="正文文字"/>
    <w:basedOn w:val="1"/>
    <w:link w:val="68"/>
    <w:qFormat/>
    <w:uiPriority w:val="0"/>
    <w:pPr>
      <w:spacing w:before="60" w:after="60" w:line="360" w:lineRule="auto"/>
      <w:ind w:firstLine="200" w:firstLineChars="200"/>
      <w:jc w:val="left"/>
    </w:pPr>
    <w:rPr>
      <w:kern w:val="0"/>
      <w:sz w:val="24"/>
    </w:rPr>
  </w:style>
  <w:style w:type="character" w:customStyle="1" w:styleId="70">
    <w:name w:val="文档正文 Char"/>
    <w:link w:val="71"/>
    <w:qFormat/>
    <w:uiPriority w:val="0"/>
    <w:rPr>
      <w:rFonts w:ascii="长城仿宋" w:hAnsi="Times New Roman" w:eastAsia="宋体" w:cs="Times New Roman"/>
      <w:sz w:val="24"/>
      <w:lang w:bidi="ar-SA"/>
    </w:rPr>
  </w:style>
  <w:style w:type="paragraph" w:customStyle="1" w:styleId="71">
    <w:name w:val="文档正文"/>
    <w:basedOn w:val="1"/>
    <w:link w:val="70"/>
    <w:qFormat/>
    <w:uiPriority w:val="0"/>
    <w:pPr>
      <w:adjustRightInd w:val="0"/>
      <w:spacing w:line="480" w:lineRule="atLeast"/>
      <w:ind w:firstLine="567"/>
    </w:pPr>
    <w:rPr>
      <w:rFonts w:ascii="长城仿宋"/>
      <w:kern w:val="0"/>
      <w:sz w:val="24"/>
      <w:szCs w:val="20"/>
    </w:rPr>
  </w:style>
  <w:style w:type="character" w:customStyle="1" w:styleId="72">
    <w:name w:val="displayarti"/>
    <w:qFormat/>
    <w:uiPriority w:val="0"/>
    <w:rPr>
      <w:rFonts w:ascii="Times New Roman" w:hAnsi="Times New Roman" w:eastAsia="宋体" w:cs="Times New Roman"/>
      <w:color w:val="FFFFFF"/>
      <w:shd w:val="clear" w:color="auto" w:fill="A00000"/>
    </w:rPr>
  </w:style>
  <w:style w:type="character" w:customStyle="1" w:styleId="73">
    <w:name w:val="redfilefwwh"/>
    <w:qFormat/>
    <w:uiPriority w:val="0"/>
    <w:rPr>
      <w:rFonts w:ascii="Times New Roman" w:hAnsi="Times New Roman" w:eastAsia="宋体" w:cs="Times New Roman"/>
      <w:color w:val="BA2636"/>
      <w:sz w:val="12"/>
      <w:szCs w:val="12"/>
    </w:rPr>
  </w:style>
  <w:style w:type="character" w:customStyle="1" w:styleId="74">
    <w:name w:val="qxdate"/>
    <w:qFormat/>
    <w:uiPriority w:val="0"/>
    <w:rPr>
      <w:rFonts w:ascii="Times New Roman" w:hAnsi="Times New Roman" w:eastAsia="宋体" w:cs="Times New Roman"/>
      <w:color w:val="333333"/>
      <w:sz w:val="12"/>
      <w:szCs w:val="12"/>
    </w:rPr>
  </w:style>
  <w:style w:type="paragraph" w:customStyle="1" w:styleId="75">
    <w:name w:val="_Style 3"/>
    <w:basedOn w:val="3"/>
    <w:next w:val="1"/>
    <w:qFormat/>
    <w:uiPriority w:val="0"/>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76">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7">
    <w:name w:val="标题 5（有编号）（绿盟科技）"/>
    <w:basedOn w:val="1"/>
    <w:next w:val="76"/>
    <w:qFormat/>
    <w:uiPriority w:val="0"/>
    <w:pPr>
      <w:keepNext/>
      <w:keepLines/>
      <w:numPr>
        <w:ilvl w:val="4"/>
        <w:numId w:val="4"/>
      </w:numPr>
      <w:spacing w:before="280" w:after="156" w:line="377" w:lineRule="auto"/>
      <w:jc w:val="left"/>
      <w:outlineLvl w:val="4"/>
    </w:pPr>
    <w:rPr>
      <w:rFonts w:ascii="Arial" w:hAnsi="Arial" w:eastAsia="黑体" w:cs="黑体"/>
      <w:b/>
      <w:kern w:val="0"/>
      <w:sz w:val="24"/>
      <w:szCs w:val="28"/>
    </w:rPr>
  </w:style>
  <w:style w:type="paragraph" w:customStyle="1" w:styleId="78">
    <w:name w:val="Char"/>
    <w:basedOn w:val="1"/>
    <w:qFormat/>
    <w:uiPriority w:val="0"/>
    <w:rPr>
      <w:rFonts w:ascii="Tahoma" w:hAnsi="Tahoma"/>
      <w:sz w:val="24"/>
      <w:szCs w:val="20"/>
    </w:rPr>
  </w:style>
  <w:style w:type="paragraph" w:styleId="79">
    <w:name w:val="List Paragraph"/>
    <w:basedOn w:val="1"/>
    <w:qFormat/>
    <w:uiPriority w:val="34"/>
    <w:pPr>
      <w:ind w:firstLine="420"/>
    </w:pPr>
    <w:rPr>
      <w:kern w:val="0"/>
      <w:szCs w:val="21"/>
    </w:rPr>
  </w:style>
  <w:style w:type="paragraph" w:customStyle="1" w:styleId="80">
    <w:name w:val="正常"/>
    <w:basedOn w:val="81"/>
    <w:qFormat/>
    <w:uiPriority w:val="0"/>
    <w:rPr>
      <w:sz w:val="24"/>
    </w:rPr>
  </w:style>
  <w:style w:type="paragraph" w:customStyle="1" w:styleId="81">
    <w:name w:val="小正常"/>
    <w:basedOn w:val="1"/>
    <w:qFormat/>
    <w:uiPriority w:val="0"/>
    <w:rPr>
      <w:sz w:val="20"/>
      <w:szCs w:val="20"/>
    </w:rPr>
  </w:style>
  <w:style w:type="paragraph" w:customStyle="1" w:styleId="82">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83">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4">
    <w:name w:val="样式1"/>
    <w:basedOn w:val="1"/>
    <w:qFormat/>
    <w:uiPriority w:val="0"/>
    <w:pPr>
      <w:numPr>
        <w:ilvl w:val="0"/>
        <w:numId w:val="5"/>
      </w:numPr>
      <w:adjustRightInd w:val="0"/>
    </w:pPr>
    <w:rPr>
      <w:rFonts w:ascii="宋体" w:hAnsi="宋体"/>
      <w:kern w:val="0"/>
      <w:szCs w:val="20"/>
    </w:rPr>
  </w:style>
  <w:style w:type="paragraph" w:customStyle="1" w:styleId="85">
    <w:name w:val="Char Char Char"/>
    <w:basedOn w:val="1"/>
    <w:qFormat/>
    <w:uiPriority w:val="0"/>
    <w:rPr>
      <w:rFonts w:ascii="Tahoma" w:hAnsi="Tahoma"/>
      <w:sz w:val="24"/>
      <w:szCs w:val="20"/>
    </w:rPr>
  </w:style>
  <w:style w:type="paragraph" w:customStyle="1" w:styleId="86">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table" w:customStyle="1" w:styleId="87">
    <w:name w:val="Table Normal_0"/>
    <w:unhideWhenUsed/>
    <w:qFormat/>
    <w:uiPriority w:val="0"/>
    <w:pPr>
      <w:spacing w:after="160" w:line="259" w:lineRule="auto"/>
    </w:pPr>
    <w:tblPr>
      <w:tblCellMar>
        <w:top w:w="0" w:type="dxa"/>
        <w:left w:w="0" w:type="dxa"/>
        <w:bottom w:w="0" w:type="dxa"/>
        <w:right w:w="0" w:type="dxa"/>
      </w:tblCellMar>
    </w:tblPr>
  </w:style>
  <w:style w:type="character" w:customStyle="1" w:styleId="88">
    <w:name w:val="Hyperlink_0"/>
    <w:basedOn w:val="33"/>
    <w:qFormat/>
    <w:uiPriority w:val="0"/>
    <w:rPr>
      <w:color w:val="0000FF"/>
      <w:u w:val="single"/>
    </w:rPr>
  </w:style>
  <w:style w:type="paragraph" w:customStyle="1" w:styleId="89">
    <w:name w:val="TOC 1_0"/>
    <w:basedOn w:val="1"/>
    <w:next w:val="18"/>
    <w:qFormat/>
    <w:uiPriority w:val="0"/>
    <w:pPr>
      <w:widowControl/>
      <w:spacing w:after="0" w:line="240" w:lineRule="auto"/>
      <w:jc w:val="left"/>
    </w:pPr>
    <w:rPr>
      <w:rFonts w:eastAsia="Times New Roman"/>
      <w:kern w:val="0"/>
      <w:sz w:val="24"/>
      <w:lang w:eastAsia="en-US"/>
    </w:rPr>
  </w:style>
  <w:style w:type="paragraph" w:customStyle="1" w:styleId="90">
    <w:name w:val="Heading 1_0"/>
    <w:basedOn w:val="1"/>
    <w:next w:val="18"/>
    <w:qFormat/>
    <w:uiPriority w:val="0"/>
    <w:pPr>
      <w:keepNext/>
      <w:widowControl/>
      <w:spacing w:before="240" w:after="60" w:line="240" w:lineRule="auto"/>
      <w:jc w:val="left"/>
      <w:outlineLvl w:val="0"/>
    </w:pPr>
    <w:rPr>
      <w:rFonts w:ascii="Arial" w:hAnsi="Arial" w:eastAsia="Times New Roman" w:cs="Arial"/>
      <w:b/>
      <w:bCs/>
      <w:kern w:val="32"/>
      <w:sz w:val="32"/>
      <w:szCs w:val="32"/>
      <w:lang w:eastAsia="en-US"/>
    </w:rPr>
  </w:style>
  <w:style w:type="paragraph" w:customStyle="1" w:styleId="91">
    <w:name w:val="Heading 2_0"/>
    <w:basedOn w:val="1"/>
    <w:next w:val="18"/>
    <w:qFormat/>
    <w:uiPriority w:val="0"/>
    <w:pPr>
      <w:keepNext/>
      <w:widowControl/>
      <w:spacing w:before="240" w:after="60" w:line="240" w:lineRule="auto"/>
      <w:jc w:val="left"/>
      <w:outlineLvl w:val="1"/>
    </w:pPr>
    <w:rPr>
      <w:rFonts w:ascii="Arial" w:hAnsi="Arial" w:eastAsia="Times New Roman" w:cs="Arial"/>
      <w:b/>
      <w:bCs/>
      <w:i/>
      <w:iCs/>
      <w:kern w:val="0"/>
      <w:sz w:val="28"/>
      <w:szCs w:val="28"/>
      <w:lang w:eastAsia="en-US"/>
    </w:rPr>
  </w:style>
  <w:style w:type="paragraph" w:customStyle="1" w:styleId="92">
    <w:name w:val="Heading 3_0"/>
    <w:basedOn w:val="1"/>
    <w:next w:val="18"/>
    <w:qFormat/>
    <w:uiPriority w:val="0"/>
    <w:pPr>
      <w:keepNext/>
      <w:widowControl/>
      <w:spacing w:before="240" w:after="60" w:line="240" w:lineRule="auto"/>
      <w:jc w:val="left"/>
      <w:outlineLvl w:val="2"/>
    </w:pPr>
    <w:rPr>
      <w:rFonts w:ascii="Arial" w:hAnsi="Arial" w:eastAsia="Times New Roman" w:cs="Arial"/>
      <w:b/>
      <w:bCs/>
      <w:kern w:val="0"/>
      <w:sz w:val="26"/>
      <w:szCs w:val="26"/>
      <w:lang w:eastAsia="en-US"/>
    </w:rPr>
  </w:style>
  <w:style w:type="paragraph" w:customStyle="1" w:styleId="93">
    <w:name w:val="MsoNormal"/>
    <w:basedOn w:val="1"/>
    <w:qFormat/>
    <w:uiPriority w:val="0"/>
    <w:pPr>
      <w:widowControl/>
      <w:spacing w:after="0" w:line="240" w:lineRule="auto"/>
      <w:jc w:val="left"/>
    </w:pPr>
    <w:rPr>
      <w:rFonts w:eastAsia="Times New Roman"/>
      <w:kern w:val="0"/>
      <w:sz w:val="24"/>
      <w:lang w:eastAsia="en-US"/>
    </w:rPr>
  </w:style>
  <w:style w:type="paragraph" w:customStyle="1" w:styleId="94">
    <w:name w:val="Heading 4_0"/>
    <w:basedOn w:val="1"/>
    <w:next w:val="18"/>
    <w:qFormat/>
    <w:uiPriority w:val="0"/>
    <w:pPr>
      <w:keepNext/>
      <w:widowControl/>
      <w:spacing w:before="240" w:after="60" w:line="240" w:lineRule="auto"/>
      <w:jc w:val="left"/>
      <w:outlineLvl w:val="3"/>
    </w:pPr>
    <w:rPr>
      <w:rFonts w:eastAsia="Times New Roman"/>
      <w:b/>
      <w:bCs/>
      <w:kern w:val="0"/>
      <w:sz w:val="28"/>
      <w:szCs w:val="28"/>
      <w:lang w:eastAsia="en-US"/>
    </w:rPr>
  </w:style>
  <w:style w:type="paragraph" w:customStyle="1" w:styleId="95">
    <w:name w:val="16"/>
    <w:basedOn w:val="1"/>
    <w:qFormat/>
    <w:uiPriority w:val="0"/>
    <w:pPr>
      <w:widowControl/>
      <w:spacing w:after="0" w:line="240" w:lineRule="auto"/>
      <w:jc w:val="left"/>
    </w:pPr>
    <w:rPr>
      <w:rFonts w:eastAsia="Times New Roman"/>
      <w:kern w:val="0"/>
      <w:sz w:val="24"/>
      <w:lang w:eastAsia="en-US"/>
    </w:rPr>
  </w:style>
  <w:style w:type="paragraph" w:customStyle="1" w:styleId="96">
    <w:name w:val="Heading 5_0"/>
    <w:basedOn w:val="1"/>
    <w:next w:val="18"/>
    <w:qFormat/>
    <w:uiPriority w:val="0"/>
    <w:pPr>
      <w:widowControl/>
      <w:spacing w:before="240" w:after="60" w:line="240" w:lineRule="auto"/>
      <w:jc w:val="left"/>
      <w:outlineLvl w:val="4"/>
    </w:pPr>
    <w:rPr>
      <w:rFonts w:eastAsia="Times New Roman"/>
      <w:b/>
      <w:bCs/>
      <w:i/>
      <w:iCs/>
      <w:kern w:val="0"/>
      <w:sz w:val="26"/>
      <w:szCs w:val="26"/>
      <w:lang w:eastAsia="en-US"/>
    </w:rPr>
  </w:style>
  <w:style w:type="paragraph" w:customStyle="1" w:styleId="97">
    <w:name w:val="17"/>
    <w:basedOn w:val="1"/>
    <w:uiPriority w:val="0"/>
    <w:pPr>
      <w:widowControl/>
      <w:spacing w:after="0" w:line="240" w:lineRule="auto"/>
      <w:jc w:val="left"/>
    </w:pPr>
    <w:rPr>
      <w:rFonts w:eastAsia="Times New Roman"/>
      <w:kern w:val="0"/>
      <w:sz w:val="24"/>
      <w:lang w:eastAsia="en-US"/>
    </w:rPr>
  </w:style>
  <w:style w:type="table" w:customStyle="1" w:styleId="98">
    <w:name w:val="18"/>
    <w:basedOn w:val="32"/>
    <w:uiPriority w:val="0"/>
    <w:rPr>
      <w:rFonts w:eastAsia="Times New Roman"/>
      <w:lang w:val="en-US" w:eastAsia="en-US"/>
    </w:rPr>
  </w:style>
  <w:style w:type="paragraph" w:customStyle="1" w:styleId="99">
    <w:name w:val="19"/>
    <w:basedOn w:val="1"/>
    <w:uiPriority w:val="0"/>
    <w:pPr>
      <w:widowControl/>
      <w:spacing w:after="0" w:line="240" w:lineRule="auto"/>
      <w:jc w:val="left"/>
    </w:pPr>
    <w:rPr>
      <w:rFonts w:eastAsia="Times New Roman"/>
      <w:kern w:val="0"/>
      <w:sz w:val="24"/>
      <w:lang w:eastAsia="en-US"/>
    </w:rPr>
  </w:style>
  <w:style w:type="table" w:customStyle="1" w:styleId="100">
    <w:name w:val="20"/>
    <w:basedOn w:val="32"/>
    <w:uiPriority w:val="0"/>
    <w:rPr>
      <w:rFonts w:eastAsia="Times New Roman"/>
      <w:lang w:val="en-US" w:eastAsia="en-US"/>
    </w:rPr>
  </w:style>
  <w:style w:type="table" w:customStyle="1" w:styleId="101">
    <w:name w:val="21"/>
    <w:basedOn w:val="32"/>
    <w:uiPriority w:val="0"/>
    <w:rPr>
      <w:rFonts w:eastAsia="Times New Roman"/>
      <w:lang w:val="en-US" w:eastAsia="en-US"/>
    </w:rPr>
  </w:style>
  <w:style w:type="paragraph" w:customStyle="1" w:styleId="102">
    <w:name w:val="18 Paragraph"/>
    <w:basedOn w:val="1"/>
    <w:uiPriority w:val="0"/>
    <w:pPr>
      <w:widowControl/>
      <w:spacing w:after="0" w:line="240" w:lineRule="auto"/>
      <w:jc w:val="left"/>
    </w:pPr>
    <w:rPr>
      <w:rFonts w:eastAsia="Times New Roman"/>
      <w:kern w:val="0"/>
      <w:sz w:val="24"/>
      <w:lang w:eastAsia="en-US"/>
    </w:rPr>
  </w:style>
  <w:style w:type="table" w:customStyle="1" w:styleId="103">
    <w:name w:val="MsoNormalTable"/>
    <w:basedOn w:val="32"/>
    <w:uiPriority w:val="0"/>
    <w:rPr>
      <w:rFonts w:eastAsia="Times New Roman"/>
      <w:lang w:val="en-US"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19</Pages>
  <Words>9</Words>
  <Characters>53</Characters>
  <Lines>1</Lines>
  <Paragraphs>1</Paragraphs>
  <TotalTime>3</TotalTime>
  <ScaleCrop>false</ScaleCrop>
  <LinksUpToDate>false</LinksUpToDate>
  <CharactersWithSpaces>61</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2020-05-09T07:26:00Z</dcterms:created>
  <dc:creator>Administrator</dc:creator>
  <cp:lastModifiedBy>陈世应</cp:lastModifiedBy>
  <cp:lastPrinted>2023-10-01T11:04:00Z</cp:lastPrinted>
  <dcterms:modified xsi:type="dcterms:W3CDTF">2025-12-18T02:15:31Z</dcterms:modified>
  <dc:title>招 标 文 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2052-11.8.2.8959</vt:lpwstr>
  </property>
</Properties>
</file>