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国家税务总局吉林省税务局2025年南湖大路机房配电改造服务项目（第二次）</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JL2025-ZXGK-A0066-B00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2025年9月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1.2.1采购内容</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1.2.2项目实施要求</w:t>
        </w:r>
        <w:r>
          <w:tab/>
        </w:r>
        <w:r>
          <w:fldChar w:fldCharType="begin"/>
        </w:r>
        <w:r>
          <w:instrText xml:space="preserve"> PAGEREF _Toc256000005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kern w:val="36"/>
          </w:rPr>
          <w:t>2投标/响应要求</w:t>
        </w:r>
        <w:r>
          <w:tab/>
        </w:r>
        <w:r>
          <w:fldChar w:fldCharType="begin"/>
        </w:r>
        <w:r>
          <w:instrText xml:space="preserve"> PAGEREF _Toc256000006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2.1对供应商的要求</w:t>
        </w:r>
        <w:r>
          <w:tab/>
        </w:r>
        <w:r>
          <w:fldChar w:fldCharType="begin"/>
        </w:r>
        <w:r>
          <w:instrText xml:space="preserve"> PAGEREF _Toc256000007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2.1.1必备资质</w:t>
        </w:r>
        <w:r>
          <w:tab/>
        </w:r>
        <w:r>
          <w:fldChar w:fldCharType="begin"/>
        </w:r>
        <w:r>
          <w:instrText xml:space="preserve"> PAGEREF _Toc256000008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2.1.2优选资质/优选指标</w:t>
        </w:r>
        <w:r>
          <w:tab/>
        </w:r>
        <w:r>
          <w:fldChar w:fldCharType="begin"/>
        </w:r>
        <w:r>
          <w:instrText xml:space="preserve"> PAGEREF _Toc256000009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2.1.3是否允许联合体</w:t>
        </w:r>
        <w:r>
          <w:tab/>
        </w:r>
        <w:r>
          <w:fldChar w:fldCharType="begin"/>
        </w:r>
        <w:r>
          <w:instrText xml:space="preserve"> PAGEREF _Toc256000010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2.1.4是否专门面向中小企业</w:t>
        </w:r>
        <w:r>
          <w:tab/>
        </w:r>
        <w:r>
          <w:fldChar w:fldCharType="begin"/>
        </w:r>
        <w:r>
          <w:instrText xml:space="preserve"> PAGEREF _Toc256000011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2.2技术部分投标/响应内容</w:t>
        </w:r>
        <w:r>
          <w:tab/>
        </w:r>
        <w:r>
          <w:fldChar w:fldCharType="begin"/>
        </w:r>
        <w:r>
          <w:instrText xml:space="preserve"> PAGEREF _Toc256000012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2.2.1技术投标/响应总要求</w:t>
        </w:r>
        <w:r>
          <w:tab/>
        </w:r>
        <w:r>
          <w:fldChar w:fldCharType="begin"/>
        </w:r>
        <w:r>
          <w:instrText xml:space="preserve"> PAGEREF _Toc256000013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2.2.2投标/响应方案要求</w:t>
        </w:r>
        <w:r>
          <w:tab/>
        </w:r>
        <w:r>
          <w:fldChar w:fldCharType="begin"/>
        </w:r>
        <w:r>
          <w:instrText xml:space="preserve"> PAGEREF _Toc256000014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kern w:val="36"/>
          </w:rPr>
          <w:t>3项目需求</w:t>
        </w:r>
        <w:r>
          <w:tab/>
        </w:r>
        <w:r>
          <w:fldChar w:fldCharType="begin"/>
        </w:r>
        <w:r>
          <w:instrText xml:space="preserve"> PAGEREF _Toc256000015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3.1总体要求</w:t>
        </w:r>
        <w:r>
          <w:tab/>
        </w:r>
        <w:r>
          <w:fldChar w:fldCharType="begin"/>
        </w:r>
        <w:r>
          <w:instrText xml:space="preserve"> PAGEREF _Toc256000016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3.2采购产品一览表</w:t>
        </w:r>
        <w:r>
          <w:tab/>
        </w:r>
        <w:r>
          <w:fldChar w:fldCharType="begin"/>
        </w:r>
        <w:r>
          <w:instrText xml:space="preserve"> PAGEREF _Toc256000017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3.3采购产品详细清单及技术指标</w:t>
        </w:r>
        <w:r>
          <w:tab/>
        </w:r>
        <w:r>
          <w:fldChar w:fldCharType="begin"/>
        </w:r>
        <w:r>
          <w:instrText xml:space="preserve"> PAGEREF _Toc256000018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3.4服务要求</w:t>
        </w:r>
        <w:r>
          <w:tab/>
        </w:r>
        <w:r>
          <w:fldChar w:fldCharType="begin"/>
        </w:r>
        <w:r>
          <w:instrText xml:space="preserve"> PAGEREF _Toc256000019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3.5其他要求</w:t>
        </w:r>
        <w:r>
          <w:tab/>
        </w:r>
        <w:r>
          <w:fldChar w:fldCharType="begin"/>
        </w:r>
        <w:r>
          <w:instrText xml:space="preserve"> PAGEREF _Toc256000020 \h </w:instrText>
        </w:r>
        <w:r>
          <w:fldChar w:fldCharType="separate"/>
        </w:r>
        <w:r>
          <w:t>7</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kern w:val="36"/>
          </w:rPr>
          <w:t>4人员要求</w:t>
        </w:r>
        <w:r>
          <w:tab/>
        </w:r>
        <w:r>
          <w:fldChar w:fldCharType="begin"/>
        </w:r>
        <w:r>
          <w:instrText xml:space="preserve"> PAGEREF _Toc256000021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4.1团队要求</w:t>
        </w:r>
        <w:r>
          <w:tab/>
        </w:r>
        <w:r>
          <w:fldChar w:fldCharType="begin"/>
        </w:r>
        <w:r>
          <w:instrText xml:space="preserve"> PAGEREF _Toc256000022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4.1.1基本要求</w:t>
        </w:r>
        <w:r>
          <w:tab/>
        </w:r>
        <w:r>
          <w:fldChar w:fldCharType="begin"/>
        </w:r>
        <w:r>
          <w:instrText xml:space="preserve"> PAGEREF _Toc256000023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4.1.2优选资质/优选指标</w:t>
        </w:r>
        <w:r>
          <w:tab/>
        </w:r>
        <w:r>
          <w:fldChar w:fldCharType="begin"/>
        </w:r>
        <w:r>
          <w:instrText xml:space="preserve"> PAGEREF _Toc256000024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kern w:val="36"/>
          </w:rPr>
          <w:t>5管理实施要求</w:t>
        </w:r>
        <w:r>
          <w:tab/>
        </w:r>
        <w:r>
          <w:fldChar w:fldCharType="begin"/>
        </w:r>
        <w:r>
          <w:instrText xml:space="preserve"> PAGEREF _Toc256000025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kern w:val="36"/>
          </w:rPr>
          <w:t>6风险管控要求</w:t>
        </w:r>
        <w:r>
          <w:tab/>
        </w:r>
        <w:r>
          <w:fldChar w:fldCharType="begin"/>
        </w:r>
        <w:r>
          <w:instrText xml:space="preserve"> PAGEREF _Toc256000026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kern w:val="36"/>
          </w:rPr>
          <w:t>7履约验收要求</w:t>
        </w:r>
        <w:r>
          <w:tab/>
        </w:r>
        <w:r>
          <w:fldChar w:fldCharType="begin"/>
        </w:r>
        <w:r>
          <w:instrText xml:space="preserve"> PAGEREF _Toc256000027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7.1总体要求</w:t>
        </w:r>
        <w:r>
          <w:tab/>
        </w:r>
        <w:r>
          <w:fldChar w:fldCharType="begin"/>
        </w:r>
        <w:r>
          <w:instrText xml:space="preserve"> PAGEREF _Toc256000028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rPr>
          <w:t>7.2具体要求</w:t>
        </w:r>
        <w:r>
          <w:tab/>
        </w:r>
        <w:r>
          <w:fldChar w:fldCharType="begin"/>
        </w:r>
        <w:r>
          <w:instrText xml:space="preserve"> PAGEREF _Toc256000029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kern w:val="36"/>
          </w:rPr>
          <w:t>8其他要求</w:t>
        </w:r>
        <w:r>
          <w:tab/>
        </w:r>
        <w:r>
          <w:fldChar w:fldCharType="begin"/>
        </w:r>
        <w:r>
          <w:instrText xml:space="preserve"> PAGEREF _Toc256000030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rPr>
          <w:t>8.1必备要求</w:t>
        </w:r>
        <w:r>
          <w:tab/>
        </w:r>
        <w:r>
          <w:fldChar w:fldCharType="begin"/>
        </w:r>
        <w:r>
          <w:instrText xml:space="preserve"> PAGEREF _Toc256000031 \h </w:instrText>
        </w:r>
        <w:r>
          <w:fldChar w:fldCharType="separate"/>
        </w:r>
        <w:r>
          <w:t>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rPr>
          <w:t>8.1.1通用必备要求</w:t>
        </w:r>
        <w:r>
          <w:tab/>
        </w:r>
        <w:r>
          <w:fldChar w:fldCharType="begin"/>
        </w:r>
        <w:r>
          <w:instrText xml:space="preserve"> PAGEREF _Toc256000032 \h </w:instrText>
        </w:r>
        <w:r>
          <w:fldChar w:fldCharType="separate"/>
        </w:r>
        <w:r>
          <w:t>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rPr>
          <w:t>8.1.2★税收信息化项目开发和应用管理工作要求</w:t>
        </w:r>
        <w:r>
          <w:tab/>
        </w:r>
        <w:r>
          <w:fldChar w:fldCharType="begin"/>
        </w:r>
        <w:r>
          <w:instrText xml:space="preserve"> PAGEREF _Toc256000033 \h </w:instrText>
        </w:r>
        <w:r>
          <w:fldChar w:fldCharType="separate"/>
        </w:r>
        <w:r>
          <w:t>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8.1.3★供应链安全管理要求</w:t>
        </w:r>
        <w:r>
          <w:tab/>
        </w:r>
        <w:r>
          <w:fldChar w:fldCharType="begin"/>
        </w:r>
        <w:r>
          <w:instrText xml:space="preserve"> PAGEREF _Toc256000034 \h </w:instrText>
        </w:r>
        <w:r>
          <w:fldChar w:fldCharType="separate"/>
        </w:r>
        <w:r>
          <w:t>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8.1.4★信息化服务运维人员要求</w:t>
        </w:r>
        <w:r>
          <w:tab/>
        </w:r>
        <w:r>
          <w:fldChar w:fldCharType="begin"/>
        </w:r>
        <w:r>
          <w:instrText xml:space="preserve"> PAGEREF _Toc256000035 \h </w:instrText>
        </w:r>
        <w:r>
          <w:fldChar w:fldCharType="separate"/>
        </w:r>
        <w:r>
          <w:t>13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8.1.5★税收信息化服务商廉政要求</w:t>
        </w:r>
        <w:r>
          <w:tab/>
        </w:r>
        <w:r>
          <w:fldChar w:fldCharType="begin"/>
        </w:r>
        <w:r>
          <w:instrText xml:space="preserve"> PAGEREF _Toc256000036 \h </w:instrText>
        </w:r>
        <w:r>
          <w:fldChar w:fldCharType="separate"/>
        </w:r>
        <w:r>
          <w:t>13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8.2付款安排建议</w:t>
        </w:r>
        <w:r>
          <w:tab/>
        </w:r>
        <w:r>
          <w:fldChar w:fldCharType="begin"/>
        </w:r>
        <w:r>
          <w:instrText xml:space="preserve"> PAGEREF _Toc256000037 \h </w:instrText>
        </w:r>
        <w:r>
          <w:fldChar w:fldCharType="separate"/>
        </w:r>
        <w:r>
          <w:t>16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8.3其他要求</w:t>
        </w:r>
        <w:r>
          <w:tab/>
        </w:r>
        <w:r>
          <w:fldChar w:fldCharType="begin"/>
        </w:r>
        <w:r>
          <w:instrText xml:space="preserve"> PAGEREF _Toc256000038 \h </w:instrText>
        </w:r>
        <w:r>
          <w:fldChar w:fldCharType="separate"/>
        </w:r>
        <w:r>
          <w:t>16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8.3.1保密要求</w:t>
        </w:r>
        <w:r>
          <w:tab/>
        </w:r>
        <w:r>
          <w:fldChar w:fldCharType="begin"/>
        </w:r>
        <w:r>
          <w:instrText xml:space="preserve"> PAGEREF _Toc256000039 \h </w:instrText>
        </w:r>
        <w:r>
          <w:fldChar w:fldCharType="separate"/>
        </w:r>
        <w:r>
          <w:t>16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8.3.2知识产权要求</w:t>
        </w:r>
        <w:r>
          <w:tab/>
        </w:r>
        <w:r>
          <w:fldChar w:fldCharType="begin"/>
        </w:r>
        <w:r>
          <w:instrText xml:space="preserve"> PAGEREF _Toc256000040 \h </w:instrText>
        </w:r>
        <w:r>
          <w:fldChar w:fldCharType="separate"/>
        </w:r>
        <w:r>
          <w:t>17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8.4满足指标</w:t>
        </w:r>
        <w:r>
          <w:tab/>
        </w:r>
        <w:r>
          <w:fldChar w:fldCharType="begin"/>
        </w:r>
        <w:r>
          <w:instrText xml:space="preserve"> PAGEREF _Toc256000041 \h </w:instrText>
        </w:r>
        <w:r>
          <w:fldChar w:fldCharType="separate"/>
        </w:r>
        <w:r>
          <w:t>17</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为提高数据中心机房运行保障能力，提升运维管理水平，为信息系统提供稳定、高效的基础运行环境，现</w:t>
      </w:r>
      <w:r>
        <w:rPr>
          <w:rFonts w:ascii="仿宋_GB2312" w:eastAsia="仿宋_GB2312" w:hAnsi="仿宋_GB2312" w:cs="仿宋_GB2312"/>
          <w:sz w:val="28"/>
          <w:szCs w:val="28"/>
        </w:rPr>
        <w:t>需要对</w:t>
      </w:r>
      <w:r>
        <w:rPr>
          <w:rFonts w:ascii="仿宋_GB2312" w:eastAsia="仿宋_GB2312" w:hAnsi="仿宋_GB2312" w:cs="仿宋_GB2312"/>
          <w:sz w:val="28"/>
          <w:szCs w:val="28"/>
        </w:rPr>
        <w:t>国家税务总局吉林省税务局南湖大路</w:t>
      </w:r>
      <w:r>
        <w:rPr>
          <w:rFonts w:ascii="仿宋_GB2312" w:eastAsia="仿宋_GB2312" w:hAnsi="仿宋_GB2312" w:cs="仿宋_GB2312"/>
          <w:sz w:val="28"/>
          <w:szCs w:val="28"/>
        </w:rPr>
        <w:t>机房存在的风险隐患进行整改，以保障机房供配电安全。</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1.2.1采购内容</w:t>
      </w:r>
      <w:bookmarkEnd w:id="8"/>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1、</w:t>
      </w:r>
      <w:r>
        <w:rPr>
          <w:rFonts w:ascii="仿宋_GB2312" w:eastAsia="仿宋_GB2312" w:hAnsi="仿宋_GB2312" w:cs="仿宋_GB2312"/>
          <w:sz w:val="28"/>
          <w:szCs w:val="28"/>
        </w:rPr>
        <w:t>更换80块230Ah电池</w:t>
      </w:r>
      <w:r>
        <w:rPr>
          <w:rFonts w:ascii="仿宋_GB2312" w:eastAsia="仿宋_GB2312" w:hAnsi="仿宋_GB2312" w:cs="仿宋_GB2312"/>
          <w:sz w:val="28"/>
          <w:szCs w:val="28"/>
        </w:rPr>
        <w:t>，对</w:t>
      </w:r>
      <w:r>
        <w:rPr>
          <w:rFonts w:ascii="仿宋_GB2312" w:eastAsia="仿宋_GB2312" w:hAnsi="仿宋_GB2312" w:cs="仿宋_GB2312"/>
          <w:sz w:val="28"/>
          <w:szCs w:val="28"/>
        </w:rPr>
        <w:t>UPS蓄电池组进行更新改造提高安全保障，完成蓄电池组及配套系统的安装、调试等所有工作。</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2、</w:t>
      </w:r>
      <w:r>
        <w:rPr>
          <w:rFonts w:ascii="仿宋_GB2312" w:eastAsia="仿宋_GB2312" w:hAnsi="仿宋_GB2312" w:cs="仿宋_GB2312"/>
          <w:sz w:val="28"/>
          <w:szCs w:val="28"/>
        </w:rPr>
        <w:t>铺设线缆,增加ATS切换开关及控制开关的相关安装、调试工作。</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3、铺设线缆，增加空调开关箱的相关安装、调试工作。</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4、</w:t>
      </w:r>
      <w:r>
        <w:rPr>
          <w:rFonts w:ascii="仿宋_GB2312" w:eastAsia="仿宋_GB2312" w:hAnsi="仿宋_GB2312" w:cs="仿宋_GB2312"/>
          <w:sz w:val="28"/>
          <w:szCs w:val="28"/>
        </w:rPr>
        <w:t>增设10台STS切换装置的相关安装、调试工作。</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1.2.2项目实施要求</w:t>
      </w:r>
      <w:bookmarkEnd w:id="9"/>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1.2.2.1实施范围要求</w:t>
      </w:r>
    </w:p>
    <w:p>
      <w:pPr>
        <w:pStyle w:val="Normal0"/>
        <w:spacing w:before="0" w:after="0" w:line="360" w:lineRule="auto"/>
        <w:ind w:firstLine="480"/>
        <w:rPr>
          <w:rFonts w:ascii="FangSong_GB2312" w:eastAsia="FangSong_GB2312" w:hAnsi="FangSong_GB2312" w:cs="FangSong_GB2312"/>
        </w:rPr>
      </w:pPr>
      <w:r>
        <w:rPr>
          <w:rFonts w:ascii="FangSong_GB2312" w:eastAsia="FangSong_GB2312" w:hAnsi="FangSong_GB2312" w:cs="FangSong_GB2312"/>
          <w:sz w:val="28"/>
          <w:szCs w:val="28"/>
        </w:rPr>
        <w:t>国家税务总局吉林省税务局。</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1.2.2.2实施时间要求</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自合同签订之日起，90个工作日内完成。</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1.2.2.3实施地点要求</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国家税务总局吉林省税务局。</w:t>
      </w:r>
    </w:p>
    <w:p>
      <w:pPr>
        <w:pStyle w:val="Heading10"/>
        <w:keepNext w:val="0"/>
        <w:spacing w:before="0" w:after="0" w:line="360" w:lineRule="auto"/>
        <w:jc w:val="center"/>
        <w:rPr>
          <w:rFonts w:ascii="仿宋_GB2312" w:eastAsia="仿宋_GB2312" w:hAnsi="仿宋_GB2312" w:cs="仿宋_GB2312"/>
          <w:b/>
          <w:bCs/>
          <w:sz w:val="32"/>
          <w:szCs w:val="32"/>
        </w:rPr>
      </w:pPr>
      <w:bookmarkStart w:id="10" w:name="_Toc256000006"/>
      <w:r>
        <w:rPr>
          <w:rFonts w:ascii="仿宋_GB2312" w:eastAsia="仿宋_GB2312" w:hAnsi="仿宋_GB2312" w:cs="仿宋_GB2312"/>
          <w:kern w:val="36"/>
        </w:rPr>
        <w:t>2投标/响应要求</w:t>
      </w:r>
      <w:bookmarkEnd w:id="10"/>
    </w:p>
    <w:p>
      <w:pPr>
        <w:pStyle w:val="Heading2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i w:val="0"/>
          <w:iCs w:val="0"/>
        </w:rPr>
        <w:t>2.1对供应商的要求</w:t>
      </w:r>
      <w:bookmarkEnd w:id="11"/>
    </w:p>
    <w:p>
      <w:pPr>
        <w:pStyle w:val="Heading3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sz w:val="28"/>
          <w:szCs w:val="28"/>
        </w:rPr>
        <w:t>2.1.1必备资质</w:t>
      </w:r>
      <w:bookmarkEnd w:id="12"/>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（1）法人或者其他组织的营业执照等证明文件（复印件）</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（2）202</w:t>
      </w:r>
      <w:r>
        <w:rPr>
          <w:rFonts w:ascii="仿宋_GB2312" w:eastAsia="仿宋_GB2312" w:hAnsi="仿宋_GB2312" w:cs="仿宋_GB2312"/>
          <w:sz w:val="28"/>
          <w:szCs w:val="28"/>
        </w:rPr>
        <w:t>4</w:t>
      </w:r>
      <w:r>
        <w:rPr>
          <w:rFonts w:ascii="仿宋_GB2312" w:eastAsia="仿宋_GB2312" w:hAnsi="仿宋_GB2312" w:cs="仿宋_GB2312"/>
          <w:sz w:val="28"/>
          <w:szCs w:val="28"/>
        </w:rPr>
        <w:t>年度经会计师事务所审计报告</w:t>
      </w:r>
      <w:r>
        <w:rPr>
          <w:rFonts w:ascii="仿宋_GB2312" w:eastAsia="仿宋_GB2312" w:hAnsi="仿宋_GB2312" w:cs="仿宋_GB2312"/>
          <w:sz w:val="28"/>
          <w:szCs w:val="28"/>
        </w:rPr>
        <w:t>或财务报表盖章扫描件</w:t>
      </w:r>
      <w:r>
        <w:rPr>
          <w:rFonts w:ascii="仿宋_GB2312" w:eastAsia="仿宋_GB2312" w:hAnsi="仿宋_GB2312" w:cs="仿宋_GB2312"/>
          <w:sz w:val="28"/>
          <w:szCs w:val="28"/>
        </w:rPr>
        <w:t>，包括资产负债表、利润表（损益表、收益表）、现金流量表、所有者权益变动表（复印件）；开业不满一年的提供验资报告或银行出具的资信证明或公司成立之日后的财务报表（复印件）；财务报告中要求提供内容为实质性要求条款（即重要条款），缺少相关资料，在评标时将其视为无效投标。</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（3）</w:t>
      </w:r>
      <w:r>
        <w:rPr>
          <w:rFonts w:ascii="仿宋_GB2312" w:eastAsia="仿宋_GB2312" w:hAnsi="仿宋_GB2312" w:cs="仿宋_GB2312"/>
          <w:sz w:val="28"/>
          <w:szCs w:val="28"/>
        </w:rPr>
        <w:t>近6个月内</w:t>
      </w:r>
      <w:r>
        <w:rPr>
          <w:rFonts w:ascii="仿宋_GB2312" w:eastAsia="仿宋_GB2312" w:hAnsi="仿宋_GB2312" w:cs="仿宋_GB2312"/>
          <w:sz w:val="28"/>
          <w:szCs w:val="28"/>
        </w:rPr>
        <w:t>任意二个月</w:t>
      </w:r>
      <w:r>
        <w:rPr>
          <w:rFonts w:ascii="仿宋_GB2312" w:eastAsia="仿宋_GB2312" w:hAnsi="仿宋_GB2312" w:cs="仿宋_GB2312"/>
          <w:sz w:val="28"/>
          <w:szCs w:val="28"/>
        </w:rPr>
        <w:t>的</w:t>
      </w:r>
      <w:r>
        <w:rPr>
          <w:rFonts w:ascii="仿宋_GB2312" w:eastAsia="仿宋_GB2312" w:hAnsi="仿宋_GB2312" w:cs="仿宋_GB2312"/>
          <w:sz w:val="28"/>
          <w:szCs w:val="28"/>
        </w:rPr>
        <w:t>依法缴纳税收的相关材料，如依法免税或不需要纳税的，则应提供相应文件证明（复印件）</w:t>
      </w:r>
      <w:r>
        <w:rPr>
          <w:rFonts w:ascii="仿宋_GB2312" w:eastAsia="仿宋_GB2312" w:hAnsi="仿宋_GB2312" w:cs="仿宋_GB2312"/>
          <w:sz w:val="28"/>
          <w:szCs w:val="28"/>
        </w:rPr>
        <w:t>。</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（4）近6个月内</w:t>
      </w:r>
      <w:r>
        <w:rPr>
          <w:rFonts w:ascii="仿宋_GB2312" w:eastAsia="仿宋_GB2312" w:hAnsi="仿宋_GB2312" w:cs="仿宋_GB2312"/>
          <w:sz w:val="28"/>
          <w:szCs w:val="28"/>
        </w:rPr>
        <w:t>任意二个月</w:t>
      </w:r>
      <w:r>
        <w:rPr>
          <w:rFonts w:ascii="仿宋_GB2312" w:eastAsia="仿宋_GB2312" w:hAnsi="仿宋_GB2312" w:cs="仿宋_GB2312"/>
          <w:sz w:val="28"/>
          <w:szCs w:val="28"/>
        </w:rPr>
        <w:t>依法缴纳社会保障资金的相关材料，如依法不需要缴纳社会保障资金的，则应提供相应文件证明（复印件）</w:t>
      </w:r>
      <w:r>
        <w:rPr>
          <w:rFonts w:ascii="仿宋_GB2312" w:eastAsia="仿宋_GB2312" w:hAnsi="仿宋_GB2312" w:cs="仿宋_GB2312"/>
          <w:sz w:val="28"/>
          <w:szCs w:val="28"/>
        </w:rPr>
        <w:t>。</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（5）参加本项目投标前三年内，在经营活动中没有重大违法记录（指供应商因违法经营受到刑事处罚或者责令停产停业、吊销许可证或者执照、较大数额罚款等行政处罚）的书面声明</w:t>
      </w:r>
      <w:r>
        <w:rPr>
          <w:rFonts w:ascii="仿宋_GB2312" w:eastAsia="仿宋_GB2312" w:hAnsi="仿宋_GB2312" w:cs="仿宋_GB2312"/>
          <w:sz w:val="28"/>
          <w:szCs w:val="28"/>
        </w:rPr>
        <w:t>。</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（6）具备履行合同所必需的设备和专业技术能力的证明材料（由供应商根据项目需求提供说明材料或者承诺）。</w:t>
      </w:r>
    </w:p>
    <w:p>
      <w:pPr>
        <w:pStyle w:val="Heading3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sz w:val="28"/>
          <w:szCs w:val="28"/>
        </w:rPr>
        <w:t>2.1.2优选资质/优选指标</w:t>
      </w:r>
      <w:bookmarkEnd w:id="13"/>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1625"/>
        <w:gridCol w:w="4193"/>
        <w:gridCol w:w="3252"/>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ISO9001:2015质量管理体系认证证书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ISO/IEC 27001信息安全管理体系认证证书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ISO/IEC 20000信息技术服务管理体系认证证书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提供202</w:t>
      </w:r>
      <w:r>
        <w:rPr>
          <w:rFonts w:ascii="仿宋_GB2312" w:eastAsia="仿宋_GB2312" w:hAnsi="仿宋_GB2312" w:cs="仿宋_GB2312"/>
          <w:sz w:val="28"/>
          <w:szCs w:val="28"/>
        </w:rPr>
        <w:t>2</w:t>
      </w:r>
      <w:r>
        <w:rPr>
          <w:rFonts w:ascii="仿宋_GB2312" w:eastAsia="仿宋_GB2312" w:hAnsi="仿宋_GB2312" w:cs="仿宋_GB2312"/>
          <w:sz w:val="28"/>
          <w:szCs w:val="28"/>
        </w:rPr>
        <w:t>年1月1日以来（以合同签订日期为准）独立承担实施的相似或类似项目成功案例。</w:t>
      </w:r>
    </w:p>
    <w:p>
      <w:pPr>
        <w:pStyle w:val="Heading3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sz w:val="28"/>
          <w:szCs w:val="28"/>
        </w:rPr>
        <w:t>2.1.3是否允许联合体</w:t>
      </w:r>
      <w:bookmarkEnd w:id="1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2.1.4是否专门面向中小企业</w:t>
      </w:r>
      <w:bookmarkEnd w:id="1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2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i w:val="0"/>
          <w:iCs w:val="0"/>
        </w:rPr>
        <w:t>2.2技术部分投标/响应内容</w:t>
      </w:r>
      <w:bookmarkEnd w:id="16"/>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2.2.1技术投标/响应总要求</w:t>
      </w:r>
      <w:bookmarkEnd w:id="17"/>
    </w:p>
    <w:p>
      <w:pPr>
        <w:pStyle w:val="MsoNormal"/>
        <w:spacing w:before="0" w:after="0" w:line="360" w:lineRule="auto"/>
        <w:ind w:left="0" w:right="0" w:firstLine="480"/>
      </w:pPr>
      <w:r>
        <w:rPr>
          <w:rFonts w:ascii="仿宋_GB2312" w:eastAsia="仿宋_GB2312" w:hAnsi="仿宋_GB2312" w:cs="仿宋_GB2312"/>
          <w:sz w:val="28"/>
          <w:szCs w:val="28"/>
        </w:rPr>
        <w:t>采购文件（技术部分）中有标注</w:t>
      </w:r>
      <w:r>
        <w:rPr>
          <w:rFonts w:ascii="仿宋_GB2312" w:eastAsia="仿宋_GB2312" w:hAnsi="仿宋_GB2312" w:cs="仿宋_GB2312"/>
          <w:sz w:val="28"/>
          <w:szCs w:val="28"/>
        </w:rPr>
        <w:t>★号的，为必备服务要求，必须满足，投标人如未作出响应，将导致招标无效；标注#号的，为重要服务内容；标注△号的，为一般服务内容，“是否需要证明材料”项填“是”或“否”。</w:t>
      </w:r>
      <w:r>
        <w:rPr>
          <w:rFonts w:ascii="仿宋_GB2312" w:eastAsia="仿宋_GB2312" w:hAnsi="仿宋_GB2312" w:cs="仿宋_GB2312"/>
          <w:sz w:val="28"/>
          <w:szCs w:val="28"/>
        </w:rPr>
        <w:t>填</w:t>
      </w:r>
      <w:r>
        <w:rPr>
          <w:rFonts w:ascii="仿宋_GB2312" w:eastAsia="仿宋_GB2312" w:hAnsi="仿宋_GB2312" w:cs="仿宋_GB2312"/>
          <w:sz w:val="28"/>
          <w:szCs w:val="28"/>
        </w:rPr>
        <w:t>“是”的，投标人须提供包含相关指标项的证明材料，证明材料可以使用生产厂家官方网站截图或产品白皮书或其他相关证明材料，未提供有效证明材料或证明材料或证明材料中内容与所填报指标不一致的，该指标按不满足处理。</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2.2.2投标/响应方案要求</w:t>
      </w:r>
      <w:bookmarkEnd w:id="1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MsoNormal"/>
        <w:spacing w:before="0" w:after="0" w:line="360" w:lineRule="auto"/>
        <w:ind w:left="0" w:right="0" w:firstLine="480"/>
      </w:pPr>
      <w:r>
        <w:rPr>
          <w:rFonts w:ascii="仿宋_GB2312" w:eastAsia="仿宋_GB2312" w:hAnsi="仿宋_GB2312" w:cs="仿宋_GB2312"/>
          <w:sz w:val="28"/>
          <w:szCs w:val="28"/>
        </w:rPr>
        <w:t>1、管理实施方案；2、技术服务方案；3、应急及安全保障方案；4、保密方案；5、验收方案。</w:t>
      </w:r>
    </w:p>
    <w:p>
      <w:pPr>
        <w:pStyle w:val="Heading10"/>
        <w:keepNext w:val="0"/>
        <w:spacing w:before="0" w:after="0" w:line="360" w:lineRule="auto"/>
        <w:jc w:val="center"/>
        <w:rPr>
          <w:rFonts w:ascii="仿宋_GB2312" w:eastAsia="仿宋_GB2312" w:hAnsi="仿宋_GB2312" w:cs="仿宋_GB2312"/>
          <w:b/>
          <w:bCs/>
          <w:sz w:val="32"/>
          <w:szCs w:val="32"/>
        </w:rPr>
      </w:pPr>
      <w:bookmarkStart w:id="19" w:name="_Toc256000015"/>
      <w:r>
        <w:rPr>
          <w:rFonts w:ascii="仿宋_GB2312" w:eastAsia="仿宋_GB2312" w:hAnsi="仿宋_GB2312" w:cs="仿宋_GB2312"/>
          <w:kern w:val="36"/>
        </w:rPr>
        <w:t>3项目需求</w:t>
      </w:r>
      <w:bookmarkEnd w:id="19"/>
    </w:p>
    <w:p>
      <w:pPr>
        <w:pStyle w:val="Heading2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i w:val="0"/>
          <w:iCs w:val="0"/>
        </w:rPr>
        <w:t>3.1总体要求</w:t>
      </w:r>
      <w:bookmarkEnd w:id="20"/>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1、南湖大路机房由负一层配电室至一楼配电室铺设一根YJV4X240＋1X120平方电缆。具体需新增一台ATS切换配电柜，实现发电机、市电互投，并实现负一配电室至一楼配电室供电线路一主一备。</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2、南湖大路机房一楼配电间增设空调应急开关箱，增加一个同容量即630A市电备用开关</w:t>
      </w:r>
      <w:r>
        <w:rPr>
          <w:rFonts w:ascii="仿宋_GB2312" w:eastAsia="仿宋_GB2312" w:hAnsi="仿宋_GB2312" w:cs="仿宋_GB2312"/>
          <w:sz w:val="28"/>
          <w:szCs w:val="28"/>
        </w:rPr>
        <w:t>。</w:t>
      </w:r>
      <w:r>
        <w:rPr>
          <w:rFonts w:ascii="仿宋_GB2312" w:eastAsia="仿宋_GB2312" w:hAnsi="仿宋_GB2312" w:cs="仿宋_GB2312"/>
          <w:sz w:val="28"/>
          <w:szCs w:val="28"/>
        </w:rPr>
        <w:t>接入线路中，当开关故障时，通过备用开关及时恢复市电供电，具体需新增一台配电柜，铺设双YJV4X185＋1X95平方电缆。</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3、对南湖大路机房80节电池进行更换安装，更换内容包括：80节12V230AH蓄电池、80个内阻采集模块、电流采集模块、网关模块拆装等，并恢复原有动环监控系统。保证机房设施的正常工作，去除因直流供应不正常造成的断路器拒动、继电保护装置失电等重要安全隐患。</w:t>
      </w:r>
    </w:p>
    <w:p>
      <w:pPr>
        <w:pStyle w:val="Heading2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i w:val="0"/>
          <w:iCs w:val="0"/>
        </w:rPr>
        <w:t>3.2采购产品一览表</w:t>
      </w:r>
      <w:bookmarkEnd w:id="21"/>
    </w:p>
    <w:tbl>
      <w:tblPr>
        <w:tblStyle w:val="TableNormal"/>
        <w:tblW w:w="5000" w:type="pct"/>
        <w:tblInd w:w="30" w:type="dxa"/>
        <w:tblCellMar>
          <w:top w:w="15" w:type="dxa"/>
          <w:left w:w="15" w:type="dxa"/>
          <w:bottom w:w="15" w:type="dxa"/>
          <w:right w:w="15" w:type="dxa"/>
        </w:tblCellMar>
      </w:tblPr>
      <w:tblGrid>
        <w:gridCol w:w="821"/>
        <w:gridCol w:w="1703"/>
        <w:gridCol w:w="1707"/>
        <w:gridCol w:w="1646"/>
        <w:gridCol w:w="1596"/>
        <w:gridCol w:w="1597"/>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数量</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单位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蓄电池及充电装置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配电箱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ATS切换配电柜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配电箱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空调应急配电柜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开关电器设备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STS切换装置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绝缘电线和电缆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电力电缆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155.0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米</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bl>
    <w:p>
      <w:pPr>
        <w:pStyle w:val="Heading20"/>
        <w:keepNext w:val="0"/>
        <w:spacing w:before="0" w:after="0" w:line="360" w:lineRule="auto"/>
        <w:rPr>
          <w:rFonts w:ascii="仿宋_GB2312" w:eastAsia="仿宋_GB2312" w:hAnsi="仿宋_GB2312" w:cs="仿宋_GB2312"/>
          <w:b/>
          <w:bCs/>
          <w:sz w:val="28"/>
          <w:szCs w:val="28"/>
        </w:rPr>
      </w:pPr>
      <w:bookmarkStart w:id="22" w:name="_Toc256000018"/>
      <w:r>
        <w:rPr>
          <w:rFonts w:ascii="仿宋_GB2312" w:eastAsia="仿宋_GB2312" w:hAnsi="仿宋_GB2312" w:cs="仿宋_GB2312"/>
          <w:i w:val="0"/>
          <w:iCs w:val="0"/>
        </w:rPr>
        <w:t>3.3采购产品详细清单及技术指标</w:t>
      </w:r>
      <w:bookmarkEnd w:id="22"/>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tbl>
      <w:tblPr>
        <w:tblStyle w:val="TableNormal"/>
        <w:tblW w:w="5000" w:type="pct"/>
        <w:tblInd w:w="30" w:type="dxa"/>
        <w:tblCellMar>
          <w:top w:w="15" w:type="dxa"/>
          <w:left w:w="15" w:type="dxa"/>
          <w:bottom w:w="15" w:type="dxa"/>
          <w:right w:w="15" w:type="dxa"/>
        </w:tblCellMar>
      </w:tblPr>
      <w:tblGrid>
        <w:gridCol w:w="210"/>
        <w:gridCol w:w="682"/>
        <w:gridCol w:w="992"/>
        <w:gridCol w:w="6242"/>
        <w:gridCol w:w="278"/>
        <w:gridCol w:w="666"/>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电池规格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电池为高功率电池12V830W@15minr，电池长宽高尺寸525*239*227mm，重量72Kg。</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电池工艺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蓄电池正负极板均采用铅钙锡铝合金，工艺为涂膏式平板电极，内阻低、输出电流大。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电池安全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为防止电池漏酸短路及安全性，蓄电池所配PP集液盘，阻燃级别符合垂直燃烧V-0级别。蓄电池的核心部件安全阀应为整体阀。</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电池抗震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要求电池抗震性能好，要求投标电池符合YD5083-2005《电信设备抗地震性能检测规范》。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电池环保</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蓄电池表面印刷内容包含安装时螺栓扭矩范围，包含蓄电池环保使用年限标识且不低于20年。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电池外观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蓄电池的外观不得有变形，裂纹及污迹，蓄电池在使用中应无渗液、漏液、爬液和膨胀的现象,无酸雾逸出。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ATS切换配电柜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额定绝缘电压：660V；额定工作电压：380V±10％（主电路）；额定频率：50±1HZ。</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ATS切换配电柜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负荷隔离开关1000A/3P×2个，ATS切换开关1000A/4P×1个，柜前操作，开关输出端采用母线连接。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ATS切换配电柜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大屏幕、高清晰液晶显示；具有测量电压、电流、有功功率、无功功率、视在功率、功率因数、频率、有功电度、无功电度、电压电流各次谐波含有率（2-31次各次谐波分量）等功能；电压、电流测量精度为0.2级，功率与能量测量精度为0.5级。通讯采用独立的两个RS485接口 MODBUS协议。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ATS切换配电柜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防护等级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落地箱防护等级为IP54；柜内操作对带电部分防护等级：IP20。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ATS切换配电柜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表面涂装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箱体内、外表面焊渣清理干净，箱体需进行除锈、酸洗、磷化处理，然后进行静电喷塑，喷涂厚度不小于40µ，面板喷塑均匀平滑外观美，结构合理匀称，平直度高。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空调应急配电柜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额定绝缘电压：660V；额定工作电压：380V±10％（主电路）；额定频率：50±1HZ。</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空调应急配电柜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配置负荷隔离开关630A/4P×1个，柜前操作，防触电二层门。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空调应急配电柜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表面涂装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箱体内、外表面焊渣清理干净，箱体需进行除锈、酸洗、磷化处理，然后进行静电喷塑，喷涂厚度不小于40µ，面板喷塑均匀平滑外观美，结构合理匀称，平直度高。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空调应急配电柜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防护等级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防护等级为IP54；柜内操作对带电部分防护等级： IP20。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STS切换开关</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标称电流16A；，输入：2*IEC C20+2*输入线，输出：8IEC C13+1IEC C19；标定：CE；最少支持8个10A输出和1个16A输出；用户接口：LCD；网络接口：支持；LED显示屏可实现监测和基本配置功能；标准切换时间≤8mS。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电力电缆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ATS切换配电柜电缆规格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YJV4X240＋1X120mm2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电力电缆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空调应急配电柜电缆规格</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YJV4X185＋1X95mm2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电力电缆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敷设方式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地板下桥架敷设</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bl>
    <w:p>
      <w:pPr>
        <w:pStyle w:val="Heading2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i w:val="0"/>
          <w:iCs w:val="0"/>
        </w:rPr>
        <w:t>3.4服务要求</w:t>
      </w:r>
      <w:bookmarkEnd w:id="23"/>
    </w:p>
    <w:tbl>
      <w:tblPr>
        <w:tblStyle w:val="TableNormal"/>
        <w:tblW w:w="5000" w:type="pct"/>
        <w:tblInd w:w="30" w:type="dxa"/>
        <w:tblCellMar>
          <w:top w:w="15" w:type="dxa"/>
          <w:left w:w="15" w:type="dxa"/>
          <w:bottom w:w="15" w:type="dxa"/>
          <w:right w:w="15" w:type="dxa"/>
        </w:tblCellMar>
      </w:tblPr>
      <w:tblGrid>
        <w:gridCol w:w="459"/>
        <w:gridCol w:w="863"/>
        <w:gridCol w:w="863"/>
        <w:gridCol w:w="4881"/>
        <w:gridCol w:w="770"/>
        <w:gridCol w:w="1234"/>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安装、调试、重大故障处理需工程师到场。关键阶段（如割接期）提供临时驻场工程师。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质保联动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原厂质保条款需覆盖本项目设备（如蓄电池提供5年原厂质保，STS提供2年质保）。</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免费保修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设备安装验收后提供12个月免费保修（人为损坏除外）。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bl>
    <w:p>
      <w:pPr>
        <w:pStyle w:val="Heading2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i w:val="0"/>
          <w:iCs w:val="0"/>
        </w:rPr>
        <w:t>3.5其他要求</w:t>
      </w:r>
      <w:bookmarkEnd w:id="24"/>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自项目验收合格之日起，提供</w:t>
      </w:r>
      <w:r>
        <w:rPr>
          <w:rFonts w:ascii="仿宋_GB2312" w:eastAsia="仿宋_GB2312" w:hAnsi="仿宋_GB2312" w:cs="仿宋_GB2312"/>
          <w:sz w:val="28"/>
          <w:szCs w:val="28"/>
        </w:rPr>
        <w:t>电池5年质保服务、配电柜及线缆3年质保服务、STS 2年质保</w:t>
      </w:r>
      <w:r>
        <w:rPr>
          <w:rFonts w:ascii="仿宋_GB2312" w:eastAsia="仿宋_GB2312" w:hAnsi="仿宋_GB2312" w:cs="仿宋_GB2312"/>
          <w:sz w:val="28"/>
          <w:szCs w:val="28"/>
        </w:rPr>
        <w:t>服务（人为损坏、不可抗力除外）。</w:t>
      </w:r>
      <w:r>
        <w:rPr>
          <w:rFonts w:ascii="仿宋_GB2312" w:eastAsia="仿宋_GB2312" w:hAnsi="仿宋_GB2312" w:cs="仿宋_GB2312"/>
          <w:sz w:val="28"/>
          <w:szCs w:val="28"/>
        </w:rPr>
        <w:t>故障设备维修或更换，更换后的备件延续原质保期。</w:t>
      </w:r>
      <w:r>
        <w:rPr>
          <w:rFonts w:ascii="仿宋_GB2312" w:eastAsia="仿宋_GB2312" w:hAnsi="仿宋_GB2312" w:cs="仿宋_GB2312"/>
          <w:sz w:val="28"/>
          <w:szCs w:val="28"/>
        </w:rPr>
        <w:t>供应商需在本地储备关键备件（如</w:t>
      </w:r>
      <w:r>
        <w:rPr>
          <w:rFonts w:ascii="仿宋_GB2312" w:eastAsia="仿宋_GB2312" w:hAnsi="仿宋_GB2312" w:cs="仿宋_GB2312"/>
          <w:sz w:val="28"/>
          <w:szCs w:val="28"/>
        </w:rPr>
        <w:t>STS模块、蓄电池单体），确保故障时24小时内到货。</w:t>
      </w:r>
      <w:r>
        <w:rPr>
          <w:rFonts w:ascii="仿宋_GB2312" w:eastAsia="仿宋_GB2312" w:hAnsi="仿宋_GB2312" w:cs="仿宋_GB2312"/>
          <w:sz w:val="28"/>
          <w:szCs w:val="28"/>
        </w:rPr>
        <w:t>质保期内免费更换；质保期外按合同约定折扣价提供。</w:t>
      </w:r>
    </w:p>
    <w:p>
      <w:pPr>
        <w:pStyle w:val="16"/>
        <w:spacing w:before="0" w:after="0" w:line="360" w:lineRule="auto"/>
        <w:ind w:firstLine="480"/>
        <w:rPr>
          <w:rFonts w:ascii="Times New Roman" w:eastAsia="Times New Roman" w:hAnsi="Times New Roman" w:cs="Times New Roman"/>
        </w:rPr>
      </w:pPr>
      <w:r>
        <w:rPr>
          <w:rFonts w:ascii="Times New Roman" w:eastAsia="Times New Roman" w:hAnsi="Times New Roman" w:cs="Times New Roman"/>
        </w:rPr>
        <w:t> </w:t>
      </w:r>
    </w:p>
    <w:p>
      <w:pPr>
        <w:pStyle w:val="Heading10"/>
        <w:keepNext w:val="0"/>
        <w:spacing w:before="0" w:after="0" w:line="360" w:lineRule="auto"/>
        <w:jc w:val="center"/>
        <w:rPr>
          <w:rFonts w:ascii="仿宋_GB2312" w:eastAsia="仿宋_GB2312" w:hAnsi="仿宋_GB2312" w:cs="仿宋_GB2312"/>
          <w:b/>
          <w:bCs/>
          <w:sz w:val="32"/>
          <w:szCs w:val="32"/>
        </w:rPr>
      </w:pPr>
      <w:bookmarkStart w:id="25" w:name="_Toc256000021"/>
      <w:r>
        <w:rPr>
          <w:rFonts w:ascii="仿宋_GB2312" w:eastAsia="仿宋_GB2312" w:hAnsi="仿宋_GB2312" w:cs="仿宋_GB2312"/>
          <w:kern w:val="36"/>
        </w:rPr>
        <w:t>4人员要求</w:t>
      </w:r>
      <w:bookmarkEnd w:id="25"/>
    </w:p>
    <w:p>
      <w:pPr>
        <w:pStyle w:val="Heading2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i w:val="0"/>
          <w:iCs w:val="0"/>
        </w:rPr>
        <w:t>4.1团队要求</w:t>
      </w:r>
      <w:bookmarkEnd w:id="26"/>
    </w:p>
    <w:p>
      <w:pPr>
        <w:pStyle w:val="Heading3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sz w:val="28"/>
          <w:szCs w:val="28"/>
        </w:rPr>
        <w:t>4.1.1基本要求</w:t>
      </w:r>
      <w:bookmarkEnd w:id="27"/>
    </w:p>
    <w:p>
      <w:pPr>
        <w:pStyle w:val="16"/>
        <w:spacing w:before="0" w:after="0" w:line="360" w:lineRule="auto"/>
        <w:ind w:firstLine="560"/>
        <w:rPr>
          <w:rFonts w:ascii="FangSong_GB2312" w:eastAsia="FangSong_GB2312" w:hAnsi="FangSong_GB2312" w:cs="FangSong_GB2312"/>
          <w:sz w:val="28"/>
          <w:szCs w:val="28"/>
        </w:rPr>
      </w:pPr>
      <w:r>
        <w:rPr>
          <w:rFonts w:ascii="仿宋_GB2312" w:eastAsia="仿宋_GB2312" w:hAnsi="仿宋_GB2312" w:cs="仿宋_GB2312"/>
          <w:sz w:val="28"/>
          <w:szCs w:val="28"/>
        </w:rPr>
        <w:t>中标供应商需指定项目经理及项目团队，并明确团队构成及分工，提供人员分配明细表，</w:t>
      </w:r>
      <w:r>
        <w:rPr>
          <w:rFonts w:ascii="仿宋_GB2312" w:eastAsia="仿宋_GB2312" w:hAnsi="仿宋_GB2312" w:cs="仿宋_GB2312"/>
          <w:sz w:val="28"/>
          <w:szCs w:val="28"/>
        </w:rPr>
        <w:t>提供</w:t>
      </w:r>
      <w:r>
        <w:rPr>
          <w:rFonts w:ascii="仿宋_GB2312" w:eastAsia="仿宋_GB2312" w:hAnsi="仿宋_GB2312" w:cs="仿宋_GB2312"/>
          <w:sz w:val="28"/>
          <w:szCs w:val="28"/>
        </w:rPr>
        <w:t>7×24小时应急联络方式。</w:t>
      </w:r>
      <w:r>
        <w:rPr>
          <w:rFonts w:ascii="仿宋_GB2312" w:eastAsia="仿宋_GB2312" w:hAnsi="仿宋_GB2312" w:cs="仿宋_GB2312"/>
          <w:sz w:val="28"/>
          <w:szCs w:val="28"/>
        </w:rPr>
        <w:t>项目人员管理一般包括所需人员数量及工作量、人员类别、人员结构、专职要求、投入人员的相关证书、工作经验、同类项目经验等要求。</w:t>
      </w:r>
      <w:r>
        <w:rPr>
          <w:rFonts w:ascii="仿宋_GB2312" w:eastAsia="仿宋_GB2312" w:hAnsi="仿宋_GB2312" w:cs="仿宋_GB2312"/>
          <w:sz w:val="28"/>
          <w:szCs w:val="28"/>
        </w:rPr>
        <w:t>项目经理应具有</w:t>
      </w:r>
      <w:r>
        <w:rPr>
          <w:rFonts w:ascii="仿宋_GB2312" w:eastAsia="仿宋_GB2312" w:hAnsi="仿宋_GB2312" w:cs="仿宋_GB2312"/>
          <w:sz w:val="28"/>
          <w:szCs w:val="28"/>
        </w:rPr>
        <w:t>相关证书</w:t>
      </w:r>
      <w:r>
        <w:rPr>
          <w:rFonts w:ascii="仿宋_GB2312" w:eastAsia="仿宋_GB2312" w:hAnsi="仿宋_GB2312" w:cs="仿宋_GB2312"/>
          <w:sz w:val="28"/>
          <w:szCs w:val="28"/>
        </w:rPr>
        <w:t>，施工过程中若中途有事或更换需和采购人提前提出申请，征得采购</w:t>
      </w:r>
      <w:r>
        <w:rPr>
          <w:rFonts w:ascii="仿宋_GB2312" w:eastAsia="仿宋_GB2312" w:hAnsi="仿宋_GB2312" w:cs="仿宋_GB2312"/>
          <w:sz w:val="28"/>
          <w:szCs w:val="28"/>
        </w:rPr>
        <w:t>方</w:t>
      </w:r>
      <w:r>
        <w:rPr>
          <w:rFonts w:ascii="仿宋_GB2312" w:eastAsia="仿宋_GB2312" w:hAnsi="仿宋_GB2312" w:cs="仿宋_GB2312"/>
          <w:sz w:val="28"/>
          <w:szCs w:val="28"/>
        </w:rPr>
        <w:t>同意方可离开，并安排适当数量的技术人员全程参与施工。中标供应商需提供本公司的技术人员资质证明复印件，及证明该人为本公司正式员工的参保信息证明，要求网上可查。</w:t>
      </w:r>
    </w:p>
    <w:p>
      <w:pPr>
        <w:pStyle w:val="16"/>
        <w:spacing w:before="0" w:after="0" w:line="360" w:lineRule="auto"/>
        <w:ind w:firstLine="560"/>
        <w:rPr>
          <w:rFonts w:ascii="FangSong_GB2312" w:eastAsia="FangSong_GB2312" w:hAnsi="FangSong_GB2312" w:cs="FangSong_GB2312"/>
          <w:sz w:val="28"/>
          <w:szCs w:val="28"/>
        </w:rPr>
      </w:pPr>
      <w:r>
        <w:rPr>
          <w:rFonts w:ascii="仿宋_GB2312" w:eastAsia="仿宋_GB2312" w:hAnsi="仿宋_GB2312" w:cs="仿宋_GB2312"/>
          <w:sz w:val="28"/>
          <w:szCs w:val="28"/>
        </w:rPr>
        <w:t>中标供应商</w:t>
      </w:r>
      <w:r>
        <w:rPr>
          <w:rFonts w:ascii="仿宋_GB2312" w:eastAsia="仿宋_GB2312" w:hAnsi="仿宋_GB2312" w:cs="仿宋_GB2312"/>
          <w:sz w:val="28"/>
          <w:szCs w:val="28"/>
        </w:rPr>
        <w:t>负责</w:t>
      </w:r>
      <w:r>
        <w:rPr>
          <w:rFonts w:ascii="仿宋_GB2312" w:eastAsia="仿宋_GB2312" w:hAnsi="仿宋_GB2312" w:cs="仿宋_GB2312"/>
          <w:sz w:val="28"/>
          <w:szCs w:val="28"/>
        </w:rPr>
        <w:t>协调设备原厂（如蓄电池厂商、</w:t>
      </w:r>
      <w:r>
        <w:rPr>
          <w:rFonts w:ascii="仿宋_GB2312" w:eastAsia="仿宋_GB2312" w:hAnsi="仿宋_GB2312" w:cs="仿宋_GB2312"/>
          <w:sz w:val="28"/>
          <w:szCs w:val="28"/>
        </w:rPr>
        <w:t>STS制造商）提供技术文档、固件升级、疑难问题支持</w:t>
      </w:r>
      <w:r>
        <w:rPr>
          <w:rFonts w:ascii="仿宋_GB2312" w:eastAsia="仿宋_GB2312" w:hAnsi="仿宋_GB2312" w:cs="仿宋_GB2312"/>
          <w:sz w:val="28"/>
          <w:szCs w:val="28"/>
        </w:rPr>
        <w:t>。</w:t>
      </w:r>
    </w:p>
    <w:p>
      <w:pPr>
        <w:pStyle w:val="16"/>
        <w:spacing w:before="0" w:after="0" w:line="360" w:lineRule="auto"/>
        <w:ind w:firstLine="640"/>
        <w:rPr>
          <w:rFonts w:ascii="Times New Roman" w:eastAsia="Times New Roman" w:hAnsi="Times New Roman" w:cs="Times New Roman"/>
        </w:rPr>
      </w:pPr>
      <w:r>
        <w:rPr>
          <w:rFonts w:ascii="Times New Roman" w:eastAsia="Times New Roman" w:hAnsi="Times New Roman" w:cs="Times New Roman"/>
        </w:rPr>
        <w:t> </w:t>
      </w:r>
    </w:p>
    <w:p>
      <w:pPr>
        <w:pStyle w:val="Heading3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sz w:val="28"/>
          <w:szCs w:val="28"/>
        </w:rPr>
        <w:t>4.1.2优选资质/优选指标</w:t>
      </w:r>
      <w:bookmarkEnd w:id="28"/>
    </w:p>
    <w:tbl>
      <w:tblPr>
        <w:tblStyle w:val="TableNormal"/>
        <w:tblW w:w="5000" w:type="pct"/>
        <w:tblInd w:w="30" w:type="dxa"/>
        <w:tblCellMar>
          <w:top w:w="15" w:type="dxa"/>
          <w:left w:w="15" w:type="dxa"/>
          <w:bottom w:w="15" w:type="dxa"/>
          <w:right w:w="15" w:type="dxa"/>
        </w:tblCellMar>
      </w:tblPr>
      <w:tblGrid>
        <w:gridCol w:w="957"/>
        <w:gridCol w:w="1912"/>
        <w:gridCol w:w="1912"/>
        <w:gridCol w:w="2376"/>
        <w:gridCol w:w="191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信息系统项目管理师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提供计算机技术与软件专业技术资格证书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29" w:name="_Toc256000025"/>
      <w:r>
        <w:rPr>
          <w:rFonts w:ascii="仿宋_GB2312" w:eastAsia="仿宋_GB2312" w:hAnsi="仿宋_GB2312" w:cs="仿宋_GB2312"/>
          <w:kern w:val="36"/>
        </w:rPr>
        <w:t>5管理实施要求</w:t>
      </w:r>
      <w:bookmarkEnd w:id="29"/>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完成</w:t>
      </w:r>
      <w:r>
        <w:rPr>
          <w:rFonts w:ascii="仿宋_GB2312" w:eastAsia="仿宋_GB2312" w:hAnsi="仿宋_GB2312" w:cs="仿宋_GB2312"/>
          <w:sz w:val="28"/>
          <w:szCs w:val="28"/>
        </w:rPr>
        <w:t>80只蓄电池</w:t>
      </w:r>
      <w:r>
        <w:rPr>
          <w:rFonts w:ascii="仿宋_GB2312" w:eastAsia="仿宋_GB2312" w:hAnsi="仿宋_GB2312" w:cs="仿宋_GB2312"/>
          <w:sz w:val="28"/>
          <w:szCs w:val="28"/>
        </w:rPr>
        <w:t>拆装调试</w:t>
      </w:r>
      <w:r>
        <w:rPr>
          <w:rFonts w:ascii="仿宋_GB2312" w:eastAsia="仿宋_GB2312" w:hAnsi="仿宋_GB2312" w:cs="仿宋_GB2312"/>
          <w:sz w:val="28"/>
          <w:szCs w:val="28"/>
        </w:rPr>
        <w:t>、</w:t>
      </w:r>
      <w:r>
        <w:rPr>
          <w:rFonts w:ascii="仿宋_GB2312" w:eastAsia="仿宋_GB2312" w:hAnsi="仿宋_GB2312" w:cs="仿宋_GB2312"/>
          <w:sz w:val="28"/>
          <w:szCs w:val="28"/>
        </w:rPr>
        <w:t>ATS</w:t>
      </w:r>
      <w:r>
        <w:rPr>
          <w:rFonts w:ascii="仿宋_GB2312" w:eastAsia="仿宋_GB2312" w:hAnsi="仿宋_GB2312" w:cs="仿宋_GB2312"/>
          <w:sz w:val="28"/>
          <w:szCs w:val="28"/>
        </w:rPr>
        <w:t>柜安装调试、</w:t>
      </w:r>
      <w:r>
        <w:rPr>
          <w:rFonts w:ascii="仿宋_GB2312" w:eastAsia="仿宋_GB2312" w:hAnsi="仿宋_GB2312" w:cs="仿宋_GB2312"/>
          <w:sz w:val="28"/>
          <w:szCs w:val="28"/>
        </w:rPr>
        <w:t>STS切换装置、空调开关箱的安装、调试及系统集成，确保供电系统高可靠性。施工</w:t>
      </w:r>
      <w:r>
        <w:rPr>
          <w:rFonts w:ascii="仿宋_GB2312" w:eastAsia="仿宋_GB2312" w:hAnsi="仿宋_GB2312" w:cs="仿宋_GB2312"/>
          <w:sz w:val="28"/>
          <w:szCs w:val="28"/>
        </w:rPr>
        <w:t>符合国家及行业标准（</w:t>
      </w:r>
      <w:r>
        <w:rPr>
          <w:rFonts w:ascii="仿宋_GB2312" w:eastAsia="仿宋_GB2312" w:hAnsi="仿宋_GB2312" w:cs="仿宋_GB2312"/>
          <w:sz w:val="28"/>
          <w:szCs w:val="28"/>
        </w:rPr>
        <w:t>GB/T</w:t>
      </w:r>
      <w:r>
        <w:rPr>
          <w:rFonts w:ascii="仿宋_GB2312" w:eastAsia="仿宋_GB2312" w:hAnsi="仿宋_GB2312" w:cs="仿宋_GB2312"/>
          <w:sz w:val="28"/>
          <w:szCs w:val="28"/>
        </w:rPr>
        <w:t> </w:t>
      </w:r>
      <w:r>
        <w:rPr>
          <w:rFonts w:ascii="仿宋_GB2312" w:eastAsia="仿宋_GB2312" w:hAnsi="仿宋_GB2312" w:cs="仿宋_GB2312"/>
          <w:sz w:val="28"/>
          <w:szCs w:val="28"/>
        </w:rPr>
        <w:t>19638、GB 50168等），</w:t>
      </w:r>
      <w:r>
        <w:rPr>
          <w:rFonts w:ascii="仿宋_GB2312" w:eastAsia="仿宋_GB2312" w:hAnsi="仿宋_GB2312" w:cs="仿宋_GB2312"/>
          <w:sz w:val="28"/>
          <w:szCs w:val="28"/>
        </w:rPr>
        <w:t>减少对现有系统的影响。</w:t>
      </w:r>
      <w:r>
        <w:rPr>
          <w:rFonts w:ascii="仿宋_GB2312" w:eastAsia="仿宋_GB2312" w:hAnsi="仿宋_GB2312" w:cs="仿宋_GB2312"/>
          <w:sz w:val="28"/>
          <w:szCs w:val="28"/>
        </w:rPr>
        <w:t>提供蓄电池状态数据至客户监控平台。</w:t>
      </w:r>
      <w:r>
        <w:rPr>
          <w:rFonts w:ascii="仿宋_GB2312" w:eastAsia="仿宋_GB2312" w:hAnsi="仿宋_GB2312" w:cs="仿宋_GB2312"/>
          <w:sz w:val="28"/>
          <w:szCs w:val="28"/>
        </w:rPr>
        <w:t>模拟主备电切换、负载突增等场景，验证系统稳定性。</w:t>
      </w:r>
    </w:p>
    <w:p>
      <w:pPr>
        <w:pStyle w:val="Heading10"/>
        <w:keepNext w:val="0"/>
        <w:spacing w:before="0" w:after="0" w:line="360" w:lineRule="auto"/>
        <w:jc w:val="center"/>
        <w:rPr>
          <w:rFonts w:ascii="仿宋_GB2312" w:eastAsia="仿宋_GB2312" w:hAnsi="仿宋_GB2312" w:cs="仿宋_GB2312"/>
          <w:b/>
          <w:bCs/>
          <w:sz w:val="32"/>
          <w:szCs w:val="32"/>
        </w:rPr>
      </w:pPr>
      <w:bookmarkStart w:id="30" w:name="_Toc256000026"/>
      <w:r>
        <w:rPr>
          <w:rFonts w:ascii="仿宋_GB2312" w:eastAsia="仿宋_GB2312" w:hAnsi="仿宋_GB2312" w:cs="仿宋_GB2312"/>
          <w:kern w:val="36"/>
        </w:rPr>
        <w:t>6风险管控要求</w:t>
      </w:r>
      <w:bookmarkEnd w:id="30"/>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1、风险管控总体要求</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项目实施期间，投标人须做好施工过程中各项安全保障工作，对人员安全、场地安全等制定风险管控预案和防范措施。</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2、风险管控具体要求</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（1）施工人员安全管理</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注意施工安全，人员需要</w:t>
      </w:r>
      <w:r>
        <w:rPr>
          <w:rFonts w:ascii="仿宋_GB2312" w:eastAsia="仿宋_GB2312" w:hAnsi="仿宋_GB2312" w:cs="仿宋_GB2312"/>
          <w:sz w:val="28"/>
          <w:szCs w:val="28"/>
        </w:rPr>
        <w:t>持证上岗（电工证、高处作业证），穿戴绝缘防护装备。</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（2）施工场地安全管理</w:t>
      </w:r>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预防</w:t>
      </w:r>
      <w:r>
        <w:rPr>
          <w:rFonts w:ascii="仿宋_GB2312" w:eastAsia="仿宋_GB2312" w:hAnsi="仿宋_GB2312" w:cs="仿宋_GB2312"/>
          <w:sz w:val="28"/>
          <w:szCs w:val="28"/>
        </w:rPr>
        <w:t>电气火灾，施工现场配置</w:t>
      </w:r>
      <w:r>
        <w:rPr>
          <w:rFonts w:ascii="仿宋_GB2312" w:eastAsia="仿宋_GB2312" w:hAnsi="仿宋_GB2312" w:cs="仿宋_GB2312"/>
          <w:sz w:val="28"/>
          <w:szCs w:val="28"/>
        </w:rPr>
        <w:t>CO₂灭火器。</w:t>
      </w:r>
    </w:p>
    <w:p>
      <w:pPr>
        <w:pStyle w:val="Heading10"/>
        <w:keepNext w:val="0"/>
        <w:spacing w:before="0" w:after="0" w:line="360" w:lineRule="auto"/>
        <w:jc w:val="center"/>
        <w:rPr>
          <w:rFonts w:ascii="仿宋_GB2312" w:eastAsia="仿宋_GB2312" w:hAnsi="仿宋_GB2312" w:cs="仿宋_GB2312"/>
          <w:b/>
          <w:bCs/>
          <w:sz w:val="32"/>
          <w:szCs w:val="32"/>
        </w:rPr>
      </w:pPr>
      <w:bookmarkStart w:id="31" w:name="_Toc256000027"/>
      <w:r>
        <w:rPr>
          <w:rFonts w:ascii="仿宋_GB2312" w:eastAsia="仿宋_GB2312" w:hAnsi="仿宋_GB2312" w:cs="仿宋_GB2312"/>
          <w:kern w:val="36"/>
        </w:rPr>
        <w:t>7履约验收要求</w:t>
      </w:r>
      <w:bookmarkEnd w:id="31"/>
    </w:p>
    <w:p>
      <w:pPr>
        <w:pStyle w:val="Heading2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i w:val="0"/>
          <w:iCs w:val="0"/>
        </w:rPr>
        <w:t>7.1总体要求</w:t>
      </w:r>
      <w:bookmarkEnd w:id="32"/>
    </w:p>
    <w:tbl>
      <w:tblPr>
        <w:tblStyle w:val="TableNormal"/>
        <w:tblW w:w="5000" w:type="pct"/>
        <w:tblInd w:w="30" w:type="dxa"/>
        <w:tblCellMar>
          <w:top w:w="15" w:type="dxa"/>
          <w:left w:w="15" w:type="dxa"/>
          <w:bottom w:w="15" w:type="dxa"/>
          <w:right w:w="15" w:type="dxa"/>
        </w:tblCellMar>
      </w:tblPr>
      <w:tblGrid>
        <w:gridCol w:w="298"/>
        <w:gridCol w:w="8772"/>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项目完工试运行结束后10个工作日内完成。一是检查设备数量、型号、外观、技术文件完整性。蓄电池需提供出厂电压、内阻检测报告，偏差≤±5%。配电柜、STS及线缆需提供产品质量合格证。二是确认安装工艺、电气性能测试（如蓄电池充放电、ATS切换时间）。三是电缆铺设为绝缘电阻≥10MΩ（500V兆欧表测试），走线整齐且符合防火要求。</w:t>
            </w:r>
          </w:p>
        </w:tc>
      </w:tr>
    </w:tbl>
    <w:p>
      <w:pPr>
        <w:pStyle w:val="Heading20"/>
        <w:keepNext w:val="0"/>
        <w:spacing w:before="0" w:after="0" w:line="360" w:lineRule="auto"/>
        <w:rPr>
          <w:rFonts w:ascii="仿宋_GB2312" w:eastAsia="仿宋_GB2312" w:hAnsi="仿宋_GB2312" w:cs="仿宋_GB2312"/>
          <w:b/>
          <w:bCs/>
          <w:sz w:val="28"/>
          <w:szCs w:val="28"/>
        </w:rPr>
      </w:pPr>
      <w:bookmarkStart w:id="33" w:name="_Toc256000029"/>
      <w:r>
        <w:rPr>
          <w:rFonts w:ascii="仿宋_GB2312" w:eastAsia="仿宋_GB2312" w:hAnsi="仿宋_GB2312" w:cs="仿宋_GB2312"/>
          <w:i w:val="0"/>
          <w:iCs w:val="0"/>
        </w:rPr>
        <w:t>7.2具体要求</w:t>
      </w:r>
      <w:bookmarkEnd w:id="33"/>
    </w:p>
    <w:p>
      <w:pPr>
        <w:pStyle w:val="16"/>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所有设备（蓄电池、</w:t>
      </w:r>
      <w:r>
        <w:rPr>
          <w:rFonts w:ascii="仿宋_GB2312" w:eastAsia="仿宋_GB2312" w:hAnsi="仿宋_GB2312" w:cs="仿宋_GB2312"/>
          <w:sz w:val="28"/>
          <w:szCs w:val="28"/>
        </w:rPr>
        <w:t>ATS</w:t>
      </w:r>
      <w:r>
        <w:rPr>
          <w:rFonts w:ascii="仿宋_GB2312" w:eastAsia="仿宋_GB2312" w:hAnsi="仿宋_GB2312" w:cs="仿宋_GB2312"/>
          <w:sz w:val="28"/>
          <w:szCs w:val="28"/>
        </w:rPr>
        <w:t>配电柜</w:t>
      </w:r>
      <w:r>
        <w:rPr>
          <w:rFonts w:ascii="仿宋_GB2312" w:eastAsia="仿宋_GB2312" w:hAnsi="仿宋_GB2312" w:cs="仿宋_GB2312"/>
          <w:sz w:val="28"/>
          <w:szCs w:val="28"/>
        </w:rPr>
        <w:t>、</w:t>
      </w:r>
      <w:r>
        <w:rPr>
          <w:rFonts w:ascii="仿宋_GB2312" w:eastAsia="仿宋_GB2312" w:hAnsi="仿宋_GB2312" w:cs="仿宋_GB2312"/>
          <w:sz w:val="28"/>
          <w:szCs w:val="28"/>
        </w:rPr>
        <w:t>空调配电柜、</w:t>
      </w:r>
      <w:r>
        <w:rPr>
          <w:rFonts w:ascii="仿宋_GB2312" w:eastAsia="仿宋_GB2312" w:hAnsi="仿宋_GB2312" w:cs="仿宋_GB2312"/>
          <w:sz w:val="28"/>
          <w:szCs w:val="28"/>
        </w:rPr>
        <w:t>STS、线缆等）型号、数量、规格符合合同要求，并提供出厂合格证、检测报告。外包装完好，无运输损坏。</w:t>
      </w:r>
      <w:r>
        <w:rPr>
          <w:rFonts w:ascii="仿宋_GB2312" w:eastAsia="仿宋_GB2312" w:hAnsi="仿宋_GB2312" w:cs="仿宋_GB2312"/>
          <w:sz w:val="28"/>
          <w:szCs w:val="28"/>
        </w:rPr>
        <w:t>设备安装符合工程规范（如</w:t>
      </w:r>
      <w:r>
        <w:rPr>
          <w:rFonts w:ascii="仿宋_GB2312" w:eastAsia="仿宋_GB2312" w:hAnsi="仿宋_GB2312" w:cs="仿宋_GB2312"/>
          <w:sz w:val="28"/>
          <w:szCs w:val="28"/>
        </w:rPr>
        <w:t>GB 50168-2018《电气装置安装工程电缆线路施工及验收规范》）</w:t>
      </w:r>
      <w:r>
        <w:rPr>
          <w:rFonts w:ascii="仿宋_GB2312" w:eastAsia="仿宋_GB2312" w:hAnsi="仿宋_GB2312" w:cs="仿宋_GB2312"/>
          <w:sz w:val="28"/>
          <w:szCs w:val="28"/>
        </w:rPr>
        <w:t>。</w:t>
      </w:r>
      <w:r>
        <w:rPr>
          <w:rFonts w:ascii="仿宋_GB2312" w:eastAsia="仿宋_GB2312" w:hAnsi="仿宋_GB2312" w:cs="仿宋_GB2312"/>
          <w:sz w:val="28"/>
          <w:szCs w:val="28"/>
        </w:rPr>
        <w:t>完成合同约定的培训服务，采购方技术人员能独立操作设备。提供完整的运维文档（如操作手册、维护指南）。</w:t>
      </w:r>
    </w:p>
    <w:p>
      <w:pPr>
        <w:pStyle w:val="16"/>
        <w:spacing w:before="0" w:after="0" w:line="360" w:lineRule="auto"/>
        <w:rPr>
          <w:rFonts w:ascii="Times New Roman" w:eastAsia="Times New Roman" w:hAnsi="Times New Roman" w:cs="Times New Roman"/>
        </w:rPr>
      </w:pPr>
      <w:r>
        <w:rPr>
          <w:rFonts w:ascii="Times New Roman" w:eastAsia="Times New Roman" w:hAnsi="Times New Roman" w:cs="Times New Roman"/>
        </w:rPr>
        <w:t> </w:t>
      </w:r>
    </w:p>
    <w:p>
      <w:pPr>
        <w:pStyle w:val="Heading10"/>
        <w:keepNext w:val="0"/>
        <w:spacing w:before="0" w:after="0" w:line="360" w:lineRule="auto"/>
        <w:jc w:val="center"/>
        <w:rPr>
          <w:rFonts w:ascii="仿宋_GB2312" w:eastAsia="仿宋_GB2312" w:hAnsi="仿宋_GB2312" w:cs="仿宋_GB2312"/>
          <w:b/>
          <w:bCs/>
          <w:sz w:val="32"/>
          <w:szCs w:val="32"/>
        </w:rPr>
      </w:pPr>
      <w:bookmarkStart w:id="34" w:name="_Toc256000030"/>
      <w:r>
        <w:rPr>
          <w:rFonts w:ascii="仿宋_GB2312" w:eastAsia="仿宋_GB2312" w:hAnsi="仿宋_GB2312" w:cs="仿宋_GB2312"/>
          <w:kern w:val="36"/>
        </w:rPr>
        <w:t>8其他要求</w:t>
      </w:r>
      <w:bookmarkEnd w:id="34"/>
    </w:p>
    <w:p>
      <w:pPr>
        <w:pStyle w:val="Heading20"/>
        <w:keepNext w:val="0"/>
        <w:spacing w:before="0" w:after="0" w:line="360" w:lineRule="auto"/>
        <w:rPr>
          <w:rFonts w:ascii="仿宋_GB2312" w:eastAsia="仿宋_GB2312" w:hAnsi="仿宋_GB2312" w:cs="仿宋_GB2312"/>
          <w:b/>
          <w:bCs/>
          <w:sz w:val="28"/>
          <w:szCs w:val="28"/>
        </w:rPr>
      </w:pPr>
      <w:bookmarkStart w:id="35" w:name="_Toc256000031"/>
      <w:r>
        <w:rPr>
          <w:rFonts w:ascii="仿宋_GB2312" w:eastAsia="仿宋_GB2312" w:hAnsi="仿宋_GB2312" w:cs="仿宋_GB2312"/>
          <w:i w:val="0"/>
          <w:iCs w:val="0"/>
        </w:rPr>
        <w:t>8.1必备要求</w:t>
      </w:r>
      <w:bookmarkEnd w:id="35"/>
    </w:p>
    <w:p>
      <w:pPr>
        <w:pStyle w:val="Heading30"/>
        <w:keepNext w:val="0"/>
        <w:spacing w:before="0" w:after="0" w:line="360" w:lineRule="auto"/>
        <w:rPr>
          <w:rFonts w:ascii="仿宋_GB2312" w:eastAsia="仿宋_GB2312" w:hAnsi="仿宋_GB2312" w:cs="仿宋_GB2312"/>
          <w:b/>
          <w:bCs/>
          <w:sz w:val="28"/>
          <w:szCs w:val="28"/>
        </w:rPr>
      </w:pPr>
      <w:bookmarkStart w:id="36" w:name="_Toc256000032"/>
      <w:r>
        <w:rPr>
          <w:rFonts w:ascii="仿宋_GB2312" w:eastAsia="仿宋_GB2312" w:hAnsi="仿宋_GB2312" w:cs="仿宋_GB2312"/>
          <w:sz w:val="28"/>
          <w:szCs w:val="28"/>
        </w:rPr>
        <w:t>8.1.1通用必备要求</w:t>
      </w:r>
      <w:bookmarkEnd w:id="3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30"/>
        <w:keepNext w:val="0"/>
        <w:spacing w:before="0" w:after="0" w:line="360" w:lineRule="auto"/>
        <w:rPr>
          <w:rFonts w:ascii="仿宋_GB2312" w:eastAsia="仿宋_GB2312" w:hAnsi="仿宋_GB2312" w:cs="仿宋_GB2312"/>
          <w:b/>
          <w:bCs/>
          <w:sz w:val="28"/>
          <w:szCs w:val="28"/>
        </w:rPr>
      </w:pPr>
      <w:bookmarkStart w:id="37" w:name="_Toc256000033"/>
      <w:r>
        <w:rPr>
          <w:rFonts w:ascii="仿宋_GB2312" w:eastAsia="仿宋_GB2312" w:hAnsi="仿宋_GB2312" w:cs="仿宋_GB2312"/>
          <w:sz w:val="28"/>
          <w:szCs w:val="28"/>
        </w:rPr>
        <w:t>8.1.2★税收信息化项目开发和应用管理工作要求</w:t>
      </w:r>
      <w:bookmarkEnd w:id="37"/>
    </w:p>
    <w:p>
      <w:pPr>
        <w:pStyle w:val="MsoNormal"/>
        <w:spacing w:before="0" w:after="0" w:line="360" w:lineRule="auto"/>
        <w:ind w:left="0" w:right="0" w:firstLine="480"/>
      </w:pPr>
      <w:r>
        <w:rPr>
          <w:rFonts w:ascii="仿宋_GB2312" w:eastAsia="仿宋_GB2312" w:hAnsi="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Heading30"/>
        <w:keepNext w:val="0"/>
        <w:spacing w:before="0" w:after="0" w:line="360" w:lineRule="auto"/>
        <w:rPr>
          <w:rFonts w:ascii="仿宋_GB2312" w:eastAsia="仿宋_GB2312" w:hAnsi="仿宋_GB2312" w:cs="仿宋_GB2312"/>
          <w:b/>
          <w:bCs/>
          <w:sz w:val="28"/>
          <w:szCs w:val="28"/>
        </w:rPr>
      </w:pPr>
      <w:bookmarkStart w:id="38" w:name="_Toc256000034"/>
      <w:r>
        <w:rPr>
          <w:rFonts w:ascii="仿宋_GB2312" w:eastAsia="仿宋_GB2312" w:hAnsi="仿宋_GB2312" w:cs="仿宋_GB2312"/>
          <w:sz w:val="28"/>
          <w:szCs w:val="28"/>
        </w:rPr>
        <w:t>8.1.3★供应链安全管理要求</w:t>
      </w:r>
      <w:bookmarkEnd w:id="38"/>
    </w:p>
    <w:p>
      <w:pPr>
        <w:pStyle w:val="MsoNormal"/>
        <w:spacing w:before="0" w:after="0" w:line="360" w:lineRule="auto"/>
        <w:ind w:left="0" w:right="0" w:firstLine="480"/>
      </w:pPr>
      <w:r>
        <w:rPr>
          <w:rFonts w:ascii="仿宋_GB2312" w:eastAsia="仿宋_GB2312" w:hAnsi="仿宋_GB2312" w:cs="仿宋_GB2312"/>
          <w:sz w:val="28"/>
          <w:szCs w:val="28"/>
        </w:rPr>
        <w:t>1、人员资格要求</w:t>
      </w:r>
    </w:p>
    <w:p>
      <w:pPr>
        <w:pStyle w:val="MsoNormal"/>
        <w:spacing w:before="0" w:after="0" w:line="360" w:lineRule="auto"/>
        <w:ind w:left="0" w:right="0" w:firstLine="480"/>
      </w:pPr>
      <w:r>
        <w:rPr>
          <w:rFonts w:ascii="仿宋_GB2312" w:eastAsia="仿宋_GB2312" w:hAnsi="仿宋_GB2312" w:cs="仿宋_GB2312"/>
          <w:sz w:val="28"/>
          <w:szCs w:val="28"/>
        </w:rPr>
        <w:t>（</w:t>
      </w:r>
      <w:r>
        <w:rPr>
          <w:rFonts w:ascii="仿宋_GB2312" w:eastAsia="仿宋_GB2312" w:hAnsi="仿宋_GB2312" w:cs="仿宋_GB2312"/>
          <w:sz w:val="28"/>
          <w:szCs w:val="28"/>
        </w:rPr>
        <w:t>1）签订承诺书。供应商应严格落实国家税务总局网络安全和保密管理要求，承担技术支持人员的网络安全和保密管理责任，按采购人要求签订协议和承诺书。</w:t>
      </w:r>
    </w:p>
    <w:p>
      <w:pPr>
        <w:pStyle w:val="MsoNormal"/>
        <w:spacing w:before="0" w:after="0" w:line="360" w:lineRule="auto"/>
        <w:ind w:left="0" w:right="0" w:firstLine="480"/>
      </w:pPr>
      <w:r>
        <w:rPr>
          <w:rFonts w:ascii="仿宋_GB2312" w:eastAsia="仿宋_GB2312" w:hAnsi="仿宋_GB2312" w:cs="仿宋_GB2312"/>
          <w:sz w:val="28"/>
          <w:szCs w:val="28"/>
        </w:rPr>
        <w:t>（</w:t>
      </w:r>
      <w:r>
        <w:rPr>
          <w:rFonts w:ascii="仿宋_GB2312" w:eastAsia="仿宋_GB2312" w:hAnsi="仿宋_GB2312" w:cs="仿宋_GB2312"/>
          <w:sz w:val="28"/>
          <w:szCs w:val="28"/>
        </w:rPr>
        <w:t>2）开展背景审查。供应商承担技术支持人员背景审查工作，提供其身份证明、履历、家庭成员及主要社会关系、无犯罪记录证明等材料，并提交采购人进行备案。</w:t>
      </w:r>
    </w:p>
    <w:p>
      <w:pPr>
        <w:pStyle w:val="MsoNormal"/>
        <w:spacing w:before="0" w:after="0" w:line="360" w:lineRule="auto"/>
        <w:ind w:left="0" w:right="0" w:firstLine="480"/>
      </w:pPr>
      <w:r>
        <w:rPr>
          <w:rFonts w:ascii="仿宋_GB2312" w:eastAsia="仿宋_GB2312" w:hAnsi="仿宋_GB2312" w:cs="仿宋_GB2312"/>
          <w:sz w:val="28"/>
          <w:szCs w:val="28"/>
        </w:rPr>
        <w:t>（</w:t>
      </w:r>
      <w:r>
        <w:rPr>
          <w:rFonts w:ascii="仿宋_GB2312" w:eastAsia="仿宋_GB2312" w:hAnsi="仿宋_GB2312" w:cs="仿宋_GB2312"/>
          <w:sz w:val="28"/>
          <w:szCs w:val="28"/>
        </w:rPr>
        <w:t>3）设置网络安全负责人（由驻场运维人员兼任）。供应商为本项目配备一名网络安全负责人，该负责人具备独立决策能力并保持相对稳定，在项目实施的全过程负责网络安全工作，组织落实各项网络安全要求。</w:t>
      </w:r>
    </w:p>
    <w:p>
      <w:pPr>
        <w:pStyle w:val="MsoNormal"/>
        <w:spacing w:before="0" w:after="0" w:line="360" w:lineRule="auto"/>
        <w:ind w:left="0" w:right="0" w:firstLine="561"/>
      </w:pPr>
      <w:r>
        <w:rPr>
          <w:rFonts w:ascii="仿宋_GB2312" w:eastAsia="仿宋_GB2312" w:hAnsi="仿宋_GB2312" w:cs="仿宋_GB2312"/>
          <w:sz w:val="28"/>
          <w:szCs w:val="28"/>
        </w:rPr>
        <w:t>2、日常行为规范要求</w:t>
      </w:r>
    </w:p>
    <w:p>
      <w:pPr>
        <w:pStyle w:val="MsoNormal"/>
        <w:spacing w:before="0" w:after="0" w:line="360" w:lineRule="auto"/>
        <w:ind w:left="0" w:right="0" w:firstLine="561"/>
      </w:pPr>
      <w:r>
        <w:rPr>
          <w:rFonts w:ascii="仿宋_GB2312" w:eastAsia="仿宋_GB2312" w:hAnsi="仿宋_GB2312" w:cs="仿宋_GB2312"/>
          <w:sz w:val="28"/>
          <w:szCs w:val="28"/>
        </w:rPr>
        <w:t>（</w:t>
      </w:r>
      <w:r>
        <w:rPr>
          <w:rFonts w:ascii="仿宋_GB2312" w:eastAsia="仿宋_GB2312" w:hAnsi="仿宋_GB2312" w:cs="仿宋_GB2312"/>
          <w:sz w:val="28"/>
          <w:szCs w:val="28"/>
        </w:rPr>
        <w:t>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w:t>
      </w:r>
    </w:p>
    <w:p>
      <w:pPr>
        <w:pStyle w:val="MsoNormal"/>
        <w:spacing w:before="0" w:after="0" w:line="360" w:lineRule="auto"/>
        <w:ind w:left="0" w:right="0" w:firstLine="561"/>
      </w:pPr>
      <w:r>
        <w:rPr>
          <w:rFonts w:ascii="仿宋_GB2312" w:eastAsia="仿宋_GB2312" w:hAnsi="仿宋_GB2312" w:cs="仿宋_GB2312"/>
          <w:sz w:val="28"/>
          <w:szCs w:val="28"/>
        </w:rPr>
        <w:t>（</w:t>
      </w:r>
      <w:r>
        <w:rPr>
          <w:rFonts w:ascii="仿宋_GB2312" w:eastAsia="仿宋_GB2312" w:hAnsi="仿宋_GB2312" w:cs="仿宋_GB2312"/>
          <w:sz w:val="28"/>
          <w:szCs w:val="28"/>
        </w:rPr>
        <w:t>2）教育培训要求。供应商负责对技术支持人员进行网络和数据安全法律法规、网络安全意识、网络安全管理、网络安全技能、保密意识以及网络安全警示教育等培训，上岗前对其进行考核。</w:t>
      </w:r>
    </w:p>
    <w:p>
      <w:pPr>
        <w:pStyle w:val="MsoNormal"/>
        <w:spacing w:before="0" w:after="0" w:line="360" w:lineRule="auto"/>
        <w:ind w:left="0" w:right="0" w:firstLine="561"/>
      </w:pPr>
      <w:r>
        <w:rPr>
          <w:rFonts w:ascii="仿宋_GB2312" w:eastAsia="仿宋_GB2312" w:hAnsi="仿宋_GB2312" w:cs="仿宋_GB2312"/>
          <w:sz w:val="28"/>
          <w:szCs w:val="28"/>
        </w:rPr>
        <w:t>3、违约惩戒措施</w:t>
      </w:r>
    </w:p>
    <w:p>
      <w:pPr>
        <w:pStyle w:val="MsoNormal"/>
        <w:spacing w:before="0" w:after="0" w:line="360" w:lineRule="auto"/>
        <w:ind w:left="0" w:right="0" w:firstLine="480"/>
      </w:pPr>
      <w:r>
        <w:rPr>
          <w:rFonts w:ascii="仿宋_GB2312" w:eastAsia="仿宋_GB2312" w:hAnsi="仿宋_GB2312" w:cs="仿宋_GB2312"/>
          <w:sz w:val="28"/>
          <w:szCs w:val="28"/>
        </w:rPr>
        <w:t>供应商对供应链安全管理责任落实不到位，造成安全事件或产生不良影响的，采购人按照法律法规及合同约定进行处理。</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SimHei" w:eastAsia="SimHei" w:hAnsi="SimHei" w:cs="SimHei"/>
          <w:sz w:val="28"/>
          <w:szCs w:val="28"/>
        </w:rPr>
        <w:t>一、厂商及人员安全管理需求</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1.供应链厂商和人员要遵守国家网络安全政策法规和税务机关各项网络安全规章制度情况，供应链厂商要与税务机关签订《厂商网络安全承诺书》，向税务机关提交供应链厂商人员的《个人网络安全承诺书</w:t>
      </w:r>
      <w:r>
        <w:rPr>
          <w:rFonts w:ascii="仿宋_GB2312" w:eastAsia="仿宋_GB2312" w:hAnsi="仿宋_GB2312" w:cs="仿宋_GB2312"/>
          <w:sz w:val="28"/>
          <w:szCs w:val="28"/>
        </w:rPr>
        <w:t>》及《无犯罪</w:t>
      </w:r>
      <w:r>
        <w:rPr>
          <w:rFonts w:ascii="仿宋_GB2312" w:eastAsia="仿宋_GB2312" w:hAnsi="仿宋_GB2312" w:cs="仿宋_GB2312"/>
          <w:sz w:val="28"/>
          <w:szCs w:val="28"/>
        </w:rPr>
        <w:t>记录证明》。</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2.供应链厂商要配合税务机关对涉及税务机关税务信息化项目（以下简称项目）的人员做好背景审查。</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3.供应链厂商要定期对聘用离职税务人员情况进行排查，建立相关资料档案，确保人员安全可信。</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4.供应链厂商要建立网络安全负责人制度，并配备一名具备独立决策能力并保持相对稳定的负责人，在项目实施的全过程负责网络安全和数据安全工作，组织落实各项网络安全和数据安全要求。</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供应链厂商在项目实施前，要对参与人员开展网络和数据安全法律法规、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6.供应链厂商要及时向税务机关报告可能发生影响网络安全的重大事项，包括负责人及重要工作人员变更、业务转型、合并重组、投资并购等。</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8.供应链厂商及人员要严格遵守采购合同、协议、承诺书等文件中的安全相关条款。</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9.供应链厂商要对关键信息基础设施和重要信息系统进行自查，不利用提供产品和服务的便利条件非法获取数据、非法控制和操纵设备，不中断产品供应或必要的技术支持服务等。</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10.供应链厂商要加强人员违规违纪管理，对违规违纪行为按签订合同、协议、承诺书等相关条款进行处理，建立《违规违纪管理档案表》。对涉嫌违法犯罪的人员，要主动依照相应法律法规移交有关部门处理。</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11.供应链厂商要严格落实风险控制、审计巡查、应急处置等方面的工作要求，确保系统安全稳定运行。供应链厂商要按着各项要求，撰写《年度供应链安全自查报告》并提交税务机关。</w:t>
      </w:r>
    </w:p>
    <w:p>
      <w:pPr>
        <w:pStyle w:val="16"/>
        <w:spacing w:before="0" w:after="0" w:line="360" w:lineRule="auto"/>
        <w:ind w:left="0" w:right="0" w:firstLine="640"/>
        <w:jc w:val="both"/>
        <w:textAlignment w:val="baseline"/>
        <w:rPr>
          <w:rFonts w:ascii="Times New Roman" w:eastAsia="Times New Roman" w:hAnsi="Times New Roman" w:cs="Times New Roman"/>
        </w:rPr>
      </w:pPr>
      <w:r>
        <w:rPr>
          <w:rFonts w:ascii="SimHei" w:eastAsia="SimHei" w:hAnsi="SimHei" w:cs="SimHei"/>
          <w:sz w:val="28"/>
          <w:szCs w:val="28"/>
        </w:rPr>
        <w:t>二、进驻税务机关办公安全管理需求</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1.供应链厂商要加强驻场办公人员在日常工作中的行为安全管理，严格遵守运维场地管理规定及税务机关基础设施（机房）管理制度。</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2.驻场办公人员进驻运维场地期间不得携带个人电脑、个人存储介质（U盘）、未授权软件安装包等工具。</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3.驻场办公人员未经授权不允许访问、维护、维修基础设施。</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4.驻场办公人员严禁私自使用运维终端打印及刻录输出数据。</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5.驻场办公人员不得向第三方提供基础设施、场地设计图、设备部署图等有关信息。</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6.驻场办公人员使用的终端必须安装防病毒软件，定期开展终端病毒查杀，并形成病毒查杀文档。</w:t>
      </w:r>
    </w:p>
    <w:p>
      <w:pPr>
        <w:pStyle w:val="16"/>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7.驻场办公人员不得将工作数据、工作内容、工作环境等任何与工作有关的信息传播至QQ、微信或任何与工作无关的地方。</w:t>
      </w:r>
    </w:p>
    <w:p>
      <w:pPr>
        <w:pStyle w:val="Normal0"/>
        <w:spacing w:before="0" w:after="0" w:line="360" w:lineRule="auto"/>
        <w:ind w:firstLine="560"/>
        <w:rPr>
          <w:rFonts w:ascii="FangSong_GB2312" w:eastAsia="FangSong_GB2312" w:hAnsi="FangSong_GB2312" w:cs="FangSong_GB2312"/>
          <w:sz w:val="28"/>
          <w:szCs w:val="28"/>
        </w:rPr>
      </w:pPr>
      <w:r>
        <w:rPr>
          <w:rFonts w:ascii="SimHei" w:eastAsia="SimHei" w:hAnsi="SimHei" w:cs="SimHei"/>
          <w:sz w:val="28"/>
          <w:szCs w:val="28"/>
        </w:rPr>
        <w:t>三、开发建设安全管理需求</w:t>
      </w:r>
    </w:p>
    <w:p>
      <w:pPr>
        <w:pStyle w:val="Normal0"/>
        <w:spacing w:before="0" w:after="0" w:line="360" w:lineRule="auto"/>
        <w:ind w:firstLine="560"/>
        <w:rPr>
          <w:rFonts w:ascii="FangSong_GB2312" w:eastAsia="FangSong_GB2312" w:hAnsi="FangSong_GB2312" w:cs="FangSong_GB2312"/>
          <w:sz w:val="28"/>
          <w:szCs w:val="28"/>
        </w:rPr>
      </w:pPr>
      <w:r>
        <w:rPr>
          <w:rFonts w:ascii="FangSong_GB2312" w:eastAsia="FangSong_GB2312" w:hAnsi="FangSong_GB2312" w:cs="FangSong_GB2312"/>
          <w:sz w:val="28"/>
          <w:szCs w:val="28"/>
        </w:rPr>
        <w:t>1.供应链厂商的软件研发工作场所需安全可控可信，要搭建专用的开发测试环境，配置安全可信的开发管理工具，设置可靠的权限管理策略，确保项目研发安全可控。</w:t>
      </w:r>
    </w:p>
    <w:p>
      <w:pPr>
        <w:pStyle w:val="Normal0"/>
        <w:spacing w:before="0" w:after="0" w:line="360" w:lineRule="auto"/>
        <w:ind w:firstLine="560"/>
        <w:rPr>
          <w:rFonts w:ascii="FangSong_GB2312" w:eastAsia="FangSong_GB2312" w:hAnsi="FangSong_GB2312" w:cs="FangSong_GB2312"/>
          <w:sz w:val="28"/>
          <w:szCs w:val="28"/>
        </w:rPr>
      </w:pPr>
      <w:r>
        <w:rPr>
          <w:rFonts w:ascii="FangSong_GB2312" w:eastAsia="FangSong_GB2312" w:hAnsi="FangSong_GB2312" w:cs="FangSong_GB2312"/>
          <w:sz w:val="28"/>
          <w:szCs w:val="28"/>
        </w:rPr>
        <w:t>2.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4.供应链厂商对项目使用的重要供应链产品要定期核查，形成《供应链产品清单》。</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6.供应链厂商禁止使用存在高安全风险隐患或已停止维护的第三方组件。</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7.供应链厂商在产品中如使用了开源代码，应确保其符合开源许可协议要求。供应链厂商自行开发且多项目共用的基础框架及组件，一并参照管理。</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8.供应链厂商在项目开发建设时，要配置独立的、与互联网隔离的内部代码管理平台,并开展安全审查。严禁将源代码上传第三方平台，严禁使用互联网代码托管平台。</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9.供应链厂商在项目开发建设时，要搭建具备权限管控功能的统一版本控制系统，将全部源代码纳入管理，并制定安全编码规范，严禁开发人员未经授权或越权访问和违规开发。</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11.供应链厂商需要税务机关提供用于测试的脱敏数据时，应明确脱敏字段需求，要规范测试数据使用权限，切断数据拷出途径，确保测试数据安全。</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pPr>
        <w:pStyle w:val="Normal0"/>
        <w:spacing w:before="0" w:after="0" w:line="360" w:lineRule="auto"/>
        <w:ind w:firstLine="480"/>
        <w:rPr>
          <w:rFonts w:ascii="Times New Roman" w:eastAsia="Times New Roman" w:hAnsi="Times New Roman" w:cs="Times New Roman"/>
        </w:rPr>
      </w:pPr>
      <w:r>
        <w:rPr>
          <w:rFonts w:ascii="SimHei" w:eastAsia="SimHei" w:hAnsi="SimHei" w:cs="SimHei"/>
          <w:sz w:val="28"/>
          <w:szCs w:val="28"/>
        </w:rPr>
        <w:t>四、日常运维安全管理需求</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1.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一人多户”或“一户多人”情况。</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2.供应链厂商要加强数据安全管理，规范供应链厂商人员的日常运维工作，不得擅自访问、修改或删除税费数据，严禁将生产环境的真实税费数据导入测试环境，测试系统中不能留有真实税费数据</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3.供应链厂商及人员需要导出数据时要经过审批且符合规定，严禁私自导出数据。</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4.供应链厂商及人员不得私自截留涉税相关数据，不得变更用途、用法，不得公开、转让或向第三方提供。</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5.供应链厂商要及时发现风险隐患，对发现的网络安全漏洞、缺陷、数据泄露或其他重大网络安全风险，及时向税务机关报告，不得公开或向第三方提供。</w:t>
      </w:r>
    </w:p>
    <w:p>
      <w:pPr>
        <w:pStyle w:val="Normal0"/>
        <w:spacing w:before="0" w:after="0" w:line="360" w:lineRule="auto"/>
        <w:ind w:firstLine="480"/>
        <w:rPr>
          <w:rFonts w:ascii="Times New Roman" w:eastAsia="Times New Roman" w:hAnsi="Times New Roman" w:cs="Times New Roman"/>
        </w:rPr>
      </w:pPr>
      <w:r>
        <w:rPr>
          <w:rFonts w:ascii="FangSong_GB2312" w:eastAsia="FangSong_GB2312" w:hAnsi="FangSong_GB2312" w:cs="FangSong_GB2312"/>
          <w:sz w:val="28"/>
          <w:szCs w:val="28"/>
        </w:rPr>
        <w:t>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pPr>
        <w:pStyle w:val="Heading30"/>
        <w:keepNext w:val="0"/>
        <w:spacing w:before="0" w:after="0" w:line="360" w:lineRule="auto"/>
        <w:rPr>
          <w:rFonts w:ascii="仿宋_GB2312" w:eastAsia="仿宋_GB2312" w:hAnsi="仿宋_GB2312" w:cs="仿宋_GB2312"/>
          <w:b/>
          <w:bCs/>
          <w:sz w:val="28"/>
          <w:szCs w:val="28"/>
        </w:rPr>
      </w:pPr>
      <w:bookmarkStart w:id="39" w:name="_Toc256000035"/>
      <w:r>
        <w:rPr>
          <w:rFonts w:ascii="仿宋_GB2312" w:eastAsia="仿宋_GB2312" w:hAnsi="仿宋_GB2312" w:cs="仿宋_GB2312"/>
          <w:sz w:val="28"/>
          <w:szCs w:val="28"/>
        </w:rPr>
        <w:t>8.1.4★信息化服务运维人员要求</w:t>
      </w:r>
      <w:bookmarkEnd w:id="39"/>
    </w:p>
    <w:p>
      <w:pPr>
        <w:pStyle w:val="MsoNormal"/>
        <w:spacing w:before="0" w:after="0" w:line="360" w:lineRule="auto"/>
        <w:ind w:left="0" w:right="0" w:firstLine="480"/>
      </w:pPr>
      <w:r>
        <w:rPr>
          <w:rFonts w:ascii="仿宋_GB2312" w:eastAsia="仿宋_GB2312" w:hAnsi="仿宋_GB2312" w:cs="仿宋_GB2312"/>
          <w:sz w:val="28"/>
          <w:szCs w:val="28"/>
        </w:rPr>
        <w:t>本项目涉及信息化服务运维人员的，运维人员应当是运维单位的正式人员，或者是与运维单位签订</w:t>
      </w:r>
      <w:r>
        <w:rPr>
          <w:rFonts w:ascii="仿宋_GB2312" w:eastAsia="仿宋_GB2312" w:hAnsi="仿宋_GB2312" w:cs="仿宋_GB2312"/>
          <w:sz w:val="28"/>
          <w:szCs w:val="28"/>
        </w:rPr>
        <w:t>1年以上劳动合同且实际工作满1年的人员，常驻运维人员应当为技术骨干。</w:t>
      </w:r>
    </w:p>
    <w:p>
      <w:pPr>
        <w:pStyle w:val="MsoNormal"/>
        <w:spacing w:before="0" w:after="0" w:line="360" w:lineRule="auto"/>
        <w:ind w:left="0" w:right="0" w:firstLine="480"/>
      </w:pPr>
      <w:r>
        <w:rPr>
          <w:rFonts w:ascii="FangSong_GB2312" w:eastAsia="FangSong_GB2312" w:hAnsi="FangSong_GB2312" w:cs="FangSong_GB2312"/>
          <w:sz w:val="28"/>
          <w:szCs w:val="28"/>
        </w:rPr>
        <w:t>驻场运维人员不得在同一服务期内为两个或以上信息化项目提供驻场运维服务。</w:t>
      </w:r>
    </w:p>
    <w:p>
      <w:pPr>
        <w:pStyle w:val="Heading30"/>
        <w:keepNext w:val="0"/>
        <w:spacing w:before="0" w:after="0" w:line="360" w:lineRule="auto"/>
        <w:rPr>
          <w:rFonts w:ascii="仿宋_GB2312" w:eastAsia="仿宋_GB2312" w:hAnsi="仿宋_GB2312" w:cs="仿宋_GB2312"/>
          <w:b/>
          <w:bCs/>
          <w:sz w:val="28"/>
          <w:szCs w:val="28"/>
        </w:rPr>
      </w:pPr>
      <w:bookmarkStart w:id="40" w:name="_Toc256000036"/>
      <w:r>
        <w:rPr>
          <w:rFonts w:ascii="仿宋_GB2312" w:eastAsia="仿宋_GB2312" w:hAnsi="仿宋_GB2312" w:cs="仿宋_GB2312"/>
          <w:sz w:val="28"/>
          <w:szCs w:val="28"/>
        </w:rPr>
        <w:t>8.1.5★税收信息化服务商廉政要求</w:t>
      </w:r>
      <w:bookmarkEnd w:id="40"/>
    </w:p>
    <w:p>
      <w:pPr>
        <w:pStyle w:val="Normal0"/>
        <w:spacing w:before="0" w:after="0" w:line="360" w:lineRule="auto"/>
        <w:jc w:val="center"/>
        <w:rPr>
          <w:rFonts w:ascii="Times New Roman" w:eastAsia="Times New Roman" w:hAnsi="Times New Roman" w:cs="Times New Roman"/>
        </w:rPr>
      </w:pPr>
      <w:r>
        <w:rPr>
          <w:rFonts w:ascii="方正小标宋简体" w:eastAsia="方正小标宋简体" w:hAnsi="方正小标宋简体" w:cs="方正小标宋简体"/>
          <w:sz w:val="28"/>
          <w:szCs w:val="28"/>
        </w:rPr>
        <w:t>  （1）税务信息化服务商廉政相关要求</w:t>
      </w:r>
    </w:p>
    <w:p>
      <w:pPr>
        <w:pStyle w:val="16"/>
        <w:spacing w:before="0" w:after="0" w:line="360" w:lineRule="auto"/>
        <w:ind w:left="0" w:right="0" w:firstLine="480"/>
        <w:textAlignment w:val="baseline"/>
        <w:rPr>
          <w:rFonts w:ascii="Times New Roman" w:eastAsia="Times New Roman" w:hAnsi="Times New Roman" w:cs="Times New Roman"/>
        </w:rPr>
      </w:pPr>
      <w:r>
        <w:rPr>
          <w:rFonts w:ascii="FangSong_GB2312" w:eastAsia="FangSong_GB2312" w:hAnsi="FangSong_GB2312" w:cs="FangSong_GB2312"/>
          <w:sz w:val="28"/>
          <w:szCs w:val="28"/>
        </w:rPr>
        <w:t>为进一步落实全面从严治党要求，构建亲清新型政商关系，加强税务信息化项目建设过程中的党风廉政建设和反腐败工作，确保项目建设规范、廉洁推进，中标人</w:t>
      </w:r>
      <w:r>
        <w:rPr>
          <w:rFonts w:ascii="FangSong_GB2312" w:eastAsia="FangSong_GB2312" w:hAnsi="FangSong_GB2312" w:cs="FangSong_GB2312"/>
          <w:spacing w:val="0"/>
          <w:sz w:val="28"/>
          <w:szCs w:val="28"/>
        </w:rPr>
        <w:t>在参与</w:t>
      </w:r>
      <w:r>
        <w:rPr>
          <w:rFonts w:ascii="FangSong_GB2312" w:eastAsia="FangSong_GB2312" w:hAnsi="FangSong_GB2312" w:cs="FangSong_GB2312"/>
          <w:sz w:val="28"/>
          <w:szCs w:val="28"/>
        </w:rPr>
        <w:t>税务部门信息化项目工作过程中，需严格遵守法律法规、规范履行合同</w:t>
      </w:r>
      <w:r>
        <w:rPr>
          <w:rFonts w:ascii="FangSong_GB2312" w:eastAsia="FangSong_GB2312" w:hAnsi="FangSong_GB2312" w:cs="FangSong_GB2312"/>
          <w:spacing w:val="0"/>
          <w:sz w:val="28"/>
          <w:szCs w:val="28"/>
        </w:rPr>
        <w:t>，积极协助税务部门开</w:t>
      </w:r>
      <w:r>
        <w:rPr>
          <w:rFonts w:ascii="FangSong_GB2312" w:eastAsia="FangSong_GB2312" w:hAnsi="FangSong_GB2312" w:cs="FangSong_GB2312"/>
          <w:sz w:val="28"/>
          <w:szCs w:val="28"/>
        </w:rPr>
        <w:t>展廉政风险防控工作。请严格遵守并落实如下要求：</w:t>
      </w:r>
    </w:p>
    <w:p>
      <w:pPr>
        <w:pStyle w:val="16"/>
        <w:spacing w:before="0" w:after="0" w:line="360" w:lineRule="auto"/>
        <w:ind w:left="0" w:right="0" w:firstLine="480"/>
        <w:rPr>
          <w:rFonts w:ascii="Times New Roman" w:eastAsia="Times New Roman" w:hAnsi="Times New Roman" w:cs="Times New Roman"/>
        </w:rPr>
      </w:pPr>
      <w:r>
        <w:rPr>
          <w:rFonts w:ascii="SimHei" w:eastAsia="SimHei" w:hAnsi="SimHei" w:cs="SimHei"/>
          <w:sz w:val="28"/>
          <w:szCs w:val="28"/>
        </w:rPr>
        <w:t>一、积极发挥廉政风险防控正向作用。</w:t>
      </w:r>
      <w:r>
        <w:rPr>
          <w:rFonts w:ascii="FangSong_GB2312" w:eastAsia="FangSong_GB2312" w:hAnsi="FangSong_GB2312" w:cs="FangSong_GB2312"/>
          <w:sz w:val="28"/>
          <w:szCs w:val="28"/>
        </w:rPr>
        <w:t>中标人有义务配合税务部门在信息化项目工作中加强廉政风险防控，执行有关措施。</w:t>
      </w:r>
    </w:p>
    <w:p>
      <w:pPr>
        <w:pStyle w:val="16"/>
        <w:spacing w:before="0" w:after="0" w:line="360" w:lineRule="auto"/>
        <w:ind w:left="0" w:right="0" w:firstLine="480"/>
        <w:rPr>
          <w:rFonts w:ascii="Times New Roman" w:eastAsia="Times New Roman" w:hAnsi="Times New Roman" w:cs="Times New Roman"/>
        </w:rPr>
      </w:pPr>
      <w:r>
        <w:rPr>
          <w:rFonts w:ascii="SimHei" w:eastAsia="SimHei" w:hAnsi="SimHei" w:cs="SimHei"/>
          <w:sz w:val="28"/>
          <w:szCs w:val="28"/>
        </w:rPr>
        <w:t>二、健全廉政风险防控机制。</w:t>
      </w:r>
      <w:r>
        <w:rPr>
          <w:rFonts w:ascii="FangSong_GB2312" w:eastAsia="FangSong_GB2312" w:hAnsi="FangSong_GB2312" w:cs="FangSong_GB2312"/>
          <w:sz w:val="28"/>
          <w:szCs w:val="28"/>
        </w:rPr>
        <w:t>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16"/>
        <w:spacing w:before="0" w:after="0" w:line="360" w:lineRule="auto"/>
        <w:ind w:left="0" w:right="0" w:firstLine="480"/>
        <w:rPr>
          <w:rFonts w:ascii="Times New Roman" w:eastAsia="Times New Roman" w:hAnsi="Times New Roman" w:cs="Times New Roman"/>
        </w:rPr>
      </w:pPr>
      <w:r>
        <w:rPr>
          <w:rFonts w:ascii="SimHei" w:eastAsia="SimHei" w:hAnsi="SimHei" w:cs="SimHei"/>
          <w:sz w:val="28"/>
          <w:szCs w:val="28"/>
        </w:rPr>
        <w:t>三、杜绝违纪违法行为。</w:t>
      </w:r>
      <w:r>
        <w:rPr>
          <w:rFonts w:ascii="FangSong_GB2312" w:eastAsia="FangSong_GB2312" w:hAnsi="FangSong_GB2312" w:cs="FangSong_GB2312"/>
          <w:sz w:val="28"/>
          <w:szCs w:val="28"/>
        </w:rPr>
        <w:t>中标人及相关项目人员必须严格遵守党纪国法，坚守职业道德，杜绝任何形式的利益输送、权力寻租等违纪违法行为，对甲方工作人员不得实施以下行为:</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（一）以各种形式和名义提供礼品、礼金、电子红包、支付凭证、商业预付卡、名贵特产、有价证券、股权、其他金融产品等财物。</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（二）以各种形式和名义提供宴请、旅游、健身、娱乐、私人会所等活动安排；代付加班餐费、打车费等。</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（三）以讲课费、咨询费等名义，提供或变相提供报酬。</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（四）借款、借房、借车，报销应由个人负担的费用。</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（五）以无偿、象征性地收取费用等方式提供家政、司机等服务劳务。</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（六）其他通过任何形式行贿或输送利益的行为。</w:t>
      </w:r>
    </w:p>
    <w:p>
      <w:pPr>
        <w:pStyle w:val="16"/>
        <w:spacing w:before="0" w:after="0" w:line="360" w:lineRule="auto"/>
        <w:ind w:left="0" w:right="0" w:firstLine="480"/>
        <w:rPr>
          <w:rFonts w:ascii="Times New Roman" w:eastAsia="Times New Roman" w:hAnsi="Times New Roman" w:cs="Times New Roman"/>
        </w:rPr>
      </w:pPr>
      <w:r>
        <w:rPr>
          <w:rFonts w:ascii="SimHei" w:eastAsia="SimHei" w:hAnsi="SimHei" w:cs="SimHei"/>
          <w:sz w:val="28"/>
          <w:szCs w:val="28"/>
        </w:rPr>
        <w:t>四、信守承诺。</w:t>
      </w:r>
      <w:r>
        <w:rPr>
          <w:rFonts w:ascii="FangSong_GB2312" w:eastAsia="FangSong_GB2312" w:hAnsi="FangSong_GB2312" w:cs="FangSong_GB2312"/>
          <w:sz w:val="28"/>
          <w:szCs w:val="28"/>
        </w:rPr>
        <w:t>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16"/>
        <w:spacing w:before="0" w:after="0" w:line="360" w:lineRule="auto"/>
        <w:ind w:left="0" w:right="0" w:firstLine="480"/>
        <w:rPr>
          <w:rFonts w:ascii="Times New Roman" w:eastAsia="Times New Roman" w:hAnsi="Times New Roman" w:cs="Times New Roman"/>
        </w:rPr>
      </w:pPr>
      <w:r>
        <w:rPr>
          <w:rFonts w:ascii="SimHei" w:eastAsia="SimHei" w:hAnsi="SimHei" w:cs="SimHei"/>
          <w:sz w:val="28"/>
          <w:szCs w:val="28"/>
        </w:rPr>
        <w:t>五、自觉接受监管。</w:t>
      </w:r>
      <w:r>
        <w:rPr>
          <w:rFonts w:ascii="FangSong_GB2312" w:eastAsia="FangSong_GB2312" w:hAnsi="FangSong_GB2312" w:cs="FangSong_GB2312"/>
          <w:sz w:val="28"/>
          <w:szCs w:val="28"/>
        </w:rPr>
        <w:t>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16"/>
        <w:spacing w:before="0" w:after="0" w:line="360" w:lineRule="auto"/>
        <w:ind w:left="0" w:right="0" w:firstLine="480"/>
        <w:rPr>
          <w:rFonts w:ascii="Times New Roman" w:eastAsia="Times New Roman" w:hAnsi="Times New Roman" w:cs="Times New Roman"/>
        </w:rPr>
      </w:pPr>
      <w:r>
        <w:rPr>
          <w:rFonts w:ascii="SimHei" w:eastAsia="SimHei" w:hAnsi="SimHei" w:cs="SimHei"/>
          <w:sz w:val="28"/>
          <w:szCs w:val="28"/>
        </w:rPr>
        <w:t>六、举报和反馈意见。</w:t>
      </w:r>
      <w:r>
        <w:rPr>
          <w:rFonts w:ascii="FangSong_GB2312" w:eastAsia="FangSong_GB2312" w:hAnsi="FangSong_GB2312" w:cs="FangSong_GB2312"/>
          <w:sz w:val="28"/>
          <w:szCs w:val="28"/>
        </w:rPr>
        <w:t>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16"/>
        <w:spacing w:before="0" w:after="0" w:line="360" w:lineRule="auto"/>
        <w:ind w:left="0" w:right="0"/>
        <w:jc w:val="center"/>
        <w:rPr>
          <w:rFonts w:ascii="Times New Roman" w:eastAsia="Times New Roman" w:hAnsi="Times New Roman" w:cs="Times New Roman"/>
        </w:rPr>
      </w:pPr>
      <w:r>
        <w:rPr>
          <w:rFonts w:ascii="方正小标宋简体" w:eastAsia="方正小标宋简体" w:hAnsi="方正小标宋简体" w:cs="方正小标宋简体"/>
          <w:sz w:val="28"/>
          <w:szCs w:val="28"/>
        </w:rPr>
        <w:t>（2）税务信息化服务商廉洁承诺书</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为深入贯彻落实党中央关于全面从严治党的决策部署，进一步加强税务信息化项目合作中的廉政建设，防范廉政风险发生，确保项目公开、公平、公正推进，我司郑重承诺如下：</w:t>
      </w:r>
    </w:p>
    <w:p>
      <w:pPr>
        <w:pStyle w:val="16"/>
        <w:spacing w:before="0" w:after="0" w:line="360" w:lineRule="auto"/>
        <w:ind w:left="0" w:right="0" w:firstLine="480"/>
        <w:rPr>
          <w:rFonts w:ascii="Times New Roman" w:eastAsia="Times New Roman" w:hAnsi="Times New Roman" w:cs="Times New Roman"/>
        </w:rPr>
      </w:pPr>
      <w:r>
        <w:rPr>
          <w:rFonts w:ascii="黑体" w:eastAsia="黑体" w:hAnsi="黑体" w:cs="黑体"/>
          <w:sz w:val="28"/>
          <w:szCs w:val="28"/>
        </w:rPr>
        <w:t>一、合法合规经营。</w:t>
      </w:r>
      <w:r>
        <w:rPr>
          <w:rFonts w:ascii="FangSong_GB2312" w:eastAsia="FangSong_GB2312" w:hAnsi="FangSong_GB2312" w:cs="FangSong_GB2312"/>
          <w:sz w:val="28"/>
          <w:szCs w:val="28"/>
        </w:rPr>
        <w:t>严格遵守国家法律法规及税务部门的相关规定，坚持廉洁从业、诚信经营的原则。在合作过程中不以任何形式进行利益输送，维护良好的政商关系。</w:t>
      </w:r>
    </w:p>
    <w:p>
      <w:pPr>
        <w:pStyle w:val="16"/>
        <w:spacing w:before="0" w:after="0" w:line="360" w:lineRule="auto"/>
        <w:ind w:left="0" w:right="0" w:firstLine="480"/>
        <w:rPr>
          <w:rFonts w:ascii="Times New Roman" w:eastAsia="Times New Roman" w:hAnsi="Times New Roman" w:cs="Times New Roman"/>
        </w:rPr>
      </w:pPr>
      <w:r>
        <w:rPr>
          <w:rFonts w:ascii="黑体" w:eastAsia="黑体" w:hAnsi="黑体" w:cs="黑体"/>
          <w:sz w:val="28"/>
          <w:szCs w:val="28"/>
        </w:rPr>
        <w:t>二、杜绝商业贿赂。</w:t>
      </w:r>
      <w:r>
        <w:rPr>
          <w:rFonts w:ascii="FangSong_GB2312" w:eastAsia="FangSong_GB2312" w:hAnsi="FangSong_GB2312" w:cs="FangSong_GB2312"/>
          <w:sz w:val="28"/>
          <w:szCs w:val="28"/>
        </w:rPr>
        <w:t>加强内部管理，我司及我司员工均不对甲方工作人员实施以下行为：</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（一）以各种形式和名义提供礼品、礼金、电子红包、支付凭证、商业预付卡、名贵特产、有价证券、股权、其他金融产品等财物。</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（二）以各种形式和名义提供宴请、旅游、健身、娱乐、私人会所等活动安排；代付加班餐费、打车费等。</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（三）以讲课费、咨询费等名义，提供或变相提供报酬。</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（四）借款、借房、借车，报销应由个人负担的费用。</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（五）以无偿、象征性地收取费用等方式提供家政、司机等服务劳务。</w:t>
      </w:r>
    </w:p>
    <w:p>
      <w:pPr>
        <w:pStyle w:val="16"/>
        <w:spacing w:before="0" w:after="0" w:line="360" w:lineRule="auto"/>
        <w:ind w:left="0" w:right="0" w:firstLine="480"/>
        <w:rPr>
          <w:rFonts w:ascii="Times New Roman" w:eastAsia="Times New Roman" w:hAnsi="Times New Roman" w:cs="Times New Roman"/>
        </w:rPr>
      </w:pPr>
      <w:r>
        <w:rPr>
          <w:rFonts w:ascii="FangSong_GB2312" w:eastAsia="FangSong_GB2312" w:hAnsi="FangSong_GB2312" w:cs="FangSong_GB2312"/>
          <w:sz w:val="28"/>
          <w:szCs w:val="28"/>
        </w:rPr>
        <w:t>（六）其他通过任何形式行贿或输送利益的行为。</w:t>
      </w:r>
    </w:p>
    <w:p>
      <w:pPr>
        <w:pStyle w:val="16"/>
        <w:spacing w:before="0" w:after="0" w:line="360" w:lineRule="auto"/>
        <w:ind w:left="0" w:right="0" w:firstLine="480"/>
        <w:rPr>
          <w:rFonts w:ascii="Times New Roman" w:eastAsia="Times New Roman" w:hAnsi="Times New Roman" w:cs="Times New Roman"/>
        </w:rPr>
      </w:pPr>
      <w:r>
        <w:rPr>
          <w:rFonts w:ascii="黑体" w:eastAsia="黑体" w:hAnsi="黑体" w:cs="黑体"/>
          <w:sz w:val="28"/>
          <w:szCs w:val="28"/>
        </w:rPr>
        <w:t>三、规范经营活动。</w:t>
      </w:r>
      <w:r>
        <w:rPr>
          <w:rFonts w:ascii="FangSong_GB2312" w:eastAsia="FangSong_GB2312" w:hAnsi="FangSong_GB2312" w:cs="FangSong_GB2312"/>
          <w:sz w:val="28"/>
          <w:szCs w:val="28"/>
        </w:rPr>
        <w:t>严格按照合同约定履行义务，保证项目质量，按时完成建设任务；在合作过程中不以任何借口拖延工期、虚报成本或谋取私利。</w:t>
      </w:r>
    </w:p>
    <w:p>
      <w:pPr>
        <w:pStyle w:val="16"/>
        <w:spacing w:before="0" w:after="0" w:line="360" w:lineRule="auto"/>
        <w:ind w:left="0" w:right="0" w:firstLine="480"/>
        <w:rPr>
          <w:rFonts w:ascii="Times New Roman" w:eastAsia="Times New Roman" w:hAnsi="Times New Roman" w:cs="Times New Roman"/>
        </w:rPr>
      </w:pPr>
      <w:r>
        <w:rPr>
          <w:rFonts w:ascii="黑体" w:eastAsia="黑体" w:hAnsi="黑体" w:cs="黑体"/>
          <w:sz w:val="28"/>
          <w:szCs w:val="28"/>
        </w:rPr>
        <w:t>四、公开透明合作。</w:t>
      </w:r>
      <w:r>
        <w:rPr>
          <w:rFonts w:ascii="FangSong_GB2312" w:eastAsia="FangSong_GB2312" w:hAnsi="FangSong_GB2312" w:cs="FangSong_GB2312"/>
          <w:sz w:val="28"/>
          <w:szCs w:val="28"/>
        </w:rPr>
        <w:t>我司承诺在项目实施过程中保持公开透明，主动接受税务部门及纪检监察机构的全程监督，并积极配合任何有关廉洁从业的调查工作。</w:t>
      </w:r>
    </w:p>
    <w:p>
      <w:pPr>
        <w:pStyle w:val="16"/>
        <w:spacing w:before="0" w:after="0" w:line="360" w:lineRule="auto"/>
        <w:ind w:left="0" w:right="0" w:firstLine="480"/>
        <w:rPr>
          <w:rFonts w:ascii="Times New Roman" w:eastAsia="Times New Roman" w:hAnsi="Times New Roman" w:cs="Times New Roman"/>
        </w:rPr>
      </w:pPr>
      <w:r>
        <w:rPr>
          <w:rFonts w:ascii="黑体" w:eastAsia="黑体" w:hAnsi="黑体" w:cs="黑体"/>
          <w:sz w:val="28"/>
          <w:szCs w:val="28"/>
        </w:rPr>
        <w:t>五、严格内部管理。</w:t>
      </w:r>
      <w:r>
        <w:rPr>
          <w:rFonts w:ascii="FangSong_GB2312" w:eastAsia="FangSong_GB2312" w:hAnsi="FangSong_GB2312" w:cs="FangSong_GB2312"/>
          <w:sz w:val="28"/>
          <w:szCs w:val="28"/>
        </w:rPr>
        <w:t>加强企业内部廉洁教育，确保员工知晓并遵守相关法律法规及廉洁要求；加强项目实施全过程廉洁监督；对于违反廉洁承诺的员工，将严肃处理，并承担相应责任。</w:t>
      </w:r>
    </w:p>
    <w:p>
      <w:pPr>
        <w:pStyle w:val="16"/>
        <w:spacing w:before="0" w:after="0" w:line="360" w:lineRule="auto"/>
        <w:ind w:left="0" w:right="0" w:firstLine="480"/>
        <w:rPr>
          <w:rFonts w:ascii="Times New Roman" w:eastAsia="Times New Roman" w:hAnsi="Times New Roman" w:cs="Times New Roman"/>
        </w:rPr>
      </w:pPr>
      <w:r>
        <w:rPr>
          <w:rFonts w:ascii="黑体" w:eastAsia="黑体" w:hAnsi="黑体" w:cs="黑体"/>
          <w:sz w:val="28"/>
          <w:szCs w:val="28"/>
        </w:rPr>
        <w:t>六、积极参与监督。</w:t>
      </w:r>
      <w:r>
        <w:rPr>
          <w:rFonts w:ascii="FangSong_GB2312" w:eastAsia="FangSong_GB2312" w:hAnsi="FangSong_GB2312" w:cs="FangSong_GB2312"/>
          <w:sz w:val="28"/>
          <w:szCs w:val="28"/>
        </w:rPr>
        <w:t>在税务信息化项目实施过程中，如发现任何违纪违法行为，将如实反馈问题和意见。</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承诺单位（盖章）：________________________</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法定代表人或授权代表签字：_______________</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日期：XX年XX月XX日</w:t>
      </w:r>
    </w:p>
    <w:p>
      <w:pPr>
        <w:pStyle w:val="16"/>
        <w:spacing w:before="0" w:after="0" w:line="360" w:lineRule="auto"/>
        <w:ind w:left="0" w:right="0"/>
        <w:rPr>
          <w:rFonts w:ascii="Times New Roman" w:eastAsia="Times New Roman" w:hAnsi="Times New Roman" w:cs="Times New Roman"/>
        </w:rPr>
      </w:pPr>
      <w:r>
        <w:t> </w:t>
      </w:r>
    </w:p>
    <w:p>
      <w:pPr>
        <w:pStyle w:val="16"/>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1"/>
          <w:szCs w:val="21"/>
        </w:rPr>
        <w:t>备注：本承诺书一式两份，一份由承诺单位留存，另一份交税务部门备案。</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项目终验前提交《税务信息化项目服务商廉政反馈书》</w:t>
      </w:r>
    </w:p>
    <w:p>
      <w:pPr>
        <w:pStyle w:val="16"/>
        <w:spacing w:before="0" w:after="0" w:line="360" w:lineRule="auto"/>
        <w:ind w:left="0" w:right="0"/>
        <w:rPr>
          <w:rFonts w:ascii="Times New Roman" w:eastAsia="Times New Roman" w:hAnsi="Times New Roman" w:cs="Times New Roman"/>
        </w:rPr>
      </w:pPr>
      <w:r>
        <w:t> </w:t>
      </w:r>
    </w:p>
    <w:p>
      <w:pPr>
        <w:pStyle w:val="16"/>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w:t>
      </w:r>
      <w:r>
        <w:rPr>
          <w:rFonts w:ascii="FangSong_GB2312" w:eastAsia="FangSong_GB2312" w:hAnsi="FangSong_GB2312" w:cs="FangSong_GB2312"/>
          <w:sz w:val="28"/>
          <w:szCs w:val="28"/>
        </w:rPr>
        <w:t>           </w:t>
      </w:r>
      <w:r>
        <w:rPr>
          <w:rFonts w:ascii="方正小标宋简体" w:eastAsia="方正小标宋简体" w:hAnsi="方正小标宋简体" w:cs="方正小标宋简体"/>
          <w:sz w:val="28"/>
          <w:szCs w:val="28"/>
        </w:rPr>
        <w:t>（3）税务信息化廉政情况反馈书</w:t>
      </w:r>
    </w:p>
    <w:p>
      <w:pPr>
        <w:pStyle w:val="16"/>
        <w:spacing w:before="0" w:after="0" w:line="360" w:lineRule="auto"/>
        <w:ind w:left="0" w:right="0"/>
        <w:rPr>
          <w:rFonts w:ascii="Times New Roman" w:eastAsia="Times New Roman" w:hAnsi="Times New Roman" w:cs="Times New Roman"/>
        </w:rPr>
      </w:pPr>
      <w:r>
        <w:t> </w:t>
      </w:r>
    </w:p>
    <w:p>
      <w:pPr>
        <w:pStyle w:val="17"/>
        <w:spacing w:before="0" w:after="0" w:line="360" w:lineRule="auto"/>
        <w:ind w:left="0" w:right="0" w:firstLine="712"/>
        <w:jc w:val="center"/>
        <w:textAlignment w:val="baseline"/>
        <w:rPr>
          <w:rFonts w:ascii="Times New Roman" w:eastAsia="Times New Roman" w:hAnsi="Times New Roman" w:cs="Times New Roman"/>
        </w:rPr>
      </w:pPr>
      <w:r>
        <w:t> </w:t>
      </w:r>
    </w:p>
    <w:tbl>
      <w:tblPr>
        <w:tblStyle w:val="18"/>
        <w:tblW w:w="9290" w:type="dxa"/>
        <w:tblCellSpacing w:w="0" w:type="dxa"/>
        <w:tblInd w:w="653" w:type="dxa"/>
        <w:tblCellMar>
          <w:top w:w="15" w:type="dxa"/>
          <w:left w:w="15" w:type="dxa"/>
          <w:bottom w:w="15" w:type="dxa"/>
          <w:right w:w="15" w:type="dxa"/>
        </w:tblCellMar>
        <w:tblLook w:val="05E0"/>
      </w:tblPr>
      <w:tblGrid>
        <w:gridCol w:w="2372"/>
        <w:gridCol w:w="6918"/>
      </w:tblGrid>
      <w:tr>
        <w:tblPrEx>
          <w:tblW w:w="9290" w:type="dxa"/>
          <w:tblCellSpacing w:w="0" w:type="dxa"/>
          <w:tblInd w:w="653" w:type="dxa"/>
          <w:tblCellMar>
            <w:top w:w="15" w:type="dxa"/>
            <w:left w:w="15" w:type="dxa"/>
            <w:bottom w:w="15" w:type="dxa"/>
            <w:right w:w="15" w:type="dxa"/>
          </w:tblCellMar>
          <w:tblLook w:val="05E0"/>
        </w:tblPrEx>
        <w:trPr>
          <w:trHeight w:val="855"/>
          <w:tblCellSpacing w:w="0" w:type="dxa"/>
        </w:trPr>
        <w:tc>
          <w:tcPr>
            <w:tcW w:w="10770" w:type="dxa"/>
            <w:gridSpan w:val="2"/>
            <w:tcBorders>
              <w:top w:val="single" w:sz="8" w:space="0" w:color="000000"/>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28"/>
                <w:szCs w:val="28"/>
              </w:rPr>
              <w:t>项目基本情况</w:t>
            </w:r>
          </w:p>
        </w:tc>
      </w:tr>
      <w:tr>
        <w:tblPrEx>
          <w:tblW w:w="9290" w:type="dxa"/>
          <w:tblCellSpacing w:w="0" w:type="dxa"/>
          <w:tblInd w:w="653" w:type="dxa"/>
          <w:tblCellMar>
            <w:top w:w="15" w:type="dxa"/>
            <w:left w:w="15" w:type="dxa"/>
            <w:bottom w:w="15" w:type="dxa"/>
            <w:right w:w="15" w:type="dxa"/>
          </w:tblCellMar>
          <w:tblLook w:val="05E0"/>
        </w:tblPrEx>
        <w:trPr>
          <w:trHeight w:val="600"/>
          <w:tblCellSpacing w:w="0" w:type="dxa"/>
        </w:trPr>
        <w:tc>
          <w:tcPr>
            <w:tcW w:w="3561"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sz w:val="21"/>
                <w:szCs w:val="21"/>
              </w:rPr>
              <w:t>项目名称（编号）</w:t>
            </w:r>
          </w:p>
        </w:tc>
        <w:tc>
          <w:tcPr>
            <w:tcW w:w="8439" w:type="dxa"/>
            <w:tcBorders>
              <w:top w:val="single" w:sz="8" w:space="0" w:color="000000"/>
              <w:bottom w:val="single" w:sz="8" w:space="0" w:color="000000"/>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XXX税务信息化项目  项目编号</w:t>
            </w:r>
          </w:p>
        </w:tc>
      </w:tr>
      <w:tr>
        <w:tblPrEx>
          <w:tblW w:w="9290" w:type="dxa"/>
          <w:tblCellSpacing w:w="0" w:type="dxa"/>
          <w:tblInd w:w="653" w:type="dxa"/>
          <w:tblCellMar>
            <w:top w:w="15" w:type="dxa"/>
            <w:left w:w="15" w:type="dxa"/>
            <w:bottom w:w="15" w:type="dxa"/>
            <w:right w:w="15" w:type="dxa"/>
          </w:tblCellMar>
          <w:tblLook w:val="05E0"/>
        </w:tblPrEx>
        <w:trPr>
          <w:trHeight w:val="600"/>
          <w:tblCellSpacing w:w="0" w:type="dxa"/>
        </w:trPr>
        <w:tc>
          <w:tcPr>
            <w:tcW w:w="3561"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服务商名称</w:t>
            </w:r>
          </w:p>
        </w:tc>
        <w:tc>
          <w:tcPr>
            <w:tcW w:w="8439"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XXX公司</w:t>
            </w:r>
          </w:p>
        </w:tc>
      </w:tr>
      <w:tr>
        <w:tblPrEx>
          <w:tblW w:w="9290" w:type="dxa"/>
          <w:tblCellSpacing w:w="0" w:type="dxa"/>
          <w:tblInd w:w="653" w:type="dxa"/>
          <w:tblCellMar>
            <w:top w:w="15" w:type="dxa"/>
            <w:left w:w="15" w:type="dxa"/>
            <w:bottom w:w="15" w:type="dxa"/>
            <w:right w:w="15" w:type="dxa"/>
          </w:tblCellMar>
          <w:tblLook w:val="05E0"/>
        </w:tblPrEx>
        <w:trPr>
          <w:trHeight w:val="600"/>
          <w:tblCellSpacing w:w="0" w:type="dxa"/>
        </w:trPr>
        <w:tc>
          <w:tcPr>
            <w:tcW w:w="3561"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联系人及电话</w:t>
            </w:r>
          </w:p>
        </w:tc>
        <w:tc>
          <w:tcPr>
            <w:tcW w:w="8439"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联系人：  职务：   电话：123-4567890</w:t>
            </w:r>
          </w:p>
        </w:tc>
      </w:tr>
      <w:tr>
        <w:tblPrEx>
          <w:tblW w:w="9290" w:type="dxa"/>
          <w:tblCellSpacing w:w="0" w:type="dxa"/>
          <w:tblInd w:w="653" w:type="dxa"/>
          <w:tblCellMar>
            <w:top w:w="15" w:type="dxa"/>
            <w:left w:w="15" w:type="dxa"/>
            <w:bottom w:w="15" w:type="dxa"/>
            <w:right w:w="15" w:type="dxa"/>
          </w:tblCellMar>
          <w:tblLook w:val="05E0"/>
        </w:tblPrEx>
        <w:trPr>
          <w:trHeight w:val="600"/>
          <w:tblCellSpacing w:w="0" w:type="dxa"/>
        </w:trPr>
        <w:tc>
          <w:tcPr>
            <w:tcW w:w="3561"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项目情况概述</w:t>
            </w:r>
          </w:p>
        </w:tc>
        <w:tc>
          <w:tcPr>
            <w:tcW w:w="8439"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firstLine="472"/>
              <w:jc w:val="center"/>
              <w:textAlignment w:val="baseline"/>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9290" w:type="dxa"/>
          <w:tblCellSpacing w:w="0" w:type="dxa"/>
          <w:tblInd w:w="653" w:type="dxa"/>
          <w:tblCellMar>
            <w:top w:w="15" w:type="dxa"/>
            <w:left w:w="15" w:type="dxa"/>
            <w:bottom w:w="15" w:type="dxa"/>
            <w:right w:w="15" w:type="dxa"/>
          </w:tblCellMar>
          <w:tblLook w:val="05E0"/>
        </w:tblPrEx>
        <w:trPr>
          <w:trHeight w:val="720"/>
          <w:tblCellSpacing w:w="0" w:type="dxa"/>
        </w:trPr>
        <w:tc>
          <w:tcPr>
            <w:gridSpan w:val="2"/>
            <w:tcBorders>
              <w:left w:val="single" w:sz="8" w:space="0" w:color="000000"/>
              <w:bottom w:val="single" w:sz="8" w:space="0" w:color="000000"/>
              <w:right w:val="single" w:sz="8" w:space="0" w:color="000000"/>
            </w:tcBorders>
            <w:noWrap/>
            <w:tcMar>
              <w:top w:w="0" w:type="dxa"/>
              <w:left w:w="158" w:type="dxa"/>
              <w:bottom w:w="0" w:type="dxa"/>
              <w:right w:w="158" w:type="dxa"/>
            </w:tcMar>
            <w:vAlign w:val="center"/>
            <w:hideMark/>
          </w:tcPr>
          <w:p>
            <w:pPr>
              <w:pStyle w:val="17"/>
              <w:spacing w:before="0" w:after="0" w:line="580" w:lineRule="atLeast"/>
              <w:ind w:left="0" w:right="0"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廉洁承诺履行情况</w:t>
            </w:r>
          </w:p>
        </w:tc>
      </w:tr>
      <w:tr>
        <w:tblPrEx>
          <w:tblW w:w="9290" w:type="dxa"/>
          <w:tblCellSpacing w:w="0" w:type="dxa"/>
          <w:tblInd w:w="653" w:type="dxa"/>
          <w:tblCellMar>
            <w:top w:w="15" w:type="dxa"/>
            <w:left w:w="15" w:type="dxa"/>
            <w:bottom w:w="15" w:type="dxa"/>
            <w:right w:w="15" w:type="dxa"/>
          </w:tblCellMar>
          <w:tblLook w:val="05E0"/>
        </w:tblPrEx>
        <w:trPr>
          <w:trHeight w:val="600"/>
          <w:tblCellSpacing w:w="0" w:type="dxa"/>
        </w:trPr>
        <w:tc>
          <w:tcPr>
            <w:tcW w:w="3561"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sz w:val="21"/>
                <w:szCs w:val="21"/>
              </w:rPr>
              <w:t>反馈项</w:t>
            </w:r>
          </w:p>
        </w:tc>
        <w:tc>
          <w:tcPr>
            <w:tcW w:w="8439" w:type="dxa"/>
            <w:tcBorders>
              <w:top w:val="single" w:sz="8" w:space="0" w:color="000000"/>
              <w:bottom w:val="single" w:sz="8" w:space="0" w:color="000000"/>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反馈内容</w:t>
            </w:r>
          </w:p>
        </w:tc>
      </w:tr>
      <w:tr>
        <w:tblPrEx>
          <w:tblW w:w="9290" w:type="dxa"/>
          <w:tblCellSpacing w:w="0" w:type="dxa"/>
          <w:tblInd w:w="653" w:type="dxa"/>
          <w:tblCellMar>
            <w:top w:w="15" w:type="dxa"/>
            <w:left w:w="15" w:type="dxa"/>
            <w:bottom w:w="15" w:type="dxa"/>
            <w:right w:w="15" w:type="dxa"/>
          </w:tblCellMar>
          <w:tblLook w:val="05E0"/>
        </w:tblPrEx>
        <w:trPr>
          <w:trHeight w:val="1200"/>
          <w:tblCellSpacing w:w="0" w:type="dxa"/>
        </w:trPr>
        <w:tc>
          <w:tcPr>
            <w:tcW w:w="3561"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杜绝商业贿赂</w:t>
            </w:r>
          </w:p>
        </w:tc>
        <w:tc>
          <w:tcPr>
            <w:tcW w:w="8439"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向税务工作人员及其家属赠送礼品、礼金或提供任何形式的宴请、娱乐活动情况。</w:t>
            </w:r>
          </w:p>
        </w:tc>
      </w:tr>
      <w:tr>
        <w:tblPrEx>
          <w:tblW w:w="9290" w:type="dxa"/>
          <w:tblCellSpacing w:w="0" w:type="dxa"/>
          <w:tblInd w:w="653" w:type="dxa"/>
          <w:tblCellMar>
            <w:top w:w="15" w:type="dxa"/>
            <w:left w:w="15" w:type="dxa"/>
            <w:bottom w:w="15" w:type="dxa"/>
            <w:right w:w="15" w:type="dxa"/>
          </w:tblCellMar>
          <w:tblLook w:val="05E0"/>
        </w:tblPrEx>
        <w:trPr>
          <w:trHeight w:val="600"/>
          <w:tblCellSpacing w:w="0" w:type="dxa"/>
        </w:trPr>
        <w:tc>
          <w:tcPr>
            <w:tcW w:w="3561"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规范经营活动</w:t>
            </w:r>
          </w:p>
        </w:tc>
        <w:tc>
          <w:tcPr>
            <w:tcW w:w="8439"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按照合同要求，按时完成各阶段任务，确保项目质量和进度情况。</w:t>
            </w:r>
          </w:p>
        </w:tc>
      </w:tr>
      <w:tr>
        <w:tblPrEx>
          <w:tblW w:w="9290" w:type="dxa"/>
          <w:tblCellSpacing w:w="0" w:type="dxa"/>
          <w:tblInd w:w="653" w:type="dxa"/>
          <w:tblCellMar>
            <w:top w:w="15" w:type="dxa"/>
            <w:left w:w="15" w:type="dxa"/>
            <w:bottom w:w="15" w:type="dxa"/>
            <w:right w:w="15" w:type="dxa"/>
          </w:tblCellMar>
          <w:tblLook w:val="05E0"/>
        </w:tblPrEx>
        <w:trPr>
          <w:trHeight w:val="1200"/>
          <w:tblCellSpacing w:w="0" w:type="dxa"/>
        </w:trPr>
        <w:tc>
          <w:tcPr>
            <w:tcW w:w="3561"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公开透明合作</w:t>
            </w:r>
          </w:p>
        </w:tc>
        <w:tc>
          <w:tcPr>
            <w:tcW w:w="8439"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在项目实施过程中保持信息公开透明，主动接受相关部门的监督和检查情况。</w:t>
            </w:r>
          </w:p>
        </w:tc>
      </w:tr>
      <w:tr>
        <w:tblPrEx>
          <w:tblW w:w="9290" w:type="dxa"/>
          <w:tblCellSpacing w:w="0" w:type="dxa"/>
          <w:tblInd w:w="653" w:type="dxa"/>
          <w:tblCellMar>
            <w:top w:w="15" w:type="dxa"/>
            <w:left w:w="15" w:type="dxa"/>
            <w:bottom w:w="15" w:type="dxa"/>
            <w:right w:w="15" w:type="dxa"/>
          </w:tblCellMar>
          <w:tblLook w:val="05E0"/>
        </w:tblPrEx>
        <w:trPr>
          <w:trHeight w:val="600"/>
          <w:tblCellSpacing w:w="0" w:type="dxa"/>
        </w:trPr>
        <w:tc>
          <w:tcPr>
            <w:gridSpan w:val="2"/>
            <w:tcBorders>
              <w:left w:val="single" w:sz="8" w:space="0" w:color="000000"/>
              <w:bottom w:val="single" w:sz="8" w:space="0" w:color="000000"/>
              <w:right w:val="single" w:sz="8" w:space="0" w:color="000000"/>
            </w:tcBorders>
            <w:noWrap/>
            <w:tcMar>
              <w:top w:w="0" w:type="dxa"/>
              <w:left w:w="158" w:type="dxa"/>
              <w:bottom w:w="0" w:type="dxa"/>
              <w:right w:w="158" w:type="dxa"/>
            </w:tcMar>
            <w:vAlign w:val="center"/>
            <w:hideMark/>
          </w:tcPr>
          <w:p>
            <w:pPr>
              <w:pStyle w:val="17"/>
              <w:spacing w:before="0" w:after="0" w:line="580" w:lineRule="atLeast"/>
              <w:ind w:left="0" w:right="0"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税务人员履职期间廉政情况</w:t>
            </w:r>
          </w:p>
        </w:tc>
      </w:tr>
      <w:tr>
        <w:tblPrEx>
          <w:tblW w:w="9290" w:type="dxa"/>
          <w:tblCellSpacing w:w="0" w:type="dxa"/>
          <w:tblInd w:w="653" w:type="dxa"/>
          <w:tblCellMar>
            <w:top w:w="15" w:type="dxa"/>
            <w:left w:w="15" w:type="dxa"/>
            <w:bottom w:w="15" w:type="dxa"/>
            <w:right w:w="15" w:type="dxa"/>
          </w:tblCellMar>
          <w:tblLook w:val="05E0"/>
        </w:tblPrEx>
        <w:trPr>
          <w:trHeight w:val="600"/>
          <w:tblCellSpacing w:w="0" w:type="dxa"/>
        </w:trPr>
        <w:tc>
          <w:tcPr>
            <w:tcW w:w="3561" w:type="dxa"/>
            <w:vMerge w:val="restart"/>
            <w:tcBorders>
              <w:left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税务人员履职过程存在违纪违规行为</w:t>
            </w:r>
          </w:p>
        </w:tc>
        <w:tc>
          <w:tcPr>
            <w:tcW w:w="8439" w:type="dxa"/>
            <w:tcBorders>
              <w:top w:val="single" w:sz="8" w:space="0" w:color="000000"/>
              <w:bottom w:val="single" w:sz="8" w:space="0" w:color="000000"/>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否</w:t>
            </w:r>
          </w:p>
        </w:tc>
      </w:tr>
      <w:tr>
        <w:tblPrEx>
          <w:tblW w:w="9290" w:type="dxa"/>
          <w:tblCellSpacing w:w="0" w:type="dxa"/>
          <w:tblInd w:w="653" w:type="dxa"/>
          <w:tblCellMar>
            <w:top w:w="15" w:type="dxa"/>
            <w:left w:w="15" w:type="dxa"/>
            <w:bottom w:w="15" w:type="dxa"/>
            <w:right w:w="15" w:type="dxa"/>
          </w:tblCellMar>
          <w:tblLook w:val="05E0"/>
        </w:tblPrEx>
        <w:trPr>
          <w:trHeight w:val="615"/>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333333"/>
                <w:sz w:val="21"/>
                <w:szCs w:val="21"/>
              </w:rPr>
            </w:pPr>
          </w:p>
        </w:tc>
        <w:tc>
          <w:tcPr>
            <w:tcW w:w="8439" w:type="dxa"/>
            <w:vMerge w:val="restart"/>
            <w:tcBorders>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是（说明具体情况）</w:t>
            </w:r>
          </w:p>
        </w:tc>
      </w:tr>
      <w:tr>
        <w:tblPrEx>
          <w:tblW w:w="9290" w:type="dxa"/>
          <w:tblCellSpacing w:w="0" w:type="dxa"/>
          <w:tblInd w:w="653" w:type="dxa"/>
          <w:tblCellMar>
            <w:top w:w="15" w:type="dxa"/>
            <w:left w:w="15" w:type="dxa"/>
            <w:bottom w:w="15" w:type="dxa"/>
            <w:right w:w="15" w:type="dxa"/>
          </w:tblCellMar>
          <w:tblLook w:val="05E0"/>
        </w:tblPrEx>
        <w:trPr>
          <w:trHeight w:val="5295"/>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r>
      <w:tr>
        <w:tblPrEx>
          <w:tblW w:w="9290" w:type="dxa"/>
          <w:tblCellSpacing w:w="0" w:type="dxa"/>
          <w:tblInd w:w="653" w:type="dxa"/>
          <w:tblCellMar>
            <w:top w:w="15" w:type="dxa"/>
            <w:left w:w="15" w:type="dxa"/>
            <w:bottom w:w="15" w:type="dxa"/>
            <w:right w:w="15" w:type="dxa"/>
          </w:tblCellMar>
          <w:tblLook w:val="05E0"/>
        </w:tblPrEx>
        <w:trPr>
          <w:trHeight w:val="585"/>
          <w:tblCellSpacing w:w="0" w:type="dxa"/>
        </w:trPr>
        <w:tc>
          <w:tcPr>
            <w:tcW w:w="3561" w:type="dxa"/>
            <w:tcBorders>
              <w:left w:val="single" w:sz="8" w:space="0" w:color="000000"/>
              <w:right w:val="single" w:sz="8" w:space="0" w:color="000000"/>
            </w:tcBorders>
            <w:noWrap w:val="0"/>
            <w:tcMar>
              <w:top w:w="0" w:type="dxa"/>
              <w:left w:w="158" w:type="dxa"/>
              <w:bottom w:w="0" w:type="dxa"/>
              <w:right w:w="15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 </w:t>
            </w:r>
          </w:p>
        </w:tc>
        <w:tc>
          <w:tcPr>
            <w:tcW w:w="8439" w:type="dxa"/>
            <w:tcBorders>
              <w:right w:val="single" w:sz="8" w:space="0" w:color="000000"/>
            </w:tcBorders>
            <w:noWrap w:val="0"/>
            <w:tcMar>
              <w:top w:w="0" w:type="dxa"/>
              <w:left w:w="108" w:type="dxa"/>
              <w:bottom w:w="0" w:type="dxa"/>
              <w:right w:w="15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bl>
    <w:p>
      <w:pPr>
        <w:pStyle w:val="16"/>
        <w:spacing w:before="0" w:after="0" w:line="360" w:lineRule="auto"/>
        <w:ind w:left="0" w:right="0"/>
        <w:rPr>
          <w:rFonts w:ascii="Times New Roman" w:eastAsia="Times New Roman" w:hAnsi="Times New Roman" w:cs="Times New Roman"/>
        </w:rPr>
      </w:pPr>
      <w:r>
        <w:rPr>
          <w:rFonts w:ascii="Times New Roman" w:eastAsia="Times New Roman" w:hAnsi="Times New Roman" w:cs="Times New Roman"/>
        </w:rPr>
        <w:t> </w:t>
      </w:r>
    </w:p>
    <w:p>
      <w:pPr>
        <w:pStyle w:val="16"/>
        <w:spacing w:before="0" w:after="0" w:line="360" w:lineRule="auto"/>
        <w:ind w:left="0" w:right="0"/>
        <w:rPr>
          <w:rFonts w:ascii="Times New Roman" w:eastAsia="Times New Roman" w:hAnsi="Times New Roman" w:cs="Times New Roman"/>
        </w:rPr>
      </w:pPr>
      <w:r>
        <w:rPr>
          <w:rStyle w:val="15Character"/>
          <w:rFonts w:ascii="FangSong_GB2312" w:eastAsia="FangSong_GB2312" w:hAnsi="FangSong_GB2312" w:cs="FangSong_GB2312"/>
          <w:spacing w:val="0"/>
          <w:sz w:val="28"/>
          <w:szCs w:val="28"/>
          <w:shd w:val="clear" w:color="auto" w:fill="FFFFFF"/>
        </w:rPr>
        <w:t>提交单位（盖章）：XXX公司</w:t>
      </w:r>
      <w:r>
        <w:rPr>
          <w:rStyle w:val="15Character"/>
          <w:rFonts w:ascii="FangSong_GB2312" w:eastAsia="FangSong_GB2312" w:hAnsi="FangSong_GB2312" w:cs="FangSong_GB2312"/>
          <w:spacing w:val="0"/>
          <w:sz w:val="28"/>
          <w:szCs w:val="28"/>
          <w:shd w:val="clear" w:color="auto" w:fill="FFFFFF"/>
        </w:rPr>
        <w:br/>
      </w:r>
      <w:r>
        <w:rPr>
          <w:rStyle w:val="15Character"/>
          <w:rFonts w:ascii="FangSong_GB2312" w:eastAsia="FangSong_GB2312" w:hAnsi="FangSong_GB2312" w:cs="FangSong_GB2312"/>
          <w:spacing w:val="0"/>
          <w:sz w:val="28"/>
          <w:szCs w:val="28"/>
          <w:shd w:val="clear" w:color="auto" w:fill="FFFFFF"/>
        </w:rPr>
        <w:t>法定代表人或授权代表签字：________________________</w:t>
      </w:r>
    </w:p>
    <w:p>
      <w:pPr>
        <w:pStyle w:val="16"/>
        <w:spacing w:before="0" w:after="0" w:line="360" w:lineRule="auto"/>
        <w:ind w:left="0" w:right="0"/>
        <w:rPr>
          <w:rFonts w:ascii="Times New Roman" w:eastAsia="Times New Roman" w:hAnsi="Times New Roman" w:cs="Times New Roman"/>
        </w:rPr>
      </w:pPr>
      <w:r>
        <w:rPr>
          <w:rStyle w:val="15Character"/>
          <w:rFonts w:ascii="FangSong_GB2312" w:eastAsia="FangSong_GB2312" w:hAnsi="FangSong_GB2312" w:cs="FangSong_GB2312"/>
          <w:spacing w:val="0"/>
          <w:sz w:val="28"/>
          <w:szCs w:val="28"/>
          <w:shd w:val="clear" w:color="auto" w:fill="FFFFFF"/>
        </w:rPr>
        <w:t>日期：XX年XX月XX日</w:t>
      </w:r>
    </w:p>
    <w:p>
      <w:pPr>
        <w:pStyle w:val="Heading2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i w:val="0"/>
          <w:iCs w:val="0"/>
        </w:rPr>
        <w:t>8.2付款安排建议</w:t>
      </w:r>
      <w:bookmarkEnd w:id="41"/>
    </w:p>
    <w:tbl>
      <w:tblPr>
        <w:tblStyle w:val="TableNormal"/>
        <w:tblW w:w="5000" w:type="pct"/>
        <w:tblInd w:w="30" w:type="dxa"/>
        <w:tblCellMar>
          <w:top w:w="15" w:type="dxa"/>
          <w:left w:w="15" w:type="dxa"/>
          <w:bottom w:w="15" w:type="dxa"/>
          <w:right w:w="15" w:type="dxa"/>
        </w:tblCellMar>
      </w:tblPr>
      <w:tblGrid>
        <w:gridCol w:w="1607"/>
        <w:gridCol w:w="5815"/>
        <w:gridCol w:w="1648"/>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项目验收合格后，乙方提出付款申请并出具合法等额发票后10个工作日内支付合同总金额的100%。</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42" w:name="_Toc256000038"/>
      <w:r>
        <w:rPr>
          <w:rFonts w:ascii="仿宋_GB2312" w:eastAsia="仿宋_GB2312" w:hAnsi="仿宋_GB2312" w:cs="仿宋_GB2312"/>
          <w:i w:val="0"/>
          <w:iCs w:val="0"/>
        </w:rPr>
        <w:t>8.3其他要求</w:t>
      </w:r>
      <w:bookmarkEnd w:id="42"/>
    </w:p>
    <w:p>
      <w:pPr>
        <w:pStyle w:val="Heading30"/>
        <w:keepNext w:val="0"/>
        <w:spacing w:before="0" w:after="0" w:line="360" w:lineRule="auto"/>
        <w:rPr>
          <w:rFonts w:ascii="仿宋_GB2312" w:eastAsia="仿宋_GB2312" w:hAnsi="仿宋_GB2312" w:cs="仿宋_GB2312"/>
          <w:b/>
          <w:bCs/>
          <w:sz w:val="28"/>
          <w:szCs w:val="28"/>
        </w:rPr>
      </w:pPr>
      <w:bookmarkStart w:id="43" w:name="_Toc256000039"/>
      <w:r>
        <w:rPr>
          <w:rFonts w:ascii="仿宋_GB2312" w:eastAsia="仿宋_GB2312" w:hAnsi="仿宋_GB2312" w:cs="仿宋_GB2312"/>
          <w:sz w:val="28"/>
          <w:szCs w:val="28"/>
        </w:rPr>
        <w:t>8.3.1保密要求</w:t>
      </w:r>
      <w:bookmarkEnd w:id="43"/>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甲乙双方应对在合同签订或履行过程中所接触的对方信息，包括但不限于知识产权、技术资料、技术诀窍、内部管理及其他相关信息，负有保密义务。</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乙方在使用甲方为乙方及其工作人员提供的数据、程序、用户名、口令、资料及甲方相关的业务和技术文档，包括税收政策、方案设计细节、程序文件、数据结构，以及相关业务系统的硬软件、文档、测试和测试产生的数据时，应遵循以下约定：</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（1）应以审慎态度避免泄露、公开或传播甲方的信息；</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（2）未经甲方书面许可，不得对有关信息进行修改、补充、复制；</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（3）未经甲方书面许可，不得将信息以任何方式(如E－mail)携带出甲方场所；</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（4）未经甲方书面许可，不得将信息透露给任何其他人;</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（5）甲方以书面形式提出的其他保密措施。</w:t>
      </w:r>
    </w:p>
    <w:p>
      <w:pPr>
        <w:pStyle w:val="MsoNormal"/>
        <w:spacing w:before="0" w:after="0" w:line="360" w:lineRule="auto"/>
        <w:ind w:left="0" w:right="0" w:firstLine="640"/>
        <w:jc w:val="both"/>
        <w:rPr>
          <w:rFonts w:ascii="Calibri" w:eastAsia="Calibri" w:hAnsi="Calibri" w:cs="Calibri"/>
          <w:sz w:val="32"/>
          <w:szCs w:val="32"/>
        </w:rPr>
      </w:pPr>
      <w:r>
        <w:rPr>
          <w:rFonts w:ascii="仿宋_GB2312" w:eastAsia="仿宋_GB2312" w:hAnsi="仿宋_GB2312" w:cs="仿宋_GB2312"/>
          <w:sz w:val="28"/>
          <w:szCs w:val="28"/>
        </w:rPr>
        <w:t>保密期限不受合同有效期限制，在合同有效期结束后，信息接受方仍应承担保密义务，直至信息成为公开信息。</w:t>
      </w:r>
    </w:p>
    <w:p>
      <w:pPr>
        <w:pStyle w:val="Heading3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sz w:val="28"/>
          <w:szCs w:val="28"/>
        </w:rPr>
        <w:t>8.3.2知识产权要求</w:t>
      </w:r>
      <w:bookmarkEnd w:id="44"/>
    </w:p>
    <w:p>
      <w:pPr>
        <w:pStyle w:val="MsoNormal"/>
        <w:spacing w:before="0" w:after="0" w:line="360" w:lineRule="auto"/>
        <w:ind w:left="0" w:right="0" w:firstLine="560"/>
        <w:rPr>
          <w:rFonts w:ascii="FangSong_GB2312" w:eastAsia="FangSong_GB2312" w:hAnsi="FangSong_GB2312" w:cs="FangSong_GB2312"/>
          <w:sz w:val="28"/>
          <w:szCs w:val="28"/>
        </w:rPr>
      </w:pPr>
      <w:r>
        <w:rPr>
          <w:rFonts w:ascii="FangSong_GB2312" w:eastAsia="FangSong_GB2312" w:hAnsi="FangSong_GB2312" w:cs="FangSong_GB2312"/>
          <w:sz w:val="28"/>
          <w:szCs w:val="28"/>
        </w:rP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投标人需保证在本项目中所有预装和为本项目安装的软件为在中国境内具有合法版权或使用权的正版软件且无质量瑕疵。 投标人需保证所提供的服务不侵犯第三方的知识产权（专利权、商标权、版权等），因侵害第三方知识产权而产生的法律责任，全部由投标人承担。</w:t>
      </w:r>
    </w:p>
    <w:p>
      <w:pPr>
        <w:pStyle w:val="Heading2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i w:val="0"/>
          <w:iCs w:val="0"/>
        </w:rPr>
        <w:t>8.4满足指标</w:t>
      </w:r>
      <w:bookmarkEnd w:id="45"/>
    </w:p>
    <w:tbl>
      <w:tblPr>
        <w:tblStyle w:val="17Table"/>
        <w:tblW w:w="9013" w:type="dxa"/>
        <w:tblCellSpacing w:w="0" w:type="dxa"/>
        <w:tblInd w:w="216" w:type="dxa"/>
        <w:tblCellMar>
          <w:top w:w="15" w:type="dxa"/>
          <w:left w:w="15" w:type="dxa"/>
          <w:bottom w:w="15" w:type="dxa"/>
          <w:right w:w="15" w:type="dxa"/>
        </w:tblCellMar>
        <w:tblLook w:val="05E0"/>
      </w:tblPr>
      <w:tblGrid>
        <w:gridCol w:w="335"/>
        <w:gridCol w:w="637"/>
        <w:gridCol w:w="391"/>
        <w:gridCol w:w="871"/>
        <w:gridCol w:w="4823"/>
        <w:gridCol w:w="1969"/>
      </w:tblGrid>
      <w:tr>
        <w:tblPrEx>
          <w:tblW w:w="9013" w:type="dxa"/>
          <w:tblCellSpacing w:w="0" w:type="dxa"/>
          <w:tblInd w:w="216" w:type="dxa"/>
          <w:tblCellMar>
            <w:top w:w="15" w:type="dxa"/>
            <w:left w:w="15" w:type="dxa"/>
            <w:bottom w:w="15" w:type="dxa"/>
            <w:right w:w="15" w:type="dxa"/>
          </w:tblCellMar>
          <w:tblLook w:val="05E0"/>
        </w:tblPrEx>
        <w:trPr>
          <w:trHeight w:val="664"/>
          <w:tblCellSpacing w:w="0" w:type="dxa"/>
        </w:trPr>
        <w:tc>
          <w:tcPr>
            <w:tcW w:w="9229" w:type="dxa"/>
            <w:gridSpan w:val="6"/>
            <w:tcBorders>
              <w:bottom w:val="single" w:sz="24" w:space="0" w:color="808080"/>
            </w:tcBorders>
            <w:noWrap w:val="0"/>
            <w:tcMar>
              <w:top w:w="15" w:type="dxa"/>
              <w:left w:w="108" w:type="dxa"/>
              <w:bottom w:w="45" w:type="dxa"/>
              <w:right w:w="108" w:type="dxa"/>
            </w:tcMar>
            <w:vAlign w:val="center"/>
            <w:hideMark/>
          </w:tcPr>
          <w:p>
            <w:pPr>
              <w:pStyle w:val="16"/>
              <w:spacing w:before="0" w:after="0"/>
              <w:ind w:left="0" w:right="0"/>
              <w:jc w:val="center"/>
              <w:rPr>
                <w:rFonts w:ascii="Times New Roman" w:eastAsia="Times New Roman" w:hAnsi="Times New Roman" w:cs="Times New Roman"/>
                <w:b w:val="0"/>
                <w:bCs w:val="0"/>
                <w:i w:val="0"/>
                <w:iCs w:val="0"/>
                <w:smallCaps w:val="0"/>
                <w:color w:val="000000"/>
              </w:rPr>
            </w:pPr>
            <w:r>
              <w:rPr>
                <w:rFonts w:ascii="方正小标宋_GBK" w:eastAsia="方正小标宋_GBK" w:hAnsi="方正小标宋_GBK" w:cs="方正小标宋_GBK"/>
                <w:b w:val="0"/>
                <w:bCs w:val="0"/>
                <w:i w:val="0"/>
                <w:iCs w:val="0"/>
                <w:smallCaps w:val="0"/>
                <w:color w:val="000000"/>
                <w:sz w:val="32"/>
                <w:szCs w:val="32"/>
              </w:rPr>
              <w:t>“满足指标要求情况”内容</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51" w:type="dxa"/>
            <w:tcBorders>
              <w:left w:val="single" w:sz="24" w:space="0" w:color="808080"/>
              <w:bottom w:val="single" w:sz="24" w:space="0" w:color="808080"/>
              <w:right w:val="single" w:sz="24" w:space="0" w:color="808080"/>
            </w:tcBorders>
            <w:noWrap w:val="0"/>
            <w:tcMar>
              <w:top w:w="0" w:type="dxa"/>
              <w:left w:w="146" w:type="dxa"/>
              <w:bottom w:w="0" w:type="dxa"/>
              <w:right w:w="146"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序号</w:t>
            </w:r>
          </w:p>
        </w:tc>
        <w:tc>
          <w:tcPr>
            <w:tcW w:w="1145" w:type="dxa"/>
            <w:tcBorders>
              <w:top w:val="single" w:sz="24" w:space="0" w:color="808080"/>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产品名称</w:t>
            </w:r>
          </w:p>
        </w:tc>
        <w:tc>
          <w:tcPr>
            <w:tcW w:w="1131" w:type="dxa"/>
            <w:tcBorders>
              <w:top w:val="single" w:sz="24" w:space="0" w:color="808080"/>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指标种类</w:t>
            </w:r>
          </w:p>
        </w:tc>
        <w:tc>
          <w:tcPr>
            <w:tcW w:w="1421" w:type="dxa"/>
            <w:tcBorders>
              <w:top w:val="single" w:sz="24" w:space="0" w:color="808080"/>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指标名称</w:t>
            </w:r>
          </w:p>
        </w:tc>
        <w:tc>
          <w:tcPr>
            <w:tcW w:w="4087" w:type="dxa"/>
            <w:tcBorders>
              <w:top w:val="single" w:sz="24" w:space="0" w:color="808080"/>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Style w:val="15Character"/>
                <w:rFonts w:ascii="SimSun" w:eastAsia="SimSun" w:hAnsi="SimSun" w:cs="SimSun"/>
                <w:b w:val="0"/>
                <w:bCs w:val="0"/>
                <w:i w:val="0"/>
                <w:iCs w:val="0"/>
                <w:smallCaps w:val="0"/>
                <w:color w:val="000000"/>
                <w:sz w:val="21"/>
                <w:szCs w:val="21"/>
              </w:rPr>
              <w:t>指标内容</w:t>
            </w:r>
          </w:p>
        </w:tc>
        <w:tc>
          <w:tcPr>
            <w:tcW w:w="2175" w:type="dxa"/>
            <w:tcBorders>
              <w:top w:val="single" w:sz="24" w:space="0" w:color="808080"/>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证明材料要求（官网截图或产品说明书或白皮书或承诺书等证明材料）</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蓄电池</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电池规格</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电池为高功率电池12V830W@15minr，电池长宽高尺寸525*239*227mm，重量72Kg。</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蓄电池</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电池工艺</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蓄电池正负极板均采用铅钙锡铝合金，工艺为涂膏式平板电极，内阻低、输出电流大。</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3</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蓄电池</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电池安全</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为防止电池漏酸短路及安全性，蓄电池所配PP集液盘，阻燃级别符合垂直燃烧V-0级别。蓄电池的核心部件安全阀应为整体阀。</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4 </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蓄电池</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电池抗震</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要求电池抗震性能好，要求投标电池符合YD5083-2005《电信设备抗地震性能检测规范》。</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5</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蓄电池</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电池环保</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蓄电池表面印刷内容包含安装时螺栓扭矩范围，包含蓄电池环保使用年限标识且不低于20年。</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6</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蓄电池</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电池外观</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蓄电池的外观不得有变形，裂纹及污迹，蓄电池在使用中应无渗液、漏液、爬液和膨胀的现象,无酸雾逸出。</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7</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ATS切换配电柜</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设备规格</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额定绝缘电压：660V；额定工作电压：380V±10％（主电路）；额定频率：50±1HZ。</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8 </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ATS切换配电柜</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设备配置</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负荷隔离开关1000A/3P×2个，ATS切换开关1000A/4P×1个，柜前操作，开关输出端采用母线连接。</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9</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ATS切换配电柜</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技术要求</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大屏幕、高清晰液晶显示；具有测量电压、电流、有功功率、无功功率、视在功率、功率因数、频率、有功电度、无功电度、电压电流各次谐波含有率（2-31次各次谐波分量）等功能；电压、电流测量精度为0.2级，功率与能量测量精度为0.5级。通讯采用独立的两个RS485接口 MODBUS协议。</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10 </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ATS切换配电柜</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防护等级</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落地箱防护等级为IP54；柜内操作对带电部分防护等级：IP20。</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11</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ATS切换配电柜</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表面涂装</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箱体内、外表面焊渣清理干净，箱体需进行除锈、酸洗、磷化处理，然后进行静电喷塑，喷涂厚度不小于40µ，面板喷塑均匀平滑外观美，结构合理匀称，平直度高。</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12</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空调应急配电柜</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设备规格</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额定绝缘电压：660V；额定工作电压：380V±10％（主电路）；额定频率：50±1HZ。</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13</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空调应急配电柜</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设备配置</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配置负荷隔离开关630A/4P×1个，柜前操作，防触电二层门。</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14 </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空调应急配电柜</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表面涂装</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箱体内、外表面焊渣清理干净，箱体需进行除锈、酸洗、磷化处理，然后进行静电喷塑，喷涂厚度不小于40µ，面板喷塑均匀平滑外观美，结构合理匀称，平直度高。</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15</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空调应急配电柜</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防护等级</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防护等级为IP54；柜内操作对带电部分防护等级： IP20。</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16</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STS切换开关</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设备规格</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标称电流16A；，输入：2*IEC C20+2*输入线，输出：8IEC C13+1IEC C19；标定：CE；最少支持8个10A输出和1个16A输出；用户接口：LCD；网络接口：支持；LED显示屏可实现监测和基本配置功能；标准切换时间≤8mS。</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17</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电力电缆</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ATS切换配电柜电缆规格</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YJV4X240＋1X120mm2</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18 </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电力电缆</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空调应急配电柜电缆规格</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YJV4X185＋1X95mm2</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产品说明书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19</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电力电缆</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敷设方式</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地板下桥架敷设</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承诺书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20</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服务方式</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安装、调试、重大故障处理需工程师到场。关键阶段（如割接期）提供临时驻场工程师。</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承诺书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21</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质保联动</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原厂质保条款需覆盖本项目设备（如蓄电池提供5年原厂质保，STS提供2年质保）。</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承诺书</w:t>
            </w:r>
          </w:p>
        </w:tc>
      </w:tr>
      <w:tr>
        <w:tblPrEx>
          <w:tblW w:w="9013" w:type="dxa"/>
          <w:tblCellSpacing w:w="0" w:type="dxa"/>
          <w:tblInd w:w="216" w:type="dxa"/>
          <w:tblCellMar>
            <w:top w:w="15" w:type="dxa"/>
            <w:left w:w="15" w:type="dxa"/>
            <w:bottom w:w="15" w:type="dxa"/>
            <w:right w:w="15" w:type="dxa"/>
          </w:tblCellMar>
          <w:tblLook w:val="05E0"/>
        </w:tblPrEx>
        <w:trPr>
          <w:trHeight w:val="2143"/>
          <w:tblCellSpacing w:w="0" w:type="dxa"/>
        </w:trPr>
        <w:tc>
          <w:tcPr>
            <w:tcW w:w="795" w:type="dxa"/>
            <w:tcBorders>
              <w:left w:val="single" w:sz="24" w:space="0" w:color="808080"/>
              <w:bottom w:val="single" w:sz="24" w:space="0" w:color="808080"/>
              <w:right w:val="single" w:sz="24" w:space="0" w:color="808080"/>
            </w:tcBorders>
            <w:noWrap w:val="0"/>
            <w:tcMar>
              <w:top w:w="0" w:type="dxa"/>
              <w:left w:w="168"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22 </w:t>
            </w:r>
          </w:p>
        </w:tc>
        <w:tc>
          <w:tcPr>
            <w:tcW w:w="114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服务要求</w:t>
            </w:r>
          </w:p>
        </w:tc>
        <w:tc>
          <w:tcPr>
            <w:tcW w:w="113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1421"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免费保修</w:t>
            </w:r>
          </w:p>
        </w:tc>
        <w:tc>
          <w:tcPr>
            <w:tcW w:w="4087"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top"/>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设备安装验收后提供12个月免费保修（人为损坏除外）。</w:t>
            </w:r>
          </w:p>
        </w:tc>
        <w:tc>
          <w:tcPr>
            <w:tcW w:w="2175" w:type="dxa"/>
            <w:tcBorders>
              <w:bottom w:val="single" w:sz="24" w:space="0" w:color="808080"/>
              <w:right w:val="single" w:sz="24" w:space="0" w:color="808080"/>
            </w:tcBorders>
            <w:noWrap w:val="0"/>
            <w:tcMar>
              <w:top w:w="0" w:type="dxa"/>
              <w:left w:w="113" w:type="dxa"/>
              <w:bottom w:w="0" w:type="dxa"/>
              <w:right w:w="168" w:type="dxa"/>
            </w:tcMar>
            <w:vAlign w:val="center"/>
            <w:hideMark/>
          </w:tcPr>
          <w:p>
            <w:pPr>
              <w:pStyle w:val="16"/>
              <w:spacing w:before="0" w:after="0"/>
              <w:ind w:left="0" w:right="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承诺书</w:t>
            </w:r>
          </w:p>
        </w:tc>
      </w:tr>
    </w:tbl>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21</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6">
    <w:name w:val="16"/>
    <w:basedOn w:val="Normal"/>
    <w:pPr>
      <w:widowControl/>
      <w:spacing w:after="0" w:line="240" w:lineRule="auto"/>
      <w:jc w:val="left"/>
    </w:pPr>
    <w:rPr>
      <w:rFonts w:eastAsia="Times New Roman"/>
      <w:kern w:val="0"/>
      <w:sz w:val="24"/>
      <w:lang w:eastAsia="en-US"/>
    </w:rPr>
  </w:style>
  <w:style w:type="paragraph" w:customStyle="1" w:styleId="17">
    <w:name w:val="17"/>
    <w:basedOn w:val="Normal"/>
    <w:pPr>
      <w:widowControl/>
      <w:spacing w:after="0" w:line="240" w:lineRule="auto"/>
      <w:jc w:val="left"/>
    </w:pPr>
    <w:rPr>
      <w:rFonts w:eastAsia="Times New Roman"/>
      <w:kern w:val="0"/>
      <w:sz w:val="24"/>
      <w:lang w:eastAsia="en-US"/>
    </w:rPr>
  </w:style>
  <w:style w:type="table" w:customStyle="1" w:styleId="18">
    <w:name w:val="18"/>
    <w:basedOn w:val="TableNormal"/>
    <w:rPr>
      <w:rFonts w:eastAsia="Times New Roman"/>
      <w:lang w:val="en-US" w:eastAsia="en-US"/>
    </w:rPr>
    <w:tblPr/>
  </w:style>
  <w:style w:type="character" w:customStyle="1" w:styleId="15Character">
    <w:name w:val="15 Character"/>
    <w:basedOn w:val="DefaultParagraphFont"/>
  </w:style>
  <w:style w:type="table" w:customStyle="1" w:styleId="17Table">
    <w:name w:val="17 Table"/>
    <w:basedOn w:val="TableNormal"/>
    <w:rPr>
      <w:rFonts w:eastAsia="Times New Roman"/>
      <w:lang w:val="en-US"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21</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