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pPr>
        <w:jc w:val="left"/>
        <w:rPr>
          <w:rFonts w:hAnsi="SimSun"/>
          <w:b/>
          <w:sz w:val="96"/>
          <w:szCs w:val="96"/>
        </w:rPr>
      </w:pPr>
    </w:p>
    <w:p>
      <w:pPr>
        <w:topLinePunct/>
        <w:autoSpaceDE w:val="0"/>
        <w:autoSpaceDN w:val="0"/>
        <w:jc w:val="center"/>
        <w:rPr>
          <w:rFonts w:hAnsi="SimSun"/>
          <w:b/>
          <w:sz w:val="96"/>
          <w:szCs w:val="96"/>
        </w:rPr>
      </w:pPr>
      <w:r>
        <w:rPr>
          <w:rFonts w:hAnsi="SimSun" w:hint="eastAsia"/>
          <w:b/>
          <w:sz w:val="96"/>
          <w:szCs w:val="96"/>
        </w:rPr>
        <w:t>招 标 文 件</w:t>
      </w:r>
    </w:p>
    <w:p>
      <w:pPr>
        <w:topLinePunct/>
        <w:autoSpaceDE w:val="0"/>
        <w:autoSpaceDN w:val="0"/>
        <w:spacing w:line="60" w:lineRule="exact"/>
        <w:jc w:val="center"/>
        <w:rPr>
          <w:rFonts w:hAnsi="SimSun"/>
          <w:sz w:val="96"/>
          <w:szCs w:val="96"/>
        </w:rPr>
      </w:pPr>
    </w:p>
    <w:p>
      <w:pPr>
        <w:topLinePunct/>
        <w:autoSpaceDE w:val="0"/>
        <w:autoSpaceDN w:val="0"/>
        <w:snapToGrid w:val="0"/>
        <w:jc w:val="center"/>
        <w:rPr>
          <w:rFonts w:ascii="SimSun" w:hAnsi="SimSun"/>
          <w:sz w:val="96"/>
          <w:szCs w:val="96"/>
        </w:rPr>
      </w:pPr>
      <w:r>
        <w:rPr>
          <w:rFonts w:hAnsi="SimSun" w:hint="eastAsia"/>
          <w:b/>
          <w:sz w:val="56"/>
          <w:szCs w:val="56"/>
        </w:rPr>
        <w:t>（技术部分）</w:t>
      </w: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Pr>
          <w:rFonts w:ascii="SimSun" w:hint="eastAsia"/>
          <w:b/>
          <w:bCs/>
          <w:sz w:val="28"/>
          <w:szCs w:val="28"/>
        </w:rPr>
        <w:t>国家税务总局吉林省税务局管理决策支持系统(决策一包)及市场主体准入E窗通等系统运维及升级改造项目</w:t>
      </w:r>
      <w:bookmarkEnd w:id="0"/>
    </w:p>
    <w:p>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Pr>
          <w:rFonts w:ascii="SimSun" w:hint="eastAsia"/>
          <w:b/>
          <w:bCs/>
          <w:sz w:val="28"/>
          <w:szCs w:val="28"/>
        </w:rPr>
        <w:t>JL2024-ZXGK-C0104-B00</w:t>
      </w:r>
      <w:bookmarkEnd w:id="1"/>
    </w:p>
    <w:p>
      <w:pPr>
        <w:topLinePunct/>
        <w:autoSpaceDE w:val="0"/>
        <w:autoSpaceDN w:val="0"/>
        <w:snapToGrid w:val="0"/>
        <w:spacing w:line="360" w:lineRule="auto"/>
        <w:ind w:firstLine="1120" w:firstLineChars="400"/>
        <w:rPr>
          <w:rFonts w:ascii="SimSun"/>
          <w:b/>
          <w:bCs/>
          <w:sz w:val="28"/>
          <w:szCs w:val="28"/>
        </w:rPr>
      </w:pPr>
    </w:p>
    <w:p>
      <w:pPr>
        <w:topLinePunct/>
        <w:autoSpaceDE w:val="0"/>
        <w:autoSpaceDN w:val="0"/>
        <w:snapToGrid w:val="0"/>
        <w:spacing w:line="360" w:lineRule="auto"/>
        <w:rPr>
          <w:rFonts w:ascii="SimSun"/>
          <w:b/>
          <w:bCs/>
          <w:sz w:val="28"/>
          <w:szCs w:val="28"/>
        </w:rPr>
      </w:pPr>
    </w:p>
    <w:p>
      <w:pPr>
        <w:topLinePunct/>
        <w:autoSpaceDE w:val="0"/>
        <w:autoSpaceDN w:val="0"/>
        <w:spacing w:line="460" w:lineRule="exact"/>
        <w:rPr>
          <w:rFonts w:ascii="SimHei" w:eastAsia="SimHei"/>
          <w:b/>
          <w:sz w:val="52"/>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pPr>
        <w:widowControl/>
        <w:topLinePunct/>
        <w:autoSpaceDE w:val="0"/>
        <w:autoSpaceDN w:val="0"/>
        <w:jc w:val="center"/>
        <w:rPr>
          <w:rFonts w:ascii="SimSun" w:hAnsi="SimSun" w:cs="SimSun"/>
        </w:rPr>
        <w:sectPr>
          <w:pgSz w:w="11906" w:h="16838"/>
          <w:pgMar w:top="1440" w:right="1508" w:bottom="1440" w:left="1588" w:header="851" w:footer="851" w:gutter="0"/>
          <w:cols w:num="1" w:space="720"/>
          <w:titlePg/>
          <w:docGrid w:type="lines" w:linePitch="312" w:charSpace="0"/>
        </w:sectPr>
      </w:pPr>
      <w:bookmarkStart w:id="3" w:name="生成日期_currentDateTime_ymd"/>
      <w:r>
        <w:rPr>
          <w:rFonts w:ascii="SimHei" w:eastAsia="SimHei" w:hAnsi="Courier New" w:cs="Courier New" w:hint="eastAsia"/>
          <w:sz w:val="36"/>
          <w:szCs w:val="36"/>
        </w:rPr>
        <w:t>2024年11月</w:t>
      </w:r>
      <w:bookmarkEnd w:id="3"/>
    </w:p>
    <w:p>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0"/>
        <w:tabs>
          <w:tab w:val="right" w:leader="dot" w:pos="9350"/>
        </w:tabs>
        <w:spacing w:before="0" w:after="0" w:line="360" w:lineRule="auto"/>
        <w:rPr>
          <w:rFonts w:ascii="Calibri" w:hAnsi="Calibri"/>
          <w:sz w:val="22"/>
        </w:rPr>
      </w:pPr>
      <w:r>
        <w:rPr>
          <w:rFonts w:ascii="SimSun" w:eastAsia="SimSun" w:hAnsi="SimSun" w:cs="SimSun"/>
          <w:sz w:val="32"/>
        </w:rPr>
        <w:fldChar w:fldCharType="begin"/>
      </w:r>
      <w:r>
        <w:rPr>
          <w:rFonts w:ascii="SimSun" w:eastAsia="SimSun" w:hAnsi="SimSun" w:cs="SimSun"/>
          <w:sz w:val="32"/>
        </w:rPr>
        <w:instrText>TOC \o "1-3" \h \z \u</w:instrText>
      </w:r>
      <w:r>
        <w:rPr>
          <w:rFonts w:ascii="SimSun" w:eastAsia="SimSun" w:hAnsi="SimSun" w:cs="SimSun"/>
          <w:sz w:val="32"/>
        </w:rPr>
        <w:fldChar w:fldCharType="separate"/>
      </w:r>
      <w:hyperlink w:anchor="_Toc256000000" w:history="1">
        <w:r>
          <w:rPr>
            <w:rStyle w:val="Hyperlink0"/>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350"/>
        </w:tabs>
        <w:spacing w:before="0" w:after="0" w:line="360" w:lineRule="auto"/>
        <w:rPr>
          <w:rFonts w:ascii="Calibri" w:hAnsi="Calibri"/>
          <w:sz w:val="22"/>
        </w:rPr>
      </w:pPr>
      <w:hyperlink w:anchor="_Toc256000001" w:history="1">
        <w:r>
          <w:rPr>
            <w:rStyle w:val="Hyperlink0"/>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350"/>
        </w:tabs>
        <w:spacing w:before="0" w:after="0" w:line="360" w:lineRule="auto"/>
        <w:rPr>
          <w:rFonts w:ascii="Calibri" w:hAnsi="Calibri"/>
          <w:sz w:val="22"/>
        </w:rPr>
      </w:pPr>
      <w:hyperlink w:anchor="_Toc256000002" w:history="1">
        <w:r>
          <w:rPr>
            <w:rStyle w:val="Hyperlink0"/>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pPr>
        <w:pStyle w:val="TOC2"/>
        <w:tabs>
          <w:tab w:val="right" w:leader="dot" w:pos="9350"/>
        </w:tabs>
        <w:spacing w:before="0" w:after="0" w:line="360" w:lineRule="auto"/>
        <w:rPr>
          <w:rFonts w:ascii="Calibri" w:hAnsi="Calibri"/>
          <w:sz w:val="22"/>
        </w:rPr>
      </w:pPr>
      <w:hyperlink w:anchor="_Toc256000003" w:history="1">
        <w:r>
          <w:rPr>
            <w:rStyle w:val="Hyperlink0"/>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4" w:history="1">
        <w:r>
          <w:rPr>
            <w:rStyle w:val="Hyperlink0"/>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5" w:history="1">
        <w:r>
          <w:rPr>
            <w:rStyle w:val="Hyperlink0"/>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350"/>
        </w:tabs>
        <w:spacing w:before="0" w:after="0" w:line="360" w:lineRule="auto"/>
        <w:rPr>
          <w:rFonts w:ascii="Calibri" w:hAnsi="Calibri"/>
          <w:sz w:val="22"/>
        </w:rPr>
      </w:pPr>
      <w:hyperlink w:anchor="_Toc256000006" w:history="1">
        <w:r>
          <w:rPr>
            <w:rStyle w:val="Hyperlink0"/>
            <w:rFonts w:ascii="仿宋_GB2312" w:eastAsia="仿宋_GB2312" w:hAnsi="仿宋_GB2312" w:cs="仿宋_GB2312"/>
          </w:rPr>
          <w:t>1.2.3项目实施要求</w:t>
        </w:r>
        <w:r>
          <w:tab/>
        </w:r>
        <w:r>
          <w:fldChar w:fldCharType="begin"/>
        </w:r>
        <w:r>
          <w:instrText xml:space="preserve"> PAGEREF _Toc256000006 \h </w:instrText>
        </w:r>
        <w:r>
          <w:fldChar w:fldCharType="separate"/>
        </w:r>
        <w:r>
          <w:t>5</w:t>
        </w:r>
        <w:r>
          <w:fldChar w:fldCharType="end"/>
        </w:r>
      </w:hyperlink>
    </w:p>
    <w:p>
      <w:pPr>
        <w:pStyle w:val="TOC2"/>
        <w:tabs>
          <w:tab w:val="right" w:leader="dot" w:pos="9350"/>
        </w:tabs>
        <w:spacing w:before="0" w:after="0" w:line="360" w:lineRule="auto"/>
        <w:rPr>
          <w:rFonts w:ascii="Calibri" w:hAnsi="Calibri"/>
          <w:sz w:val="22"/>
        </w:rPr>
      </w:pPr>
      <w:hyperlink w:anchor="_Toc256000007" w:history="1">
        <w:r>
          <w:rPr>
            <w:rStyle w:val="Hyperlink0"/>
            <w:rFonts w:ascii="仿宋_GB2312" w:eastAsia="仿宋_GB2312" w:hAnsi="仿宋_GB2312" w:cs="仿宋_GB2312"/>
          </w:rPr>
          <w:t>1.3其他要求</w:t>
        </w:r>
        <w:r>
          <w:tab/>
        </w:r>
        <w:r>
          <w:fldChar w:fldCharType="begin"/>
        </w:r>
        <w:r>
          <w:instrText xml:space="preserve"> PAGEREF _Toc256000007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08" w:history="1">
        <w:r>
          <w:rPr>
            <w:rStyle w:val="Hyperlink0"/>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6</w:t>
        </w:r>
        <w:r>
          <w:fldChar w:fldCharType="end"/>
        </w:r>
      </w:hyperlink>
    </w:p>
    <w:p>
      <w:pPr>
        <w:pStyle w:val="TOC10"/>
        <w:tabs>
          <w:tab w:val="right" w:leader="dot" w:pos="9350"/>
        </w:tabs>
        <w:spacing w:before="0" w:after="0" w:line="360" w:lineRule="auto"/>
        <w:rPr>
          <w:rFonts w:ascii="Calibri" w:hAnsi="Calibri"/>
          <w:sz w:val="22"/>
        </w:rPr>
      </w:pPr>
      <w:hyperlink w:anchor="_Toc256000009" w:history="1">
        <w:r>
          <w:rPr>
            <w:rStyle w:val="Hyperlink0"/>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6</w:t>
        </w:r>
        <w:r>
          <w:fldChar w:fldCharType="end"/>
        </w:r>
      </w:hyperlink>
    </w:p>
    <w:p>
      <w:pPr>
        <w:pStyle w:val="TOC2"/>
        <w:tabs>
          <w:tab w:val="right" w:leader="dot" w:pos="9350"/>
        </w:tabs>
        <w:spacing w:before="0" w:after="0" w:line="360" w:lineRule="auto"/>
        <w:rPr>
          <w:rFonts w:ascii="Calibri" w:hAnsi="Calibri"/>
          <w:sz w:val="22"/>
        </w:rPr>
      </w:pPr>
      <w:hyperlink w:anchor="_Toc256000010" w:history="1">
        <w:r>
          <w:rPr>
            <w:rStyle w:val="Hyperlink0"/>
            <w:rFonts w:ascii="仿宋_GB2312" w:eastAsia="仿宋_GB2312" w:hAnsi="仿宋_GB2312" w:cs="仿宋_GB2312"/>
          </w:rPr>
          <w:t>2.1对供应商的要求</w:t>
        </w:r>
        <w:r>
          <w:tab/>
        </w:r>
        <w:r>
          <w:fldChar w:fldCharType="begin"/>
        </w:r>
        <w:r>
          <w:instrText xml:space="preserve"> PAGEREF _Toc256000010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1" w:history="1">
        <w:r>
          <w:rPr>
            <w:rStyle w:val="Hyperlink0"/>
            <w:rFonts w:ascii="仿宋_GB2312" w:eastAsia="仿宋_GB2312" w:hAnsi="仿宋_GB2312" w:cs="仿宋_GB2312"/>
          </w:rPr>
          <w:t>2.1.1必备资质</w:t>
        </w:r>
        <w:r>
          <w:tab/>
        </w:r>
        <w:r>
          <w:fldChar w:fldCharType="begin"/>
        </w:r>
        <w:r>
          <w:instrText xml:space="preserve"> PAGEREF _Toc256000011 \h </w:instrText>
        </w:r>
        <w:r>
          <w:fldChar w:fldCharType="separate"/>
        </w:r>
        <w:r>
          <w:t>6</w:t>
        </w:r>
        <w:r>
          <w:fldChar w:fldCharType="end"/>
        </w:r>
      </w:hyperlink>
    </w:p>
    <w:p>
      <w:pPr>
        <w:pStyle w:val="TOC3"/>
        <w:tabs>
          <w:tab w:val="right" w:leader="dot" w:pos="9350"/>
        </w:tabs>
        <w:spacing w:before="0" w:after="0" w:line="360" w:lineRule="auto"/>
        <w:rPr>
          <w:rFonts w:ascii="Calibri" w:hAnsi="Calibri"/>
          <w:sz w:val="22"/>
        </w:rPr>
      </w:pPr>
      <w:hyperlink w:anchor="_Toc256000012" w:history="1">
        <w:r>
          <w:rPr>
            <w:rStyle w:val="Hyperlink0"/>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13" w:history="1">
        <w:r>
          <w:rPr>
            <w:rStyle w:val="Hyperlink0"/>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14" w:history="1">
        <w:r>
          <w:rPr>
            <w:rStyle w:val="Hyperlink0"/>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15" w:history="1">
        <w:r>
          <w:rPr>
            <w:rStyle w:val="Hyperlink0"/>
            <w:rFonts w:ascii="仿宋_GB2312" w:eastAsia="仿宋_GB2312" w:hAnsi="仿宋_GB2312" w:cs="仿宋_GB2312"/>
          </w:rPr>
          <w:t>2.1.5其他要求</w:t>
        </w:r>
        <w:r>
          <w:tab/>
        </w:r>
        <w:r>
          <w:fldChar w:fldCharType="begin"/>
        </w:r>
        <w:r>
          <w:instrText xml:space="preserve"> PAGEREF _Toc256000015 \h </w:instrText>
        </w:r>
        <w:r>
          <w:fldChar w:fldCharType="separate"/>
        </w:r>
        <w:r>
          <w:t>7</w:t>
        </w:r>
        <w:r>
          <w:fldChar w:fldCharType="end"/>
        </w:r>
      </w:hyperlink>
    </w:p>
    <w:p>
      <w:pPr>
        <w:pStyle w:val="TOC2"/>
        <w:tabs>
          <w:tab w:val="right" w:leader="dot" w:pos="9350"/>
        </w:tabs>
        <w:spacing w:before="0" w:after="0" w:line="360" w:lineRule="auto"/>
        <w:rPr>
          <w:rFonts w:ascii="Calibri" w:hAnsi="Calibri"/>
          <w:sz w:val="22"/>
        </w:rPr>
      </w:pPr>
      <w:hyperlink w:anchor="_Toc256000016" w:history="1">
        <w:r>
          <w:rPr>
            <w:rStyle w:val="Hyperlink0"/>
            <w:rFonts w:ascii="仿宋_GB2312" w:eastAsia="仿宋_GB2312" w:hAnsi="仿宋_GB2312" w:cs="仿宋_GB2312"/>
          </w:rPr>
          <w:t>2.2技术部分投标/响应内容</w:t>
        </w:r>
        <w:r>
          <w:tab/>
        </w:r>
        <w:r>
          <w:fldChar w:fldCharType="begin"/>
        </w:r>
        <w:r>
          <w:instrText xml:space="preserve"> PAGEREF _Toc256000016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17" w:history="1">
        <w:r>
          <w:rPr>
            <w:rStyle w:val="Hyperlink0"/>
            <w:rFonts w:ascii="仿宋_GB2312" w:eastAsia="仿宋_GB2312" w:hAnsi="仿宋_GB2312" w:cs="仿宋_GB2312"/>
          </w:rPr>
          <w:t>2.2.1技术投标/响应总要求</w:t>
        </w:r>
        <w:r>
          <w:tab/>
        </w:r>
        <w:r>
          <w:fldChar w:fldCharType="begin"/>
        </w:r>
        <w:r>
          <w:instrText xml:space="preserve"> PAGEREF _Toc256000017 \h </w:instrText>
        </w:r>
        <w:r>
          <w:fldChar w:fldCharType="separate"/>
        </w:r>
        <w:r>
          <w:t>7</w:t>
        </w:r>
        <w:r>
          <w:fldChar w:fldCharType="end"/>
        </w:r>
      </w:hyperlink>
    </w:p>
    <w:p>
      <w:pPr>
        <w:pStyle w:val="TOC3"/>
        <w:tabs>
          <w:tab w:val="right" w:leader="dot" w:pos="9350"/>
        </w:tabs>
        <w:spacing w:before="0" w:after="0" w:line="360" w:lineRule="auto"/>
        <w:rPr>
          <w:rFonts w:ascii="Calibri" w:hAnsi="Calibri"/>
          <w:sz w:val="22"/>
        </w:rPr>
      </w:pPr>
      <w:hyperlink w:anchor="_Toc256000018" w:history="1">
        <w:r>
          <w:rPr>
            <w:rStyle w:val="Hyperlink0"/>
            <w:rFonts w:ascii="仿宋_GB2312" w:eastAsia="仿宋_GB2312" w:hAnsi="仿宋_GB2312" w:cs="仿宋_GB2312"/>
          </w:rPr>
          <w:t>2.2.2投标/响应方案要求</w:t>
        </w:r>
        <w:r>
          <w:tab/>
        </w:r>
        <w:r>
          <w:fldChar w:fldCharType="begin"/>
        </w:r>
        <w:r>
          <w:instrText xml:space="preserve"> PAGEREF _Toc256000018 \h </w:instrText>
        </w:r>
        <w:r>
          <w:fldChar w:fldCharType="separate"/>
        </w:r>
        <w:r>
          <w:t>8</w:t>
        </w:r>
        <w:r>
          <w:fldChar w:fldCharType="end"/>
        </w:r>
      </w:hyperlink>
    </w:p>
    <w:p>
      <w:pPr>
        <w:pStyle w:val="TOC10"/>
        <w:tabs>
          <w:tab w:val="right" w:leader="dot" w:pos="9350"/>
        </w:tabs>
        <w:spacing w:before="0" w:after="0" w:line="360" w:lineRule="auto"/>
        <w:rPr>
          <w:rFonts w:ascii="Calibri" w:hAnsi="Calibri"/>
          <w:sz w:val="22"/>
        </w:rPr>
      </w:pPr>
      <w:hyperlink w:anchor="_Toc256000019" w:history="1">
        <w:r>
          <w:rPr>
            <w:rStyle w:val="Hyperlink0"/>
            <w:rFonts w:ascii="仿宋_GB2312" w:eastAsia="仿宋_GB2312" w:hAnsi="仿宋_GB2312" w:cs="仿宋_GB2312"/>
            <w:kern w:val="36"/>
          </w:rPr>
          <w:t>3项目需求</w:t>
        </w:r>
        <w:r>
          <w:tab/>
        </w:r>
        <w:r>
          <w:fldChar w:fldCharType="begin"/>
        </w:r>
        <w:r>
          <w:instrText xml:space="preserve"> PAGEREF _Toc256000019 \h </w:instrText>
        </w:r>
        <w:r>
          <w:fldChar w:fldCharType="separate"/>
        </w:r>
        <w:r>
          <w:t>9</w:t>
        </w:r>
        <w:r>
          <w:fldChar w:fldCharType="end"/>
        </w:r>
      </w:hyperlink>
    </w:p>
    <w:p>
      <w:pPr>
        <w:pStyle w:val="TOC2"/>
        <w:tabs>
          <w:tab w:val="right" w:leader="dot" w:pos="9350"/>
        </w:tabs>
        <w:spacing w:before="0" w:after="0" w:line="360" w:lineRule="auto"/>
        <w:rPr>
          <w:rFonts w:ascii="Calibri" w:hAnsi="Calibri"/>
          <w:sz w:val="22"/>
        </w:rPr>
      </w:pPr>
      <w:hyperlink w:anchor="_Toc256000020" w:history="1">
        <w:r>
          <w:rPr>
            <w:rStyle w:val="Hyperlink0"/>
            <w:rFonts w:ascii="仿宋_GB2312" w:eastAsia="仿宋_GB2312" w:hAnsi="仿宋_GB2312" w:cs="仿宋_GB2312"/>
          </w:rPr>
          <w:t>3.1总体要求</w:t>
        </w:r>
        <w:r>
          <w:tab/>
        </w:r>
        <w:r>
          <w:fldChar w:fldCharType="begin"/>
        </w:r>
        <w:r>
          <w:instrText xml:space="preserve"> PAGEREF _Toc256000020 \h </w:instrText>
        </w:r>
        <w:r>
          <w:fldChar w:fldCharType="separate"/>
        </w:r>
        <w:r>
          <w:t>9</w:t>
        </w:r>
        <w:r>
          <w:fldChar w:fldCharType="end"/>
        </w:r>
      </w:hyperlink>
    </w:p>
    <w:p>
      <w:pPr>
        <w:pStyle w:val="TOC2"/>
        <w:tabs>
          <w:tab w:val="right" w:leader="dot" w:pos="9350"/>
        </w:tabs>
        <w:spacing w:before="0" w:after="0" w:line="360" w:lineRule="auto"/>
        <w:rPr>
          <w:rFonts w:ascii="Calibri" w:hAnsi="Calibri"/>
          <w:sz w:val="22"/>
        </w:rPr>
      </w:pPr>
      <w:hyperlink w:anchor="_Toc256000021" w:history="1">
        <w:r>
          <w:rPr>
            <w:rStyle w:val="Hyperlink0"/>
            <w:rFonts w:ascii="仿宋_GB2312" w:eastAsia="仿宋_GB2312" w:hAnsi="仿宋_GB2312" w:cs="仿宋_GB2312"/>
          </w:rPr>
          <w:t>3.2服务内容和要求</w:t>
        </w:r>
        <w:r>
          <w:tab/>
        </w:r>
        <w:r>
          <w:fldChar w:fldCharType="begin"/>
        </w:r>
        <w:r>
          <w:instrText xml:space="preserve"> PAGEREF _Toc256000021 \h </w:instrText>
        </w:r>
        <w:r>
          <w:fldChar w:fldCharType="separate"/>
        </w:r>
        <w:r>
          <w:t>20</w:t>
        </w:r>
        <w:r>
          <w:fldChar w:fldCharType="end"/>
        </w:r>
      </w:hyperlink>
    </w:p>
    <w:p>
      <w:pPr>
        <w:pStyle w:val="TOC3"/>
        <w:tabs>
          <w:tab w:val="right" w:leader="dot" w:pos="9350"/>
        </w:tabs>
        <w:spacing w:before="0" w:after="0" w:line="360" w:lineRule="auto"/>
        <w:rPr>
          <w:rFonts w:ascii="Calibri" w:hAnsi="Calibri"/>
          <w:sz w:val="22"/>
        </w:rPr>
      </w:pPr>
      <w:hyperlink w:anchor="_Toc256000022" w:history="1">
        <w:r>
          <w:rPr>
            <w:rStyle w:val="Hyperlink0"/>
            <w:rFonts w:ascii="仿宋_GB2312" w:eastAsia="仿宋_GB2312" w:hAnsi="仿宋_GB2312" w:cs="仿宋_GB2312"/>
          </w:rPr>
          <w:t>3.2.1技术和服务客观指标</w:t>
        </w:r>
        <w:r>
          <w:tab/>
        </w:r>
        <w:r>
          <w:fldChar w:fldCharType="begin"/>
        </w:r>
        <w:r>
          <w:instrText xml:space="preserve"> PAGEREF _Toc256000022 \h </w:instrText>
        </w:r>
        <w:r>
          <w:fldChar w:fldCharType="separate"/>
        </w:r>
        <w:r>
          <w:t>20</w:t>
        </w:r>
        <w:r>
          <w:fldChar w:fldCharType="end"/>
        </w:r>
      </w:hyperlink>
    </w:p>
    <w:p>
      <w:pPr>
        <w:pStyle w:val="TOC3"/>
        <w:tabs>
          <w:tab w:val="right" w:leader="dot" w:pos="9350"/>
        </w:tabs>
        <w:spacing w:before="0" w:after="0" w:line="360" w:lineRule="auto"/>
        <w:rPr>
          <w:rFonts w:ascii="Calibri" w:hAnsi="Calibri"/>
          <w:sz w:val="22"/>
        </w:rPr>
      </w:pPr>
      <w:hyperlink w:anchor="_Toc256000023" w:history="1">
        <w:r>
          <w:rPr>
            <w:rStyle w:val="Hyperlink0"/>
            <w:rFonts w:ascii="仿宋_GB2312" w:eastAsia="仿宋_GB2312" w:hAnsi="仿宋_GB2312" w:cs="仿宋_GB2312"/>
          </w:rPr>
          <w:t>3.2.2技术和服务其他要求</w:t>
        </w:r>
        <w:r>
          <w:tab/>
        </w:r>
        <w:r>
          <w:fldChar w:fldCharType="begin"/>
        </w:r>
        <w:r>
          <w:instrText xml:space="preserve"> PAGEREF _Toc256000023 \h </w:instrText>
        </w:r>
        <w:r>
          <w:fldChar w:fldCharType="separate"/>
        </w:r>
        <w:r>
          <w:t>21</w:t>
        </w:r>
        <w:r>
          <w:fldChar w:fldCharType="end"/>
        </w:r>
      </w:hyperlink>
    </w:p>
    <w:p>
      <w:pPr>
        <w:pStyle w:val="TOC10"/>
        <w:tabs>
          <w:tab w:val="right" w:leader="dot" w:pos="9350"/>
        </w:tabs>
        <w:spacing w:before="0" w:after="0" w:line="360" w:lineRule="auto"/>
        <w:rPr>
          <w:rFonts w:ascii="Calibri" w:hAnsi="Calibri"/>
          <w:sz w:val="22"/>
        </w:rPr>
      </w:pPr>
      <w:hyperlink w:anchor="_Toc256000024" w:history="1">
        <w:r>
          <w:rPr>
            <w:rStyle w:val="Hyperlink0"/>
            <w:rFonts w:ascii="仿宋_GB2312" w:eastAsia="仿宋_GB2312" w:hAnsi="仿宋_GB2312" w:cs="仿宋_GB2312"/>
            <w:kern w:val="36"/>
          </w:rPr>
          <w:t>4人员要求</w:t>
        </w:r>
        <w:r>
          <w:tab/>
        </w:r>
        <w:r>
          <w:fldChar w:fldCharType="begin"/>
        </w:r>
        <w:r>
          <w:instrText xml:space="preserve"> PAGEREF _Toc256000024 \h </w:instrText>
        </w:r>
        <w:r>
          <w:fldChar w:fldCharType="separate"/>
        </w:r>
        <w:r>
          <w:t>21</w:t>
        </w:r>
        <w:r>
          <w:fldChar w:fldCharType="end"/>
        </w:r>
      </w:hyperlink>
    </w:p>
    <w:p>
      <w:pPr>
        <w:pStyle w:val="TOC2"/>
        <w:tabs>
          <w:tab w:val="right" w:leader="dot" w:pos="9350"/>
        </w:tabs>
        <w:spacing w:before="0" w:after="0" w:line="360" w:lineRule="auto"/>
        <w:rPr>
          <w:rFonts w:ascii="Calibri" w:hAnsi="Calibri"/>
          <w:sz w:val="22"/>
        </w:rPr>
      </w:pPr>
      <w:hyperlink w:anchor="_Toc256000025" w:history="1">
        <w:r>
          <w:rPr>
            <w:rStyle w:val="Hyperlink0"/>
            <w:rFonts w:ascii="仿宋_GB2312" w:eastAsia="仿宋_GB2312" w:hAnsi="仿宋_GB2312" w:cs="仿宋_GB2312"/>
          </w:rPr>
          <w:t>4.1总体要求</w:t>
        </w:r>
        <w:r>
          <w:tab/>
        </w:r>
        <w:r>
          <w:fldChar w:fldCharType="begin"/>
        </w:r>
        <w:r>
          <w:instrText xml:space="preserve"> PAGEREF _Toc256000025 \h </w:instrText>
        </w:r>
        <w:r>
          <w:fldChar w:fldCharType="separate"/>
        </w:r>
        <w:r>
          <w:t>21</w:t>
        </w:r>
        <w:r>
          <w:fldChar w:fldCharType="end"/>
        </w:r>
      </w:hyperlink>
    </w:p>
    <w:p>
      <w:pPr>
        <w:pStyle w:val="TOC2"/>
        <w:tabs>
          <w:tab w:val="right" w:leader="dot" w:pos="9350"/>
        </w:tabs>
        <w:spacing w:before="0" w:after="0" w:line="360" w:lineRule="auto"/>
        <w:rPr>
          <w:rFonts w:ascii="Calibri" w:hAnsi="Calibri"/>
          <w:sz w:val="22"/>
        </w:rPr>
      </w:pPr>
      <w:hyperlink w:anchor="_Toc256000026" w:history="1">
        <w:r>
          <w:rPr>
            <w:rStyle w:val="Hyperlink0"/>
            <w:rFonts w:ascii="仿宋_GB2312" w:eastAsia="仿宋_GB2312" w:hAnsi="仿宋_GB2312" w:cs="仿宋_GB2312"/>
          </w:rPr>
          <w:t>4.2管理团队</w:t>
        </w:r>
        <w:r>
          <w:tab/>
        </w:r>
        <w:r>
          <w:fldChar w:fldCharType="begin"/>
        </w:r>
        <w:r>
          <w:instrText xml:space="preserve"> PAGEREF _Toc256000026 \h </w:instrText>
        </w:r>
        <w:r>
          <w:fldChar w:fldCharType="separate"/>
        </w:r>
        <w:r>
          <w:t>22</w:t>
        </w:r>
        <w:r>
          <w:fldChar w:fldCharType="end"/>
        </w:r>
      </w:hyperlink>
    </w:p>
    <w:p>
      <w:pPr>
        <w:pStyle w:val="TOC3"/>
        <w:tabs>
          <w:tab w:val="right" w:leader="dot" w:pos="9350"/>
        </w:tabs>
        <w:spacing w:before="0" w:after="0" w:line="360" w:lineRule="auto"/>
        <w:rPr>
          <w:rFonts w:ascii="Calibri" w:hAnsi="Calibri"/>
          <w:sz w:val="22"/>
        </w:rPr>
      </w:pPr>
      <w:hyperlink w:anchor="_Toc256000027" w:history="1">
        <w:r>
          <w:rPr>
            <w:rStyle w:val="Hyperlink0"/>
            <w:rFonts w:ascii="仿宋_GB2312" w:eastAsia="仿宋_GB2312" w:hAnsi="仿宋_GB2312" w:cs="仿宋_GB2312"/>
          </w:rPr>
          <w:t>4.2.1项目总监</w:t>
        </w:r>
        <w:r>
          <w:tab/>
        </w:r>
        <w:r>
          <w:fldChar w:fldCharType="begin"/>
        </w:r>
        <w:r>
          <w:instrText xml:space="preserve"> PAGEREF _Toc256000027 \h </w:instrText>
        </w:r>
        <w:r>
          <w:fldChar w:fldCharType="separate"/>
        </w:r>
        <w:r>
          <w:t>22</w:t>
        </w:r>
        <w:r>
          <w:fldChar w:fldCharType="end"/>
        </w:r>
      </w:hyperlink>
    </w:p>
    <w:p>
      <w:pPr>
        <w:pStyle w:val="TOC3"/>
        <w:tabs>
          <w:tab w:val="right" w:leader="dot" w:pos="9350"/>
        </w:tabs>
        <w:spacing w:before="0" w:after="0" w:line="360" w:lineRule="auto"/>
        <w:rPr>
          <w:rFonts w:ascii="Calibri" w:hAnsi="Calibri"/>
          <w:sz w:val="22"/>
        </w:rPr>
      </w:pPr>
      <w:hyperlink w:anchor="_Toc256000028" w:history="1">
        <w:r>
          <w:rPr>
            <w:rStyle w:val="Hyperlink0"/>
            <w:rFonts w:ascii="仿宋_GB2312" w:eastAsia="仿宋_GB2312" w:hAnsi="仿宋_GB2312" w:cs="仿宋_GB2312"/>
          </w:rPr>
          <w:t>4.2.2项目经理</w:t>
        </w:r>
        <w:r>
          <w:tab/>
        </w:r>
        <w:r>
          <w:fldChar w:fldCharType="begin"/>
        </w:r>
        <w:r>
          <w:instrText xml:space="preserve"> PAGEREF _Toc256000028 \h </w:instrText>
        </w:r>
        <w:r>
          <w:fldChar w:fldCharType="separate"/>
        </w:r>
        <w:r>
          <w:t>22</w:t>
        </w:r>
        <w:r>
          <w:fldChar w:fldCharType="end"/>
        </w:r>
      </w:hyperlink>
    </w:p>
    <w:p>
      <w:pPr>
        <w:pStyle w:val="TOC2"/>
        <w:tabs>
          <w:tab w:val="right" w:leader="dot" w:pos="9350"/>
        </w:tabs>
        <w:spacing w:before="0" w:after="0" w:line="360" w:lineRule="auto"/>
        <w:rPr>
          <w:rFonts w:ascii="Calibri" w:hAnsi="Calibri"/>
          <w:sz w:val="22"/>
        </w:rPr>
      </w:pPr>
      <w:hyperlink w:anchor="_Toc256000029" w:history="1">
        <w:r>
          <w:rPr>
            <w:rStyle w:val="Hyperlink0"/>
            <w:rFonts w:ascii="仿宋_GB2312" w:eastAsia="仿宋_GB2312" w:hAnsi="仿宋_GB2312" w:cs="仿宋_GB2312"/>
          </w:rPr>
          <w:t>4.3技术团队</w:t>
        </w:r>
        <w:r>
          <w:tab/>
        </w:r>
        <w:r>
          <w:fldChar w:fldCharType="begin"/>
        </w:r>
        <w:r>
          <w:instrText xml:space="preserve"> PAGEREF _Toc256000029 \h </w:instrText>
        </w:r>
        <w:r>
          <w:fldChar w:fldCharType="separate"/>
        </w:r>
        <w:r>
          <w:t>22</w:t>
        </w:r>
        <w:r>
          <w:fldChar w:fldCharType="end"/>
        </w:r>
      </w:hyperlink>
    </w:p>
    <w:p>
      <w:pPr>
        <w:pStyle w:val="TOC2"/>
        <w:tabs>
          <w:tab w:val="right" w:leader="dot" w:pos="9350"/>
        </w:tabs>
        <w:spacing w:before="0" w:after="0" w:line="360" w:lineRule="auto"/>
        <w:rPr>
          <w:rFonts w:ascii="Calibri" w:hAnsi="Calibri"/>
          <w:sz w:val="22"/>
        </w:rPr>
      </w:pPr>
      <w:hyperlink w:anchor="_Toc256000030" w:history="1">
        <w:r>
          <w:rPr>
            <w:rStyle w:val="Hyperlink0"/>
            <w:rFonts w:ascii="仿宋_GB2312" w:eastAsia="仿宋_GB2312" w:hAnsi="仿宋_GB2312" w:cs="仿宋_GB2312"/>
          </w:rPr>
          <w:t>4.4优选资质/优选指标</w:t>
        </w:r>
        <w:r>
          <w:tab/>
        </w:r>
        <w:r>
          <w:fldChar w:fldCharType="begin"/>
        </w:r>
        <w:r>
          <w:instrText xml:space="preserve"> PAGEREF _Toc256000030 \h </w:instrText>
        </w:r>
        <w:r>
          <w:fldChar w:fldCharType="separate"/>
        </w:r>
        <w:r>
          <w:t>22</w:t>
        </w:r>
        <w:r>
          <w:fldChar w:fldCharType="end"/>
        </w:r>
      </w:hyperlink>
    </w:p>
    <w:p>
      <w:pPr>
        <w:pStyle w:val="TOC10"/>
        <w:tabs>
          <w:tab w:val="right" w:leader="dot" w:pos="9350"/>
        </w:tabs>
        <w:spacing w:before="0" w:after="0" w:line="360" w:lineRule="auto"/>
        <w:rPr>
          <w:rFonts w:ascii="Calibri" w:hAnsi="Calibri"/>
          <w:sz w:val="22"/>
        </w:rPr>
      </w:pPr>
      <w:hyperlink w:anchor="_Toc256000031" w:history="1">
        <w:r>
          <w:rPr>
            <w:rStyle w:val="Hyperlink0"/>
            <w:rFonts w:ascii="仿宋_GB2312" w:eastAsia="仿宋_GB2312" w:hAnsi="仿宋_GB2312" w:cs="仿宋_GB2312"/>
            <w:kern w:val="36"/>
          </w:rPr>
          <w:t>5管理实施要求</w:t>
        </w:r>
        <w:r>
          <w:tab/>
        </w:r>
        <w:r>
          <w:fldChar w:fldCharType="begin"/>
        </w:r>
        <w:r>
          <w:instrText xml:space="preserve"> PAGEREF _Toc256000031 \h </w:instrText>
        </w:r>
        <w:r>
          <w:fldChar w:fldCharType="separate"/>
        </w:r>
        <w:r>
          <w:t>22</w:t>
        </w:r>
        <w:r>
          <w:fldChar w:fldCharType="end"/>
        </w:r>
      </w:hyperlink>
    </w:p>
    <w:p>
      <w:pPr>
        <w:pStyle w:val="TOC10"/>
        <w:tabs>
          <w:tab w:val="right" w:leader="dot" w:pos="9350"/>
        </w:tabs>
        <w:spacing w:before="0" w:after="0" w:line="360" w:lineRule="auto"/>
        <w:rPr>
          <w:rFonts w:ascii="Calibri" w:hAnsi="Calibri"/>
          <w:sz w:val="22"/>
        </w:rPr>
      </w:pPr>
      <w:hyperlink w:anchor="_Toc256000032" w:history="1">
        <w:r>
          <w:rPr>
            <w:rStyle w:val="Hyperlink0"/>
            <w:rFonts w:ascii="仿宋_GB2312" w:eastAsia="仿宋_GB2312" w:hAnsi="仿宋_GB2312" w:cs="仿宋_GB2312"/>
            <w:kern w:val="36"/>
          </w:rPr>
          <w:t>6保密要求</w:t>
        </w:r>
        <w:r>
          <w:tab/>
        </w:r>
        <w:r>
          <w:fldChar w:fldCharType="begin"/>
        </w:r>
        <w:r>
          <w:instrText xml:space="preserve"> PAGEREF _Toc256000032 \h </w:instrText>
        </w:r>
        <w:r>
          <w:fldChar w:fldCharType="separate"/>
        </w:r>
        <w:r>
          <w:t>23</w:t>
        </w:r>
        <w:r>
          <w:fldChar w:fldCharType="end"/>
        </w:r>
      </w:hyperlink>
    </w:p>
    <w:p>
      <w:pPr>
        <w:pStyle w:val="TOC10"/>
        <w:tabs>
          <w:tab w:val="right" w:leader="dot" w:pos="9350"/>
        </w:tabs>
        <w:spacing w:before="0" w:after="0" w:line="360" w:lineRule="auto"/>
        <w:rPr>
          <w:rFonts w:ascii="Calibri" w:hAnsi="Calibri"/>
          <w:sz w:val="22"/>
        </w:rPr>
      </w:pPr>
      <w:hyperlink w:anchor="_Toc256000033" w:history="1">
        <w:r>
          <w:rPr>
            <w:rStyle w:val="Hyperlink0"/>
            <w:rFonts w:ascii="仿宋_GB2312" w:eastAsia="仿宋_GB2312" w:hAnsi="仿宋_GB2312" w:cs="仿宋_GB2312"/>
            <w:kern w:val="36"/>
          </w:rPr>
          <w:t>7知识转移要求</w:t>
        </w:r>
        <w:r>
          <w:tab/>
        </w:r>
        <w:r>
          <w:fldChar w:fldCharType="begin"/>
        </w:r>
        <w:r>
          <w:instrText xml:space="preserve"> PAGEREF _Toc256000033 \h </w:instrText>
        </w:r>
        <w:r>
          <w:fldChar w:fldCharType="separate"/>
        </w:r>
        <w:r>
          <w:t>24</w:t>
        </w:r>
        <w:r>
          <w:fldChar w:fldCharType="end"/>
        </w:r>
      </w:hyperlink>
    </w:p>
    <w:p>
      <w:pPr>
        <w:pStyle w:val="TOC10"/>
        <w:tabs>
          <w:tab w:val="right" w:leader="dot" w:pos="9350"/>
        </w:tabs>
        <w:spacing w:before="0" w:after="0" w:line="360" w:lineRule="auto"/>
        <w:rPr>
          <w:rFonts w:ascii="Calibri" w:hAnsi="Calibri"/>
          <w:sz w:val="22"/>
        </w:rPr>
      </w:pPr>
      <w:hyperlink w:anchor="_Toc256000034" w:history="1">
        <w:r>
          <w:rPr>
            <w:rStyle w:val="Hyperlink0"/>
            <w:rFonts w:ascii="仿宋_GB2312" w:eastAsia="仿宋_GB2312" w:hAnsi="仿宋_GB2312" w:cs="仿宋_GB2312"/>
            <w:kern w:val="36"/>
          </w:rPr>
          <w:t>8风险管控要求</w:t>
        </w:r>
        <w:r>
          <w:tab/>
        </w:r>
        <w:r>
          <w:fldChar w:fldCharType="begin"/>
        </w:r>
        <w:r>
          <w:instrText xml:space="preserve"> PAGEREF _Toc256000034 \h </w:instrText>
        </w:r>
        <w:r>
          <w:fldChar w:fldCharType="separate"/>
        </w:r>
        <w:r>
          <w:t>24</w:t>
        </w:r>
        <w:r>
          <w:fldChar w:fldCharType="end"/>
        </w:r>
      </w:hyperlink>
    </w:p>
    <w:p>
      <w:pPr>
        <w:pStyle w:val="TOC10"/>
        <w:tabs>
          <w:tab w:val="right" w:leader="dot" w:pos="9350"/>
        </w:tabs>
        <w:spacing w:before="0" w:after="0" w:line="360" w:lineRule="auto"/>
        <w:rPr>
          <w:rFonts w:ascii="Calibri" w:hAnsi="Calibri"/>
          <w:sz w:val="22"/>
        </w:rPr>
      </w:pPr>
      <w:hyperlink w:anchor="_Toc256000035" w:history="1">
        <w:r>
          <w:rPr>
            <w:rStyle w:val="Hyperlink0"/>
            <w:rFonts w:ascii="仿宋_GB2312" w:eastAsia="仿宋_GB2312" w:hAnsi="仿宋_GB2312" w:cs="仿宋_GB2312"/>
            <w:kern w:val="36"/>
          </w:rPr>
          <w:t>9履约验收要求</w:t>
        </w:r>
        <w:r>
          <w:tab/>
        </w:r>
        <w:r>
          <w:fldChar w:fldCharType="begin"/>
        </w:r>
        <w:r>
          <w:instrText xml:space="preserve"> PAGEREF _Toc256000035 \h </w:instrText>
        </w:r>
        <w:r>
          <w:fldChar w:fldCharType="separate"/>
        </w:r>
        <w:r>
          <w:t>24</w:t>
        </w:r>
        <w:r>
          <w:fldChar w:fldCharType="end"/>
        </w:r>
      </w:hyperlink>
    </w:p>
    <w:p>
      <w:pPr>
        <w:pStyle w:val="TOC2"/>
        <w:tabs>
          <w:tab w:val="right" w:leader="dot" w:pos="9350"/>
        </w:tabs>
        <w:spacing w:before="0" w:after="0" w:line="360" w:lineRule="auto"/>
        <w:rPr>
          <w:rFonts w:ascii="Calibri" w:hAnsi="Calibri"/>
          <w:sz w:val="22"/>
        </w:rPr>
      </w:pPr>
      <w:hyperlink w:anchor="_Toc256000036" w:history="1">
        <w:r>
          <w:rPr>
            <w:rStyle w:val="Hyperlink0"/>
            <w:rFonts w:ascii="仿宋_GB2312" w:eastAsia="仿宋_GB2312" w:hAnsi="仿宋_GB2312" w:cs="仿宋_GB2312"/>
          </w:rPr>
          <w:t>9.1总体要求</w:t>
        </w:r>
        <w:r>
          <w:tab/>
        </w:r>
        <w:r>
          <w:fldChar w:fldCharType="begin"/>
        </w:r>
        <w:r>
          <w:instrText xml:space="preserve"> PAGEREF _Toc256000036 \h </w:instrText>
        </w:r>
        <w:r>
          <w:fldChar w:fldCharType="separate"/>
        </w:r>
        <w:r>
          <w:t>24</w:t>
        </w:r>
        <w:r>
          <w:fldChar w:fldCharType="end"/>
        </w:r>
      </w:hyperlink>
    </w:p>
    <w:p>
      <w:pPr>
        <w:pStyle w:val="TOC2"/>
        <w:tabs>
          <w:tab w:val="right" w:leader="dot" w:pos="9350"/>
        </w:tabs>
        <w:spacing w:before="0" w:after="0" w:line="360" w:lineRule="auto"/>
        <w:rPr>
          <w:rFonts w:ascii="Calibri" w:hAnsi="Calibri"/>
          <w:sz w:val="22"/>
        </w:rPr>
      </w:pPr>
      <w:hyperlink w:anchor="_Toc256000037" w:history="1">
        <w:r>
          <w:rPr>
            <w:rStyle w:val="Hyperlink0"/>
            <w:rFonts w:ascii="仿宋_GB2312" w:eastAsia="仿宋_GB2312" w:hAnsi="仿宋_GB2312" w:cs="仿宋_GB2312"/>
          </w:rPr>
          <w:t>9.2具体要求</w:t>
        </w:r>
        <w:r>
          <w:tab/>
        </w:r>
        <w:r>
          <w:fldChar w:fldCharType="begin"/>
        </w:r>
        <w:r>
          <w:instrText xml:space="preserve"> PAGEREF _Toc256000037 \h </w:instrText>
        </w:r>
        <w:r>
          <w:fldChar w:fldCharType="separate"/>
        </w:r>
        <w:r>
          <w:t>24</w:t>
        </w:r>
        <w:r>
          <w:fldChar w:fldCharType="end"/>
        </w:r>
      </w:hyperlink>
    </w:p>
    <w:p>
      <w:pPr>
        <w:pStyle w:val="TOC10"/>
        <w:tabs>
          <w:tab w:val="right" w:leader="dot" w:pos="9350"/>
        </w:tabs>
        <w:spacing w:before="0" w:after="0" w:line="360" w:lineRule="auto"/>
        <w:rPr>
          <w:rFonts w:ascii="Calibri" w:hAnsi="Calibri"/>
          <w:sz w:val="22"/>
        </w:rPr>
      </w:pPr>
      <w:hyperlink w:anchor="_Toc256000038" w:history="1">
        <w:r>
          <w:rPr>
            <w:rStyle w:val="Hyperlink0"/>
            <w:rFonts w:ascii="仿宋_GB2312" w:eastAsia="仿宋_GB2312" w:hAnsi="仿宋_GB2312" w:cs="仿宋_GB2312"/>
            <w:kern w:val="36"/>
          </w:rPr>
          <w:t>10其他要求</w:t>
        </w:r>
        <w:r>
          <w:tab/>
        </w:r>
        <w:r>
          <w:fldChar w:fldCharType="begin"/>
        </w:r>
        <w:r>
          <w:instrText xml:space="preserve"> PAGEREF _Toc256000038 \h </w:instrText>
        </w:r>
        <w:r>
          <w:fldChar w:fldCharType="separate"/>
        </w:r>
        <w:r>
          <w:t>26</w:t>
        </w:r>
        <w:r>
          <w:fldChar w:fldCharType="end"/>
        </w:r>
      </w:hyperlink>
    </w:p>
    <w:p>
      <w:pPr>
        <w:pStyle w:val="TOC2"/>
        <w:tabs>
          <w:tab w:val="right" w:leader="dot" w:pos="9350"/>
        </w:tabs>
        <w:spacing w:before="0" w:after="0" w:line="360" w:lineRule="auto"/>
        <w:rPr>
          <w:rFonts w:ascii="Calibri" w:hAnsi="Calibri"/>
          <w:sz w:val="22"/>
        </w:rPr>
      </w:pPr>
      <w:hyperlink w:anchor="_Toc256000039" w:history="1">
        <w:r>
          <w:rPr>
            <w:rStyle w:val="Hyperlink0"/>
            <w:rFonts w:ascii="仿宋_GB2312" w:eastAsia="仿宋_GB2312" w:hAnsi="仿宋_GB2312" w:cs="仿宋_GB2312"/>
          </w:rPr>
          <w:t>10.1必备要求</w:t>
        </w:r>
        <w:r>
          <w:tab/>
        </w:r>
        <w:r>
          <w:fldChar w:fldCharType="begin"/>
        </w:r>
        <w:r>
          <w:instrText xml:space="preserve"> PAGEREF _Toc256000039 \h </w:instrText>
        </w:r>
        <w:r>
          <w:fldChar w:fldCharType="separate"/>
        </w:r>
        <w:r>
          <w:t>26</w:t>
        </w:r>
        <w:r>
          <w:fldChar w:fldCharType="end"/>
        </w:r>
      </w:hyperlink>
    </w:p>
    <w:p>
      <w:pPr>
        <w:pStyle w:val="TOC3"/>
        <w:tabs>
          <w:tab w:val="right" w:leader="dot" w:pos="9350"/>
        </w:tabs>
        <w:spacing w:before="0" w:after="0" w:line="360" w:lineRule="auto"/>
        <w:rPr>
          <w:rFonts w:ascii="Calibri" w:hAnsi="Calibri"/>
          <w:sz w:val="22"/>
        </w:rPr>
      </w:pPr>
      <w:hyperlink w:anchor="_Toc256000040" w:history="1">
        <w:r>
          <w:rPr>
            <w:rStyle w:val="Hyperlink0"/>
            <w:rFonts w:ascii="仿宋_GB2312" w:eastAsia="仿宋_GB2312" w:hAnsi="仿宋_GB2312" w:cs="仿宋_GB2312"/>
          </w:rPr>
          <w:t>10.1.1★税收信息化项目开发和应用管理工作要求</w:t>
        </w:r>
        <w:r>
          <w:tab/>
        </w:r>
        <w:r>
          <w:fldChar w:fldCharType="begin"/>
        </w:r>
        <w:r>
          <w:instrText xml:space="preserve"> PAGEREF _Toc256000040 \h </w:instrText>
        </w:r>
        <w:r>
          <w:fldChar w:fldCharType="separate"/>
        </w:r>
        <w:r>
          <w:t>27</w:t>
        </w:r>
        <w:r>
          <w:fldChar w:fldCharType="end"/>
        </w:r>
      </w:hyperlink>
    </w:p>
    <w:p>
      <w:pPr>
        <w:pStyle w:val="TOC3"/>
        <w:tabs>
          <w:tab w:val="right" w:leader="dot" w:pos="9350"/>
        </w:tabs>
        <w:spacing w:before="0" w:after="0" w:line="360" w:lineRule="auto"/>
        <w:rPr>
          <w:rFonts w:ascii="Calibri" w:hAnsi="Calibri"/>
          <w:sz w:val="22"/>
        </w:rPr>
      </w:pPr>
      <w:hyperlink w:anchor="_Toc256000041" w:history="1">
        <w:r>
          <w:rPr>
            <w:rStyle w:val="Hyperlink0"/>
            <w:rFonts w:ascii="仿宋_GB2312" w:eastAsia="仿宋_GB2312" w:hAnsi="仿宋_GB2312" w:cs="仿宋_GB2312"/>
          </w:rPr>
          <w:t>10.1.2★供应链安全管理要求</w:t>
        </w:r>
        <w:r>
          <w:tab/>
        </w:r>
        <w:r>
          <w:fldChar w:fldCharType="begin"/>
        </w:r>
        <w:r>
          <w:instrText xml:space="preserve"> PAGEREF _Toc256000041 \h </w:instrText>
        </w:r>
        <w:r>
          <w:fldChar w:fldCharType="separate"/>
        </w:r>
        <w:r>
          <w:t>27</w:t>
        </w:r>
        <w:r>
          <w:fldChar w:fldCharType="end"/>
        </w:r>
      </w:hyperlink>
    </w:p>
    <w:p>
      <w:pPr>
        <w:pStyle w:val="TOC3"/>
        <w:tabs>
          <w:tab w:val="right" w:leader="dot" w:pos="9350"/>
        </w:tabs>
        <w:spacing w:before="0" w:after="0" w:line="360" w:lineRule="auto"/>
        <w:rPr>
          <w:rFonts w:ascii="Calibri" w:hAnsi="Calibri"/>
          <w:sz w:val="22"/>
        </w:rPr>
      </w:pPr>
      <w:hyperlink w:anchor="_Toc256000042" w:history="1">
        <w:r>
          <w:rPr>
            <w:rStyle w:val="Hyperlink0"/>
            <w:rFonts w:ascii="仿宋_GB2312" w:eastAsia="仿宋_GB2312" w:hAnsi="仿宋_GB2312" w:cs="仿宋_GB2312"/>
          </w:rPr>
          <w:t>10.1.3★信息化服务运维人员要求</w:t>
        </w:r>
        <w:r>
          <w:tab/>
        </w:r>
        <w:r>
          <w:fldChar w:fldCharType="begin"/>
        </w:r>
        <w:r>
          <w:instrText xml:space="preserve"> PAGEREF _Toc256000042 \h </w:instrText>
        </w:r>
        <w:r>
          <w:fldChar w:fldCharType="separate"/>
        </w:r>
        <w:r>
          <w:t>27</w:t>
        </w:r>
        <w:r>
          <w:fldChar w:fldCharType="end"/>
        </w:r>
      </w:hyperlink>
    </w:p>
    <w:p>
      <w:pPr>
        <w:pStyle w:val="TOC3"/>
        <w:tabs>
          <w:tab w:val="right" w:leader="dot" w:pos="9350"/>
        </w:tabs>
        <w:spacing w:before="0" w:after="0" w:line="360" w:lineRule="auto"/>
        <w:rPr>
          <w:rFonts w:ascii="Calibri" w:hAnsi="Calibri"/>
          <w:sz w:val="22"/>
        </w:rPr>
      </w:pPr>
      <w:hyperlink w:anchor="_Toc256000043" w:history="1">
        <w:r>
          <w:rPr>
            <w:rStyle w:val="Hyperlink0"/>
            <w:rFonts w:ascii="仿宋_GB2312" w:eastAsia="仿宋_GB2312" w:hAnsi="仿宋_GB2312" w:cs="仿宋_GB2312"/>
          </w:rPr>
          <w:t>10.1.4其他</w:t>
        </w:r>
        <w:r>
          <w:tab/>
        </w:r>
        <w:r>
          <w:fldChar w:fldCharType="begin"/>
        </w:r>
        <w:r>
          <w:instrText xml:space="preserve"> PAGEREF _Toc256000043 \h </w:instrText>
        </w:r>
        <w:r>
          <w:fldChar w:fldCharType="separate"/>
        </w:r>
        <w:r>
          <w:t>28</w:t>
        </w:r>
        <w:r>
          <w:fldChar w:fldCharType="end"/>
        </w:r>
      </w:hyperlink>
    </w:p>
    <w:p>
      <w:pPr>
        <w:pStyle w:val="TOC2"/>
        <w:tabs>
          <w:tab w:val="right" w:leader="dot" w:pos="9350"/>
        </w:tabs>
        <w:spacing w:before="0" w:after="0" w:line="360" w:lineRule="auto"/>
        <w:rPr>
          <w:rFonts w:ascii="Calibri" w:hAnsi="Calibri"/>
          <w:sz w:val="22"/>
        </w:rPr>
      </w:pPr>
      <w:hyperlink w:anchor="_Toc256000044" w:history="1">
        <w:r>
          <w:rPr>
            <w:rStyle w:val="Hyperlink0"/>
            <w:rFonts w:ascii="仿宋_GB2312" w:eastAsia="仿宋_GB2312" w:hAnsi="仿宋_GB2312" w:cs="仿宋_GB2312"/>
          </w:rPr>
          <w:t>10.2知识产权要求</w:t>
        </w:r>
        <w:r>
          <w:tab/>
        </w:r>
        <w:r>
          <w:fldChar w:fldCharType="begin"/>
        </w:r>
        <w:r>
          <w:instrText xml:space="preserve"> PAGEREF _Toc256000044 \h </w:instrText>
        </w:r>
        <w:r>
          <w:fldChar w:fldCharType="separate"/>
        </w:r>
        <w:r>
          <w:t>28</w:t>
        </w:r>
        <w:r>
          <w:fldChar w:fldCharType="end"/>
        </w:r>
      </w:hyperlink>
    </w:p>
    <w:p>
      <w:pPr>
        <w:pStyle w:val="TOC2"/>
        <w:tabs>
          <w:tab w:val="right" w:leader="dot" w:pos="9350"/>
        </w:tabs>
        <w:spacing w:before="0" w:after="0" w:line="360" w:lineRule="auto"/>
        <w:rPr>
          <w:rFonts w:ascii="Calibri" w:hAnsi="Calibri"/>
          <w:sz w:val="22"/>
        </w:rPr>
      </w:pPr>
      <w:hyperlink w:anchor="_Toc256000045" w:history="1">
        <w:r>
          <w:rPr>
            <w:rStyle w:val="Hyperlink0"/>
            <w:rFonts w:ascii="仿宋_GB2312" w:eastAsia="仿宋_GB2312" w:hAnsi="仿宋_GB2312" w:cs="仿宋_GB2312"/>
          </w:rPr>
          <w:t>10.3付款安排建议</w:t>
        </w:r>
        <w:r>
          <w:tab/>
        </w:r>
        <w:r>
          <w:fldChar w:fldCharType="begin"/>
        </w:r>
        <w:r>
          <w:instrText xml:space="preserve"> PAGEREF _Toc256000045 \h </w:instrText>
        </w:r>
        <w:r>
          <w:fldChar w:fldCharType="separate"/>
        </w:r>
        <w:r>
          <w:t>28</w:t>
        </w:r>
        <w:r>
          <w:fldChar w:fldCharType="end"/>
        </w:r>
      </w:hyperlink>
    </w:p>
    <w:p>
      <w:pPr>
        <w:pStyle w:val="Normal0"/>
        <w:spacing w:before="0" w:after="0" w:line="360" w:lineRule="auto"/>
        <w:jc w:val="left"/>
      </w:pPr>
      <w:r>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（一）管理决策支持核算与分析系统(决策一包)及市场主体准入E窗通等延续运维类项目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国家税务总局吉林省税务局为了全面保证应用信息系统正常稳定运行，决定对金税三期管理决策分析支持平台第1包（会计核算系统、报表管理系统、优化版查询统计系统、社会保险费统计分析系统）、财税库银横向联网电子缴税系统、金税三期外部信息交换系统、税务系统内部控制监督平台、社保费征管信息系统（社保费信息共享平台和社保费税银子系统）、市场主体准入E窗通子系统、运维平台运营服务项目在内的应用信息系统运维服务事项进行公开招标。</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（二）国家税务总局吉林省税务局金税四期多云运维平台新增运维类项目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国家税务总局吉林省税务局目前在用的多云运维平台涉及业务功能专业性强、覆盖面宽、集成系统多、对接外部系统多、业务处理链条长，日常应用指导、系统升级、系统维护、数据处理等工作量大、技术能力要求高。单一依托我局现有技术力量难以高质量满足工作需求和要求，为保障系统平稳运行，及时优化系统性能和功能，解决系统运行中的问题，快速处理用户服务请求，确保工作的正常开展，国家税务总局吉林省税务局需对上述在内的应用信息系统运维服务事项购买相关技术服务。</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（三）市场主体准入E窗通子系统、与民政部门信息交换系统等升级改造类项目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市场主体准入E窗通子系统升级改造:</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省局积极响应国务院、总局、省委省政府工作部署，加快推进“互联网+公共服务”，变“群众奔波”为“信息跑腿”，变“群众来回跑”为“部门协同办”，力争做到“只进一扇门”“最多跑一次”，方便群众办事，依托于金税三期工程外部信息交换平台架构建设了吉林税务市场主体准入E窗通子系统。为深入做好中央巡视反馈意见整改工作，进一步落实深化中办、国办印发的《关于进一步深化税收征管改革的意见》，不断深化部门信息共享与应用，着力夯实税收征管基础。</w:t>
      </w:r>
    </w:p>
    <w:p>
      <w:pPr>
        <w:pStyle w:val="MsoNormal"/>
        <w:spacing w:before="0" w:after="0" w:line="360" w:lineRule="auto"/>
        <w:ind w:left="0" w:right="0" w:firstLine="560"/>
        <w:jc w:val="both"/>
        <w:rPr>
          <w:rFonts w:ascii="Times New Roman" w:eastAsia="Times New Roman" w:hAnsi="Times New Roman" w:cs="Times New Roman"/>
        </w:rPr>
      </w:pPr>
      <w:r>
        <w:rPr>
          <w:rFonts w:ascii="Calibri" w:eastAsia="Calibri" w:hAnsi="Calibri" w:cs="Calibri"/>
          <w:sz w:val="28"/>
          <w:szCs w:val="28"/>
        </w:rPr>
        <w:t>   </w:t>
      </w:r>
      <w:r>
        <w:rPr>
          <w:rFonts w:ascii="仿宋_GB2312" w:eastAsia="仿宋_GB2312" w:hAnsi="仿宋_GB2312" w:cs="仿宋_GB2312"/>
          <w:sz w:val="28"/>
          <w:szCs w:val="28"/>
        </w:rPr>
        <w:t>与民政部门信息交换系统升级改造：</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为了对全省社会团体、基金会、民办非企业单位、社会服务机构等涉税事项进行统一管理征收，现需要与吉林省民政厅进行对接获取赋码等登记信息。积极响应国务院、总局、省委省政府工作部署，加快推进“互联网+公共服务”，变“群众奔波”为“信息跑腿”，变“群众来回跑”为“部门协同办”，加强部门信息协同共享，方便纳税人办事，通过升级完善外部信息交换平台用于对接民政部门的社会团体、基金会、民办非企业单位、社会服务机构登记赋码等信息。</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全面监控本项目所涉应用信息系统运行情况，在提高整体运行效率的同时，确保应用信息系统应用性能最大程度满足设计要求，建立应用信息系统保障机制，保证各级税务机关工作及纳税人涉税业务顺利开展。</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（一）管理决策支持核算与分析系统(决策一包)及市场主体准入E窗通等延续运维类项目</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项目目标：全面监控本项目所涉应用信息系统运行情况，在提高整体运行效率的同时，确保应用信息系统应用性能最大程度满足设计要求，建立应用信息系统保障机制，保证各级税务机关工作及纳税人涉税业务顺利开展。</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（二）国家税务总局吉林省税务局金税四期多云运维平台新增类运维项目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1.项目目标：全面监控本项目所涉应用信息系统的运行情况，在提高整体运行效率的同时，确保应用信息系统应用性能最大程度满足设计要求，建立应用信息系统保障机制，保障系统稳定顺畅提供各项服务，保证各级税务机关工作及纳税人缴费人涉税涉费业务顺利开展。</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2.需运维的应用信息系统概况：</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应用覆盖范围包括多云运维平台的1个门户、7个中心，分别为运维门户、监控中心、告警中心、流程中心、配置中心、作业中心、日志中心、知识中心，以及多云运维平台对外提供的各类服务，包括告警接入、外部流程接入、对外提供的集成页面及数据推送。</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（三）市场主体准入E窗通子系统、与民政部门信息交换系统等升级改造类项目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1.市场主体准入E窗通子系统升级改造</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依据《中华人民共和国税收征收管理法》等相关法规，对电子商务平台中的经营主体进行监控与管理以及数据分析，以确保电商平台的税务行为符合相关法规要求。</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税务机关可以通过市监部门，获取交易数据并进行分析。这些数据包括商品信息、交易金额、交易时间等，有助于税务机关了解电商平台的交易情况和纳税人的经营行为。通过对数据的分析，税务机关可以发现异常交易和可疑行为，为后续的税务处理提供依据。</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2.</w:t>
      </w:r>
      <w:r>
        <w:rPr>
          <w:rFonts w:ascii="Calibri" w:eastAsia="Calibri" w:hAnsi="Calibri" w:cs="Calibri"/>
          <w:sz w:val="28"/>
          <w:szCs w:val="28"/>
        </w:rPr>
        <w:t> </w:t>
      </w:r>
      <w:r>
        <w:rPr>
          <w:rFonts w:ascii="仿宋_GB2312" w:eastAsia="仿宋_GB2312" w:hAnsi="仿宋_GB2312" w:cs="仿宋_GB2312"/>
          <w:sz w:val="28"/>
          <w:szCs w:val="28"/>
        </w:rPr>
        <w:t>与民政部门信息交换系统升级改造</w:t>
      </w:r>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依托现有与吉林省民政厅的专线，在保障部门信息协同管理需要的基础上，通过金税三期外部信息交换平台升级建设与民政部门对接的前置服务应用、内网交换中心应用、内网处理中心应用、内网前台应用管理，完成社会团体登记信息的获取、入库、归集、管理等工作，为后续相关涉税管理提供接口服务。</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560"/>
        <w:rPr>
          <w:rFonts w:ascii="Times New Roman" w:eastAsia="Times New Roman" w:hAnsi="Times New Roman" w:cs="Times New Roman"/>
        </w:rPr>
      </w:pPr>
      <w:r>
        <w:rPr>
          <w:rFonts w:ascii="仿宋_GB2312" w:eastAsia="仿宋_GB2312" w:hAnsi="仿宋_GB2312" w:cs="仿宋_GB2312"/>
          <w:sz w:val="28"/>
          <w:szCs w:val="28"/>
        </w:rPr>
        <w:t>对金税三期管理决策分析支持平台第1包（会计核算系统、报表管理系统、优化版查询统计系统、社会保险费统计分析系统）、财税库银横向联网电子缴税系统、金税三期外部信息交换系统、税务系统内部控制监督平台、社保费征管信息系统（标准版）（即社保费信息共享平台、社保费税银子系统）、 吉林税务市场主体准入E窗通子系统及运维平台在内的应用信息系统提供运维服务。</w:t>
      </w:r>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560"/>
        <w:rPr>
          <w:rFonts w:ascii="Times New Roman" w:eastAsia="Times New Roman" w:hAnsi="Times New Roman" w:cs="Times New Roman"/>
        </w:rPr>
      </w:pPr>
      <w:r>
        <w:rPr>
          <w:rFonts w:ascii="仿宋_GB2312" w:eastAsia="仿宋_GB2312" w:hAnsi="仿宋_GB2312" w:cs="仿宋_GB2312"/>
          <w:sz w:val="28"/>
          <w:szCs w:val="28"/>
        </w:rPr>
        <w:t>国家税务总局吉林省税务局目前在用的多云运维平台涉及业务功能专业性强、覆盖面宽、集成系统多、对接外部系统多、业务处理链条长，日常应用指导、系统升级、系统维护、数据处理等工作量大、技术能力要求高。单一依托我局现有技术力量难以高质量满足工作需求和要求，为保障系统平稳运行，及时优化系统性能和功能，解决系统运行中的问题，快速处理用户服务请求，确保工作的正常开展，国家税务总局吉林省税务局需对上述在内的应用信息系统运维服务事项购买相关技术服务。</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省局积极响应国务院、总局、省委省政府工作部署，加快推进“互联网+公共服务”，变“群众奔波”为“信息跑腿”，变“群众来回跑”为“部门协同办”，力争做到“只进一扇门”“最多跑一次”，方便群众办事，依托于金税三期工程外部信息交换平台架构建设了吉林税务市场主体准入E窗通子系统。为深入做好中央巡视反馈意见整改工作，进一步落实深化中办、国办印发的《关于进一步深化税收征管改革的意见》，不断深化部门信息共享与应用，着力夯实税收征管基础。</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为了对全省社会团体、基金会、民办非企业单位、社会服务机构等涉税事项进行统一管理征收，现需要与吉林省民政厅进行对接获取赋码等登记信息。积极响应国务院、总局、省委省政府工作部署，加快推进“互联网+公共服务”，变“群众奔波”为“信息跑腿”，变“群众来回跑”为“部门协同办”，加强部门信息协同共享，方便纳税人办事，通过升级完善外部信息交换平台用于对接民政部门的社会团体、基金会、民办非企业单位、社会服务机构登记赋码等信息。</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延续运维类项目运维服务期限:一定两年，第一年服务期自合同签定之日起至 2025年 11月30日，第二年服务期自 2025年 12月1日至 2026年7月31日，合同一年一签。</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新增运维类项目运维服务期限: 一定两年，第一年服务期自2025年1月1日至 2025年 12月31日，第二年服务期自 2026年 1月1日至 2026年7月31日，合同一年一签。</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升级改造类项目服务期限：自签订合同之日起3个月完成上线部署实施。</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国家税务总局吉林省税务局</w:t>
      </w:r>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1.3其他要求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1.3.1采购标的需执行的相关标准规范</w:t>
      </w:r>
      <w:bookmarkEnd w:id="12"/>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color w:val="000000"/>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13" w:name="_Toc256000009"/>
      <w:r>
        <w:rPr>
          <w:rFonts w:ascii="仿宋_GB2312" w:eastAsia="仿宋_GB2312" w:hAnsi="仿宋_GB2312" w:cs="仿宋_GB2312"/>
          <w:kern w:val="36"/>
        </w:rPr>
        <w:t>2投标/响应要求</w:t>
      </w:r>
      <w:bookmarkEnd w:id="13"/>
    </w:p>
    <w:p>
      <w:pPr>
        <w:pStyle w:val="Heading2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i w:val="0"/>
          <w:iCs w:val="0"/>
        </w:rPr>
        <w:t>2.1对供应商的要求</w:t>
      </w:r>
      <w:bookmarkEnd w:id="14"/>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2.1.1必备资质</w:t>
      </w:r>
      <w:bookmarkEnd w:id="1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（1）法人或者其他组织的营业执照等证明文件（复印件）；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2）2023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（3）近6个月内依法缴纳税收的相关材料，如依法免税或不需要纳税的，则应提供相应文件证明（复印件）；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（4）近6个月内依法缴纳社会保障资金的相关材料，如依法不需要缴纳社会保障资金的，则应提供相应文件证明（复印件）；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（5）参加本项目投标前三年内，在经营活动中没有重大违法记录（指供应商因违法经营受到刑事处罚或者责令停产停业、吊销许可证或者执照、较大数额罚款等行政处罚）的书面声明；</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2.1.2优选资质/优选指标</w:t>
      </w:r>
      <w:bookmarkEnd w:id="1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296"/>
        <w:gridCol w:w="2591"/>
        <w:gridCol w:w="2591"/>
        <w:gridCol w:w="2592"/>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ISO27001信息安全管理体系认证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颁发ISO27001信息安全管理体系证书的认证机构必需是经过CNCA国家认证监督委员会(认监委)认可的认证机构方可在国内进行审核发证，所有通过认证且合法的证书均可在CNCA的网站上进行查询。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ISO9000系列质量认证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颁发ISO9000系列质量认证证书的认证机构必需是经过CNCA国家认证监督委员会(认监委)认可的认证机构方可在国内进行审核发证，所有通过认证且合法的证书均可在CNCA的网站上进行查询。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ISO20000信息技术服务管理体系资质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颁发ISO20000信息技术服务管理体系资质的认证机构必需是经过CNCA国家认证监督委员会(认监委)认可的认证机构方可在国内进行审核发证，所有通过认证且合法的证书均可在CNCA的网站上进行查询。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证书在有效期内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pBdr>
          <w:top w:val="single" w:sz="8" w:space="0" w:color="CCCCCC"/>
          <w:left w:val="none" w:sz="0" w:space="0" w:color="auto"/>
          <w:bottom w:val="none" w:sz="0" w:space="0" w:color="auto"/>
          <w:right w:val="none" w:sz="0" w:space="0" w:color="auto"/>
        </w:pBdr>
        <w:shd w:val="clear" w:color="auto" w:fill="FFFFFF"/>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提供202</w:t>
      </w:r>
      <w:r>
        <w:rPr>
          <w:rFonts w:ascii="仿宋_GB2312" w:eastAsia="仿宋_GB2312" w:hAnsi="仿宋_GB2312" w:cs="仿宋_GB2312" w:hint="default"/>
          <w:sz w:val="32"/>
          <w:szCs w:val="32"/>
          <w:lang w:val="en"/>
        </w:rPr>
        <w:t>1</w:t>
      </w:r>
      <w:r>
        <w:rPr>
          <w:rFonts w:ascii="仿宋_GB2312" w:eastAsia="仿宋_GB2312" w:hAnsi="仿宋_GB2312" w:cs="仿宋_GB2312"/>
          <w:sz w:val="32"/>
          <w:szCs w:val="32"/>
        </w:rPr>
        <w:t>年1月1日以来（以合同签订日期为准）独立承担实施的类似应用信息系统运维服务项目。</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2.1.3是否允许联合体</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2.1.4是否专门面向中小企业</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sz w:val="28"/>
          <w:szCs w:val="28"/>
        </w:rPr>
        <w:t>2.1.5其他要求</w:t>
      </w:r>
      <w:bookmarkEnd w:id="19"/>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color w:val="000000"/>
        </w:rPr>
        <w:t>无。</w:t>
      </w:r>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2.2技术部分投标/响应内容</w:t>
      </w:r>
      <w:bookmarkEnd w:id="20"/>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2.2.1技术投标/响应总要求</w:t>
      </w:r>
      <w:bookmarkEnd w:id="21"/>
    </w:p>
    <w:p>
      <w:pPr>
        <w:pStyle w:val="MsoNormal"/>
        <w:spacing w:before="0" w:after="0" w:line="360" w:lineRule="auto"/>
        <w:ind w:left="0" w:right="0" w:firstLine="560"/>
        <w:rPr>
          <w:rFonts w:ascii="Times New Roman" w:eastAsia="Times New Roman" w:hAnsi="Times New Roman" w:cs="Times New Roman"/>
        </w:rPr>
      </w:pPr>
      <w:r>
        <w:rPr>
          <w:rFonts w:ascii="仿宋_GB2312" w:eastAsia="仿宋_GB2312" w:hAnsi="仿宋_GB2312" w:cs="仿宋_GB2312"/>
          <w:sz w:val="28"/>
          <w:szCs w:val="28"/>
        </w:rPr>
        <w:t>技术力量要求：</w:t>
      </w:r>
    </w:p>
    <w:p>
      <w:pPr>
        <w:pStyle w:val="MsoNormal"/>
        <w:spacing w:before="0" w:after="0" w:line="360" w:lineRule="auto"/>
        <w:ind w:left="0" w:right="0" w:firstLine="560"/>
        <w:rPr>
          <w:rFonts w:ascii="Times New Roman" w:eastAsia="Times New Roman" w:hAnsi="Times New Roman" w:cs="Times New Roman"/>
        </w:rPr>
      </w:pPr>
      <w:r>
        <w:rPr>
          <w:rFonts w:ascii="仿宋_GB2312" w:eastAsia="仿宋_GB2312" w:hAnsi="仿宋_GB2312" w:cs="仿宋_GB2312"/>
          <w:sz w:val="28"/>
          <w:szCs w:val="28"/>
        </w:rPr>
        <w:t>根据各投标供应商拟投入本项目技术人员定位、岗位职责、合理。投标供应商拟投入本项目技术人员资质、专业程度、工作经验。项目总监、项目经理的工作年限、类似项目管理经验丰富。投标供应商拟投入的高级、中级技术人员的数量、比例及稳定性情况。</w:t>
      </w:r>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2.2.2投标/响应方案要求</w:t>
      </w:r>
      <w:bookmarkEnd w:id="22"/>
    </w:p>
    <w:p>
      <w:pPr>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r>
        <w:rPr>
          <w:rFonts w:ascii="仿宋_GB2312" w:eastAsia="仿宋_GB2312" w:hAnsi="仿宋_GB2312" w:cs="仿宋_GB2312" w:hint="default"/>
          <w:sz w:val="28"/>
          <w:szCs w:val="28"/>
          <w:lang w:val="en"/>
        </w:rPr>
        <w:t>(1</w:t>
      </w:r>
      <w:r>
        <w:rPr>
          <w:rFonts w:ascii="仿宋_GB2312" w:eastAsia="仿宋_GB2312" w:hAnsi="仿宋_GB2312" w:cs="仿宋_GB2312" w:hint="eastAsia"/>
          <w:sz w:val="28"/>
          <w:szCs w:val="28"/>
        </w:rPr>
        <w:t>）管理实施方案；</w:t>
      </w:r>
      <w:r>
        <w:rPr>
          <w:rFonts w:ascii="仿宋_GB2312" w:eastAsia="仿宋_GB2312" w:hAnsi="仿宋_GB2312" w:cs="仿宋_GB2312"/>
          <w:sz w:val="28"/>
          <w:szCs w:val="28"/>
        </w:rPr>
        <w:t>（</w:t>
      </w:r>
      <w:r>
        <w:rPr>
          <w:rFonts w:ascii="仿宋_GB2312" w:eastAsia="仿宋_GB2312" w:hAnsi="仿宋_GB2312" w:cs="仿宋_GB2312" w:hint="default"/>
          <w:sz w:val="28"/>
          <w:szCs w:val="28"/>
          <w:lang w:val="en"/>
        </w:rPr>
        <w:t>2</w:t>
      </w:r>
      <w:r>
        <w:rPr>
          <w:rFonts w:ascii="仿宋_GB2312" w:eastAsia="仿宋_GB2312" w:hAnsi="仿宋_GB2312" w:cs="仿宋_GB2312"/>
          <w:sz w:val="28"/>
          <w:szCs w:val="28"/>
        </w:rPr>
        <w:t>）</w:t>
      </w:r>
      <w:r>
        <w:rPr>
          <w:rFonts w:ascii="仿宋_GB2312" w:eastAsia="仿宋_GB2312" w:hAnsi="仿宋_GB2312" w:cs="仿宋_GB2312" w:hint="eastAsia"/>
          <w:sz w:val="28"/>
          <w:szCs w:val="28"/>
        </w:rPr>
        <w:t>运维服务方案；</w:t>
      </w:r>
      <w:r>
        <w:rPr>
          <w:rFonts w:ascii="仿宋_GB2312" w:eastAsia="仿宋_GB2312" w:hAnsi="仿宋_GB2312" w:cs="仿宋_GB2312"/>
          <w:sz w:val="28"/>
          <w:szCs w:val="28"/>
        </w:rPr>
        <w:t>（</w:t>
      </w:r>
      <w:r>
        <w:rPr>
          <w:rFonts w:ascii="仿宋_GB2312" w:eastAsia="仿宋_GB2312" w:hAnsi="仿宋_GB2312" w:cs="仿宋_GB2312" w:hint="default"/>
          <w:sz w:val="28"/>
          <w:szCs w:val="28"/>
          <w:lang w:val="en"/>
        </w:rPr>
        <w:t>3</w:t>
      </w:r>
      <w:r>
        <w:rPr>
          <w:rFonts w:ascii="仿宋_GB2312" w:eastAsia="仿宋_GB2312" w:hAnsi="仿宋_GB2312" w:cs="仿宋_GB2312"/>
          <w:sz w:val="28"/>
          <w:szCs w:val="28"/>
        </w:rPr>
        <w:t>）</w:t>
      </w:r>
      <w:r>
        <w:rPr>
          <w:rFonts w:ascii="仿宋_GB2312" w:eastAsia="仿宋_GB2312" w:hAnsi="仿宋_GB2312" w:cs="仿宋_GB2312" w:hint="eastAsia"/>
          <w:sz w:val="28"/>
          <w:szCs w:val="28"/>
        </w:rPr>
        <w:t>应急及安全保障方案；</w:t>
      </w:r>
      <w:r>
        <w:rPr>
          <w:rFonts w:ascii="仿宋_GB2312" w:eastAsia="仿宋_GB2312" w:hAnsi="仿宋_GB2312" w:cs="仿宋_GB2312"/>
          <w:sz w:val="28"/>
          <w:szCs w:val="28"/>
        </w:rPr>
        <w:t>（</w:t>
      </w:r>
      <w:r>
        <w:rPr>
          <w:rFonts w:ascii="仿宋_GB2312" w:eastAsia="仿宋_GB2312" w:hAnsi="仿宋_GB2312" w:cs="仿宋_GB2312" w:hint="default"/>
          <w:sz w:val="28"/>
          <w:szCs w:val="28"/>
          <w:lang w:val="en"/>
        </w:rPr>
        <w:t>4</w:t>
      </w:r>
      <w:r>
        <w:rPr>
          <w:rFonts w:ascii="仿宋_GB2312" w:eastAsia="仿宋_GB2312" w:hAnsi="仿宋_GB2312" w:cs="仿宋_GB2312"/>
          <w:sz w:val="28"/>
          <w:szCs w:val="28"/>
        </w:rPr>
        <w:t>）</w:t>
      </w:r>
      <w:r>
        <w:rPr>
          <w:rFonts w:ascii="仿宋_GB2312" w:eastAsia="仿宋_GB2312" w:hAnsi="仿宋_GB2312" w:cs="仿宋_GB2312" w:hint="eastAsia"/>
          <w:sz w:val="28"/>
          <w:szCs w:val="28"/>
        </w:rPr>
        <w:t>升级改造方案；</w:t>
      </w:r>
      <w:r>
        <w:rPr>
          <w:rFonts w:ascii="仿宋_GB2312" w:eastAsia="仿宋_GB2312" w:hAnsi="仿宋_GB2312" w:cs="仿宋_GB2312"/>
          <w:sz w:val="28"/>
          <w:szCs w:val="28"/>
        </w:rPr>
        <w:t>（</w:t>
      </w:r>
      <w:r>
        <w:rPr>
          <w:rFonts w:ascii="仿宋_GB2312" w:eastAsia="仿宋_GB2312" w:hAnsi="仿宋_GB2312" w:cs="仿宋_GB2312" w:hint="default"/>
          <w:sz w:val="28"/>
          <w:szCs w:val="28"/>
          <w:lang w:val="en"/>
        </w:rPr>
        <w:t>5</w:t>
      </w:r>
      <w:r>
        <w:rPr>
          <w:rFonts w:ascii="仿宋_GB2312" w:eastAsia="仿宋_GB2312" w:hAnsi="仿宋_GB2312" w:cs="仿宋_GB2312"/>
          <w:sz w:val="28"/>
          <w:szCs w:val="28"/>
        </w:rPr>
        <w:t>）</w:t>
      </w:r>
      <w:r>
        <w:rPr>
          <w:rFonts w:ascii="仿宋_GB2312" w:eastAsia="仿宋_GB2312" w:hAnsi="仿宋_GB2312" w:cs="仿宋_GB2312" w:hint="eastAsia"/>
          <w:sz w:val="28"/>
          <w:szCs w:val="28"/>
        </w:rPr>
        <w:t>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23" w:name="_Toc256000019"/>
      <w:r>
        <w:rPr>
          <w:rFonts w:ascii="仿宋_GB2312" w:eastAsia="仿宋_GB2312" w:hAnsi="仿宋_GB2312" w:cs="仿宋_GB2312"/>
          <w:kern w:val="36"/>
        </w:rPr>
        <w:t>3项目需求</w:t>
      </w:r>
      <w:bookmarkEnd w:id="23"/>
    </w:p>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3.1总体要求</w:t>
      </w:r>
      <w:bookmarkEnd w:id="24"/>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中标供应商需对本项目包含的应用信息系统提供运维服务，具体如下：</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（一）管理决策支持核算与分析系统(决策一包)及市场主体准入E窗通等延续运维类项目</w:t>
      </w:r>
    </w:p>
    <w:tbl>
      <w:tblPr>
        <w:tblStyle w:val="MsoNormalTable"/>
        <w:tblW w:w="9140" w:type="dxa"/>
        <w:jc w:val="center"/>
        <w:tblCellSpacing w:w="0" w:type="dxa"/>
        <w:tblCellMar>
          <w:top w:w="15" w:type="dxa"/>
          <w:left w:w="15" w:type="dxa"/>
          <w:bottom w:w="15" w:type="dxa"/>
          <w:right w:w="15" w:type="dxa"/>
        </w:tblCellMar>
      </w:tblPr>
      <w:tblGrid>
        <w:gridCol w:w="1146"/>
        <w:gridCol w:w="1144"/>
        <w:gridCol w:w="1773"/>
        <w:gridCol w:w="5077"/>
      </w:tblGrid>
      <w:tr>
        <w:tblPrEx>
          <w:tblW w:w="9140" w:type="dxa"/>
          <w:jc w:val="center"/>
          <w:tblCellSpacing w:w="0" w:type="dxa"/>
          <w:tblCellMar>
            <w:top w:w="15" w:type="dxa"/>
            <w:left w:w="15" w:type="dxa"/>
            <w:bottom w:w="15" w:type="dxa"/>
            <w:right w:w="15" w:type="dxa"/>
          </w:tblCellMar>
        </w:tblPrEx>
        <w:trPr>
          <w:trHeight w:val="852"/>
          <w:tblCellSpacing w:w="0" w:type="dxa"/>
          <w:jc w:val="center"/>
        </w:trPr>
        <w:tc>
          <w:tcPr>
            <w:tcW w:w="1217" w:type="dxa"/>
            <w:tcBorders>
              <w:top w:val="single" w:sz="12" w:space="0" w:color="000000"/>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242" w:type="dxa"/>
            <w:tcBorders>
              <w:top w:val="single" w:sz="12"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平台系统</w:t>
            </w:r>
          </w:p>
        </w:tc>
        <w:tc>
          <w:tcPr>
            <w:tcW w:w="1927" w:type="dxa"/>
            <w:tcBorders>
              <w:top w:val="single" w:sz="12"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子系统或</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子应用</w:t>
            </w:r>
          </w:p>
        </w:tc>
        <w:tc>
          <w:tcPr>
            <w:tcW w:w="5708" w:type="dxa"/>
            <w:tcBorders>
              <w:top w:val="single" w:sz="12" w:space="0" w:color="000000"/>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ind w:firstLine="422"/>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工作内容</w:t>
            </w:r>
          </w:p>
        </w:tc>
      </w:tr>
      <w:tr>
        <w:tblPrEx>
          <w:tblW w:w="9140" w:type="dxa"/>
          <w:jc w:val="center"/>
          <w:tblCellSpacing w:w="0" w:type="dxa"/>
          <w:tblCellMar>
            <w:top w:w="15" w:type="dxa"/>
            <w:left w:w="15" w:type="dxa"/>
            <w:bottom w:w="15" w:type="dxa"/>
            <w:right w:w="15" w:type="dxa"/>
          </w:tblCellMar>
        </w:tblPrEx>
        <w:trPr>
          <w:trHeight w:val="1522"/>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ind w:firstLine="26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决策1包</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会计核算系统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含税收会统报表、税收票证报表、税收月快报、税收旬快报、税收五日快报、报表报送、报表审核、报表汇总。</w:t>
            </w:r>
          </w:p>
        </w:tc>
      </w:tr>
      <w:tr>
        <w:tblPrEx>
          <w:tblW w:w="9140" w:type="dxa"/>
          <w:jc w:val="center"/>
          <w:tblCellSpacing w:w="0" w:type="dxa"/>
          <w:tblCellMar>
            <w:top w:w="15" w:type="dxa"/>
            <w:left w:w="15" w:type="dxa"/>
            <w:bottom w:w="15" w:type="dxa"/>
            <w:right w:w="15" w:type="dxa"/>
          </w:tblCellMar>
        </w:tblPrEx>
        <w:trPr>
          <w:trHeight w:val="1408"/>
          <w:tblCellSpacing w:w="0" w:type="dxa"/>
          <w:jc w:val="center"/>
        </w:trPr>
        <w:tc>
          <w:tcPr>
            <w:tcW w:w="1217" w:type="dxa"/>
            <w:tcBorders>
              <w:top w:val="single" w:sz="8" w:space="0" w:color="000000"/>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ind w:firstLine="26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p>
        </w:tc>
        <w:tc>
          <w:tcPr>
            <w:tcW w:w="1242"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决策1包</w:t>
            </w:r>
          </w:p>
        </w:tc>
        <w:tc>
          <w:tcPr>
            <w:tcW w:w="192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报表管理系统</w:t>
            </w:r>
          </w:p>
        </w:tc>
        <w:tc>
          <w:tcPr>
            <w:tcW w:w="5708" w:type="dxa"/>
            <w:tcBorders>
              <w:top w:val="single" w:sz="8" w:space="0" w:color="000000"/>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含个税管理、所得税管理、货劳司管理、国际税管理、收入规划核算管理、纳税服务管理、财产行为税管理、大企业司管理、征科司管理、社保费管理、非税收入管理。</w:t>
            </w:r>
          </w:p>
        </w:tc>
      </w:tr>
      <w:tr>
        <w:tblPrEx>
          <w:tblW w:w="9140" w:type="dxa"/>
          <w:jc w:val="center"/>
          <w:tblCellSpacing w:w="0" w:type="dxa"/>
          <w:tblCellMar>
            <w:top w:w="15" w:type="dxa"/>
            <w:left w:w="15" w:type="dxa"/>
            <w:bottom w:w="15" w:type="dxa"/>
            <w:right w:w="15" w:type="dxa"/>
          </w:tblCellMar>
        </w:tblPrEx>
        <w:trPr>
          <w:trHeight w:val="1005"/>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ind w:firstLine="26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税库银</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税库银系统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1）税库银项目内部各类问题解决和答复；</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监控保障税库银系统数据库环境；</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监控保障与国库通讯的MQ环境；</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4）监控保障税库银系统应用系统环境； </w:t>
            </w:r>
          </w:p>
        </w:tc>
      </w:tr>
      <w:tr>
        <w:tblPrEx>
          <w:tblW w:w="9140" w:type="dxa"/>
          <w:jc w:val="center"/>
          <w:tblCellSpacing w:w="0" w:type="dxa"/>
          <w:tblCellMar>
            <w:top w:w="15" w:type="dxa"/>
            <w:left w:w="15" w:type="dxa"/>
            <w:bottom w:w="15" w:type="dxa"/>
            <w:right w:w="15" w:type="dxa"/>
          </w:tblCellMar>
        </w:tblPrEx>
        <w:trPr>
          <w:trHeight w:val="70"/>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ind w:firstLine="26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外部交换</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外部信息交换系统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外部信息交换项目内部各类问题解决和答复； </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2）监控保障外部交换系统与环境部门的环境（限总局统一推行部分）；</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监控保障外部交换系统与公安部门的环境；</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4）监控保障外部交换系统与市场监管部门的环境（限总局统一推行部分）。</w:t>
            </w:r>
          </w:p>
        </w:tc>
      </w:tr>
      <w:tr>
        <w:tblPrEx>
          <w:tblW w:w="9140" w:type="dxa"/>
          <w:jc w:val="center"/>
          <w:tblCellSpacing w:w="0" w:type="dxa"/>
          <w:tblCellMar>
            <w:top w:w="15" w:type="dxa"/>
            <w:left w:w="15" w:type="dxa"/>
            <w:bottom w:w="15" w:type="dxa"/>
            <w:right w:w="15" w:type="dxa"/>
          </w:tblCellMar>
        </w:tblPrEx>
        <w:trPr>
          <w:trHeight w:val="388"/>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ind w:firstLine="26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内控平台</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【内部控制管理系统】</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【税收执法风险监控分析系统】</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【行政管理风险监控分析系统】</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【税收执法责任管理与过错追究系统】</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【督察审计流程管理系统】</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【工作辅助支持系统】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做好日常应用系统支持工作，为了能够使各级工作人员在应用本内控平台进行内部控制监督工作时，得到及时的功能使用指导支持，需要本地运维人员进行应用系统功能模块使用的培训、指导、应用问题处理流程管理等工作。</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做好本地数据处理运维工作，平台在操作过程中难免会产生一些无法通过前台处理的操作错误等，需要本地运维人员通过后台修改进行错误处理和配合业务口径的分析解释工作，保障业务的正常流转。</w:t>
            </w:r>
          </w:p>
        </w:tc>
      </w:tr>
      <w:tr>
        <w:tblPrEx>
          <w:tblW w:w="9140" w:type="dxa"/>
          <w:jc w:val="center"/>
          <w:tblCellSpacing w:w="0" w:type="dxa"/>
          <w:tblCellMar>
            <w:top w:w="15" w:type="dxa"/>
            <w:left w:w="15" w:type="dxa"/>
            <w:bottom w:w="15" w:type="dxa"/>
            <w:right w:w="15" w:type="dxa"/>
          </w:tblCellMar>
        </w:tblPrEx>
        <w:trPr>
          <w:trHeight w:val="1790"/>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6</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社保费标准版系统</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社保费共享平台</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做好日常系统支持工作，</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保障社保局医保局的登记数据等通过本平台及时完成共享，同时将缴费信息等及时回传给社保局；</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为省市县三级社保费征收相关人员提供及时的平台使用指导支持；为省市县三级提供功能使用的培训及日常问题处理和流程管理等工作。</w:t>
            </w:r>
          </w:p>
        </w:tc>
      </w:tr>
      <w:tr>
        <w:tblPrEx>
          <w:tblW w:w="9140" w:type="dxa"/>
          <w:jc w:val="center"/>
          <w:tblCellSpacing w:w="0" w:type="dxa"/>
          <w:tblCellMar>
            <w:top w:w="15" w:type="dxa"/>
            <w:left w:w="15" w:type="dxa"/>
            <w:bottom w:w="15" w:type="dxa"/>
            <w:right w:w="15" w:type="dxa"/>
          </w:tblCellMar>
        </w:tblPrEx>
        <w:trPr>
          <w:trHeight w:val="246"/>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7</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社保费标准版系统</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社保费税银子系统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1）税银子系统内部各类问题解决和答复；</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2）监控保障税银子系统数据库环境；</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监控保障与各家银行通讯的MQ环境；</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4）监控保障税银子系统应用系统环境；</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监控保障与管理子系统和征收子系统关联的环境。</w:t>
            </w:r>
          </w:p>
        </w:tc>
      </w:tr>
      <w:tr>
        <w:tblPrEx>
          <w:tblW w:w="9140" w:type="dxa"/>
          <w:jc w:val="center"/>
          <w:tblCellSpacing w:w="0" w:type="dxa"/>
          <w:tblCellMar>
            <w:top w:w="15" w:type="dxa"/>
            <w:left w:w="15" w:type="dxa"/>
            <w:bottom w:w="15" w:type="dxa"/>
            <w:right w:w="15" w:type="dxa"/>
          </w:tblCellMar>
        </w:tblPrEx>
        <w:trPr>
          <w:trHeight w:val="246"/>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8</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市场主体准入E窗通子系统</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市场主体准入E窗通子系统</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1）E窗通项目内部各类问题解决和答复；</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E窗通项目与其他系统业务、数据、接口交互问题的解决和答复；</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3）本系统运行期间业务和技术指导；</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4）监控保障E窗通系统数据库环境；</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5）监控保障与市监通讯的环境；</w:t>
            </w:r>
          </w:p>
          <w:p>
            <w:pPr>
              <w:pStyle w:val="MsoNormal"/>
              <w:spacing w:before="240" w:after="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6）监控保障E窗通系统应用系统环境；</w:t>
            </w:r>
          </w:p>
          <w:p>
            <w:pPr>
              <w:pStyle w:val="MsoNormal"/>
              <w:spacing w:before="240"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7）</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监控保障与内部系统关联的环境。</w:t>
            </w:r>
          </w:p>
        </w:tc>
      </w:tr>
      <w:tr>
        <w:tblPrEx>
          <w:tblW w:w="9140" w:type="dxa"/>
          <w:jc w:val="center"/>
          <w:tblCellSpacing w:w="0" w:type="dxa"/>
          <w:tblCellMar>
            <w:top w:w="15" w:type="dxa"/>
            <w:left w:w="15" w:type="dxa"/>
            <w:bottom w:w="15" w:type="dxa"/>
            <w:right w:w="15" w:type="dxa"/>
          </w:tblCellMar>
        </w:tblPrEx>
        <w:trPr>
          <w:trHeight w:val="246"/>
          <w:tblCellSpacing w:w="0" w:type="dxa"/>
          <w:jc w:val="center"/>
        </w:trPr>
        <w:tc>
          <w:tcPr>
            <w:tcW w:w="1217" w:type="dxa"/>
            <w:tcBorders>
              <w:left w:val="single" w:sz="12" w:space="0" w:color="000000"/>
              <w:bottom w:val="single" w:sz="8" w:space="0" w:color="000000"/>
              <w:right w:val="single" w:sz="8" w:space="0" w:color="000000"/>
            </w:tcBorders>
            <w:noWrap w:val="0"/>
            <w:tcMar>
              <w:top w:w="0" w:type="dxa"/>
              <w:left w:w="123"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9</w:t>
            </w:r>
          </w:p>
        </w:tc>
        <w:tc>
          <w:tcPr>
            <w:tcW w:w="1242"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运维平台运营服务</w:t>
            </w:r>
          </w:p>
        </w:tc>
        <w:tc>
          <w:tcPr>
            <w:tcW w:w="1927"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运维平台运营服务</w:t>
            </w:r>
          </w:p>
        </w:tc>
        <w:tc>
          <w:tcPr>
            <w:tcW w:w="5708" w:type="dxa"/>
            <w:tcBorders>
              <w:bottom w:val="single" w:sz="8" w:space="0" w:color="000000"/>
              <w:right w:val="single" w:sz="12" w:space="0" w:color="000000"/>
            </w:tcBorders>
            <w:noWrap w:val="0"/>
            <w:tcMar>
              <w:top w:w="0" w:type="dxa"/>
              <w:left w:w="108" w:type="dxa"/>
              <w:bottom w:w="0" w:type="dxa"/>
              <w:right w:w="123" w:type="dxa"/>
            </w:tcMar>
            <w:vAlign w:val="center"/>
          </w:tcPr>
          <w:p>
            <w:pPr>
              <w:pStyle w:val="MsoNormal"/>
              <w:spacing w:line="560"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系统可用性、业务量、性能曲线图推送服务；</w:t>
            </w:r>
            <w:r>
              <w:rPr>
                <w:rFonts w:ascii="仿宋_GB2312" w:eastAsia="仿宋_GB2312" w:hAnsi="仿宋_GB2312" w:cs="仿宋_GB2312"/>
                <w:b w:val="0"/>
                <w:bCs w:val="0"/>
                <w:i w:val="0"/>
                <w:iCs w:val="0"/>
                <w:smallCaps w:val="0"/>
                <w:color w:val="000000"/>
                <w:sz w:val="32"/>
                <w:szCs w:val="32"/>
              </w:rPr>
              <w:t>▲</w:t>
            </w:r>
            <w:r>
              <w:rPr>
                <w:rFonts w:ascii="仿宋_GB2312" w:eastAsia="仿宋_GB2312" w:hAnsi="仿宋_GB2312" w:cs="仿宋_GB2312"/>
                <w:b w:val="0"/>
                <w:bCs w:val="0"/>
                <w:i w:val="0"/>
                <w:iCs w:val="0"/>
                <w:smallCaps w:val="0"/>
                <w:color w:val="000000"/>
                <w:sz w:val="28"/>
                <w:szCs w:val="28"/>
              </w:rPr>
              <w:t>应用层告警信息推送服务、待办任务信息提醒服务。</w:t>
            </w:r>
          </w:p>
        </w:tc>
      </w:tr>
    </w:tbl>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（二）国家税务总局吉林省税务局金税四期多云运维平台新增运维类项目</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多云运维管理平台运维主要工作内容包括以下方面：</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（1）▲多云运维管理平台自身的日常运行保障，包括各功能模块、监控采集、基础环境的维护工作；</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（2）▲被监控系统的运行监控，包括业务监控、应用监控、基础设施监控等，并发布监控事件。</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（三）市场主体准入E窗通子系统及与民政部门信息交换系统等升级改造类项目</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升级改造类项目整体上，在技术上采用标准和开放的技术体系，基于完全的J2EE三层体系FRAME架构进行开发；采用SOA的设计理念，业务和IT对齐，灵活构建组件，以提高系统的松散耦合、隔离关注、模块化和可重用性。</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在应用软件的具体实施过程中，要严格按照有关软件工程标准进行软件项目的实施。整个系统的执行将严格按照下面的步骤进行实施：</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▲需求分析，了解客户的业务需求、目标和期望，包括软件要实现的功能、性能要求、使用场景等并进行需求文档产出。</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▲数据库设计，根据需求设计数据库结构，包括数据表的设计、字段类型和约束的确定、数据关系的建立等。</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▲界面设计，设计软件的用户界面，包括界面布局、色彩搭配、交互方式等。良好的界面设计可以提高用户的使用体验。</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软件开发，选择适合的开发工具与技术，按照设计方案进行代码编写，实现软件的各个功能模块。在编写代码的过程中，要遵循良好的编程规范，保证代码的可读性、可维护性和可扩展性。对编写的代码进行审查，发现并修复潜在的问题，如代码逻辑错误、安全漏洞、性能问题等。可以通过团队内部的代码审查、使用代码审查工具等方式进行。</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▲软件测试，完成单元测试、联调测试、压力测试工作，配合完成安全测试工作，包括配合开展安全漏洞扫描，完成安全漏洞修复等；</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▲部署上线，将项目打包成可部署形式，部署到目标环境中，并完成上线检查、冒烟测试等。</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在质量控制方面，必须严格把关成果质量，包括文档质量和软件质量等各类成果，以具体的量化标准衡量，按照软件项目管理规范来实施。在项目管理方面，严格规范项目日常管理全过程。在整个软件开发过程中，需要进行有效的项目管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制定项目计划：明确项目的目标、任务、时间表、资源需求等，制定详细的项目计划。</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团队管理：组建合适的开发团队，明确团队成员的职责和分工，进行有效的沟通和协作。</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风险管理：识别项目中的风险因素，制定风险应对策略，降低项目风险。</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质量管理：建立质量管理体系，确保软件的质量符合要求。</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进度控制：监控项目的进度，及时调整计划，确保项目按时完成。</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市场主体准入E窗通子系统升级改造需求：</w:t>
      </w:r>
    </w:p>
    <w:p>
      <w:pPr>
        <w:pStyle w:val="MsoNormal"/>
        <w:spacing w:before="0" w:after="0" w:line="360" w:lineRule="auto"/>
        <w:ind w:firstLine="641"/>
        <w:rPr>
          <w:rFonts w:ascii="Times New Roman" w:eastAsia="Times New Roman" w:hAnsi="Times New Roman" w:cs="Times New Roman"/>
        </w:rPr>
      </w:pPr>
      <w:r>
        <w:rPr>
          <w:rFonts w:ascii="仿宋_GB2312" w:eastAsia="仿宋_GB2312" w:hAnsi="仿宋_GB2312" w:cs="仿宋_GB2312"/>
          <w:sz w:val="32"/>
          <w:szCs w:val="32"/>
        </w:rPr>
        <w:t>项目需升级改造交换前置服务子系统、交换中心子系统、应用管理子系统、服务接口子系统。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1.1前置服务子系统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1.1.1市场监管部门共享示范区户设立信息控制服务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与外部系统接入本系统访问市场监管部门共享市场主体示范区户设立信息受理应用时，用来判断外部系统是否符合接入规则，数据及文件传递过程中是否包含恶意攻击风险，同时记录接入日志，从而保障自身系统的安全性。</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1.1.2市场监管部门共享示范区户经营信息控制服务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与外部系统接入本系统访问市场监管部门共享市场主体示范区户经营信息受理应用时，用来判断外部系统是否符合接入规则，数据及文件传递过程中是否包含恶意攻击风险，同时记录接入日志，从而保障自身系统的安全性。</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1.1.3前置服务协议适配应用-外部协议适配服务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对外部系统的访问进行白名单及约定好的协议进行验证等，制定准入规则，保障系统安全。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1.1.4前置服务协议适配应用-内部协议适配服务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针对内部应用系统间配置内部访问协议，防止恶意攻击。</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1.2交换中心子系统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1.2.1市场监管部门共享示范区户设立信息处理应用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接收前置子系统发送的市场监管部门共享示范区户设立相关信息，通过既定的相关业务校验后，通过调用对应的数据库存储过程将该类信息存入数据库。</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1.2.2市场监管部门共享示范区户经营信息处理应用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接收前置子系统发送的市场监管部门共享示范区户经营相关信息，通过既定的相关业务校验后，通过调用对应的数据库存储过程将该类信息存入数据库。</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1.2.3交换中心协议适配服务-外部协议适配服务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对外部系统的访问进行白名单及约定好的协议进行验证等，制定准入规则，保障系统安全。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1.2.4交换中心协议适配服务-内部协议适配服务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针对内部应用系统间配置内部访问协议，防止恶意攻击。</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1.3应用管理子系统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1.3.1市场监管部门共享示范区户设立信息查询统计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税务通过市场监管部门共享市场主体示范区户设立信息查询统计模块进行市场主体示范区户设立信息的查询、明细下钻和导出等操作。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1.3.2市场监管部门共享示范区户经营信息查询统计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税务通过市场监管部门共享市场主体示范区户经营信息查询统计模块进行市场主体示范区户设立信息的查询、明细下钻和导出等操作。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1.3.3市场监管部门共享示范区户申报异常查询</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申报异常查询信息的查询、明细下钻和导出等操作。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1.3.4市场监管部门共享示范区户开票异常查询</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开票异常查询信息的查询、明细下钻和导出等操作。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1.3.5市场监管部门共享示范区户开具发票信息加工归集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系统每天对目标户的发票开具数据进行加工，按月进行汇总。汇总发票种类有开具增值税专用发票、开具增值税普通发票、开具增值税电子专用发票、开具增值税电子普通发票、开具增值税电子数电专用发票、开具增值税电子普通发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1.3.6市场监管部门共享示范区户购进发票信息加工归集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系统每天对目标户的发票开具数据进行加工，按月进行汇总。汇总发票种类有购进增值税专用发票、购进增值税普通发票、购进增值税电子专用发票、购进增值税电子普通发票、购进增值税电子数电专用发票、购进增值税电子普通发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1.3.7市场监管部门共享示范区户申报信息加工归集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系统每天对目标户的增值税申报数据进行汇加工归集，归集的申报表有增值税一般纳税人申报表、增值税小规模申报表。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1.3.8日志管理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记录应用子系统各功能运行情况，包括运行时间、调用方、输出结果、异常信息等。</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1.3.9数据自动加工处理调度</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每天自动对数据加工过程进行调试，并记录加工过程的执行时间，执行结果及执行过程中出现的异常情况以便后期维护优化。</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1.4服务接口子系统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1.4.1市场监管部门共享示范区户设立信息外部接口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交换中心子系统对市场监管部门共享示范区户设立信息业务报文进行校验、分析和处理后，将处理后的报文转交至市场监管部门共享示范区户设立信息外部接口。</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1.4.2市场监管部门共享示范区户设立信息内部接口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通过前置服务子系统获取市监部门共享示范区户设立信息原始报文，对原始报文进行业务数据项解析处理，将解析完毕业务数据项发送至交换中心子系统。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1.4.3市场监管部门共享示范区户经营信息外部接口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交换中心子系统对市场监管部门共享示范区户经营信息业务报文进行校验、分析和处理后，将处理后的报文转交至市场监管部门共享示范区户经营信息外部接口。</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1.4.4市场监管部门共享示范区户经营信息内部接口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交换中心子系统对市场监管部门共享示范区户经营信息业务报文进行校验、分析和处理后，将处理后的报文交至市场监管部门共享示范区户经营信息部接口。</w:t>
      </w:r>
    </w:p>
    <w:p>
      <w:pPr>
        <w:pStyle w:val="MsoNormal"/>
        <w:spacing w:before="0" w:after="0" w:line="360" w:lineRule="auto"/>
        <w:ind w:firstLine="0"/>
        <w:rPr>
          <w:rFonts w:ascii="Times New Roman" w:eastAsia="Times New Roman" w:hAnsi="Times New Roman" w:cs="Times New Roman"/>
        </w:rPr>
      </w:pPr>
      <w:r>
        <w:rPr>
          <w:rFonts w:ascii="仿宋_GB2312" w:eastAsia="仿宋_GB2312" w:hAnsi="仿宋_GB2312" w:cs="仿宋_GB2312"/>
          <w:sz w:val="32"/>
          <w:szCs w:val="32"/>
        </w:rPr>
        <w:t>民政部门信息交换系统等升级改造需求：</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与民政部门信息交换系统升级改造项目依托现有与吉林省民政厅的专线，在民政端前置机上部署前置服务子系统与税务端的前置服务子系统进行数据交互。</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1.民政端需求：</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1.1前置服务子系统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1.1.1接入控制服务应用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对外来接入系统进行规则校验，同时对数据安全进行检测，防止系统遭受恶意攻击，同时对接入和发送流程进行配置、启动、停止、修改等任务控制功能。</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1.1.2协议适配服务应用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1.1.2.1外部协议适配服务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对外部系统的访问进行白名单及约定好的协议进行验证等，制定准入规则，保障系统安全。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1.1.2.2内部协议适配服务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针对内部应用系统间配置内部访问协议，防止恶意攻击。</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1.1.2.3成立、设立登记基础信息受理应用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为调用成立、设立登记基础信息的业务提供接收、发送、完整性校验等并进行日志留痕处理，记录完整的数据包内容，提供审计依据。</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1.2服务接口子系统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1.2.1成立、设立登记基础信息共享接口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根据税务端传递的查询条件，查询民政端数据库数据并组装成报文，返馈给前置服务子系统。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税务端需求</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1.3前置服务子系统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1.3.1接入控制服务应用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对外来接入系统进行规则校验，同时对数据安全进行检测，防止系统遭受恶意攻击，同时对接入和发送流程进行配置、启动、停止、修改等任务控制功能。</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1.3.2协议适配服务应用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1.3.2.1外部协议适配服务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对外部系统的访问进行白名单及约定好的协议进行验证等，制定准入规则，保障系统安全。</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1.3.2.2内部协议适配服务</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针对内部应用系统间配置内部访问协议，防止恶意攻击。</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1.3.3成立、设立登记基础信息受理应用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为接入的成立、设立登记基础信息业务提供接收、发送、完整性校验等并进行日志留痕处理，记录完整的数据包内容，提供审计依据。</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1.4交换中心子系统</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按照税务信息安全管理规范，获取前置数据，完成数据规范性校验，解析入库以及数据转发等功能。</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1.4.1成立、设立登记基础信息处理应用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从前置子系统获取成立、设立登记相关信息，通过既定的相关业务校验后，通过调用对应的数据库存储过程将该类信息存入数据库。</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1.5应用管理子系统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1.5.1成立、设立登记信息补录应用</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通过成立、设立登记信息补录模块展示民政共享的登记基础信息，同时对未共享的信息进行补录操作。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1.6服务接口子系统</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1.6.1成立、设立登记信息共享接口</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1.6.1.1成立、设立登记信息共享外部接口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通过交换中心子系统获取成立、设立登记信息业务报文，对成立、设立登记信息补录应该进行报文发送，并获取事件处理结果。</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1.6.1.2成立、设立登记信息共享内部接口</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通过前置服务子系统获取成立、设立登记信息原始报文，对原始报文进行业务数据项解析处理，将解析完毕业务数据项发送至交换中心子系统。</w:t>
      </w:r>
    </w:p>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3.2服务内容和要求</w:t>
      </w:r>
      <w:bookmarkEnd w:id="2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3.2.1技术和服务客观指标</w:t>
      </w:r>
      <w:bookmarkEnd w:id="2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tbl>
      <w:tblPr>
        <w:tblStyle w:val="TableNormal"/>
        <w:tblW w:w="5000" w:type="pct"/>
        <w:tblInd w:w="30" w:type="dxa"/>
        <w:tblCellMar>
          <w:top w:w="15" w:type="dxa"/>
          <w:left w:w="15" w:type="dxa"/>
          <w:bottom w:w="15" w:type="dxa"/>
          <w:right w:w="15" w:type="dxa"/>
        </w:tblCellMar>
      </w:tblPr>
      <w:tblGrid>
        <w:gridCol w:w="907"/>
        <w:gridCol w:w="1814"/>
        <w:gridCol w:w="1814"/>
        <w:gridCol w:w="1814"/>
        <w:gridCol w:w="1814"/>
        <w:gridCol w:w="907"/>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决策1包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税收会统报表、税收票证报表、税收月快报、税收旬快报、税收五日快报、报表报送、报表审核、报表汇总。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决策1包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个税管理、所得税管理、货劳司管理、国际税管理、收入规划核算管理、纳税服务管理、财产行为税管理、大企业司管理、征科司管理、社保费管理、非税收入管理。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税库银系统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监控保障税库银系统数据库环境。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税库银系统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监控保障与国库通讯的MQ环境。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外部信息交换系统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外部信息交换项目内部各类问题解决和答复。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外部信息交换系统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监控保障外部交换系统与公安部门的环境。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内控平台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做好日常应用系统支持工作。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内控平台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做好本地数据处理运维工作。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社保费共享平台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保障社保局医保局的登记数据等通过本平台及时完成共享。</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社保费共享平台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为省市县三级社保费征收相关人员提供及时的平台使用指导支持。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社保费税银子系统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监控保障与各家银行通讯的MQ环境。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社保费税银子系统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监控保障与管理子系统和征收子系统关联的环境。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市场主体准入E窗通子系统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E窗通项目与其他系统业务、数据、接口交互问题的解决和答复。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市场主体准入E窗通子系统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监控保障与内部系统关联的环境。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运维平台运营服务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系统可用性、业务量、性能曲线图推送服务。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运维平台运营服务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应用层告警信息推送服务、待办任务信息提醒服务。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多云运维管理平台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多云运维管理平台自身的日常运行保障，包括各功能模块、监控采集、基础环境的维护工作。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系统运维类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多云运维管理平台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被监控系统的运行监控，包括业务监控、应用监控、基础设施监控等，并发布监控事件。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需求分析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了解客户的业务需求、目标和期望，包括软件要实现的功能、性能要求、使用场景等并进行需求文档产出。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数据库设计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根据需求设计数据库结构，包括数据表的设计、字段类型和约束的确定、数据关系的建立。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界面设计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设计软件的用户界面，包括界面布局、色彩搭配、交互方式。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软件开发</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选择适合的开发工具与技术，按照设计方案进行代码编写，实现软件的各个功能模块。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软件测试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完成单元测试、联调测试、压力测试工作。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部署上线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将项目打包成可部署形式，部署到目标环境中。</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3.2.2技术和服务其他要求</w:t>
      </w:r>
      <w:bookmarkEnd w:id="27"/>
    </w:p>
    <w:p>
      <w:pPr>
        <w:pStyle w:val="MsoNormal"/>
        <w:spacing w:before="0" w:after="0" w:line="360" w:lineRule="auto"/>
        <w:ind w:left="0" w:right="0" w:firstLine="560"/>
        <w:jc w:val="both"/>
        <w:rPr>
          <w:rFonts w:ascii="Times New Roman" w:eastAsia="Times New Roman" w:hAnsi="Times New Roman" w:cs="Times New Roman"/>
        </w:rPr>
      </w:pPr>
      <w:r>
        <w:rPr>
          <w:rFonts w:ascii="仿宋_GB2312" w:eastAsia="仿宋_GB2312" w:hAnsi="仿宋_GB2312" w:cs="仿宋_GB2312"/>
          <w:sz w:val="28"/>
          <w:szCs w:val="28"/>
        </w:rPr>
        <w:t>中标供应商运维工作时间，应充分考虑吉林省税务局各市（州）局工作时间的差异，保障基层人员能够及时找到人员进行问题处理及咨询，同时，实行5*8工作制，7*24小时保障系统运行，重点监控系统平台及应用信息系统层面，并根据局方实际工作需要，参与包括节假日在内的各类加班和值班。</w:t>
      </w:r>
    </w:p>
    <w:p>
      <w:pPr>
        <w:pStyle w:val="Heading10"/>
        <w:keepNext w:val="0"/>
        <w:spacing w:before="0" w:after="0" w:line="360" w:lineRule="auto"/>
        <w:jc w:val="center"/>
        <w:rPr>
          <w:rFonts w:ascii="仿宋_GB2312" w:eastAsia="仿宋_GB2312" w:hAnsi="仿宋_GB2312" w:cs="仿宋_GB2312"/>
          <w:b/>
          <w:bCs/>
          <w:sz w:val="32"/>
          <w:szCs w:val="32"/>
        </w:rPr>
      </w:pPr>
      <w:bookmarkStart w:id="28" w:name="_Toc256000024"/>
      <w:r>
        <w:rPr>
          <w:rFonts w:ascii="仿宋_GB2312" w:eastAsia="仿宋_GB2312" w:hAnsi="仿宋_GB2312" w:cs="仿宋_GB2312"/>
          <w:kern w:val="36"/>
        </w:rPr>
        <w:t>4人员要求</w:t>
      </w:r>
      <w:bookmarkEnd w:id="28"/>
    </w:p>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4.1总体要求</w:t>
      </w:r>
      <w:bookmarkEnd w:id="29"/>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中标供应商派驻税务局方现场的运维技术人员，需列明主要工作资历，并详细说明拟承担的岗位、工作内容等。延续运维类项目总驻场运维人数不少于10人,新增运维类项目总驻场运维人数不少于2人,同一驻场运维人员在同一服务期内不得为两个或以上信息化项目提供驻场服务，项目执行过程中实际工作量如有增加可适当增加人员。升级改造类项目要求中标供应商按照服务期限要求完成相关系统平台功能的如期上线，并保证税务人员能够正常使用顺利办理相关业务。制定行之有效的项目实施管理方案，应包括但不限于：项目计划管理、项目进度管理、项目质量管理。中标供应商需采用国际通用的软件工程实施和项目管理方法，成立科学的项目人员团队，制定行之有效的项目计划管理方案，采用科学合理的方法确定进度目标，提供完整的质量保证体系，对项目实施的全过程进行监控和管理，对项目进度和工程实施进度进行控制。</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升级改造类项目自验收之日起提供升级改造部分一年免费运维服务。</w:t>
      </w:r>
    </w:p>
    <w:p>
      <w:pPr>
        <w:pStyle w:val="Heading2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i w:val="0"/>
          <w:iCs w:val="0"/>
        </w:rPr>
        <w:t>4.2管理团队</w:t>
      </w:r>
      <w:bookmarkEnd w:id="30"/>
    </w:p>
    <w:p>
      <w:pPr>
        <w:pStyle w:val="Heading3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sz w:val="28"/>
          <w:szCs w:val="28"/>
        </w:rPr>
        <w:t>4.2.1项目总监</w:t>
      </w:r>
      <w:bookmarkEnd w:id="31"/>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480"/>
        <w:rPr>
          <w:rFonts w:ascii="Times New Roman" w:eastAsia="Times New Roman" w:hAnsi="Times New Roman" w:cs="Times New Roman"/>
        </w:rPr>
      </w:pPr>
      <w:r>
        <w:rPr>
          <w:rFonts w:ascii="Arial" w:eastAsia="Arial" w:hAnsi="Arial" w:cs="Arial"/>
          <w:color w:val="222F3E"/>
        </w:rPr>
        <w:t>承担服务期内项目管理工作。所选派人员宜具有丰富的信息化项目建设从业经验及项目管理经验。</w:t>
      </w:r>
    </w:p>
    <w:p>
      <w:pPr>
        <w:pStyle w:val="Heading3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sz w:val="28"/>
          <w:szCs w:val="28"/>
        </w:rPr>
        <w:t>4.2.2项目经理</w:t>
      </w:r>
      <w:bookmarkEnd w:id="32"/>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480"/>
        <w:rPr>
          <w:rFonts w:ascii="Times New Roman" w:eastAsia="Times New Roman" w:hAnsi="Times New Roman" w:cs="Times New Roman"/>
        </w:rPr>
      </w:pPr>
      <w:r>
        <w:rPr>
          <w:rFonts w:ascii="Arial" w:eastAsia="Arial" w:hAnsi="Arial" w:cs="Arial"/>
          <w:color w:val="222F3E"/>
        </w:rPr>
        <w:t>投标人须在项目建设中，选派工作水平强，技术水平高，业务熟练管理经验丰富的专业技术人员担任项目经理。</w:t>
      </w:r>
    </w:p>
    <w:p>
      <w:pPr>
        <w:pStyle w:val="Heading2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i w:val="0"/>
          <w:iCs w:val="0"/>
        </w:rPr>
        <w:t>4.3技术团队</w:t>
      </w:r>
      <w:bookmarkEnd w:id="33"/>
    </w:p>
    <w:p>
      <w:pPr>
        <w:pStyle w:val="MsoNormal"/>
        <w:spacing w:before="0" w:after="0" w:line="360" w:lineRule="auto"/>
        <w:ind w:firstLine="480"/>
        <w:rPr>
          <w:rFonts w:ascii="Times New Roman" w:eastAsia="Times New Roman" w:hAnsi="Times New Roman" w:cs="Times New Roman"/>
        </w:rPr>
      </w:pPr>
      <w:r>
        <w:rPr>
          <w:rFonts w:ascii="Arial" w:eastAsia="Arial" w:hAnsi="Arial" w:cs="Arial"/>
          <w:color w:val="222F3E"/>
        </w:rPr>
        <w:t>中标人应为本项目的实施工作配置相应资质和数量的人员，保证本项目按照服务期安排如期完成。</w:t>
      </w:r>
    </w:p>
    <w:p>
      <w:pPr>
        <w:pStyle w:val="Heading2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i w:val="0"/>
          <w:iCs w:val="0"/>
        </w:rPr>
        <w:t>4.4优选资质/优选指标</w:t>
      </w:r>
      <w:bookmarkEnd w:id="34"/>
    </w:p>
    <w:tbl>
      <w:tblPr>
        <w:tblStyle w:val="TableNormal"/>
        <w:tblW w:w="5000" w:type="pct"/>
        <w:tblInd w:w="30" w:type="dxa"/>
        <w:tblCellMar>
          <w:top w:w="15" w:type="dxa"/>
          <w:left w:w="15" w:type="dxa"/>
          <w:bottom w:w="15" w:type="dxa"/>
          <w:right w:w="15" w:type="dxa"/>
        </w:tblCellMar>
      </w:tblPr>
      <w:tblGrid>
        <w:gridCol w:w="1007"/>
        <w:gridCol w:w="2015"/>
        <w:gridCol w:w="2016"/>
        <w:gridCol w:w="2016"/>
        <w:gridCol w:w="201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项目总监</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具有5年及以上信息化建设经验、具备5个及以上信息化运维项目的管理经验，予以加分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具有5年及以上信息化建设经验、3个及以上信息化运维项目的管理经验，予以加分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具有1年以上税务行业运维工作经验，予以加分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5" w:name="_Toc256000031"/>
      <w:r>
        <w:rPr>
          <w:rFonts w:ascii="仿宋_GB2312" w:eastAsia="仿宋_GB2312" w:hAnsi="仿宋_GB2312" w:cs="仿宋_GB2312"/>
          <w:kern w:val="36"/>
        </w:rPr>
        <w:t>5管理实施要求</w:t>
      </w:r>
      <w:bookmarkEnd w:id="35"/>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人员变动要求</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中标供应商合同期内，投标时所列人员如有变化，需提前一个月向用户方提出人员变更申请，在确认不影响运维工作的情况下，经局方许可后，方可调换人员。并保证一段时间的并行转换期。</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考核要求</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中标供应商应严格按照采购方相关应用信息系统运维管理要求开展运维工作，接受采购方的定期考核，并承诺接受采购方考核要求。对采购方提出的按照考核成绩与合同款项支付挂钩的安排不提出异议。</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服务响应时间要求</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合同履行期间，所负责运维系统一旦有紧急事件发生，中标供应商应立即逐级上报并启动应急预案，填写应用信息系统故障排查任务单。若发生重大事项，故障恢复后要填写征期信息系统运行重大事项说明并上报吉林省税务局网络安全和信息化领导小组办公室。对征期发生重大事项且四小时未能解决的，扣减运维服务方当月10%的运维费用。因系统监控、风险排查不到位或运维人员操作不当引发的重大事项，扣减运维服务方当月10%的运维费用。全年同一系统连续两次发生重大事项的，采购方有权终止合同或扣减全年20%的运维费用。若发生重大安全事件，按照相关法律程序办理，并扣减全年20%的运维费用。</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信息系统重大事项是指出现业务阻断、系统停机、系统卡顿30分钟以上的情况，或者出现重大安全事件，以及导致纳税人回流办税服务厅、引发负面舆情、法定或重点工作无法按期完成的问题。</w:t>
      </w:r>
    </w:p>
    <w:p>
      <w:pPr>
        <w:pStyle w:val="MsoNormal"/>
        <w:spacing w:before="0" w:after="0" w:line="360" w:lineRule="auto"/>
        <w:ind w:left="0" w:right="0"/>
        <w:jc w:val="both"/>
        <w:rPr>
          <w:rFonts w:ascii="Times New Roman" w:eastAsia="Times New Roman" w:hAnsi="Times New Roman" w:cs="Times New Roman"/>
        </w:rPr>
      </w:pPr>
      <w:r>
        <w:rPr>
          <w:rFonts w:ascii="仿宋_GB2312" w:eastAsia="仿宋_GB2312" w:hAnsi="仿宋_GB2312" w:cs="仿宋_GB2312"/>
          <w:sz w:val="32"/>
          <w:szCs w:val="32"/>
        </w:rPr>
        <w:t>1.维护响应时间</w:t>
      </w:r>
    </w:p>
    <w:tbl>
      <w:tblPr>
        <w:tblStyle w:val="MsoNormalTable"/>
        <w:tblW w:w="4998" w:type="pct"/>
        <w:jc w:val="center"/>
        <w:tblCellSpacing w:w="0" w:type="dxa"/>
        <w:tblCellMar>
          <w:top w:w="15" w:type="dxa"/>
          <w:left w:w="15" w:type="dxa"/>
          <w:bottom w:w="15" w:type="dxa"/>
          <w:right w:w="15" w:type="dxa"/>
        </w:tblCellMar>
      </w:tblPr>
      <w:tblGrid>
        <w:gridCol w:w="2164"/>
        <w:gridCol w:w="2316"/>
        <w:gridCol w:w="4818"/>
      </w:tblGrid>
      <w:tr>
        <w:tblPrEx>
          <w:tblW w:w="4998" w:type="pct"/>
          <w:jc w:val="center"/>
          <w:tblCellSpacing w:w="0" w:type="dxa"/>
          <w:tblCellMar>
            <w:top w:w="15" w:type="dxa"/>
            <w:left w:w="15" w:type="dxa"/>
            <w:bottom w:w="15" w:type="dxa"/>
            <w:right w:w="15" w:type="dxa"/>
          </w:tblCellMar>
        </w:tblPrEx>
        <w:trPr>
          <w:tblCellSpacing w:w="0" w:type="dxa"/>
          <w:jc w:val="center"/>
        </w:trPr>
        <w:tc>
          <w:tcPr>
            <w:tcW w:w="1163" w:type="pct"/>
            <w:tcBorders>
              <w:top w:val="single" w:sz="8" w:space="0" w:color="000000"/>
              <w:left w:val="single" w:sz="8" w:space="0" w:color="000000"/>
              <w:bottom w:val="single" w:sz="8" w:space="0" w:color="000000"/>
              <w:right w:val="single" w:sz="8" w:space="0" w:color="000000"/>
            </w:tcBorders>
            <w:shd w:val="clear" w:color="auto" w:fill="7F7F7F"/>
            <w:noWrap w:val="0"/>
            <w:tcMar>
              <w:top w:w="0" w:type="dxa"/>
              <w:left w:w="118" w:type="dxa"/>
              <w:bottom w:w="0" w:type="dxa"/>
              <w:right w:w="118" w:type="dxa"/>
            </w:tcMar>
            <w:vAlign w:val="center"/>
          </w:tcPr>
          <w:p>
            <w:pPr>
              <w:pStyle w:val="MsoNormal"/>
              <w:spacing w:before="0" w:after="0" w:line="560" w:lineRule="atLeast"/>
              <w:ind w:left="0" w:right="0" w:firstLine="422"/>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支持类型</w:t>
            </w:r>
          </w:p>
        </w:tc>
        <w:tc>
          <w:tcPr>
            <w:tcW w:w="1245" w:type="pct"/>
            <w:tcBorders>
              <w:top w:val="single" w:sz="8" w:space="0" w:color="000000"/>
              <w:bottom w:val="single" w:sz="8" w:space="0" w:color="000000"/>
              <w:right w:val="single" w:sz="8" w:space="0" w:color="000000"/>
            </w:tcBorders>
            <w:shd w:val="clear" w:color="auto" w:fill="7F7F7F"/>
            <w:noWrap w:val="0"/>
            <w:tcMar>
              <w:top w:w="0" w:type="dxa"/>
              <w:left w:w="108" w:type="dxa"/>
              <w:bottom w:w="0" w:type="dxa"/>
              <w:right w:w="118" w:type="dxa"/>
            </w:tcMar>
            <w:vAlign w:val="center"/>
          </w:tcPr>
          <w:p>
            <w:pPr>
              <w:pStyle w:val="MsoNormal"/>
              <w:spacing w:before="0" w:after="0" w:line="560" w:lineRule="atLeast"/>
              <w:ind w:left="0" w:right="0" w:firstLine="562"/>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响应标准</w:t>
            </w:r>
          </w:p>
        </w:tc>
        <w:tc>
          <w:tcPr>
            <w:tcW w:w="2590" w:type="pct"/>
            <w:tcBorders>
              <w:top w:val="single" w:sz="8" w:space="0" w:color="000000"/>
              <w:bottom w:val="single" w:sz="8" w:space="0" w:color="000000"/>
              <w:right w:val="single" w:sz="8" w:space="0" w:color="000000"/>
            </w:tcBorders>
            <w:shd w:val="clear" w:color="auto" w:fill="7F7F7F"/>
            <w:noWrap w:val="0"/>
            <w:tcMar>
              <w:top w:w="0" w:type="dxa"/>
              <w:left w:w="108" w:type="dxa"/>
              <w:bottom w:w="0" w:type="dxa"/>
              <w:right w:w="118" w:type="dxa"/>
            </w:tcMar>
            <w:vAlign w:val="center"/>
          </w:tcPr>
          <w:p>
            <w:pPr>
              <w:pStyle w:val="MsoNormal"/>
              <w:spacing w:before="0" w:after="0" w:line="560" w:lineRule="atLeast"/>
              <w:ind w:left="0" w:right="0" w:firstLine="1827"/>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备注</w:t>
            </w:r>
          </w:p>
        </w:tc>
      </w:tr>
      <w:tr>
        <w:tblPrEx>
          <w:tblW w:w="4998" w:type="pct"/>
          <w:jc w:val="center"/>
          <w:tblCellSpacing w:w="0" w:type="dxa"/>
          <w:tblCellMar>
            <w:top w:w="15" w:type="dxa"/>
            <w:left w:w="15" w:type="dxa"/>
            <w:bottom w:w="15" w:type="dxa"/>
            <w:right w:w="15" w:type="dxa"/>
          </w:tblCellMar>
        </w:tblPrEx>
        <w:trPr>
          <w:trHeight w:val="235"/>
          <w:tblCellSpacing w:w="0" w:type="dxa"/>
          <w:jc w:val="center"/>
        </w:trPr>
        <w:tc>
          <w:tcPr>
            <w:tcW w:w="1163"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操作问题解答</w:t>
            </w:r>
          </w:p>
        </w:tc>
        <w:tc>
          <w:tcPr>
            <w:tcW w:w="1245"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现场及时答复</w:t>
            </w:r>
          </w:p>
        </w:tc>
        <w:tc>
          <w:tcPr>
            <w:tcW w:w="2590"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firstLine="56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tc>
      </w:tr>
      <w:tr>
        <w:tblPrEx>
          <w:tblW w:w="4998" w:type="pct"/>
          <w:jc w:val="center"/>
          <w:tblCellSpacing w:w="0" w:type="dxa"/>
          <w:tblCellMar>
            <w:top w:w="15" w:type="dxa"/>
            <w:left w:w="15" w:type="dxa"/>
            <w:bottom w:w="15" w:type="dxa"/>
            <w:right w:w="15" w:type="dxa"/>
          </w:tblCellMar>
        </w:tblPrEx>
        <w:trPr>
          <w:trHeight w:val="410"/>
          <w:tblCellSpacing w:w="0" w:type="dxa"/>
          <w:jc w:val="center"/>
        </w:trPr>
        <w:tc>
          <w:tcPr>
            <w:tcW w:w="1163"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数据修改</w:t>
            </w:r>
          </w:p>
        </w:tc>
        <w:tc>
          <w:tcPr>
            <w:tcW w:w="1245"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小于2个工作日</w:t>
            </w:r>
          </w:p>
        </w:tc>
        <w:tc>
          <w:tcPr>
            <w:tcW w:w="2590"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从问题流转到中标供应商开始计算</w:t>
            </w:r>
          </w:p>
        </w:tc>
      </w:tr>
    </w:tbl>
    <w:p>
      <w:pPr>
        <w:pStyle w:val="MsoNormal"/>
        <w:spacing w:before="0" w:after="0" w:line="360" w:lineRule="auto"/>
        <w:ind w:left="0" w:right="0"/>
        <w:jc w:val="both"/>
        <w:rPr>
          <w:rFonts w:ascii="Times New Roman" w:eastAsia="Times New Roman" w:hAnsi="Times New Roman" w:cs="Times New Roman"/>
        </w:rPr>
      </w:pPr>
      <w:r>
        <w:rPr>
          <w:rFonts w:ascii="仿宋_GB2312" w:eastAsia="仿宋_GB2312" w:hAnsi="仿宋_GB2312" w:cs="仿宋_GB2312"/>
          <w:sz w:val="32"/>
          <w:szCs w:val="32"/>
        </w:rPr>
        <w:t>2. 故障响应时间</w:t>
      </w:r>
    </w:p>
    <w:tbl>
      <w:tblPr>
        <w:tblStyle w:val="MsoNormalTable"/>
        <w:tblW w:w="4998" w:type="pct"/>
        <w:jc w:val="center"/>
        <w:tblCellSpacing w:w="0" w:type="dxa"/>
        <w:tblCellMar>
          <w:top w:w="15" w:type="dxa"/>
          <w:left w:w="15" w:type="dxa"/>
          <w:bottom w:w="15" w:type="dxa"/>
          <w:right w:w="15" w:type="dxa"/>
        </w:tblCellMar>
      </w:tblPr>
      <w:tblGrid>
        <w:gridCol w:w="1685"/>
        <w:gridCol w:w="3775"/>
        <w:gridCol w:w="3838"/>
      </w:tblGrid>
      <w:tr>
        <w:tblPrEx>
          <w:tblW w:w="4998" w:type="pct"/>
          <w:jc w:val="center"/>
          <w:tblCellSpacing w:w="0" w:type="dxa"/>
          <w:tblCellMar>
            <w:top w:w="15" w:type="dxa"/>
            <w:left w:w="15" w:type="dxa"/>
            <w:bottom w:w="15" w:type="dxa"/>
            <w:right w:w="15" w:type="dxa"/>
          </w:tblCellMar>
        </w:tblPrEx>
        <w:trPr>
          <w:trHeight w:val="563"/>
          <w:tblCellSpacing w:w="0" w:type="dxa"/>
          <w:jc w:val="center"/>
        </w:trPr>
        <w:tc>
          <w:tcPr>
            <w:tcW w:w="906" w:type="pct"/>
            <w:tcBorders>
              <w:top w:val="single" w:sz="8" w:space="0" w:color="000000"/>
              <w:left w:val="single" w:sz="8" w:space="0" w:color="000000"/>
              <w:bottom w:val="single" w:sz="8" w:space="0" w:color="000000"/>
              <w:right w:val="single" w:sz="8" w:space="0" w:color="000000"/>
            </w:tcBorders>
            <w:shd w:val="clear" w:color="auto" w:fill="E6E6E6"/>
            <w:noWrap w:val="0"/>
            <w:tcMar>
              <w:top w:w="0" w:type="dxa"/>
              <w:left w:w="118" w:type="dxa"/>
              <w:bottom w:w="0" w:type="dxa"/>
              <w:right w:w="118" w:type="dxa"/>
            </w:tcMar>
            <w:vAlign w:val="center"/>
          </w:tcPr>
          <w:p>
            <w:pPr>
              <w:pStyle w:val="MsoNormal"/>
              <w:spacing w:before="0" w:after="0" w:line="560" w:lineRule="atLeast"/>
              <w:ind w:left="0" w:right="0" w:firstLine="141"/>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故障等级</w:t>
            </w:r>
          </w:p>
        </w:tc>
        <w:tc>
          <w:tcPr>
            <w:tcW w:w="2029" w:type="pct"/>
            <w:tcBorders>
              <w:top w:val="single" w:sz="8" w:space="0" w:color="000000"/>
              <w:bottom w:val="single" w:sz="8" w:space="0" w:color="000000"/>
              <w:right w:val="single" w:sz="8" w:space="0" w:color="000000"/>
            </w:tcBorders>
            <w:shd w:val="clear" w:color="auto" w:fill="E6E6E6"/>
            <w:noWrap w:val="0"/>
            <w:tcMar>
              <w:top w:w="0" w:type="dxa"/>
              <w:left w:w="108" w:type="dxa"/>
              <w:bottom w:w="0" w:type="dxa"/>
              <w:right w:w="118" w:type="dxa"/>
            </w:tcMar>
            <w:vAlign w:val="center"/>
          </w:tcPr>
          <w:p>
            <w:pPr>
              <w:pStyle w:val="MsoNormal"/>
              <w:spacing w:before="0" w:after="0" w:line="560" w:lineRule="atLeast"/>
              <w:ind w:left="0" w:right="0" w:firstLine="1546"/>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现象描述</w:t>
            </w:r>
          </w:p>
        </w:tc>
        <w:tc>
          <w:tcPr>
            <w:tcW w:w="2063" w:type="pct"/>
            <w:tcBorders>
              <w:top w:val="single" w:sz="8" w:space="0" w:color="000000"/>
              <w:bottom w:val="single" w:sz="8" w:space="0" w:color="000000"/>
              <w:right w:val="single" w:sz="8" w:space="0" w:color="000000"/>
            </w:tcBorders>
            <w:shd w:val="clear" w:color="auto" w:fill="E6E6E6"/>
            <w:noWrap w:val="0"/>
            <w:tcMar>
              <w:top w:w="0" w:type="dxa"/>
              <w:left w:w="108" w:type="dxa"/>
              <w:bottom w:w="0" w:type="dxa"/>
              <w:right w:w="118" w:type="dxa"/>
            </w:tcMar>
            <w:vAlign w:val="center"/>
          </w:tcPr>
          <w:p>
            <w:pPr>
              <w:pStyle w:val="MsoNormal"/>
              <w:spacing w:before="0" w:after="0" w:line="560" w:lineRule="atLeast"/>
              <w:ind w:left="0" w:right="0" w:firstLine="1405"/>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响应时间</w:t>
            </w:r>
          </w:p>
        </w:tc>
      </w:tr>
      <w:tr>
        <w:tblPrEx>
          <w:tblW w:w="4998" w:type="pct"/>
          <w:jc w:val="center"/>
          <w:tblCellSpacing w:w="0" w:type="dxa"/>
          <w:tblCellMar>
            <w:top w:w="15" w:type="dxa"/>
            <w:left w:w="15" w:type="dxa"/>
            <w:bottom w:w="15" w:type="dxa"/>
            <w:right w:w="15" w:type="dxa"/>
          </w:tblCellMar>
        </w:tblPrEx>
        <w:trPr>
          <w:trHeight w:val="2044"/>
          <w:tblCellSpacing w:w="0" w:type="dxa"/>
          <w:jc w:val="center"/>
        </w:trPr>
        <w:tc>
          <w:tcPr>
            <w:tcW w:w="906"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严重程度I</w:t>
            </w:r>
          </w:p>
        </w:tc>
        <w:tc>
          <w:tcPr>
            <w:tcW w:w="2029"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导致吉林省税务局的业务系统完全丧失服务功能，对业务至关重要的工作无法继续进行，如数据库主机宕。</w:t>
            </w:r>
          </w:p>
        </w:tc>
        <w:tc>
          <w:tcPr>
            <w:tcW w:w="2063"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非硬件故障和非系统软件本身BUG问题引起的宕机30分钟内恢复系统运行；</w:t>
            </w:r>
          </w:p>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硬件故障和系统软件本身BUG问题应立即与局方协调，主机故障解决时间要视厂商解决时间。</w:t>
            </w:r>
          </w:p>
        </w:tc>
      </w:tr>
      <w:tr>
        <w:tblPrEx>
          <w:tblW w:w="4998" w:type="pct"/>
          <w:jc w:val="center"/>
          <w:tblCellSpacing w:w="0" w:type="dxa"/>
          <w:tblCellMar>
            <w:top w:w="15" w:type="dxa"/>
            <w:left w:w="15" w:type="dxa"/>
            <w:bottom w:w="15" w:type="dxa"/>
            <w:right w:w="15" w:type="dxa"/>
          </w:tblCellMar>
        </w:tblPrEx>
        <w:trPr>
          <w:trHeight w:val="698"/>
          <w:tblCellSpacing w:w="0" w:type="dxa"/>
          <w:jc w:val="center"/>
        </w:trPr>
        <w:tc>
          <w:tcPr>
            <w:tcW w:w="906"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严重程度Ⅱ</w:t>
            </w:r>
          </w:p>
        </w:tc>
        <w:tc>
          <w:tcPr>
            <w:tcW w:w="2029"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系统中关键功能实现错误，直接导致业务无法正常进行并且无补救措施。</w:t>
            </w:r>
          </w:p>
        </w:tc>
        <w:tc>
          <w:tcPr>
            <w:tcW w:w="2063"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立即响应，1小时内提出解决方案并解决问题。</w:t>
            </w:r>
          </w:p>
        </w:tc>
      </w:tr>
      <w:tr>
        <w:tblPrEx>
          <w:tblW w:w="4998" w:type="pct"/>
          <w:jc w:val="center"/>
          <w:tblCellSpacing w:w="0" w:type="dxa"/>
          <w:tblCellMar>
            <w:top w:w="15" w:type="dxa"/>
            <w:left w:w="15" w:type="dxa"/>
            <w:bottom w:w="15" w:type="dxa"/>
            <w:right w:w="15" w:type="dxa"/>
          </w:tblCellMar>
        </w:tblPrEx>
        <w:trPr>
          <w:trHeight w:val="963"/>
          <w:tblCellSpacing w:w="0" w:type="dxa"/>
          <w:jc w:val="center"/>
        </w:trPr>
        <w:tc>
          <w:tcPr>
            <w:tcW w:w="906"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严重程度Ⅲ</w:t>
            </w:r>
          </w:p>
        </w:tc>
        <w:tc>
          <w:tcPr>
            <w:tcW w:w="2029"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系统中非关键功能实现错误，单一模块不能继续运转或错误，但不影响业务的正常进。</w:t>
            </w:r>
          </w:p>
        </w:tc>
        <w:tc>
          <w:tcPr>
            <w:tcW w:w="2063"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立即响应，1小时内提出解决方案并解决问题。</w:t>
            </w:r>
          </w:p>
        </w:tc>
      </w:tr>
      <w:tr>
        <w:tblPrEx>
          <w:tblW w:w="4998" w:type="pct"/>
          <w:jc w:val="center"/>
          <w:tblCellSpacing w:w="0" w:type="dxa"/>
          <w:tblCellMar>
            <w:top w:w="15" w:type="dxa"/>
            <w:left w:w="15" w:type="dxa"/>
            <w:bottom w:w="15" w:type="dxa"/>
            <w:right w:w="15" w:type="dxa"/>
          </w:tblCellMar>
        </w:tblPrEx>
        <w:trPr>
          <w:trHeight w:val="841"/>
          <w:tblCellSpacing w:w="0" w:type="dxa"/>
          <w:jc w:val="center"/>
        </w:trPr>
        <w:tc>
          <w:tcPr>
            <w:tcW w:w="906" w:type="pct"/>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严重程序Ⅳ</w:t>
            </w:r>
          </w:p>
        </w:tc>
        <w:tc>
          <w:tcPr>
            <w:tcW w:w="2029"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系统中非关键功能实现错误，如系统操作时间过长，界面需要改进等，但不影响系统正常运转。</w:t>
            </w:r>
          </w:p>
        </w:tc>
        <w:tc>
          <w:tcPr>
            <w:tcW w:w="2063" w:type="pct"/>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立即响应，1小时内提出解决方案并解决问题。</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6保密要求</w:t>
      </w:r>
      <w:bookmarkEnd w:id="36"/>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项目合同期内，中标供应商要严格遵守局方的各项运维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7知识转移要求</w:t>
      </w:r>
      <w:bookmarkEnd w:id="37"/>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投标人须按照国家税务总局吉林税务局相关管理规程和要求，将项目执行过程所涉及的相关知识和工作文档按照招标人提出的质量、数量提供方式，提供时间等要求进行整理，并按照要求转移给招标人。</w:t>
      </w:r>
    </w:p>
    <w:p>
      <w:pPr>
        <w:pStyle w:val="Heading10"/>
        <w:keepNext w:val="0"/>
        <w:spacing w:before="0" w:after="0" w:line="360" w:lineRule="auto"/>
        <w:jc w:val="center"/>
        <w:rPr>
          <w:rFonts w:ascii="仿宋_GB2312" w:eastAsia="仿宋_GB2312" w:hAnsi="仿宋_GB2312" w:cs="仿宋_GB2312"/>
          <w:b/>
          <w:bCs/>
          <w:sz w:val="32"/>
          <w:szCs w:val="32"/>
        </w:rPr>
      </w:pPr>
      <w:bookmarkStart w:id="38" w:name="_Toc256000034"/>
      <w:r>
        <w:rPr>
          <w:rFonts w:ascii="仿宋_GB2312" w:eastAsia="仿宋_GB2312" w:hAnsi="仿宋_GB2312" w:cs="仿宋_GB2312"/>
          <w:kern w:val="36"/>
        </w:rPr>
        <w:t>8风险管控要求</w:t>
      </w:r>
      <w:bookmarkEnd w:id="38"/>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项目服务期内，投标人做好各项安全保障工作，对人员管理、网络安全、数据安全等制定风险管控预案和防范措施。</w:t>
      </w:r>
    </w:p>
    <w:p>
      <w:pPr>
        <w:pStyle w:val="Heading10"/>
        <w:keepNext w:val="0"/>
        <w:spacing w:before="0" w:after="0" w:line="360" w:lineRule="auto"/>
        <w:jc w:val="center"/>
        <w:rPr>
          <w:rFonts w:ascii="仿宋_GB2312" w:eastAsia="仿宋_GB2312" w:hAnsi="仿宋_GB2312" w:cs="仿宋_GB2312"/>
          <w:b/>
          <w:bCs/>
          <w:sz w:val="32"/>
          <w:szCs w:val="32"/>
        </w:rPr>
      </w:pPr>
      <w:bookmarkStart w:id="39" w:name="_Toc256000035"/>
      <w:r>
        <w:rPr>
          <w:rFonts w:ascii="仿宋_GB2312" w:eastAsia="仿宋_GB2312" w:hAnsi="仿宋_GB2312" w:cs="仿宋_GB2312"/>
          <w:kern w:val="36"/>
        </w:rPr>
        <w:t>9履约验收要求</w:t>
      </w:r>
      <w:bookmarkEnd w:id="39"/>
    </w:p>
    <w:p>
      <w:pPr>
        <w:pStyle w:val="Heading2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i w:val="0"/>
          <w:iCs w:val="0"/>
        </w:rPr>
        <w:t>9.1总体要求</w:t>
      </w:r>
      <w:bookmarkEnd w:id="40"/>
    </w:p>
    <w:tbl>
      <w:tblPr>
        <w:tblStyle w:val="TableNormal"/>
        <w:tblW w:w="5000" w:type="pct"/>
        <w:tblInd w:w="30" w:type="dxa"/>
        <w:tblCellMar>
          <w:top w:w="15" w:type="dxa"/>
          <w:left w:w="15" w:type="dxa"/>
          <w:bottom w:w="15" w:type="dxa"/>
          <w:right w:w="15" w:type="dxa"/>
        </w:tblCellMar>
      </w:tblPr>
      <w:tblGrid>
        <w:gridCol w:w="4535"/>
        <w:gridCol w:w="453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升级改造类项目合同的约定期限内，完成上线部署实施后15日内，采购方对中标供应商的运维服务进行验收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运维类项目，2025年9月底前，采购方对中标供应商的运维服务进行验收</w:t>
            </w:r>
          </w:p>
        </w:tc>
      </w:tr>
    </w:tbl>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9.2具体要求</w:t>
      </w:r>
      <w:bookmarkEnd w:id="41"/>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运维服务类项目运维服务结束15日内，采购方对中标供应商的运维服务进行验收，中标供应商需向采购方提供以下验收材料：</w:t>
      </w:r>
    </w:p>
    <w:tbl>
      <w:tblPr>
        <w:tblStyle w:val="MsoNormalTable"/>
        <w:tblW w:w="9190" w:type="dxa"/>
        <w:jc w:val="center"/>
        <w:tblCellSpacing w:w="0" w:type="dxa"/>
        <w:tblCellMar>
          <w:top w:w="15" w:type="dxa"/>
          <w:left w:w="15" w:type="dxa"/>
          <w:bottom w:w="15" w:type="dxa"/>
          <w:right w:w="15" w:type="dxa"/>
        </w:tblCellMar>
      </w:tblPr>
      <w:tblGrid>
        <w:gridCol w:w="1312"/>
        <w:gridCol w:w="2534"/>
        <w:gridCol w:w="2662"/>
        <w:gridCol w:w="2682"/>
      </w:tblGrid>
      <w:tr>
        <w:tblPrEx>
          <w:tblW w:w="9190" w:type="dxa"/>
          <w:jc w:val="center"/>
          <w:tblCellSpacing w:w="0" w:type="dxa"/>
          <w:tblCellMar>
            <w:top w:w="15" w:type="dxa"/>
            <w:left w:w="15" w:type="dxa"/>
            <w:bottom w:w="15" w:type="dxa"/>
            <w:right w:w="15" w:type="dxa"/>
          </w:tblCellMar>
        </w:tblPrEx>
        <w:trPr>
          <w:trHeight w:val="755"/>
          <w:tblCellSpacing w:w="0" w:type="dxa"/>
          <w:jc w:val="center"/>
        </w:trPr>
        <w:tc>
          <w:tcPr>
            <w:tcW w:w="1377" w:type="dxa"/>
            <w:tcBorders>
              <w:top w:val="single" w:sz="8" w:space="0" w:color="000000"/>
              <w:left w:val="single" w:sz="8" w:space="0" w:color="000000"/>
              <w:bottom w:val="single" w:sz="8" w:space="0" w:color="000000"/>
              <w:right w:val="single" w:sz="8" w:space="0" w:color="000000"/>
            </w:tcBorders>
            <w:shd w:val="clear" w:color="auto" w:fill="EEECE1"/>
            <w:noWrap w:val="0"/>
            <w:tcMar>
              <w:top w:w="0" w:type="dxa"/>
              <w:left w:w="11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编号</w:t>
            </w:r>
          </w:p>
        </w:tc>
        <w:tc>
          <w:tcPr>
            <w:tcW w:w="2815" w:type="dxa"/>
            <w:tcBorders>
              <w:top w:val="single" w:sz="8" w:space="0" w:color="000000"/>
              <w:bottom w:val="single" w:sz="8" w:space="0" w:color="000000"/>
              <w:right w:val="single" w:sz="8" w:space="0" w:color="000000"/>
            </w:tcBorders>
            <w:shd w:val="clear" w:color="auto" w:fill="EEECE1"/>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文档</w:t>
            </w:r>
          </w:p>
        </w:tc>
        <w:tc>
          <w:tcPr>
            <w:tcW w:w="2964" w:type="dxa"/>
            <w:tcBorders>
              <w:top w:val="single" w:sz="8" w:space="0" w:color="000000"/>
              <w:bottom w:val="single" w:sz="8" w:space="0" w:color="000000"/>
              <w:right w:val="single" w:sz="8" w:space="0" w:color="000000"/>
            </w:tcBorders>
            <w:shd w:val="clear" w:color="auto" w:fill="EEECE1"/>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c>
          <w:tcPr>
            <w:tcW w:w="2965" w:type="dxa"/>
            <w:tcBorders>
              <w:top w:val="single" w:sz="8" w:space="0" w:color="000000"/>
              <w:bottom w:val="single" w:sz="8" w:space="0" w:color="000000"/>
              <w:right w:val="single" w:sz="8" w:space="0" w:color="000000"/>
            </w:tcBorders>
            <w:shd w:val="clear" w:color="auto" w:fill="EEECE1"/>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提交形式</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运维项目合同及附件</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无</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（1）扫描件，刻光盘</w:t>
            </w:r>
          </w:p>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（2）纸质版1份</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运维人员清单</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需注明姓名、电话以及岗位</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（1）电子版，刻光盘</w:t>
            </w:r>
          </w:p>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（2）纸质版1份</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运维工作计划</w:t>
            </w:r>
          </w:p>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（含人员清单，各类运维活动安排）</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列出运维服务中包括的服务类型，运维服务人员的组织结构。</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运维工作实施流程</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各类运维活动的实施流程，如故障响应流程、问题处理流程。</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运维工作量记录</w:t>
            </w:r>
          </w:p>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（实际发生）</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记录运维工作实际工作量的记录，如果没有相关记录，提供相关人员上下班打卡或同等记录。</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6</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运维工作周报告</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开展运维工作时的日志，记录各项工作实施情况。</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7</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运维工作月报告</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开展运维工作时的日志，记录各项工作实施情况。</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8</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运维工作年报告</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开展运维工作时的日志，记录各项工作实施情况。</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（1）电子版，刻光盘</w:t>
            </w:r>
          </w:p>
          <w:p>
            <w:pPr>
              <w:pStyle w:val="MsoNormal"/>
              <w:spacing w:before="0" w:after="0" w:line="560" w:lineRule="atLeast"/>
              <w:ind w:left="0" w:right="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（2）纸质版1份</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9</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运维问题记录</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记录运维工作中处理的各种系统问题，如无详细记录，提供各类问题的大致数量供后续验证，或提供系统运行日志。</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r>
        <w:tblPrEx>
          <w:tblW w:w="9190" w:type="dxa"/>
          <w:jc w:val="center"/>
          <w:tblCellSpacing w:w="0" w:type="dxa"/>
          <w:tblCellMar>
            <w:top w:w="15" w:type="dxa"/>
            <w:left w:w="15" w:type="dxa"/>
            <w:bottom w:w="15" w:type="dxa"/>
            <w:right w:w="15" w:type="dxa"/>
          </w:tblCellMar>
        </w:tblPrEx>
        <w:trPr>
          <w:tblCellSpacing w:w="0" w:type="dxa"/>
          <w:jc w:val="center"/>
        </w:trPr>
        <w:tc>
          <w:tcPr>
            <w:tcW w:w="1377"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560" w:lineRule="atLeast"/>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10</w:t>
            </w:r>
          </w:p>
        </w:tc>
        <w:tc>
          <w:tcPr>
            <w:tcW w:w="281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巡检记录等运维过程当中的相关文档</w:t>
            </w:r>
          </w:p>
        </w:tc>
        <w:tc>
          <w:tcPr>
            <w:tcW w:w="296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相关巡检记录等其他开展运维活动时产生的记录。</w:t>
            </w:r>
          </w:p>
        </w:tc>
        <w:tc>
          <w:tcPr>
            <w:tcW w:w="2965"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560" w:lineRule="atLeast"/>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电子版，刻光盘</w:t>
            </w:r>
          </w:p>
        </w:tc>
      </w:tr>
    </w:tbl>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 </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升级改造类项目实施完成后15日内，采购方对中标供应商进行验收，中标供应商需向采购方提供以下验收材料：</w:t>
      </w:r>
    </w:p>
    <w:tbl>
      <w:tblPr>
        <w:tblStyle w:val="MsoNormalTable"/>
        <w:tblW w:w="0" w:type="auto"/>
        <w:jc w:val="center"/>
        <w:tblCellSpacing w:w="0" w:type="dxa"/>
        <w:tblCellMar>
          <w:top w:w="15" w:type="dxa"/>
          <w:left w:w="15" w:type="dxa"/>
          <w:bottom w:w="15" w:type="dxa"/>
          <w:right w:w="15" w:type="dxa"/>
        </w:tblCellMar>
      </w:tblPr>
      <w:tblGrid>
        <w:gridCol w:w="876"/>
        <w:gridCol w:w="4934"/>
        <w:gridCol w:w="2998"/>
      </w:tblGrid>
      <w:tr>
        <w:tblPrEx>
          <w:tblW w:w="0" w:type="auto"/>
          <w:jc w:val="center"/>
          <w:tblCellSpacing w:w="0" w:type="dxa"/>
          <w:tblCellMar>
            <w:top w:w="15" w:type="dxa"/>
            <w:left w:w="15" w:type="dxa"/>
            <w:bottom w:w="15" w:type="dxa"/>
            <w:right w:w="15" w:type="dxa"/>
          </w:tblCellMar>
        </w:tblPrEx>
        <w:trPr>
          <w:trHeight w:val="755"/>
          <w:tblCellSpacing w:w="0" w:type="dxa"/>
          <w:jc w:val="center"/>
        </w:trPr>
        <w:tc>
          <w:tcPr>
            <w:tcBorders>
              <w:top w:val="single" w:sz="8" w:space="0" w:color="000000"/>
              <w:left w:val="single" w:sz="8" w:space="0" w:color="000000"/>
              <w:bottom w:val="single" w:sz="8" w:space="0" w:color="000000"/>
              <w:right w:val="single" w:sz="8" w:space="0" w:color="000000"/>
            </w:tcBorders>
            <w:shd w:val="clear" w:color="auto" w:fill="EEECE1"/>
            <w:noWrap w:val="0"/>
            <w:tcMar>
              <w:top w:w="0" w:type="dxa"/>
              <w:left w:w="11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编号</w:t>
            </w:r>
          </w:p>
        </w:tc>
        <w:tc>
          <w:tcPr>
            <w:tcW w:w="4934" w:type="dxa"/>
            <w:tcBorders>
              <w:top w:val="single" w:sz="8" w:space="0" w:color="000000"/>
              <w:bottom w:val="single" w:sz="8" w:space="0" w:color="000000"/>
              <w:right w:val="single" w:sz="8" w:space="0" w:color="000000"/>
            </w:tcBorders>
            <w:shd w:val="clear" w:color="auto" w:fill="EEECE1"/>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文档</w:t>
            </w:r>
          </w:p>
        </w:tc>
        <w:tc>
          <w:tcPr>
            <w:tcW w:w="2998" w:type="dxa"/>
            <w:tcBorders>
              <w:top w:val="single" w:sz="8" w:space="0" w:color="000000"/>
              <w:bottom w:val="single" w:sz="8" w:space="0" w:color="000000"/>
              <w:right w:val="single" w:sz="8" w:space="0" w:color="000000"/>
            </w:tcBorders>
            <w:shd w:val="clear" w:color="auto" w:fill="EEECE1"/>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提交形式</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合同书</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项目工作总结</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项目需求分析报告终稿</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项目概要设计、详细设计终稿（包括安全设计文档）</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项目建设报告，包括目标实现情况、计划进度执行情况</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系统测试报告，包括性能测试和功能测试的方案、用例、结果和反馈</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系统试运行报告，包括试运行方案、问题和结论</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技术方案白皮书，包括项目建设难点及解决方案，对今后的工作的建议</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用户操作手册</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系统安装维护手册</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项目源代码及注释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接口协议及注释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完整的数据字典</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备份恢复手册</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信息系统拟定级工作报告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信息系统等级保护测评报告（项目上线前）</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信息系统源代码审计报告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漏洞扫描和安全基线报告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内控内生化方案</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内控内生化报告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技术检测报告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纸质版+电子版刻盘</w:t>
            </w:r>
          </w:p>
        </w:tc>
      </w:tr>
      <w:tr>
        <w:tblPrEx>
          <w:tblW w:w="0" w:type="auto"/>
          <w:jc w:val="center"/>
          <w:tblCellSpacing w:w="0" w:type="dxa"/>
          <w:tblCellMar>
            <w:top w:w="15" w:type="dxa"/>
            <w:left w:w="15" w:type="dxa"/>
            <w:bottom w:w="15" w:type="dxa"/>
            <w:right w:w="15" w:type="dxa"/>
          </w:tblCellMar>
        </w:tblPrEx>
        <w:trPr>
          <w:tblCellSpacing w:w="0" w:type="dxa"/>
          <w:jc w:val="center"/>
        </w:trPr>
        <w:tc>
          <w:tcPr>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tcPr>
          <w:p>
            <w:pPr>
              <w:pStyle w:val="MsoNormal"/>
              <w:spacing w:before="0" w:after="0" w:line="360" w:lineRule="auto"/>
              <w:ind w:left="0" w:right="0" w:firstLine="36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w:t>
            </w:r>
          </w:p>
        </w:tc>
        <w:tc>
          <w:tcPr>
            <w:tcW w:w="4934"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Style w:val="15Character"/>
                <w:rFonts w:ascii="仿宋_GB2312" w:eastAsia="仿宋_GB2312" w:hAnsi="仿宋_GB2312" w:cs="仿宋_GB2312"/>
                <w:b w:val="0"/>
                <w:bCs w:val="0"/>
                <w:i w:val="0"/>
                <w:iCs w:val="0"/>
                <w:smallCaps w:val="0"/>
                <w:color w:val="000000"/>
                <w:sz w:val="28"/>
                <w:szCs w:val="28"/>
              </w:rPr>
              <w:t>《供应商履约信用评价表》份、《项目验收书》、《网络安全承诺书(厂商)》、《成效评估报告》</w:t>
            </w:r>
          </w:p>
        </w:tc>
        <w:tc>
          <w:tcPr>
            <w:tcW w:w="2998" w:type="dxa"/>
            <w:tcBorders>
              <w:bottom w:val="single" w:sz="8" w:space="0" w:color="000000"/>
              <w:right w:val="single" w:sz="8" w:space="0" w:color="000000"/>
            </w:tcBorders>
            <w:noWrap w:val="0"/>
            <w:tcMar>
              <w:top w:w="0" w:type="dxa"/>
              <w:left w:w="108" w:type="dxa"/>
              <w:bottom w:w="0" w:type="dxa"/>
              <w:right w:w="118" w:type="dxa"/>
            </w:tcMar>
            <w:vAlign w:val="center"/>
          </w:tcPr>
          <w:p>
            <w:pPr>
              <w:pStyle w:val="MsoNormal"/>
              <w:spacing w:before="0" w:after="0" w:line="360" w:lineRule="auto"/>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纸质版</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42" w:name="_Toc256000038"/>
      <w:r>
        <w:rPr>
          <w:rFonts w:ascii="仿宋_GB2312" w:eastAsia="仿宋_GB2312" w:hAnsi="仿宋_GB2312" w:cs="仿宋_GB2312"/>
          <w:kern w:val="36"/>
        </w:rPr>
        <w:t>10其他要求</w:t>
      </w:r>
      <w:bookmarkEnd w:id="42"/>
    </w:p>
    <w:p>
      <w:pPr>
        <w:pStyle w:val="Heading2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i w:val="0"/>
          <w:iCs w:val="0"/>
        </w:rPr>
        <w:t>10.1必备要求</w:t>
      </w:r>
      <w:bookmarkEnd w:id="43"/>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10.1.1★税收信息化项目开发和应用管理工作要求</w:t>
      </w:r>
      <w:bookmarkEnd w:id="4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国家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拒绝参加税务系统政府采购活动等措施；对于存在影响恶劣的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10.1.2★供应链安全管理要求</w:t>
      </w:r>
      <w:bookmarkEnd w:id="4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税务系统信息化服务商失信行为记录名单制度（试行）》（税总办征科发〔2022〕1号）要求，组织对供应商进行失信行为认定，并采取相应的处置措施。</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10.1.3★信息化服务运维人员要求</w:t>
      </w:r>
      <w:bookmarkEnd w:id="4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同一驻场运维人员在同一服务期内不得为两个或以上信息化项目提供驻场服务。</w:t>
      </w:r>
    </w:p>
    <w:p>
      <w:pPr>
        <w:pStyle w:val="Heading3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sz w:val="28"/>
          <w:szCs w:val="28"/>
        </w:rPr>
        <w:t>10.1.4其他</w:t>
      </w:r>
      <w:bookmarkEnd w:id="4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i w:val="0"/>
          <w:iCs w:val="0"/>
        </w:rPr>
        <w:t>10.2知识产权要求</w:t>
      </w:r>
      <w:bookmarkEnd w:id="48"/>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480"/>
        <w:rPr>
          <w:rFonts w:ascii="Times New Roman" w:eastAsia="Times New Roman" w:hAnsi="Times New Roman" w:cs="Times New Roman"/>
        </w:rPr>
      </w:pPr>
      <w:r>
        <w:rPr>
          <w:rFonts w:ascii="Arial" w:eastAsia="Arial" w:hAnsi="Arial" w:cs="Arial"/>
          <w:color w:val="222F3E"/>
          <w:spacing w:val="0"/>
        </w:rPr>
        <w:t>1.招标人对项目实施过程中所产生的所有成果(包括发明、发现、可运行系统、功能优化部分的源代码及相关技术资料、文档等)享有永久使用权、复制权和修改权。除本项目工作所需外，未经招标人书面同意，投标人不得擅自使用、复制招标人的商标、标志、数据信息、文档及其他资料。</w:t>
      </w:r>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480"/>
        <w:rPr>
          <w:rFonts w:ascii="Times New Roman" w:eastAsia="Times New Roman" w:hAnsi="Times New Roman" w:cs="Times New Roman"/>
        </w:rPr>
      </w:pPr>
      <w:r>
        <w:rPr>
          <w:rFonts w:ascii="Arial" w:eastAsia="Arial" w:hAnsi="Arial" w:cs="Arial"/>
          <w:color w:val="222F3E"/>
          <w:spacing w:val="0"/>
        </w:rPr>
        <w:t>2.投标人应保证在本项目中所有的预装和为本项目安装的软件为在中国境内具有合法版权或使用权的正版软件且无质量瑕疵。</w:t>
      </w:r>
    </w:p>
    <w:p>
      <w:pPr>
        <w:pStyle w:val="MsoNormal"/>
        <w:pBdr>
          <w:top w:val="none" w:sz="0" w:space="0" w:color="auto"/>
          <w:left w:val="none" w:sz="0" w:space="0" w:color="auto"/>
          <w:bottom w:val="none" w:sz="0" w:space="0" w:color="auto"/>
          <w:right w:val="single" w:sz="8" w:space="3" w:color="CCCCCC"/>
        </w:pBdr>
        <w:shd w:val="clear" w:color="auto" w:fill="FFFFFF"/>
        <w:spacing w:before="0" w:after="0" w:line="360" w:lineRule="auto"/>
        <w:ind w:left="0" w:right="80" w:firstLine="480"/>
        <w:rPr>
          <w:rFonts w:ascii="Times New Roman" w:eastAsia="Times New Roman" w:hAnsi="Times New Roman" w:cs="Times New Roman"/>
        </w:rPr>
      </w:pPr>
      <w:r>
        <w:rPr>
          <w:rFonts w:ascii="Arial" w:eastAsia="Arial" w:hAnsi="Arial" w:cs="Arial"/>
          <w:color w:val="222F3E"/>
          <w:spacing w:val="0"/>
        </w:rPr>
        <w:t>3.投标人保证所提供的产品及服务不侵犯第三方的知识产权，否则，由此给招标人造成的一切损失由投标人承担。</w:t>
      </w:r>
    </w:p>
    <w:p>
      <w:pPr>
        <w:pStyle w:val="Heading2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i w:val="0"/>
          <w:iCs w:val="0"/>
        </w:rPr>
        <w:t>10.3付款安排建议</w:t>
      </w:r>
      <w:bookmarkEnd w:id="49"/>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运维及升级改造类项目在签订合同后，由乙方提出付款申请并出具合法等额发票后15日内支付。</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35.0</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升级改造类项目在合同的约定期限内，完成上线部署实施并经甲方验收合格后，乙方提出付款申请并出具合法等额发票后15日内支付。</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13.0</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运维类项目在2025年9月底前，项自验收合格后，乙方提出付款申请并出具合法等</w:t>
            </w:r>
            <w:bookmarkStart w:id="50" w:name="_GoBack"/>
            <w:bookmarkEnd w:id="50"/>
            <w:r>
              <w:rPr>
                <w:rFonts w:ascii="仿宋_GB2312" w:eastAsia="仿宋_GB2312" w:hAnsi="仿宋_GB2312" w:cs="仿宋_GB2312"/>
                <w:b w:val="0"/>
                <w:bCs w:val="0"/>
                <w:i w:val="0"/>
                <w:iCs w:val="0"/>
                <w:smallCaps w:val="0"/>
                <w:color w:val="000000"/>
                <w:sz w:val="21"/>
                <w:szCs w:val="21"/>
              </w:rPr>
              <w:t>额发票后15日内支付。</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52.0</w:t>
            </w:r>
          </w:p>
        </w:tc>
      </w:tr>
    </w:tbl>
    <w:p>
      <w:pPr>
        <w:pStyle w:val="Normal0"/>
        <w:spacing w:before="0" w:after="0" w:line="360" w:lineRule="auto"/>
        <w:jc w:val="left"/>
      </w:pPr>
    </w:p>
    <w:p>
      <w:pPr>
        <w:pStyle w:val="Normal0"/>
        <w:spacing w:before="0" w:after="0" w:line="360" w:lineRule="auto"/>
        <w:jc w:val="left"/>
      </w:pPr>
    </w:p>
    <w:p>
      <w:pPr>
        <w:jc w:val="center"/>
        <w:rPr>
          <w:rFonts w:ascii="方正小标宋_GBK" w:eastAsia="方正小标宋_GBK" w:hAnsi="方正小标宋_GBK" w:cs="方正小标宋_GBK" w:hint="eastAsia"/>
          <w:sz w:val="36"/>
          <w:szCs w:val="44"/>
        </w:rPr>
      </w:pPr>
      <w:r>
        <w:rPr>
          <w:rFonts w:ascii="方正小标宋_GBK" w:eastAsia="方正小标宋_GBK" w:hAnsi="方正小标宋_GBK" w:cs="方正小标宋_GBK" w:hint="eastAsia"/>
          <w:sz w:val="36"/>
          <w:szCs w:val="44"/>
        </w:rPr>
        <w:t>“满足指标要求情况”内容</w:t>
      </w:r>
      <w:r>
        <w:rPr>
          <w:rFonts w:ascii="方正小标宋_GBK" w:eastAsia="方正小标宋_GBK" w:hAnsi="方正小标宋_GBK" w:cs="方正小标宋_GBK"/>
          <w:sz w:val="36"/>
          <w:szCs w:val="44"/>
        </w:rPr>
        <w:t>（概括版）</w:t>
      </w:r>
    </w:p>
    <w:tbl>
      <w:tblPr>
        <w:tblStyle w:val="TableNormal"/>
        <w:tblpPr w:leftFromText="180" w:rightFromText="180" w:vertAnchor="text" w:horzAnchor="page" w:tblpXSpec="center" w:tblpY="384"/>
        <w:tblOverlap w:val="never"/>
        <w:tblW w:w="499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625"/>
        <w:gridCol w:w="671"/>
        <w:gridCol w:w="634"/>
        <w:gridCol w:w="1109"/>
        <w:gridCol w:w="5436"/>
        <w:gridCol w:w="763"/>
      </w:tblGrid>
      <w:tr>
        <w:tblPrEx>
          <w:tblW w:w="499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trHeight w:hRule="exact" w:val="855"/>
        </w:trPr>
        <w:tc>
          <w:tcPr>
            <w:tcW w:w="339"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序号</w:t>
            </w:r>
          </w:p>
        </w:tc>
        <w:tc>
          <w:tcPr>
            <w:tcW w:w="36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产品名称</w:t>
            </w: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指标种类</w:t>
            </w:r>
          </w:p>
        </w:tc>
        <w:tc>
          <w:tcPr>
            <w:tcW w:w="600"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指标名称</w:t>
            </w:r>
          </w:p>
        </w:tc>
        <w:tc>
          <w:tcPr>
            <w:tcW w:w="2942"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指标内容</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证明材料要求</w:t>
            </w:r>
          </w:p>
        </w:tc>
      </w:tr>
      <w:tr>
        <w:tblPrEx>
          <w:tblW w:w="4998" w:type="pct"/>
          <w:tblInd w:w="0" w:type="dxa"/>
          <w:tblCellMar>
            <w:top w:w="0" w:type="dxa"/>
            <w:left w:w="108" w:type="dxa"/>
            <w:bottom w:w="0" w:type="dxa"/>
            <w:right w:w="108" w:type="dxa"/>
          </w:tblCellMar>
        </w:tblPrEx>
        <w:trPr>
          <w:trHeight w:hRule="exact" w:val="705"/>
        </w:trPr>
        <w:tc>
          <w:tcPr>
            <w:tcW w:w="339" w:type="pct"/>
            <w:noWrap w:val="0"/>
            <w:vAlign w:val="center"/>
          </w:tcPr>
          <w:p>
            <w:pPr>
              <w:numPr>
                <w:ilvl w:val="0"/>
                <w:numId w:val="6"/>
              </w:numPr>
              <w:adjustRightInd w:val="0"/>
              <w:snapToGrid w:val="0"/>
              <w:rPr>
                <w:rFonts w:ascii="仿宋_GB2312" w:eastAsia="仿宋_GB2312" w:hAnsi="仿宋_GB2312" w:cs="仿宋_GB2312" w:hint="default"/>
                <w:sz w:val="18"/>
                <w:szCs w:val="18"/>
              </w:rPr>
            </w:pPr>
          </w:p>
        </w:tc>
        <w:tc>
          <w:tcPr>
            <w:tcW w:w="363" w:type="pct"/>
            <w:vMerge w:val="restar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系统运维类</w:t>
            </w: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决策1包</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税收会统报表、税收票证报表、税收月快报、税收旬快报、税收五日快报、报表报送、报表审核、报表汇总。</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39"/>
        </w:trPr>
        <w:tc>
          <w:tcPr>
            <w:tcW w:w="339" w:type="pct"/>
            <w:noWrap w:val="0"/>
            <w:vAlign w:val="center"/>
          </w:tcPr>
          <w:p>
            <w:pPr>
              <w:numPr>
                <w:ilvl w:val="0"/>
                <w:numId w:val="6"/>
              </w:numPr>
              <w:adjustRightInd w:val="0"/>
              <w:snapToGrid w:val="0"/>
              <w:jc w:val="center"/>
              <w:rPr>
                <w:rFonts w:ascii="仿宋_GB2312" w:eastAsia="仿宋_GB2312" w:hAnsi="仿宋_GB2312" w:cs="仿宋_GB2312" w:hint="default"/>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决策1包</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个税管理、所得税管理、货劳司管理、国际税管理、收入规划核算管理、纳税服务管理、财产行为税管理、大企业司管理、征科司管理、社保费管理、非税收入管理。</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65"/>
        </w:trPr>
        <w:tc>
          <w:tcPr>
            <w:tcW w:w="339" w:type="pct"/>
            <w:noWrap w:val="0"/>
            <w:vAlign w:val="center"/>
          </w:tcPr>
          <w:p>
            <w:pPr>
              <w:numPr>
                <w:ilvl w:val="0"/>
                <w:numId w:val="6"/>
              </w:numPr>
              <w:adjustRightInd w:val="0"/>
              <w:snapToGrid w:val="0"/>
              <w:jc w:val="center"/>
              <w:rPr>
                <w:rFonts w:ascii="仿宋_GB2312" w:eastAsia="仿宋_GB2312" w:hAnsi="仿宋_GB2312" w:cs="仿宋_GB2312" w:hint="default"/>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税库银系统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监控保障税库银系统数据库环境。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73"/>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税库银系统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监控保障与国库通讯的MQ环境。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09"/>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外部信息交换系统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外部信息交换项目内部各类问题解决和答复。</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04"/>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外部信息交换系统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监控保障外部交换系统与公安部门的环境。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72"/>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内控平台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做好日常应用系统支持工作。</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66"/>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内控平台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做好本地数据处理运维工作。</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60"/>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社保费共享平台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保障社保局医保局的登记数据等通过本平台及时完成共享</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10"/>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社保费共享平台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为省市县三级社保费征收相关人员提供及时的平台使用指导支持。</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06"/>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社保费税银子系统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监控保障与各家银行通讯的MQ环境。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17"/>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社保费税银子系统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监控保障与管理子系统和征收子系统关联的环境。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854"/>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市场主体准入E窗通子系统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E窗通项目与其他系统业务、数据、接口交互问题的解决和答复。</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838"/>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市场主体准入E窗通子系统</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监控保障与内部系统关联的环境。</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08"/>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运维平台运营服务</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系统可用性、业务量、性能曲线图推送服务。</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1043"/>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运维平台运营服务</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应用层告警信息推送服务、待办任务信息提醒服务。</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719"/>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多云运维管理平台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多云运维管理平台自身的日常运行保障，包括各功能模块、监控采集、基础环境的维护工作。</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75"/>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多云运维管理平台</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被监控系统的运行监控，包括业务监控、应用监控、基础设施监控等，并发布监控事件。</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53"/>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val="restar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升级改造类</w:t>
            </w: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需求分析</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了解客户的业务需求、目标和期望，包括软件要实现的功能、性能要求、使用场景等并进行需求文档产出。</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74"/>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数据库设计</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根据需求设计数据库结构，包括数据表的设计、字段类型和约束的确定、数据关系的建立。</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97"/>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界面设计</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设计软件的用户界面，包括界面布局、色彩搭配、交互方式。</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683"/>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软件开发</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选择适合的开发工具与技术，按照设计方案进行代码编写，实现软件的各个功能模块。</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640"/>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软件测试</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完成单元测试、联调测试、压力测试工作。</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r>
        <w:tblPrEx>
          <w:tblW w:w="4998" w:type="pct"/>
          <w:tblInd w:w="0" w:type="dxa"/>
          <w:tblCellMar>
            <w:top w:w="0" w:type="dxa"/>
            <w:left w:w="108" w:type="dxa"/>
            <w:bottom w:w="0" w:type="dxa"/>
            <w:right w:w="108" w:type="dxa"/>
          </w:tblCellMar>
        </w:tblPrEx>
        <w:trPr>
          <w:trHeight w:hRule="exact" w:val="584"/>
        </w:trPr>
        <w:tc>
          <w:tcPr>
            <w:tcW w:w="339" w:type="pct"/>
            <w:noWrap w:val="0"/>
            <w:vAlign w:val="center"/>
          </w:tcPr>
          <w:p>
            <w:pPr>
              <w:numPr>
                <w:ilvl w:val="0"/>
                <w:numId w:val="6"/>
              </w:numPr>
              <w:adjustRightInd w:val="0"/>
              <w:snapToGrid w:val="0"/>
              <w:jc w:val="center"/>
              <w:rPr>
                <w:rFonts w:ascii="仿宋_GB2312" w:eastAsia="仿宋_GB2312" w:hAnsi="仿宋_GB2312" w:cs="仿宋_GB2312"/>
                <w:sz w:val="18"/>
                <w:szCs w:val="18"/>
              </w:rPr>
            </w:pPr>
          </w:p>
        </w:tc>
        <w:tc>
          <w:tcPr>
            <w:tcW w:w="363" w:type="pct"/>
            <w:vMerge/>
            <w:noWrap w:val="0"/>
            <w:vAlign w:val="center"/>
          </w:tcPr>
          <w:p>
            <w:pPr>
              <w:adjustRightInd w:val="0"/>
              <w:snapToGrid w:val="0"/>
              <w:jc w:val="center"/>
              <w:rPr>
                <w:rFonts w:ascii="仿宋_GB2312" w:eastAsia="仿宋_GB2312" w:hAnsi="仿宋_GB2312" w:cs="仿宋_GB2312"/>
                <w:sz w:val="18"/>
                <w:szCs w:val="18"/>
              </w:rPr>
            </w:pPr>
          </w:p>
        </w:tc>
        <w:tc>
          <w:tcPr>
            <w:tcW w:w="34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w:t>
            </w:r>
          </w:p>
        </w:tc>
        <w:tc>
          <w:tcPr>
            <w:tcW w:w="600"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部署上线</w:t>
            </w:r>
          </w:p>
        </w:tc>
        <w:tc>
          <w:tcPr>
            <w:tcW w:w="2942" w:type="pct"/>
            <w:noWrap w:val="0"/>
            <w:vAlign w:val="center"/>
          </w:tcPr>
          <w:p>
            <w:pPr>
              <w:adjustRightInd w:val="0"/>
              <w:snapToGrid w:val="0"/>
              <w:rPr>
                <w:rFonts w:ascii="仿宋_GB2312" w:eastAsia="仿宋_GB2312" w:hAnsi="仿宋_GB2312" w:cs="仿宋_GB2312"/>
                <w:sz w:val="18"/>
                <w:szCs w:val="18"/>
              </w:rPr>
            </w:pPr>
            <w:r>
              <w:rPr>
                <w:rFonts w:ascii="仿宋_GB2312" w:eastAsia="仿宋_GB2312" w:hAnsi="仿宋_GB2312" w:cs="仿宋_GB2312"/>
                <w:sz w:val="18"/>
                <w:szCs w:val="18"/>
              </w:rPr>
              <w:t>将项目打包成可部署形式，部署到目标环境中。</w:t>
            </w:r>
          </w:p>
        </w:tc>
        <w:tc>
          <w:tcPr>
            <w:tcW w:w="413" w:type="pct"/>
            <w:noWrap w:val="0"/>
            <w:vAlign w:val="center"/>
          </w:tcPr>
          <w:p>
            <w:pPr>
              <w:adjustRightInd w:val="0"/>
              <w:snapToGrid w:val="0"/>
              <w:jc w:val="center"/>
              <w:rPr>
                <w:rFonts w:ascii="仿宋_GB2312" w:eastAsia="仿宋_GB2312" w:hAnsi="仿宋_GB2312" w:cs="仿宋_GB2312"/>
                <w:sz w:val="18"/>
                <w:szCs w:val="18"/>
              </w:rPr>
            </w:pPr>
            <w:r>
              <w:rPr>
                <w:rFonts w:ascii="仿宋_GB2312" w:eastAsia="仿宋_GB2312" w:hAnsi="仿宋_GB2312" w:cs="仿宋_GB2312"/>
                <w:sz w:val="18"/>
                <w:szCs w:val="18"/>
              </w:rPr>
              <w:t>无</w:t>
            </w:r>
          </w:p>
        </w:tc>
      </w:tr>
    </w:tbl>
    <w:p>
      <w:pPr>
        <w:rPr>
          <w:rFonts w:hint="eastAsia"/>
        </w:rPr>
      </w:pPr>
    </w:p>
    <w:p>
      <w:pPr>
        <w:pStyle w:val="Normal0"/>
        <w:spacing w:before="0" w:after="0" w:line="360" w:lineRule="auto"/>
        <w:jc w:val="left"/>
      </w:pPr>
    </w:p>
    <w:sectPr>
      <w:footerReference w:type="default" r:id="rId5"/>
      <w:pgSz w:w="11906" w:h="16838"/>
      <w:pgMar w:top="1440" w:right="1440" w:bottom="1440" w:left="1440" w:header="708" w:footer="708" w:gutter="0"/>
      <w:cols w:num="1" w:space="708"/>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DejaVu Sans"/>
    <w:panose1 w:val="02020603050405020304"/>
    <w:charset w:val="CC"/>
    <w:family w:val="roman"/>
    <w:pitch w:val="default"/>
    <w:sig w:usb0="00000000" w:usb1="00000000" w:usb2="00000009"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3" w:usb1="288F0000" w:usb2="00000006" w:usb3="00000000" w:csb0="00040001" w:csb1="00000000"/>
  </w:font>
  <w:font w:name="SimHei">
    <w:panose1 w:val="02010609060101010101"/>
    <w:charset w:val="86"/>
    <w:family w:val="modern"/>
    <w:pitch w:val="default"/>
    <w:sig w:usb0="800002BF" w:usb1="38CF7CFA" w:usb2="00000016" w:usb3="00000000" w:csb0="00040001" w:csb1="00000000"/>
  </w:font>
  <w:font w:name="Verdana">
    <w:altName w:val="DejaVu Sans"/>
    <w:panose1 w:val="020B0604030504040204"/>
    <w:charset w:val="00"/>
    <w:family w:val="swiss"/>
    <w:pitch w:val="default"/>
    <w:sig w:usb0="00000000" w:usb1="00000000" w:usb2="00000010" w:usb3="00000000" w:csb0="0000019F" w:csb1="00000000"/>
  </w:font>
  <w:font w:name="FangSong_GB2312">
    <w:panose1 w:val="02010609030101010101"/>
    <w:charset w:val="86"/>
    <w:family w:val="auto"/>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Microsoft YaHei">
    <w:panose1 w:val="020B0503020204020204"/>
    <w:charset w:val="86"/>
    <w:family w:val="swiss"/>
    <w:pitch w:val="default"/>
    <w:sig w:usb0="80000287" w:usb1="2A0F3C52" w:usb2="00000016" w:usb3="00000000" w:csb0="0004001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altName w:val="DejaVu Sans"/>
    <w:panose1 w:val="020F0302020204030204"/>
    <w:charset w:val="00"/>
    <w:family w:val="swiss"/>
    <w:pitch w:val="default"/>
    <w:sig w:usb0="00000000" w:usb1="00000000" w:usb2="00000009" w:usb3="00000000" w:csb0="000001FF"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Noto Sans Syriac Eastern">
    <w:panose1 w:val="02040503050306020203"/>
    <w:charset w:val="86"/>
    <w:family w:val="auto"/>
    <w:pitch w:val="default"/>
    <w:sig w:usb0="00000000" w:usb1="00000000" w:usb2="00000080" w:usb3="00000000" w:csb0="203E0161" w:csb1="D7FF0000"/>
  </w:font>
  <w:font w:name="方正小标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28</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B73FF3F3"/>
    <w:multiLevelType w:val="singleLevel"/>
    <w:tmpl w:val="B73FF3F3"/>
    <w:lvl w:ilvl="0">
      <w:start w:val="1"/>
      <w:numFmt w:val="decimal"/>
      <w:lvlText w:val="%1"/>
      <w:lvlJc w:val="left"/>
      <w:pPr>
        <w:tabs>
          <w:tab w:val="left" w:pos="420"/>
        </w:tabs>
        <w:ind w:left="425" w:hanging="425"/>
      </w:pPr>
      <w:rPr>
        <w:rFonts w:hint="default"/>
      </w:rPr>
    </w:lvl>
  </w:abstractNum>
  <w:abstractNum w:abstractNumId="1">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2">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4"/>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revisionView w:comments="1" w:formatting="1" w:inkAnnotations="1" w:insDel="1" w:markup="0"/>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D8EB9"/>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uiPriority="1"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qFormat="1"/>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qFormat="1"/>
    <w:lsdException w:name="annotation subject" w:semiHidden="0" w:uiPriority="0" w:unhideWhenUsed="0"/>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semiHidden="0" w:uiPriority="0" w:unhideWhenUsed="0" w:qFormat="1"/>
    <w:lsdException w:name="Table Grid" w:semiHidden="0" w:uiPriority="0" w:unhideWhenUsed="0"/>
    <w:lsdException w:name="Table Theme"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BodyTextFirstIndent2"/>
    <w:qFormat/>
    <w:pPr>
      <w:widowControl w:val="0"/>
      <w:spacing w:after="160" w:line="259" w:lineRule="auto"/>
      <w:jc w:val="both"/>
    </w:pPr>
    <w:rPr>
      <w:rFonts w:ascii="Times New Roman" w:eastAsia="SimSun" w:hAnsi="Times New Roman" w:cs="Times New Roman"/>
      <w:kern w:val="2"/>
      <w:sz w:val="21"/>
      <w:szCs w:val="24"/>
      <w:lang w:val="en-US" w:eastAsia="zh-CN" w:bidi="ar-SA"/>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qFormat/>
  </w:style>
  <w:style w:type="table" w:default="1" w:styleId="TableNormal">
    <w:name w:val="Normal Table"/>
    <w:uiPriority w:val="99"/>
    <w:semiHidden/>
    <w:unhideWhenUsed/>
    <w:qFormat/>
    <w:tblPr>
      <w:tblCellMar>
        <w:top w:w="0" w:type="dxa"/>
        <w:left w:w="108" w:type="dxa"/>
        <w:bottom w:w="0" w:type="dxa"/>
        <w:right w:w="108" w:type="dxa"/>
      </w:tblCellMar>
    </w:tblPr>
  </w:style>
  <w:style w:type="paragraph" w:styleId="BodyTextFirstIndent2">
    <w:name w:val="Body Text First Indent 2"/>
    <w:basedOn w:val="BodyTextIndent"/>
    <w:next w:val="Normal"/>
    <w:uiPriority w:val="99"/>
    <w:unhideWhenUsed/>
    <w:qFormat/>
    <w:pPr>
      <w:ind w:firstLine="420" w:firstLineChars="200"/>
    </w:pPr>
  </w:style>
  <w:style w:type="paragraph" w:styleId="BodyTextIndent">
    <w:name w:val="Body Text Indent"/>
    <w:basedOn w:val="Normal"/>
    <w:next w:val="BodyTextIndent2"/>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ListNumber2">
    <w:name w:val="List Number 2"/>
    <w:basedOn w:val="Normal"/>
    <w:qFormat/>
    <w:pPr>
      <w:numPr>
        <w:ilvl w:val="0"/>
        <w:numId w:val="2"/>
      </w:numPr>
    </w:pPr>
  </w:style>
  <w:style w:type="paragraph" w:styleId="DocumentMap">
    <w:name w:val="Document Map"/>
    <w:basedOn w:val="Normal"/>
    <w:link w:val="DocumentMapChar"/>
    <w:qFormat/>
    <w:pPr>
      <w:shd w:val="clear" w:color="auto" w:fill="000080"/>
    </w:pPr>
    <w:rPr>
      <w:kern w:val="0"/>
      <w:sz w:val="20"/>
      <w:shd w:val="clear" w:color="auto" w:fill="000080"/>
    </w:rPr>
  </w:style>
  <w:style w:type="paragraph" w:styleId="CommentText">
    <w:name w:val="annotation text"/>
    <w:basedOn w:val="Normal"/>
    <w:qFormat/>
    <w:pPr>
      <w:jc w:val="left"/>
    </w:p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
    <w:name w:val="Body Text"/>
    <w:basedOn w:val="Normal"/>
    <w:link w:val="BodyTextChar"/>
    <w:qFormat/>
    <w:pPr>
      <w:spacing w:after="120"/>
    </w:pPr>
  </w:style>
  <w:style w:type="paragraph" w:styleId="TOC3">
    <w:name w:val="toc 3"/>
    <w:basedOn w:val="Normal"/>
    <w:next w:val="Normal0"/>
    <w:qFormat/>
    <w:pPr>
      <w:widowControl/>
      <w:spacing w:after="0" w:line="240" w:lineRule="auto"/>
      <w:ind w:left="480"/>
      <w:jc w:val="left"/>
    </w:pPr>
    <w:rPr>
      <w:rFonts w:eastAsia="Times New Roman"/>
      <w:kern w:val="0"/>
      <w:sz w:val="24"/>
      <w:lang w:eastAsia="en-US"/>
    </w:rPr>
  </w:style>
  <w:style w:type="paragraph" w:customStyle="1" w:styleId="Normal0">
    <w:name w:val="Normal_0"/>
    <w:qFormat/>
    <w:rPr>
      <w:rFonts w:ascii="Times New Roman" w:eastAsia="Times New Roman" w:hAnsi="Times New Roman" w:cs="Times New Roman"/>
      <w:sz w:val="24"/>
      <w:szCs w:val="24"/>
      <w:lang w:val="en-US" w:eastAsia="en-US" w:bidi="ar-SA"/>
    </w:rPr>
  </w:style>
  <w:style w:type="paragraph" w:styleId="PlainText">
    <w:name w:val="Plain Text"/>
    <w:basedOn w:val="Normal"/>
    <w:link w:val="PlainTextChar"/>
    <w:qFormat/>
    <w:pPr>
      <w:spacing w:after="0"/>
    </w:pPr>
    <w:rPr>
      <w:rFonts w:ascii="SimSun" w:hAnsi="Courier New"/>
      <w:kern w:val="0"/>
      <w:sz w:val="20"/>
      <w:szCs w:val="21"/>
    </w:rPr>
  </w:style>
  <w:style w:type="paragraph" w:styleId="Date">
    <w:name w:val="Date"/>
    <w:basedOn w:val="Normal"/>
    <w:next w:val="Normal"/>
    <w:link w:val="DateChar"/>
    <w:qFormat/>
    <w:pPr>
      <w:ind w:left="100" w:leftChars="2500"/>
    </w:pPr>
    <w:rPr>
      <w:kern w:val="0"/>
      <w:sz w:val="20"/>
    </w:rPr>
  </w:style>
  <w:style w:type="paragraph" w:styleId="BalloonText">
    <w:name w:val="Balloon Text"/>
    <w:basedOn w:val="Normal"/>
    <w:link w:val="BalloonTextChar"/>
    <w:qFormat/>
    <w:rPr>
      <w:kern w:val="0"/>
      <w:sz w:val="18"/>
      <w:szCs w:val="18"/>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paragraph" w:styleId="TOC1">
    <w:name w:val="toc 1"/>
    <w:basedOn w:val="Normal"/>
    <w:next w:val="Normal"/>
    <w:qFormat/>
    <w:pPr>
      <w:spacing w:before="120" w:after="120"/>
      <w:jc w:val="left"/>
    </w:pPr>
    <w:rPr>
      <w:b/>
      <w:bCs/>
      <w:caps/>
      <w:sz w:val="20"/>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TOC2">
    <w:name w:val="toc 2"/>
    <w:basedOn w:val="Normal"/>
    <w:next w:val="Normal0"/>
    <w:qFormat/>
    <w:pPr>
      <w:widowControl/>
      <w:spacing w:after="0" w:line="240" w:lineRule="auto"/>
      <w:ind w:left="240"/>
      <w:jc w:val="left"/>
    </w:pPr>
    <w:rPr>
      <w:rFonts w:eastAsia="Times New Roman"/>
      <w:kern w:val="0"/>
      <w:sz w:val="24"/>
      <w:lang w:eastAsia="en-US"/>
    </w:rPr>
  </w:style>
  <w:style w:type="paragraph" w:styleId="BodyText2">
    <w:name w:val="Body Text 2"/>
    <w:basedOn w:val="Normal"/>
    <w:link w:val="BodyText2Char"/>
    <w:qFormat/>
    <w:rPr>
      <w:rFonts w:ascii="FangSong_GB2312" w:eastAsia="FangSong_GB2312"/>
      <w:kern w:val="0"/>
      <w:sz w:val="28"/>
      <w:szCs w:val="20"/>
    </w:rPr>
  </w:style>
  <w:style w:type="paragraph" w:styleId="NormalWeb">
    <w:name w:val="Normal (Web)"/>
    <w:basedOn w:val="Normal"/>
    <w:qFormat/>
    <w:pPr>
      <w:spacing w:before="100" w:beforeAutospacing="1" w:after="100" w:afterAutospacing="1"/>
      <w:jc w:val="left"/>
    </w:pPr>
    <w:rPr>
      <w:kern w:val="0"/>
      <w:sz w:val="24"/>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BodyTextFirstIndent">
    <w:name w:val="Body Text First Indent"/>
    <w:basedOn w:val="BodyText"/>
    <w:link w:val="BodyTextFirstIndentChar"/>
    <w:qFormat/>
    <w:pPr>
      <w:ind w:firstLine="420" w:firstLineChars="100"/>
    </w:pPr>
    <w:rPr>
      <w:kern w:val="0"/>
      <w:sz w:val="20"/>
    </w:rPr>
  </w:style>
  <w:style w:type="character" w:styleId="Strong">
    <w:name w:val="Strong"/>
    <w:qFormat/>
    <w:rPr>
      <w:rFonts w:ascii="Times New Roman" w:eastAsia="SimSun" w:hAnsi="Times New Roman" w:cs="Times New Roman"/>
      <w:b/>
    </w:rPr>
  </w:style>
  <w:style w:type="character" w:styleId="PageNumber">
    <w:name w:val="page number"/>
    <w:qFormat/>
    <w:rPr>
      <w:rFonts w:ascii="Times New Roman" w:eastAsia="SimSun" w:hAnsi="Times New Roman" w:cs="Times New Roman"/>
    </w:rPr>
  </w:style>
  <w:style w:type="character" w:styleId="FollowedHyperlink">
    <w:name w:val="FollowedHyperlink"/>
    <w:qFormat/>
    <w:rPr>
      <w:rFonts w:ascii="Microsoft YaHei" w:eastAsia="Microsoft YaHei" w:hAnsi="Microsoft YaHei" w:cs="Microsoft YaHei" w:hint="eastAsia"/>
      <w:color w:val="02396F"/>
      <w:u w:val="single"/>
    </w:rPr>
  </w:style>
  <w:style w:type="character" w:styleId="Hyperlink">
    <w:name w:val="Hyperlink"/>
    <w:qFormat/>
    <w:rPr>
      <w:rFonts w:ascii="Times New Roman" w:eastAsia="SimSun" w:hAnsi="Times New Roman" w:cs="Times New Roman"/>
      <w:color w:val="0000FF"/>
      <w:u w:val="single"/>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ilvl w:val="0"/>
        <w:numId w:val="3"/>
      </w:numPr>
      <w:tabs>
        <w:tab w:val="left" w:pos="0"/>
      </w:tabs>
      <w:snapToGrid w:val="0"/>
      <w:spacing w:after="160" w:line="240" w:lineRule="atLeast"/>
      <w:ind w:left="0" w:firstLine="0"/>
    </w:pPr>
    <w:rPr>
      <w:rFonts w:ascii="SimSun" w:eastAsia="Times New Roman" w:hAnsi="SimSun" w:cs="Times New Roman"/>
      <w:bCs/>
      <w:color w:val="000000"/>
      <w:sz w:val="24"/>
      <w:szCs w:val="32"/>
      <w:lang w:val="en-US" w:eastAsia="zh-CN" w:bidi="ar-SA"/>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eastAsia="SimSun" w:hAnsi="Arial" w:cs="SimHei"/>
      <w:sz w:val="21"/>
      <w:szCs w:val="21"/>
      <w:lang w:val="en-US" w:eastAsia="zh-CN" w:bidi="ar-SA"/>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ilvl w:val="0"/>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rFonts w:ascii="Times New Roman" w:eastAsia="SimSun" w:hAnsi="Times New Roman" w:cs="Times New Roman"/>
      <w:lang w:val="en-US" w:eastAsia="zh-CN" w:bidi="ar-SA"/>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character" w:customStyle="1" w:styleId="Hyperlink0">
    <w:name w:val="Hyperlink_0"/>
    <w:basedOn w:val="DefaultParagraphFont"/>
    <w:qFormat/>
    <w:rPr>
      <w:color w:val="0000FF"/>
      <w:u w:val="single"/>
    </w:rPr>
  </w:style>
  <w:style w:type="paragraph" w:customStyle="1" w:styleId="TOC10">
    <w:name w:val="TOC 1_0"/>
    <w:basedOn w:val="Normal"/>
    <w:next w:val="Normal0"/>
    <w:qFormat/>
    <w:pPr>
      <w:widowControl/>
      <w:spacing w:after="0" w:line="240" w:lineRule="auto"/>
      <w:jc w:val="left"/>
    </w:pPr>
    <w:rPr>
      <w:rFonts w:eastAsia="Times New Roman"/>
      <w:kern w:val="0"/>
      <w:sz w:val="24"/>
      <w:lang w:eastAsia="en-US"/>
    </w:rPr>
  </w:style>
  <w:style w:type="paragraph" w:customStyle="1" w:styleId="Heading10">
    <w:name w:val="Heading 1_0"/>
    <w:basedOn w:val="Normal"/>
    <w:next w:val="Normal0"/>
    <w:qFormat/>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qFormat/>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pPr>
      <w:keepNext/>
      <w:widowControl/>
      <w:spacing w:before="240" w:after="60" w:line="240" w:lineRule="auto"/>
      <w:jc w:val="left"/>
      <w:outlineLvl w:val="3"/>
    </w:pPr>
    <w:rPr>
      <w:rFonts w:eastAsia="Times New Roman"/>
      <w:b/>
      <w:bCs/>
      <w:kern w:val="0"/>
      <w:sz w:val="28"/>
      <w:szCs w:val="28"/>
      <w:lang w:eastAsia="en-US"/>
    </w:rPr>
  </w:style>
  <w:style w:type="paragraph" w:customStyle="1" w:styleId="16">
    <w:name w:val="16"/>
    <w:basedOn w:val="Normal"/>
    <w:qFormat/>
    <w:pPr>
      <w:widowControl/>
      <w:spacing w:after="0" w:line="240" w:lineRule="auto"/>
      <w:jc w:val="left"/>
    </w:pPr>
    <w:rPr>
      <w:rFonts w:eastAsia="Times New Roman"/>
      <w:kern w:val="0"/>
      <w:sz w:val="24"/>
      <w:lang w:eastAsia="en-US"/>
    </w:rPr>
  </w:style>
  <w:style w:type="table" w:customStyle="1" w:styleId="MsoNormalTable">
    <w:name w:val="MsoNormalTable"/>
    <w:basedOn w:val="TableNormal"/>
    <w:qFormat/>
    <w:rPr>
      <w:rFonts w:eastAsia="Times New Roman"/>
      <w:lang w:val="en-US" w:eastAsia="en-US"/>
    </w:rPr>
    <w:tblPr/>
  </w:style>
  <w:style w:type="character" w:customStyle="1" w:styleId="15Character">
    <w:name w:val="15 Character"/>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user</cp:lastModifiedBy>
  <cp:revision>2</cp:revision>
  <cp:lastPrinted>2023-10-01T19:04:00Z</cp:lastPrinted>
  <dcterms:created xsi:type="dcterms:W3CDTF">2020-05-09T15:26:00Z</dcterms:created>
  <dcterms:modified xsi:type="dcterms:W3CDTF">2024-11-26T17:49:20Z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2052-11.8.2.10183</vt:lpwstr>
  </property>
</Properties>
</file>