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sidRPr="00381FED" w:rsidR="00381FED">
        <w:rPr>
          <w:rFonts w:ascii="SimSun" w:hint="eastAsia"/>
          <w:b/>
          <w:bCs/>
          <w:sz w:val="28"/>
          <w:szCs w:val="28"/>
        </w:rPr>
        <w:t>国家税务总局吉林省税务局2025年办税服务厅综合管理系统—电子档案子系统新增业务功能完善项目</w:t>
      </w:r>
      <w:bookmarkEnd w:id="0"/>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sidRPr="00381FED" w:rsidR="00381FED">
        <w:rPr>
          <w:rFonts w:ascii="SimSun" w:hint="eastAsia"/>
          <w:b/>
          <w:bCs/>
          <w:sz w:val="28"/>
          <w:szCs w:val="28"/>
        </w:rPr>
        <w:t>JL2025-ZXGK-C0100-B00</w:t>
      </w:r>
      <w:bookmarkEnd w:id="1"/>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国家税务总局吉林省税务局</w:t>
      </w:r>
      <w:bookmarkEnd w:id="2"/>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bookmarkStart w:id="3" w:name="生成日期_currentDateTime_ymd"/>
      <w:r>
        <w:rPr>
          <w:rFonts w:ascii="SimHei" w:eastAsia="SimHei" w:hAnsi="Courier New" w:cs="Courier New" w:hint="eastAsia"/>
          <w:sz w:val="36"/>
          <w:szCs w:val="36"/>
        </w:rPr>
        <w:t>2025年11月</w:t>
      </w:r>
      <w:bookmarkEnd w:id="3"/>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1.2.1项目建设思路</w:t>
        </w:r>
        <w:r>
          <w:tab/>
        </w:r>
        <w:r>
          <w:fldChar w:fldCharType="begin"/>
        </w:r>
        <w:r>
          <w:instrText xml:space="preserve"> PAGEREF _Toc256000004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1.2.2采购内容</w:t>
        </w:r>
        <w:r>
          <w:tab/>
        </w:r>
        <w:r>
          <w:fldChar w:fldCharType="begin"/>
        </w:r>
        <w:r>
          <w:instrText xml:space="preserve"> PAGEREF _Toc256000005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rPr>
          <w:t>1.2.3项目实施要求</w:t>
        </w:r>
        <w:r>
          <w:tab/>
        </w:r>
        <w:r>
          <w:fldChar w:fldCharType="begin"/>
        </w:r>
        <w:r>
          <w:instrText xml:space="preserve"> PAGEREF _Toc256000006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1.2.4系统情况</w:t>
        </w:r>
        <w:r>
          <w:tab/>
        </w:r>
        <w:r>
          <w:fldChar w:fldCharType="begin"/>
        </w:r>
        <w:r>
          <w:instrText xml:space="preserve"> PAGEREF _Toc256000007 \h </w:instrText>
        </w:r>
        <w:r>
          <w:fldChar w:fldCharType="separate"/>
        </w:r>
        <w:r>
          <w:t>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kern w:val="36"/>
          </w:rPr>
          <w:t>2投标/响应要求</w:t>
        </w:r>
        <w:r>
          <w:tab/>
        </w:r>
        <w:r>
          <w:fldChar w:fldCharType="begin"/>
        </w:r>
        <w:r>
          <w:instrText xml:space="preserve"> PAGEREF _Toc256000008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rPr>
          <w:t>2.1对供应商的要求</w:t>
        </w:r>
        <w:r>
          <w:tab/>
        </w:r>
        <w:r>
          <w:fldChar w:fldCharType="begin"/>
        </w:r>
        <w:r>
          <w:instrText xml:space="preserve"> PAGEREF _Toc256000009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2.1.1必备资质</w:t>
        </w:r>
        <w:r>
          <w:tab/>
        </w:r>
        <w:r>
          <w:fldChar w:fldCharType="begin"/>
        </w:r>
        <w:r>
          <w:instrText xml:space="preserve"> PAGEREF _Toc256000010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2.1.2优选资质/优选指标</w:t>
        </w:r>
        <w:r>
          <w:tab/>
        </w:r>
        <w:r>
          <w:fldChar w:fldCharType="begin"/>
        </w:r>
        <w:r>
          <w:instrText xml:space="preserve"> PAGEREF _Toc256000011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2.1.3是否允许联合体</w:t>
        </w:r>
        <w:r>
          <w:tab/>
        </w:r>
        <w:r>
          <w:fldChar w:fldCharType="begin"/>
        </w:r>
        <w:r>
          <w:instrText xml:space="preserve"> PAGEREF _Toc256000012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2.1.4是否专门面向中小企业</w:t>
        </w:r>
        <w:r>
          <w:tab/>
        </w:r>
        <w:r>
          <w:fldChar w:fldCharType="begin"/>
        </w:r>
        <w:r>
          <w:instrText xml:space="preserve"> PAGEREF _Toc256000013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2.1.5其他要求</w:t>
        </w:r>
        <w:r>
          <w:tab/>
        </w:r>
        <w:r>
          <w:fldChar w:fldCharType="begin"/>
        </w:r>
        <w:r>
          <w:instrText xml:space="preserve"> PAGEREF _Toc256000014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rPr>
          <w:t>2.2技术部分投标/响应内容</w:t>
        </w:r>
        <w:r>
          <w:tab/>
        </w:r>
        <w:r>
          <w:fldChar w:fldCharType="begin"/>
        </w:r>
        <w:r>
          <w:instrText xml:space="preserve"> PAGEREF _Toc256000015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2.2.1技术投标/响应总要求</w:t>
        </w:r>
        <w:r>
          <w:tab/>
        </w:r>
        <w:r>
          <w:fldChar w:fldCharType="begin"/>
        </w:r>
        <w:r>
          <w:instrText xml:space="preserve"> PAGEREF _Toc256000016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2.2.2投标/响应方案要求</w:t>
        </w:r>
        <w:r>
          <w:tab/>
        </w:r>
        <w:r>
          <w:fldChar w:fldCharType="begin"/>
        </w:r>
        <w:r>
          <w:instrText xml:space="preserve"> PAGEREF _Toc256000017 \h </w:instrText>
        </w:r>
        <w:r>
          <w:fldChar w:fldCharType="separate"/>
        </w:r>
        <w:r>
          <w:t>7</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kern w:val="36"/>
          </w:rPr>
          <w:t>3项目需求</w:t>
        </w:r>
        <w:r>
          <w:tab/>
        </w:r>
        <w:r>
          <w:fldChar w:fldCharType="begin"/>
        </w:r>
        <w:r>
          <w:instrText xml:space="preserve"> PAGEREF _Toc256000018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rPr>
          <w:t>3.1总体要求</w:t>
        </w:r>
        <w:r>
          <w:tab/>
        </w:r>
        <w:r>
          <w:fldChar w:fldCharType="begin"/>
        </w:r>
        <w:r>
          <w:instrText xml:space="preserve"> PAGEREF _Toc256000019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3.2服务内容和要求</w:t>
        </w:r>
        <w:r>
          <w:tab/>
        </w:r>
        <w:r>
          <w:fldChar w:fldCharType="begin"/>
        </w:r>
        <w:r>
          <w:instrText xml:space="preserve"> PAGEREF _Toc256000020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3.2.1技术和服务客观指标</w:t>
        </w:r>
        <w:r>
          <w:tab/>
        </w:r>
        <w:r>
          <w:fldChar w:fldCharType="begin"/>
        </w:r>
        <w:r>
          <w:instrText xml:space="preserve"> PAGEREF _Toc256000021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3.2.2技术和服务其他要求</w:t>
        </w:r>
        <w:r>
          <w:tab/>
        </w:r>
        <w:r>
          <w:fldChar w:fldCharType="begin"/>
        </w:r>
        <w:r>
          <w:instrText xml:space="preserve"> PAGEREF _Toc256000022 \h </w:instrText>
        </w:r>
        <w:r>
          <w:fldChar w:fldCharType="separate"/>
        </w:r>
        <w:r>
          <w:t>22</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kern w:val="36"/>
          </w:rPr>
          <w:t>4人员要求</w:t>
        </w:r>
        <w:r>
          <w:tab/>
        </w:r>
        <w:r>
          <w:fldChar w:fldCharType="begin"/>
        </w:r>
        <w:r>
          <w:instrText xml:space="preserve"> PAGEREF _Toc256000023 \h </w:instrText>
        </w:r>
        <w:r>
          <w:fldChar w:fldCharType="separate"/>
        </w:r>
        <w:r>
          <w:t>23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rPr>
          <w:t>4.1总体要求</w:t>
        </w:r>
        <w:r>
          <w:tab/>
        </w:r>
        <w:r>
          <w:fldChar w:fldCharType="begin"/>
        </w:r>
        <w:r>
          <w:instrText xml:space="preserve"> PAGEREF _Toc256000024 \h </w:instrText>
        </w:r>
        <w:r>
          <w:fldChar w:fldCharType="separate"/>
        </w:r>
        <w:r>
          <w:t>23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rPr>
          <w:t>4.2管理团队</w:t>
        </w:r>
        <w:r>
          <w:tab/>
        </w:r>
        <w:r>
          <w:fldChar w:fldCharType="begin"/>
        </w:r>
        <w:r>
          <w:instrText xml:space="preserve"> PAGEREF _Toc256000025 \h </w:instrText>
        </w:r>
        <w:r>
          <w:fldChar w:fldCharType="separate"/>
        </w:r>
        <w:r>
          <w:t>23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rPr>
          <w:t>4.2.1项目经理</w:t>
        </w:r>
        <w:r>
          <w:tab/>
        </w:r>
        <w:r>
          <w:fldChar w:fldCharType="begin"/>
        </w:r>
        <w:r>
          <w:instrText xml:space="preserve"> PAGEREF _Toc256000026 \h </w:instrText>
        </w:r>
        <w:r>
          <w:fldChar w:fldCharType="separate"/>
        </w:r>
        <w:r>
          <w:t>23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rPr>
          <w:t>4.3技术团队</w:t>
        </w:r>
        <w:r>
          <w:tab/>
        </w:r>
        <w:r>
          <w:fldChar w:fldCharType="begin"/>
        </w:r>
        <w:r>
          <w:instrText xml:space="preserve"> PAGEREF _Toc256000027 \h </w:instrText>
        </w:r>
        <w:r>
          <w:fldChar w:fldCharType="separate"/>
        </w:r>
        <w:r>
          <w:t>23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rPr>
          <w:t>4.4优选资质/优选指标</w:t>
        </w:r>
        <w:r>
          <w:tab/>
        </w:r>
        <w:r>
          <w:fldChar w:fldCharType="begin"/>
        </w:r>
        <w:r>
          <w:instrText xml:space="preserve"> PAGEREF _Toc256000028 \h </w:instrText>
        </w:r>
        <w:r>
          <w:fldChar w:fldCharType="separate"/>
        </w:r>
        <w:r>
          <w:t>23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kern w:val="36"/>
          </w:rPr>
          <w:t>5管理实施要求</w:t>
        </w:r>
        <w:r>
          <w:tab/>
        </w:r>
        <w:r>
          <w:fldChar w:fldCharType="begin"/>
        </w:r>
        <w:r>
          <w:instrText xml:space="preserve"> PAGEREF _Toc256000029 \h </w:instrText>
        </w:r>
        <w:r>
          <w:fldChar w:fldCharType="separate"/>
        </w:r>
        <w:r>
          <w:t>23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kern w:val="36"/>
          </w:rPr>
          <w:t>6保密要求</w:t>
        </w:r>
        <w:r>
          <w:tab/>
        </w:r>
        <w:r>
          <w:fldChar w:fldCharType="begin"/>
        </w:r>
        <w:r>
          <w:instrText xml:space="preserve"> PAGEREF _Toc256000030 \h </w:instrText>
        </w:r>
        <w:r>
          <w:fldChar w:fldCharType="separate"/>
        </w:r>
        <w:r>
          <w:t>24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kern w:val="36"/>
          </w:rPr>
          <w:t>7知识转移要求</w:t>
        </w:r>
        <w:r>
          <w:tab/>
        </w:r>
        <w:r>
          <w:fldChar w:fldCharType="begin"/>
        </w:r>
        <w:r>
          <w:instrText xml:space="preserve"> PAGEREF _Toc256000031 \h </w:instrText>
        </w:r>
        <w:r>
          <w:fldChar w:fldCharType="separate"/>
        </w:r>
        <w:r>
          <w:t>24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kern w:val="36"/>
          </w:rPr>
          <w:t>8风险管控要求</w:t>
        </w:r>
        <w:r>
          <w:tab/>
        </w:r>
        <w:r>
          <w:fldChar w:fldCharType="begin"/>
        </w:r>
        <w:r>
          <w:instrText xml:space="preserve"> PAGEREF _Toc256000032 \h </w:instrText>
        </w:r>
        <w:r>
          <w:fldChar w:fldCharType="separate"/>
        </w:r>
        <w:r>
          <w:t>25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kern w:val="36"/>
          </w:rPr>
          <w:t>9履约验收要求</w:t>
        </w:r>
        <w:r>
          <w:tab/>
        </w:r>
        <w:r>
          <w:fldChar w:fldCharType="begin"/>
        </w:r>
        <w:r>
          <w:instrText xml:space="preserve"> PAGEREF _Toc256000033 \h </w:instrText>
        </w:r>
        <w:r>
          <w:fldChar w:fldCharType="separate"/>
        </w:r>
        <w:r>
          <w:t>25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rPr>
          <w:t>9.1总体要求</w:t>
        </w:r>
        <w:r>
          <w:tab/>
        </w:r>
        <w:r>
          <w:fldChar w:fldCharType="begin"/>
        </w:r>
        <w:r>
          <w:instrText xml:space="preserve"> PAGEREF _Toc256000034 \h </w:instrText>
        </w:r>
        <w:r>
          <w:fldChar w:fldCharType="separate"/>
        </w:r>
        <w:r>
          <w:t>25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rPr>
          <w:t>9.2具体要求</w:t>
        </w:r>
        <w:r>
          <w:tab/>
        </w:r>
        <w:r>
          <w:fldChar w:fldCharType="begin"/>
        </w:r>
        <w:r>
          <w:instrText xml:space="preserve"> PAGEREF _Toc256000035 \h </w:instrText>
        </w:r>
        <w:r>
          <w:fldChar w:fldCharType="separate"/>
        </w:r>
        <w:r>
          <w:t>25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kern w:val="36"/>
          </w:rPr>
          <w:t>10其他要求</w:t>
        </w:r>
        <w:r>
          <w:tab/>
        </w:r>
        <w:r>
          <w:fldChar w:fldCharType="begin"/>
        </w:r>
        <w:r>
          <w:instrText xml:space="preserve"> PAGEREF _Toc256000036 \h </w:instrText>
        </w:r>
        <w:r>
          <w:fldChar w:fldCharType="separate"/>
        </w:r>
        <w:r>
          <w:t>26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rPr>
          <w:t>10.1必备要求</w:t>
        </w:r>
        <w:r>
          <w:tab/>
        </w:r>
        <w:r>
          <w:fldChar w:fldCharType="begin"/>
        </w:r>
        <w:r>
          <w:instrText xml:space="preserve"> PAGEREF _Toc256000037 \h </w:instrText>
        </w:r>
        <w:r>
          <w:fldChar w:fldCharType="separate"/>
        </w:r>
        <w:r>
          <w:t>26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rPr>
          <w:t>10.1.1★税收信息化项目开发和应用管理工作要求</w:t>
        </w:r>
        <w:r>
          <w:tab/>
        </w:r>
        <w:r>
          <w:fldChar w:fldCharType="begin"/>
        </w:r>
        <w:r>
          <w:instrText xml:space="preserve"> PAGEREF _Toc256000038 \h </w:instrText>
        </w:r>
        <w:r>
          <w:fldChar w:fldCharType="separate"/>
        </w:r>
        <w:r>
          <w:t>26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9" w:history="1">
        <w:r>
          <w:rPr>
            <w:rStyle w:val="Hyperlink"/>
            <w:rFonts w:ascii="仿宋_GB2312" w:eastAsia="仿宋_GB2312" w:hAnsi="仿宋_GB2312" w:cs="仿宋_GB2312"/>
          </w:rPr>
          <w:t>10.1.2★税收信息化项目廉政要求</w:t>
        </w:r>
        <w:r>
          <w:tab/>
        </w:r>
        <w:r>
          <w:fldChar w:fldCharType="begin"/>
        </w:r>
        <w:r>
          <w:instrText xml:space="preserve"> PAGEREF _Toc256000039 \h </w:instrText>
        </w:r>
        <w:r>
          <w:fldChar w:fldCharType="separate"/>
        </w:r>
        <w:r>
          <w:t>26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0" w:history="1">
        <w:r>
          <w:rPr>
            <w:rStyle w:val="Hyperlink"/>
            <w:rFonts w:ascii="仿宋_GB2312" w:eastAsia="仿宋_GB2312" w:hAnsi="仿宋_GB2312" w:cs="仿宋_GB2312"/>
          </w:rPr>
          <w:t>10.1.3★供应链安全管理要求</w:t>
        </w:r>
        <w:r>
          <w:tab/>
        </w:r>
        <w:r>
          <w:fldChar w:fldCharType="begin"/>
        </w:r>
        <w:r>
          <w:instrText xml:space="preserve"> PAGEREF _Toc256000040 \h </w:instrText>
        </w:r>
        <w:r>
          <w:fldChar w:fldCharType="separate"/>
        </w:r>
        <w:r>
          <w:t>29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1" w:history="1">
        <w:r>
          <w:rPr>
            <w:rStyle w:val="Hyperlink"/>
            <w:rFonts w:ascii="仿宋_GB2312" w:eastAsia="仿宋_GB2312" w:hAnsi="仿宋_GB2312" w:cs="仿宋_GB2312"/>
          </w:rPr>
          <w:t>10.1.4★信息化服务运维人员要求</w:t>
        </w:r>
        <w:r>
          <w:tab/>
        </w:r>
        <w:r>
          <w:fldChar w:fldCharType="begin"/>
        </w:r>
        <w:r>
          <w:instrText xml:space="preserve"> PAGEREF _Toc256000041 \h </w:instrText>
        </w:r>
        <w:r>
          <w:fldChar w:fldCharType="separate"/>
        </w:r>
        <w:r>
          <w:t>32</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2" w:history="1">
        <w:r>
          <w:rPr>
            <w:rStyle w:val="Hyperlink"/>
            <w:rFonts w:ascii="仿宋_GB2312" w:eastAsia="仿宋_GB2312" w:hAnsi="仿宋_GB2312" w:cs="仿宋_GB2312"/>
          </w:rPr>
          <w:t>10.1.5其他</w:t>
        </w:r>
        <w:r>
          <w:tab/>
        </w:r>
        <w:r>
          <w:fldChar w:fldCharType="begin"/>
        </w:r>
        <w:r>
          <w:instrText xml:space="preserve"> PAGEREF _Toc256000042 \h </w:instrText>
        </w:r>
        <w:r>
          <w:fldChar w:fldCharType="separate"/>
        </w:r>
        <w:r>
          <w:t>33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3" w:history="1">
        <w:r>
          <w:rPr>
            <w:rStyle w:val="Hyperlink"/>
            <w:rFonts w:ascii="仿宋_GB2312" w:eastAsia="仿宋_GB2312" w:hAnsi="仿宋_GB2312" w:cs="仿宋_GB2312"/>
          </w:rPr>
          <w:t>10.2知识产权要求</w:t>
        </w:r>
        <w:r>
          <w:tab/>
        </w:r>
        <w:r>
          <w:fldChar w:fldCharType="begin"/>
        </w:r>
        <w:r>
          <w:instrText xml:space="preserve"> PAGEREF _Toc256000043 \h </w:instrText>
        </w:r>
        <w:r>
          <w:fldChar w:fldCharType="separate"/>
        </w:r>
        <w:r>
          <w:t>33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4" w:history="1">
        <w:r>
          <w:rPr>
            <w:rStyle w:val="Hyperlink"/>
            <w:rFonts w:ascii="仿宋_GB2312" w:eastAsia="仿宋_GB2312" w:hAnsi="仿宋_GB2312" w:cs="仿宋_GB2312"/>
          </w:rPr>
          <w:t>10.3付款安排建议</w:t>
        </w:r>
        <w:r>
          <w:tab/>
        </w:r>
        <w:r>
          <w:fldChar w:fldCharType="begin"/>
        </w:r>
        <w:r>
          <w:instrText xml:space="preserve"> PAGEREF _Toc256000044 \h </w:instrText>
        </w:r>
        <w:r>
          <w:fldChar w:fldCharType="separate"/>
        </w:r>
        <w:r>
          <w:t>33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5" w:history="1">
        <w:r>
          <w:rPr>
            <w:rStyle w:val="Hyperlink"/>
            <w:rFonts w:ascii="仿宋_GB2312" w:eastAsia="仿宋_GB2312" w:hAnsi="仿宋_GB2312" w:cs="仿宋_GB2312"/>
          </w:rPr>
          <w:t>10.4其他</w:t>
        </w:r>
        <w:r>
          <w:tab/>
        </w:r>
        <w:r>
          <w:fldChar w:fldCharType="begin"/>
        </w:r>
        <w:r>
          <w:instrText xml:space="preserve"> PAGEREF _Toc256000045 \h </w:instrText>
        </w:r>
        <w:r>
          <w:fldChar w:fldCharType="separate"/>
        </w:r>
        <w:r>
          <w:t>33</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1.1.1项目目的、意义及背景</w:t>
      </w:r>
      <w:bookmarkEnd w:id="6"/>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为落实有关要求</w:t>
      </w:r>
      <w:r>
        <w:rPr>
          <w:rFonts w:ascii="仿宋_GB2312" w:eastAsia="仿宋_GB2312" w:hAnsi="仿宋_GB2312" w:cs="仿宋_GB2312"/>
          <w:sz w:val="32"/>
          <w:szCs w:val="32"/>
        </w:rPr>
        <w:t>，</w:t>
      </w:r>
      <w:r>
        <w:rPr>
          <w:rFonts w:ascii="仿宋_GB2312" w:eastAsia="仿宋_GB2312" w:hAnsi="仿宋_GB2312" w:cs="仿宋_GB2312"/>
          <w:sz w:val="32"/>
          <w:szCs w:val="32"/>
        </w:rPr>
        <w:t>进一步完善电子档案信息化管理功能，增加欠税、数电票业务档案采集的信息化管控，进一步建立健全、完整的电子档案系统，结合吉林省税务系统信息化建设和征收管理工作的实际情况，实施本次电子档案系统新增业务功能完善项目的建设开发工作。</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1.2.1项目建设思路</w:t>
      </w:r>
      <w:bookmarkEnd w:id="8"/>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对电子档案子系统完成升级改造。</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本次系统新增业务功能完善建设，主要包括五部分内容：增设欠税业务档案管理功能，增设数电票业务档案管理功能，电子档案系统现有功能完善，增设历史档案管理功能，核心征管业务事项数据加工。</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1.2.2采购内容</w:t>
      </w:r>
      <w:bookmarkEnd w:id="9"/>
    </w:p>
    <w:p>
      <w:pPr>
        <w:pStyle w:val="MsoNormal"/>
        <w:spacing w:before="0" w:after="0" w:line="360" w:lineRule="auto"/>
        <w:ind w:left="0" w:right="0" w:firstLine="640"/>
        <w:jc w:val="both"/>
        <w:rPr>
          <w:sz w:val="32"/>
          <w:szCs w:val="32"/>
        </w:rPr>
      </w:pPr>
      <w:r>
        <w:rPr>
          <w:rFonts w:ascii="仿宋_GB2312" w:eastAsia="仿宋_GB2312" w:hAnsi="仿宋_GB2312" w:cs="仿宋_GB2312"/>
          <w:sz w:val="28"/>
          <w:szCs w:val="28"/>
        </w:rPr>
        <w:t>增设欠税业务档案管理功能，包括欠税业务档案采集功能、欠税业务档案查询及统计功能。</w:t>
      </w:r>
    </w:p>
    <w:p>
      <w:pPr>
        <w:pStyle w:val="MsoNormal"/>
        <w:spacing w:before="0" w:after="0" w:line="360" w:lineRule="auto"/>
        <w:ind w:left="0" w:right="0" w:firstLine="640"/>
        <w:jc w:val="both"/>
        <w:rPr>
          <w:sz w:val="32"/>
          <w:szCs w:val="32"/>
        </w:rPr>
      </w:pPr>
      <w:r>
        <w:rPr>
          <w:rFonts w:ascii="仿宋_GB2312" w:eastAsia="仿宋_GB2312" w:hAnsi="仿宋_GB2312" w:cs="仿宋_GB2312"/>
          <w:sz w:val="28"/>
          <w:szCs w:val="28"/>
        </w:rPr>
        <w:t>增设</w:t>
      </w:r>
      <w:r>
        <w:rPr>
          <w:rFonts w:ascii="仿宋_GB2312" w:eastAsia="仿宋_GB2312" w:hAnsi="仿宋_GB2312" w:cs="仿宋_GB2312"/>
          <w:sz w:val="28"/>
          <w:szCs w:val="28"/>
        </w:rPr>
        <w:t>数电票业务档案管理功能，包括数电票业务档案采集功能、数电票业务档案归档管理功能、数电票业务档案查询及统计功能</w:t>
      </w:r>
      <w:r>
        <w:rPr>
          <w:rFonts w:ascii="仿宋_GB2312" w:eastAsia="仿宋_GB2312" w:hAnsi="仿宋_GB2312" w:cs="仿宋_GB2312"/>
          <w:sz w:val="28"/>
          <w:szCs w:val="28"/>
        </w:rPr>
        <w:t>。</w:t>
      </w:r>
    </w:p>
    <w:p>
      <w:pPr>
        <w:pStyle w:val="MsoNormal"/>
        <w:spacing w:before="0" w:after="0" w:line="360" w:lineRule="auto"/>
        <w:ind w:left="0" w:right="0" w:firstLine="640"/>
        <w:jc w:val="both"/>
        <w:rPr>
          <w:sz w:val="32"/>
          <w:szCs w:val="32"/>
        </w:rPr>
      </w:pPr>
      <w:r>
        <w:rPr>
          <w:rFonts w:ascii="仿宋_GB2312" w:eastAsia="仿宋_GB2312" w:hAnsi="仿宋_GB2312" w:cs="仿宋_GB2312"/>
          <w:sz w:val="28"/>
          <w:szCs w:val="28"/>
        </w:rPr>
        <w:t>电子档案系统现有功能完善，包括增设在线连续扫描图片功能、优化档案采集功能、增设批量上传PDF文件功能、优化档案补采功能、优化影印浏览功能、优化档案查询功能、优化档案移交功能、增设档案统计功能、优化执法视频采集功能、优化执法视频查询功能。</w:t>
      </w:r>
    </w:p>
    <w:p>
      <w:pPr>
        <w:pStyle w:val="MsoNormal"/>
        <w:spacing w:before="0" w:after="0" w:line="360" w:lineRule="auto"/>
        <w:ind w:left="0" w:right="0" w:firstLine="640"/>
        <w:jc w:val="both"/>
        <w:rPr>
          <w:sz w:val="32"/>
          <w:szCs w:val="32"/>
        </w:rPr>
      </w:pPr>
      <w:r>
        <w:rPr>
          <w:rFonts w:ascii="仿宋_GB2312" w:eastAsia="仿宋_GB2312" w:hAnsi="仿宋_GB2312" w:cs="仿宋_GB2312"/>
          <w:sz w:val="28"/>
          <w:szCs w:val="28"/>
        </w:rPr>
        <w:t>增设</w:t>
      </w:r>
      <w:r>
        <w:rPr>
          <w:rFonts w:ascii="仿宋_GB2312" w:eastAsia="仿宋_GB2312" w:hAnsi="仿宋_GB2312" w:cs="仿宋_GB2312"/>
          <w:sz w:val="28"/>
          <w:szCs w:val="28"/>
        </w:rPr>
        <w:t>历史档案管理功能功能，包括历史档案采集功能、历史档案查询功能、历史档案统计功能</w:t>
      </w:r>
      <w:r>
        <w:rPr>
          <w:rFonts w:ascii="仿宋_GB2312" w:eastAsia="仿宋_GB2312" w:hAnsi="仿宋_GB2312" w:cs="仿宋_GB2312"/>
          <w:sz w:val="28"/>
          <w:szCs w:val="28"/>
        </w:rPr>
        <w:t>。</w:t>
      </w:r>
    </w:p>
    <w:p>
      <w:pPr>
        <w:pStyle w:val="MsoNormal"/>
        <w:spacing w:before="0" w:after="0" w:line="360" w:lineRule="auto"/>
        <w:ind w:left="0" w:right="0"/>
        <w:rPr>
          <w:sz w:val="32"/>
          <w:szCs w:val="32"/>
        </w:rPr>
      </w:pPr>
      <w:r>
        <w:rPr>
          <w:rFonts w:ascii="仿宋_GB2312" w:eastAsia="仿宋_GB2312" w:hAnsi="仿宋_GB2312" w:cs="仿宋_GB2312"/>
          <w:sz w:val="28"/>
          <w:szCs w:val="28"/>
        </w:rPr>
        <w:t>核心征管业务事项数据加工，包括业务事项配置、核心征管欠税业务加工、统一工作平台功能集成。</w:t>
      </w:r>
    </w:p>
    <w:p>
      <w:pPr>
        <w:pStyle w:val="Heading30"/>
        <w:keepNext w:val="0"/>
        <w:spacing w:before="0" w:after="0" w:line="360" w:lineRule="auto"/>
        <w:rPr>
          <w:rFonts w:ascii="仿宋_GB2312" w:eastAsia="仿宋_GB2312" w:hAnsi="仿宋_GB2312" w:cs="仿宋_GB2312"/>
          <w:b/>
          <w:bCs/>
          <w:sz w:val="28"/>
          <w:szCs w:val="28"/>
        </w:rPr>
      </w:pPr>
      <w:bookmarkStart w:id="10" w:name="_Toc256000006"/>
      <w:r>
        <w:rPr>
          <w:rFonts w:ascii="仿宋_GB2312" w:eastAsia="仿宋_GB2312" w:hAnsi="仿宋_GB2312" w:cs="仿宋_GB2312"/>
          <w:sz w:val="28"/>
          <w:szCs w:val="28"/>
        </w:rPr>
        <w:t>1.2.3项目实施要求</w:t>
      </w:r>
      <w:bookmarkEnd w:id="10"/>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1.2.3.1实施范围要求</w:t>
      </w:r>
    </w:p>
    <w:p>
      <w:pPr>
        <w:pStyle w:val="MsoNormal"/>
        <w:spacing w:before="0" w:after="0" w:line="360" w:lineRule="auto"/>
        <w:ind w:left="0" w:right="0"/>
        <w:rPr>
          <w:sz w:val="32"/>
          <w:szCs w:val="32"/>
        </w:rPr>
      </w:pPr>
      <w:r>
        <w:rPr>
          <w:rFonts w:ascii="仿宋_GB2312" w:eastAsia="仿宋_GB2312" w:hAnsi="仿宋_GB2312" w:cs="仿宋_GB2312"/>
          <w:sz w:val="32"/>
          <w:szCs w:val="32"/>
        </w:rPr>
        <w:t> </w:t>
      </w:r>
      <w:r>
        <w:rPr>
          <w:rFonts w:ascii="仿宋_GB2312" w:eastAsia="仿宋_GB2312" w:hAnsi="仿宋_GB2312" w:cs="仿宋_GB2312"/>
          <w:sz w:val="28"/>
          <w:szCs w:val="28"/>
        </w:rPr>
        <w:t>   </w:t>
      </w:r>
      <w:r>
        <w:rPr>
          <w:rFonts w:ascii="仿宋_GB2312" w:eastAsia="仿宋_GB2312" w:hAnsi="仿宋_GB2312" w:cs="仿宋_GB2312"/>
          <w:sz w:val="28"/>
          <w:szCs w:val="28"/>
        </w:rPr>
        <w:t>本次需建设的全部功能的开发上线。系统升级改造要求</w:t>
      </w:r>
      <w:r>
        <w:rPr>
          <w:rFonts w:ascii="仿宋_GB2312" w:eastAsia="仿宋_GB2312" w:hAnsi="仿宋_GB2312" w:cs="仿宋_GB2312"/>
          <w:sz w:val="28"/>
          <w:szCs w:val="28"/>
        </w:rPr>
        <w:t>3个月内完成项目实施上线及项目终验，包括需求分析、概要设计、代码开发、软件测试、上线部署实施、验收等阶段。</w:t>
      </w:r>
      <w:r>
        <w:rPr>
          <w:sz w:val="28"/>
          <w:szCs w:val="28"/>
        </w:rPr>
        <w:t> </w:t>
      </w:r>
    </w:p>
    <w:p>
      <w:pPr>
        <w:pStyle w:val="MsoNormal"/>
        <w:spacing w:before="0" w:after="0" w:line="360" w:lineRule="auto"/>
        <w:ind w:left="0" w:right="0"/>
        <w:rPr>
          <w:rFonts w:ascii="Times New Roman" w:eastAsia="Times New Roman" w:hAnsi="Times New Roman" w:cs="Times New Roman"/>
        </w:rPr>
      </w:pPr>
      <w:r>
        <w:rPr>
          <w:rFonts w:ascii="Times New Roman" w:eastAsia="Times New Roman" w:hAnsi="Times New Roman" w:cs="Times New Roman"/>
        </w:rPr>
        <w:t> </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1.2.3.2实施时间要求</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自合同签订之日起</w:t>
      </w:r>
      <w:r>
        <w:rPr>
          <w:rFonts w:ascii="仿宋_GB2312" w:eastAsia="仿宋_GB2312" w:hAnsi="仿宋_GB2312" w:cs="仿宋_GB2312"/>
          <w:sz w:val="28"/>
          <w:szCs w:val="28"/>
        </w:rPr>
        <w:t>，</w:t>
      </w:r>
      <w:r>
        <w:rPr>
          <w:rFonts w:ascii="仿宋_GB2312" w:eastAsia="仿宋_GB2312" w:hAnsi="仿宋_GB2312" w:cs="仿宋_GB2312"/>
          <w:sz w:val="28"/>
          <w:szCs w:val="28"/>
        </w:rPr>
        <w:t>3个月内</w:t>
      </w:r>
      <w:r>
        <w:rPr>
          <w:rFonts w:ascii="仿宋_GB2312" w:eastAsia="仿宋_GB2312" w:hAnsi="仿宋_GB2312" w:cs="仿宋_GB2312"/>
          <w:sz w:val="28"/>
          <w:szCs w:val="28"/>
        </w:rPr>
        <w:t>完成</w:t>
      </w:r>
      <w:r>
        <w:rPr>
          <w:rFonts w:ascii="仿宋_GB2312" w:eastAsia="仿宋_GB2312" w:hAnsi="仿宋_GB2312" w:cs="仿宋_GB2312"/>
          <w:sz w:val="28"/>
          <w:szCs w:val="28"/>
        </w:rPr>
        <w:t>。</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1.2.3.3实施地点要求</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国家税务总局吉林省税务局。</w:t>
      </w:r>
    </w:p>
    <w:p>
      <w:pPr>
        <w:pStyle w:val="Heading30"/>
        <w:keepNext w:val="0"/>
        <w:spacing w:before="0" w:after="0" w:line="360" w:lineRule="auto"/>
        <w:rPr>
          <w:rFonts w:ascii="仿宋_GB2312" w:eastAsia="仿宋_GB2312" w:hAnsi="仿宋_GB2312" w:cs="仿宋_GB2312"/>
          <w:b/>
          <w:bCs/>
          <w:sz w:val="28"/>
          <w:szCs w:val="28"/>
        </w:rPr>
      </w:pPr>
      <w:bookmarkStart w:id="11" w:name="_Toc256000007"/>
      <w:r>
        <w:rPr>
          <w:rFonts w:ascii="仿宋_GB2312" w:eastAsia="仿宋_GB2312" w:hAnsi="仿宋_GB2312" w:cs="仿宋_GB2312"/>
          <w:sz w:val="28"/>
          <w:szCs w:val="28"/>
        </w:rPr>
        <w:t>1.2.4系统情况</w:t>
      </w:r>
      <w:bookmarkEnd w:id="11"/>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1.2.4.1现有软件系统的主要功能</w:t>
      </w:r>
    </w:p>
    <w:p>
      <w:pPr>
        <w:pStyle w:val="Normal0"/>
        <w:spacing w:before="0" w:after="0" w:line="360" w:lineRule="auto"/>
        <w:rPr>
          <w:rFonts w:ascii="Times New Roman" w:eastAsia="Times New Roman" w:hAnsi="Times New Roman" w:cs="Times New Roman"/>
        </w:rPr>
      </w:pPr>
      <w:r>
        <w:rPr>
          <w:rFonts w:ascii="Times New Roman" w:eastAsia="Times New Roman" w:hAnsi="Times New Roman" w:cs="Times New Roman"/>
          <w:sz w:val="28"/>
          <w:szCs w:val="28"/>
        </w:rPr>
        <w:t>    </w:t>
      </w:r>
      <w:r>
        <w:rPr>
          <w:rFonts w:ascii="仿宋_GB2312" w:eastAsia="仿宋_GB2312" w:hAnsi="仿宋_GB2312" w:cs="仿宋_GB2312"/>
          <w:sz w:val="28"/>
          <w:szCs w:val="28"/>
        </w:rPr>
        <w:t>电子档案系统通过现场拍照、扫描等方式将税收业务办理过程中需要存档的纸质征管档案资料转化为数据电文格式，存储在指定介质中，并建立与核心征管业务流程、办理节点以及与纸质档案资料的对应关系。对税收业务办理过程中涉及的征管档案资料的归档、退档、借阅和销毁实施全程信息化管理，对税收征管档案一次采集、反复利用、信息共享。档案资料的采集实现了</w:t>
      </w:r>
      <w:r>
        <w:rPr>
          <w:rFonts w:ascii="仿宋_GB2312" w:eastAsia="仿宋_GB2312" w:hAnsi="仿宋_GB2312" w:cs="仿宋_GB2312"/>
          <w:sz w:val="28"/>
          <w:szCs w:val="28"/>
        </w:rPr>
        <w:t>"资料复用"，从初期的手工查询向软件技术自动提示的转变；实现了定位查询功能，可准确显示资料存放具体位置，提高了原始纸质资料查阅工作效率；避免基础资料的缺失，提供真实、全面、完整、合法的原始基础信息，可有效解决不同层级、不同部门数据实时利用问题，提高了征管资料档案利用价值。同时，结合吉林省税务局征收管理工作的实际需要，系统还提供了执法视频过程的采集及及执法视频影像的查询，税务事项通知书邮寄等功能。</w:t>
      </w:r>
    </w:p>
    <w:p>
      <w:pPr>
        <w:pStyle w:val="MsoNormal"/>
        <w:spacing w:before="0" w:after="0" w:line="360" w:lineRule="auto"/>
        <w:ind w:firstLine="640"/>
        <w:jc w:val="both"/>
        <w:rPr>
          <w:rFonts w:ascii="Times New Roman" w:eastAsia="Times New Roman" w:hAnsi="Times New Roman" w:cs="Times New Roman"/>
        </w:rPr>
      </w:pPr>
      <w:r>
        <w:rPr>
          <w:rFonts w:ascii="Times New Roman" w:eastAsia="Times New Roman" w:hAnsi="Times New Roman" w:cs="Times New Roman"/>
        </w:rPr>
        <w:t> </w:t>
      </w:r>
    </w:p>
    <w:p>
      <w:pPr>
        <w:pStyle w:val="Heading10"/>
        <w:keepNext w:val="0"/>
        <w:spacing w:before="0" w:after="0" w:line="360" w:lineRule="auto"/>
        <w:jc w:val="center"/>
        <w:rPr>
          <w:rFonts w:ascii="仿宋_GB2312" w:eastAsia="仿宋_GB2312" w:hAnsi="仿宋_GB2312" w:cs="仿宋_GB2312"/>
          <w:b/>
          <w:bCs/>
          <w:sz w:val="32"/>
          <w:szCs w:val="32"/>
        </w:rPr>
      </w:pPr>
      <w:bookmarkStart w:id="12" w:name="_Toc256000008"/>
      <w:r>
        <w:rPr>
          <w:rFonts w:ascii="仿宋_GB2312" w:eastAsia="仿宋_GB2312" w:hAnsi="仿宋_GB2312" w:cs="仿宋_GB2312"/>
          <w:kern w:val="36"/>
        </w:rPr>
        <w:t>2投标/响应要求</w:t>
      </w:r>
      <w:bookmarkEnd w:id="12"/>
    </w:p>
    <w:p>
      <w:pPr>
        <w:pStyle w:val="Heading20"/>
        <w:keepNext w:val="0"/>
        <w:spacing w:before="0" w:after="0" w:line="360" w:lineRule="auto"/>
        <w:rPr>
          <w:rFonts w:ascii="仿宋_GB2312" w:eastAsia="仿宋_GB2312" w:hAnsi="仿宋_GB2312" w:cs="仿宋_GB2312"/>
          <w:b/>
          <w:bCs/>
          <w:sz w:val="28"/>
          <w:szCs w:val="28"/>
        </w:rPr>
      </w:pPr>
      <w:bookmarkStart w:id="13" w:name="_Toc256000009"/>
      <w:r>
        <w:rPr>
          <w:rFonts w:ascii="仿宋_GB2312" w:eastAsia="仿宋_GB2312" w:hAnsi="仿宋_GB2312" w:cs="仿宋_GB2312"/>
          <w:i w:val="0"/>
          <w:iCs w:val="0"/>
        </w:rPr>
        <w:t>2.1对供应商的要求</w:t>
      </w:r>
      <w:bookmarkEnd w:id="13"/>
    </w:p>
    <w:p>
      <w:pPr>
        <w:pStyle w:val="Heading30"/>
        <w:keepNext w:val="0"/>
        <w:spacing w:before="0" w:after="0" w:line="360" w:lineRule="auto"/>
        <w:rPr>
          <w:rFonts w:ascii="仿宋_GB2312" w:eastAsia="仿宋_GB2312" w:hAnsi="仿宋_GB2312" w:cs="仿宋_GB2312"/>
          <w:b/>
          <w:bCs/>
          <w:sz w:val="28"/>
          <w:szCs w:val="28"/>
        </w:rPr>
      </w:pPr>
      <w:bookmarkStart w:id="14" w:name="_Toc256000010"/>
      <w:r>
        <w:rPr>
          <w:rFonts w:ascii="仿宋_GB2312" w:eastAsia="仿宋_GB2312" w:hAnsi="仿宋_GB2312" w:cs="仿宋_GB2312"/>
          <w:sz w:val="28"/>
          <w:szCs w:val="28"/>
        </w:rPr>
        <w:t>2.1.1必备资质</w:t>
      </w:r>
      <w:bookmarkEnd w:id="14"/>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1）法人或者其他组织的营业执照等证明文件（复印件）；</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2024年度经会计师事务所审计的财务报告，包括资产负债表、利润表(损益表、收益表)、现金流量表、所有者权益变动表及其附注（复印件）；开业不满一年的提供验资报告或银行出具的资信证明或公司成立之日后的财务报表（复印件）；财务报告中要求提供内容为实质性要求条款(即重要条款)，缺少相关资料，在评标时将其视为无效投标；</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3）近6个月内并不少于2个月依法缴纳税收的相关材料，如依法免税或不需要纳税的，则应提供相应文件证明（复印件）；</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4）近6个月内并不少于2个月依法缴纳社会保障资金的相关材料，如依法不需要缴纳社会保障资金的，则应提供相应文件证明（复印件）；</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5）参加本项目投标前三年内，在经营活动中没有重大违法记录（指供应商因违法经营受到刑事处罚或者责令停产停业、吊销许可证或者执照、较大数额罚款等行政处罚）的书面声明；</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sz w:val="28"/>
          <w:szCs w:val="28"/>
        </w:rPr>
        <w:t> </w:t>
      </w:r>
      <w:r>
        <w:rPr>
          <w:rFonts w:ascii="仿宋_GB2312" w:eastAsia="仿宋_GB2312" w:hAnsi="仿宋_GB2312" w:cs="仿宋_GB2312"/>
          <w:sz w:val="28"/>
          <w:szCs w:val="28"/>
        </w:rPr>
        <w:t>（</w:t>
      </w:r>
      <w:r>
        <w:rPr>
          <w:rFonts w:ascii="仿宋_GB2312" w:eastAsia="仿宋_GB2312" w:hAnsi="仿宋_GB2312" w:cs="仿宋_GB2312"/>
          <w:sz w:val="28"/>
          <w:szCs w:val="28"/>
        </w:rPr>
        <w:t>6）具备履行合同所必需的设备和专业技术能力的证明材料(由供应商根据项目需求提供说明材料或者承诺)。</w:t>
      </w:r>
    </w:p>
    <w:p>
      <w:pPr>
        <w:pStyle w:val="Heading3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sz w:val="28"/>
          <w:szCs w:val="28"/>
        </w:rPr>
        <w:t>2.1.2优选资质/优选指标</w:t>
      </w:r>
      <w:bookmarkEnd w:id="15"/>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TableNormal"/>
        <w:tblW w:w="5000" w:type="pct"/>
        <w:tblInd w:w="30" w:type="dxa"/>
        <w:tblCellMar>
          <w:top w:w="15" w:type="dxa"/>
          <w:left w:w="15" w:type="dxa"/>
          <w:bottom w:w="15" w:type="dxa"/>
          <w:right w:w="15" w:type="dxa"/>
        </w:tblCellMar>
      </w:tblPr>
      <w:tblGrid>
        <w:gridCol w:w="219"/>
        <w:gridCol w:w="1638"/>
        <w:gridCol w:w="7213"/>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信息安全管理体系认证(ISO/IEC 27001)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 xml:space="preserve">颁发部门：颁发证书的认证机构必需是经过CNCA国家认证监督委员会(认监委)认可的认证机构方可在国内进行审核发证，所有通过认证且合法的证书均可在CNCA的网站上进行查询。 </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相关要求：证书在有效期内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信息技术服务管理体系认证(ISO/IEC 20000)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 xml:space="preserve">颁发部门：颁发证书的认证机构必需是经过CNCA国家认证监督委员会(认监委)认可的认证机构方可在国内进行审核发证，所有通过认证且合法的证书均可在CNCA的网站上进行查询。 </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相关要求：证书在有效期内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质量管理体系认证证书(ISO9001)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 xml:space="preserve">颁发部门：颁发证书的认证机构必需是经过CNCA国家认证监督委员会(认监委)认可的认证机构方可在国内进行审核发证，所有通过认证且合法的证书均可在CNCA的网站上进行查询。 </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相关要求：证书在有效期内</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Normal0"/>
        <w:spacing w:before="0" w:after="0" w:line="360" w:lineRule="auto"/>
        <w:ind w:firstLine="0"/>
        <w:rPr>
          <w:rFonts w:ascii="Times New Roman" w:eastAsia="Times New Roman" w:hAnsi="Times New Roman" w:cs="Times New Roman"/>
        </w:rPr>
      </w:pPr>
      <w:r>
        <w:rPr>
          <w:rFonts w:ascii="Times New Roman" w:eastAsia="Times New Roman" w:hAnsi="Times New Roman" w:cs="Times New Roman"/>
          <w:color w:val="95A5A6"/>
          <w:sz w:val="28"/>
          <w:szCs w:val="28"/>
        </w:rPr>
        <w:t>   </w:t>
      </w:r>
      <w:r>
        <w:rPr>
          <w:rFonts w:ascii="宋体" w:eastAsia="宋体" w:hAnsi="宋体" w:cs="宋体"/>
          <w:color w:val="95A5A6"/>
          <w:sz w:val="28"/>
          <w:szCs w:val="28"/>
        </w:rPr>
        <w:t> </w:t>
      </w:r>
      <w:r>
        <w:rPr>
          <w:rFonts w:ascii="仿宋_GB2312" w:eastAsia="仿宋_GB2312" w:hAnsi="仿宋_GB2312" w:cs="仿宋_GB2312"/>
          <w:sz w:val="32"/>
          <w:szCs w:val="32"/>
        </w:rPr>
        <w:t>提供</w:t>
      </w:r>
      <w:r>
        <w:rPr>
          <w:rFonts w:ascii="仿宋_GB2312" w:eastAsia="仿宋_GB2312" w:hAnsi="仿宋_GB2312" w:cs="仿宋_GB2312"/>
          <w:sz w:val="32"/>
          <w:szCs w:val="32"/>
        </w:rPr>
        <w:t>2022年1月1日以来（以合同签订日期为准）独立承担实施的相似或类似升级改造项目成功案例。</w:t>
      </w:r>
      <w:r>
        <w:rPr>
          <w:sz w:val="32"/>
          <w:szCs w:val="32"/>
        </w:rPr>
        <w:t> </w:t>
      </w:r>
    </w:p>
    <w:p>
      <w:pPr>
        <w:pStyle w:val="MsoNormal"/>
        <w:spacing w:before="0" w:after="0" w:line="360" w:lineRule="auto"/>
        <w:ind w:firstLine="0"/>
        <w:jc w:val="both"/>
        <w:rPr>
          <w:rFonts w:ascii="Times New Roman" w:eastAsia="Times New Roman" w:hAnsi="Times New Roman" w:cs="Times New Roman"/>
        </w:rPr>
      </w:pPr>
      <w:r>
        <w:rPr>
          <w:rFonts w:ascii="Times New Roman" w:eastAsia="Times New Roman" w:hAnsi="Times New Roman" w:cs="Times New Roman"/>
        </w:rPr>
        <w:t> </w:t>
      </w:r>
    </w:p>
    <w:p>
      <w:pPr>
        <w:pStyle w:val="Heading3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sz w:val="28"/>
          <w:szCs w:val="28"/>
        </w:rPr>
        <w:t>2.1.3是否允许联合体</w:t>
      </w:r>
      <w:bookmarkEnd w:id="16"/>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2.1.4是否专门面向中小企业</w:t>
      </w:r>
      <w:bookmarkEnd w:id="17"/>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本项目专门面向中小企业采购项目</w:t>
      </w:r>
    </w:p>
    <w:p>
      <w:pPr>
        <w:pStyle w:val="Heading30"/>
        <w:keepNext w:val="0"/>
        <w:spacing w:before="0" w:after="0" w:line="360" w:lineRule="auto"/>
        <w:rPr>
          <w:rFonts w:ascii="仿宋_GB2312" w:eastAsia="仿宋_GB2312" w:hAnsi="仿宋_GB2312" w:cs="仿宋_GB2312"/>
          <w:b/>
          <w:bCs/>
          <w:sz w:val="28"/>
          <w:szCs w:val="28"/>
        </w:rPr>
      </w:pPr>
      <w:bookmarkStart w:id="18" w:name="_Toc256000014"/>
      <w:r>
        <w:rPr>
          <w:rFonts w:ascii="仿宋_GB2312" w:eastAsia="仿宋_GB2312" w:hAnsi="仿宋_GB2312" w:cs="仿宋_GB2312"/>
          <w:sz w:val="28"/>
          <w:szCs w:val="28"/>
        </w:rPr>
        <w:t>2.1.5其他要求</w:t>
      </w:r>
      <w:bookmarkEnd w:id="18"/>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技术力量要求：</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根据各投标人拟投入本项目技术人员定位、岗位职责、合理。</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投标人拟投入本项目技术人员资质、专业程度、工作经验。</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项目经理的工作年限、类似项目管理经验丰富。</w:t>
      </w:r>
    </w:p>
    <w:p>
      <w:pPr>
        <w:pStyle w:val="Heading20"/>
        <w:keepNext w:val="0"/>
        <w:spacing w:before="0" w:after="0" w:line="360" w:lineRule="auto"/>
        <w:rPr>
          <w:rFonts w:ascii="仿宋_GB2312" w:eastAsia="仿宋_GB2312" w:hAnsi="仿宋_GB2312" w:cs="仿宋_GB2312"/>
          <w:b/>
          <w:bCs/>
          <w:sz w:val="28"/>
          <w:szCs w:val="28"/>
        </w:rPr>
      </w:pPr>
      <w:bookmarkStart w:id="19" w:name="_Toc256000015"/>
      <w:r>
        <w:rPr>
          <w:rFonts w:ascii="仿宋_GB2312" w:eastAsia="仿宋_GB2312" w:hAnsi="仿宋_GB2312" w:cs="仿宋_GB2312"/>
          <w:i w:val="0"/>
          <w:iCs w:val="0"/>
        </w:rPr>
        <w:t>2.2技术部分投标/响应内容</w:t>
      </w:r>
      <w:bookmarkEnd w:id="19"/>
    </w:p>
    <w:p>
      <w:pPr>
        <w:pStyle w:val="Heading3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sz w:val="28"/>
          <w:szCs w:val="28"/>
        </w:rPr>
        <w:t>2.2.1技术投标/响应总要求</w:t>
      </w:r>
      <w:bookmarkEnd w:id="20"/>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投标人必须针对招标文件</w:t>
      </w:r>
      <w:r>
        <w:rPr>
          <w:rFonts w:ascii="仿宋_GB2312" w:eastAsia="仿宋_GB2312" w:hAnsi="仿宋_GB2312" w:cs="仿宋_GB2312"/>
          <w:sz w:val="28"/>
          <w:szCs w:val="28"/>
        </w:rPr>
        <w:t>(技术部分)中有关章节的需求逐个或分块作出实质性响应，其响应应与需求书内容采用同样的顺序,对每个需求的响应必须遵循如下规则:</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1、重复该需求;</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2、简要描述应答书或应答方案如何满足该需求，如果该响应在应答书其它部分有详述，可在该处简单应答，但必须给出确切的位置索引</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3、解释应答书或应答方案与国家税务总局需求之间的偏差;用数量来表示的需求，必须用确切的数字、单位来响应;</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4、投标人应提供实质性确切响应，并有详细的文字描述和说明，任何仅采用“符合”、“满足”或非确定性数值(如“&gt;-”或)的响应均将被视为没有对本需求书的实质性响应，从而可能导致严重后果;有关表格部分的响应应按商务部分规定的格式列出.</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5、招标文件(技术部分)中有标注★号的，为必备服务要求，必须满足，如未作出响应或响应不满足的，将导致投标无效。</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6、如《招标文件-技术部分》中有标注“#”为重要指标、标注“△”为一般指标项，满足在评审时予以加分。</w:t>
      </w:r>
    </w:p>
    <w:p>
      <w:pPr>
        <w:pStyle w:val="Heading30"/>
        <w:keepNext w:val="0"/>
        <w:spacing w:before="0" w:after="0" w:line="360" w:lineRule="auto"/>
        <w:rPr>
          <w:rFonts w:ascii="仿宋_GB2312" w:eastAsia="仿宋_GB2312" w:hAnsi="仿宋_GB2312" w:cs="仿宋_GB2312"/>
          <w:b/>
          <w:bCs/>
          <w:sz w:val="28"/>
          <w:szCs w:val="28"/>
        </w:rPr>
      </w:pPr>
      <w:bookmarkStart w:id="21" w:name="_Toc256000017"/>
      <w:r>
        <w:rPr>
          <w:rFonts w:ascii="仿宋_GB2312" w:eastAsia="仿宋_GB2312" w:hAnsi="仿宋_GB2312" w:cs="仿宋_GB2312"/>
          <w:sz w:val="28"/>
          <w:szCs w:val="28"/>
        </w:rPr>
        <w:t>2.2.2投标/响应方案要求</w:t>
      </w:r>
      <w:bookmarkEnd w:id="21"/>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以下相关方案，若作为评审因素，则投标人应在满足★关键指标项要求的前提下，根据项目特点和采购需求，制定更为完整、详细、可操作性强的方案。</w:t>
      </w:r>
    </w:p>
    <w:p>
      <w:pPr>
        <w:pStyle w:val="MsoNormal"/>
        <w:spacing w:before="0" w:after="0" w:line="360" w:lineRule="auto"/>
        <w:ind w:left="0" w:right="0" w:firstLine="480"/>
        <w:jc w:val="both"/>
        <w:rPr>
          <w:rFonts w:ascii="Times New Roman" w:eastAsia="Times New Roman" w:hAnsi="Times New Roman" w:cs="Times New Roman"/>
        </w:rPr>
      </w:pPr>
      <w:r>
        <w:rPr>
          <w:sz w:val="22"/>
          <w:szCs w:val="22"/>
        </w:rPr>
        <w:t>1.项目管理实施方案：投标人提供的方案内容应包含项目管理实施总要求、项目实施进度及项目质量管理。</w:t>
      </w:r>
    </w:p>
    <w:p>
      <w:pPr>
        <w:pStyle w:val="MsoNormal"/>
        <w:spacing w:before="0" w:after="0" w:line="360" w:lineRule="auto"/>
        <w:ind w:left="0" w:right="0" w:firstLine="480"/>
        <w:jc w:val="both"/>
        <w:rPr>
          <w:rFonts w:ascii="Times New Roman" w:eastAsia="Times New Roman" w:hAnsi="Times New Roman" w:cs="Times New Roman"/>
        </w:rPr>
      </w:pPr>
      <w:r>
        <w:rPr>
          <w:sz w:val="22"/>
          <w:szCs w:val="22"/>
        </w:rPr>
        <w:t>2.升级改造方案：投标人提供的方案内容应包含需求分析、升级计划、技术评估及服务。</w:t>
      </w:r>
    </w:p>
    <w:p>
      <w:pPr>
        <w:pStyle w:val="MsoNormal"/>
        <w:spacing w:before="0" w:after="0" w:line="360" w:lineRule="auto"/>
        <w:ind w:left="0" w:right="0" w:firstLine="480"/>
        <w:jc w:val="both"/>
        <w:rPr>
          <w:rFonts w:ascii="Times New Roman" w:eastAsia="Times New Roman" w:hAnsi="Times New Roman" w:cs="Times New Roman"/>
        </w:rPr>
      </w:pPr>
      <w:r>
        <w:rPr>
          <w:sz w:val="22"/>
          <w:szCs w:val="22"/>
        </w:rPr>
        <w:t>3.应急及安全保障方案：投标人提供的方案内容应包含安全保障方法、预警和预防机制、应急响应及处置措施。</w:t>
      </w:r>
    </w:p>
    <w:p>
      <w:pPr>
        <w:pStyle w:val="MsoNormal"/>
        <w:spacing w:before="0" w:after="0" w:line="360" w:lineRule="auto"/>
        <w:ind w:left="0" w:right="0" w:firstLine="480"/>
        <w:jc w:val="both"/>
        <w:rPr>
          <w:rFonts w:ascii="Times New Roman" w:eastAsia="Times New Roman" w:hAnsi="Times New Roman" w:cs="Times New Roman"/>
        </w:rPr>
      </w:pPr>
      <w:r>
        <w:rPr>
          <w:sz w:val="22"/>
          <w:szCs w:val="22"/>
        </w:rPr>
        <w:t>4.保密方案：投标人提供的方案内容应包含保密组织管理、保密制度及保密措施。</w:t>
      </w:r>
    </w:p>
    <w:p>
      <w:pPr>
        <w:pStyle w:val="MsoNormal"/>
        <w:spacing w:before="0" w:after="0" w:line="360" w:lineRule="auto"/>
        <w:ind w:left="0" w:right="0" w:firstLine="480"/>
        <w:jc w:val="both"/>
        <w:rPr>
          <w:rFonts w:ascii="Times New Roman" w:eastAsia="Times New Roman" w:hAnsi="Times New Roman" w:cs="Times New Roman"/>
        </w:rPr>
      </w:pPr>
      <w:r>
        <w:rPr>
          <w:sz w:val="22"/>
          <w:szCs w:val="22"/>
        </w:rPr>
        <w:t>5.项目验收方案：投标人提供的方案内容应包含验收组织流程、验收依据和标准、验收中出现问题的解决办法及补救措施。</w:t>
      </w:r>
    </w:p>
    <w:p>
      <w:pPr>
        <w:pStyle w:val="Heading10"/>
        <w:keepNext w:val="0"/>
        <w:spacing w:before="0" w:after="0" w:line="360" w:lineRule="auto"/>
        <w:jc w:val="center"/>
        <w:rPr>
          <w:rFonts w:ascii="仿宋_GB2312" w:eastAsia="仿宋_GB2312" w:hAnsi="仿宋_GB2312" w:cs="仿宋_GB2312"/>
          <w:b/>
          <w:bCs/>
          <w:sz w:val="32"/>
          <w:szCs w:val="32"/>
        </w:rPr>
      </w:pPr>
      <w:bookmarkStart w:id="22" w:name="_Toc256000018"/>
      <w:r>
        <w:rPr>
          <w:rFonts w:ascii="仿宋_GB2312" w:eastAsia="仿宋_GB2312" w:hAnsi="仿宋_GB2312" w:cs="仿宋_GB2312"/>
          <w:kern w:val="36"/>
        </w:rPr>
        <w:t>3项目需求</w:t>
      </w:r>
      <w:bookmarkEnd w:id="22"/>
    </w:p>
    <w:p>
      <w:pPr>
        <w:pStyle w:val="Heading20"/>
        <w:keepNext w:val="0"/>
        <w:spacing w:before="0" w:after="0" w:line="360" w:lineRule="auto"/>
        <w:rPr>
          <w:rFonts w:ascii="仿宋_GB2312" w:eastAsia="仿宋_GB2312" w:hAnsi="仿宋_GB2312" w:cs="仿宋_GB2312"/>
          <w:b/>
          <w:bCs/>
          <w:sz w:val="28"/>
          <w:szCs w:val="28"/>
        </w:rPr>
      </w:pPr>
      <w:bookmarkStart w:id="23" w:name="_Toc256000019"/>
      <w:r>
        <w:rPr>
          <w:rFonts w:ascii="仿宋_GB2312" w:eastAsia="仿宋_GB2312" w:hAnsi="仿宋_GB2312" w:cs="仿宋_GB2312"/>
          <w:i w:val="0"/>
          <w:iCs w:val="0"/>
        </w:rPr>
        <w:t>3.1总体要求</w:t>
      </w:r>
      <w:bookmarkEnd w:id="23"/>
    </w:p>
    <w:p>
      <w:pPr>
        <w:pStyle w:val="Normal0"/>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   </w:t>
      </w:r>
      <w:r>
        <w:rPr>
          <w:rFonts w:ascii="仿宋_GB2312" w:eastAsia="仿宋_GB2312" w:hAnsi="仿宋_GB2312" w:cs="仿宋_GB2312"/>
          <w:sz w:val="32"/>
          <w:szCs w:val="32"/>
        </w:rPr>
        <w:t> </w:t>
      </w:r>
      <w:r>
        <w:rPr>
          <w:rFonts w:ascii="仿宋_GB2312" w:eastAsia="仿宋_GB2312" w:hAnsi="仿宋_GB2312" w:cs="仿宋_GB2312"/>
          <w:sz w:val="28"/>
          <w:szCs w:val="28"/>
        </w:rPr>
        <w:t>对电子档案子系统完成升级改造。</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1、原有功能介绍</w:t>
      </w:r>
    </w:p>
    <w:p>
      <w:pPr>
        <w:pStyle w:val="MsoNormal"/>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原有普通档案采集功能，通过现场拍照、扫描等方式将税收业务办理过程中需要存档的纸质征管档案资料转化为数据电文格式，存储在指定介质中，并建立与核心征管业务流程、办理节点以及与纸质档案资料的对应关系。</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2、升级改造具体内容</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增设欠税业务档案管理功能，包括欠税业务档案采集功能、欠税业务档案查询及统计功能。</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增设数电票业务档案管理功能，包括数电票业务档案采集功能、数电票业务档案归档管理功能、数电票业务档案查询及统计功能。</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电子档案系统现有功能完善，包括增设在线连续扫描图片功能、优化档案采集功能、增设批量上传</w:t>
      </w:r>
      <w:r>
        <w:rPr>
          <w:rFonts w:ascii="仿宋_GB2312" w:eastAsia="仿宋_GB2312" w:hAnsi="仿宋_GB2312" w:cs="仿宋_GB2312"/>
          <w:sz w:val="28"/>
          <w:szCs w:val="28"/>
        </w:rPr>
        <w:t>PDF文件功能、优化档案补采功能、优化影印浏览功能、优化档案查询功能、优化档案移交功能、增设档案统计功能、优化执法视频采集功能、优化执法视频查询功能。</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增设历史档案管理功能功能，包括历史档案采集功能、历史档案查询功能、历史档案统计功能。</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核心征管业务事项数据加工，包括业务事项配置、核心征管欠税业务加工、统一工作平台功能集成。</w:t>
      </w:r>
    </w:p>
    <w:p>
      <w:pPr>
        <w:pStyle w:val="Heading20"/>
        <w:keepNext w:val="0"/>
        <w:spacing w:before="0" w:after="0" w:line="360" w:lineRule="auto"/>
        <w:rPr>
          <w:rFonts w:ascii="仿宋_GB2312" w:eastAsia="仿宋_GB2312" w:hAnsi="仿宋_GB2312" w:cs="仿宋_GB2312"/>
          <w:b/>
          <w:bCs/>
          <w:sz w:val="28"/>
          <w:szCs w:val="28"/>
        </w:rPr>
      </w:pPr>
      <w:bookmarkStart w:id="24" w:name="_Toc256000020"/>
      <w:r>
        <w:rPr>
          <w:rFonts w:ascii="仿宋_GB2312" w:eastAsia="仿宋_GB2312" w:hAnsi="仿宋_GB2312" w:cs="仿宋_GB2312"/>
          <w:i w:val="0"/>
          <w:iCs w:val="0"/>
        </w:rPr>
        <w:t>3.2服务内容和要求</w:t>
      </w:r>
      <w:bookmarkEnd w:id="2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p>
      <w:pPr>
        <w:pStyle w:val="Heading30"/>
        <w:keepNext w:val="0"/>
        <w:spacing w:before="0" w:after="0" w:line="360" w:lineRule="auto"/>
        <w:rPr>
          <w:rFonts w:ascii="仿宋_GB2312" w:eastAsia="仿宋_GB2312" w:hAnsi="仿宋_GB2312" w:cs="仿宋_GB2312"/>
          <w:b/>
          <w:bCs/>
          <w:sz w:val="28"/>
          <w:szCs w:val="28"/>
        </w:rPr>
      </w:pPr>
      <w:bookmarkStart w:id="25" w:name="_Toc256000021"/>
      <w:r>
        <w:rPr>
          <w:rFonts w:ascii="仿宋_GB2312" w:eastAsia="仿宋_GB2312" w:hAnsi="仿宋_GB2312" w:cs="仿宋_GB2312"/>
          <w:sz w:val="28"/>
          <w:szCs w:val="28"/>
        </w:rPr>
        <w:t>3.2.1技术和服务客观指标</w:t>
      </w:r>
      <w:bookmarkEnd w:id="25"/>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3.2.1.1服务1</w:t>
      </w:r>
    </w:p>
    <w:p>
      <w:pPr>
        <w:pStyle w:val="16"/>
        <w:keepNext/>
        <w:spacing w:before="0" w:after="0" w:line="360" w:lineRule="auto"/>
        <w:ind w:left="0" w:firstLine="643"/>
        <w:jc w:val="both"/>
        <w:textAlignment w:val="baseline"/>
        <w:rPr>
          <w:rFonts w:ascii="Times New Roman" w:eastAsia="Times New Roman" w:hAnsi="Times New Roman" w:cs="Times New Roman"/>
        </w:rPr>
      </w:pPr>
      <w:r>
        <w:rPr>
          <w:rFonts w:ascii="仿宋_GB2312" w:eastAsia="仿宋_GB2312" w:hAnsi="仿宋_GB2312" w:cs="仿宋_GB2312"/>
          <w:b/>
          <w:bCs/>
          <w:sz w:val="28"/>
          <w:szCs w:val="28"/>
        </w:rPr>
        <w:t>（一）电子档案子系统新增业务功能完善功能性需求</w:t>
      </w:r>
    </w:p>
    <w:p>
      <w:pPr>
        <w:pStyle w:val="16"/>
        <w:keepNext/>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1.增设欠税业务档案管理功能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1.1增设欠税业务档案采集功能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1.1.1采集登记</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★需要提供完整的吉林省税务系统欠税管理事项清单，以及事项清单与金四核心征管文书的准确对照关系表。</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1）输入项</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纳税人识别号、纳税人名称、纳税人登记序号、事项大类、</w:t>
      </w: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事项小类、采集时间。</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材料名称、预览、报送类型、在线扫描、本地上传。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3）数据检索与确定</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根据录入的纳税人识别号，自动调取出核心征管系统中的纳税人信息。如果同一纳税人识别号存在多条记录，用户可选择其中一条进行操作。</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4）在线扫描</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支持现有各办税厅的高拍仪在线扫描方式进行上传。</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能够提供功能设计界面原型图，实现对检索出的纳税人，完成欠税业务在线扫描图片的操作。</w:t>
      </w:r>
      <w:r>
        <w:rPr>
          <w:rFonts w:ascii="仿宋_GB2312" w:eastAsia="仿宋_GB2312" w:hAnsi="仿宋_GB2312" w:cs="仿宋_GB2312"/>
          <w:sz w:val="28"/>
          <w:szCs w:val="28"/>
        </w:rPr>
        <w:t> </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5）本地上传（单图上传、批量上传）</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通过本地上传功能上传单个图片及批量上传图片。</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6）图片预览及删除</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点击预览查看原始图片，确认扫描的文件是否正确和清晰，如需要重新采集，可以删除重扫（重传）。</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7）图片编辑</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对已经扫描的图片，提供旋转、裁剪、矩形选取、缩放等编辑功能。</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8）暂存、上传</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对已在线扫描（或本地导入）的图片，程序提供暂存功能，临时存储在系统中，本条待办任务不消失（未办结状态），可继续进行在线扫描、本地导入、预览、删除操作。当执行上传操作后，将全部暂存的图片文件上传至服务器中，本条待办任务状态变为已办结，并在待办任务中消失。</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9）必采提醒</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在上传时，对必须采集的附列资料，如用户没有进行采集图片，在档案上传时对用户进行提醒，提醒信息需要列出遗漏的附列资料。</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10）业务复用</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档案上传完毕后，当前页面仍显示本次已录入的纳税人信息、业务事项信息，方便用户继续对同一纳税人继续操作。</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11）更换纳税人</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当用户需要更换其他纳税人进行新的操作，点击</w:t>
      </w:r>
      <w:r>
        <w:rPr>
          <w:rFonts w:ascii="仿宋_GB2312" w:eastAsia="仿宋_GB2312" w:hAnsi="仿宋_GB2312" w:cs="仿宋_GB2312"/>
          <w:sz w:val="28"/>
          <w:szCs w:val="28"/>
        </w:rPr>
        <w:t>“更换纳税人”，可重置当前页面信息，继续录入新的数据。</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1.1.2采集补录</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1）数据筛选</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纳税人识别号、纳税人名称、登记序号、事项大类、</w:t>
      </w: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事项小类、采集时间。支持对查询参数组合结果行查询。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2）数据展示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数据展示项：序号、勾选项、纳税人名称、事项大类、事项小类、受理时间、受理人员、查看详情、删除。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3）档案查看详情</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在数据展示信息页面，选择某条数据，点击查看详情，默认显示本条记录对应的纳税人识别号（社会信用代码）、纳税人名称、工作事项、采集时间、材料名称、上传页数、预览、在线扫描、本地上传。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4）档案补采（在线扫描）</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在档案详情页面，点击在线扫描，可以在线连续扫描图片。通过高拍仪，可连续对资料进行拍照，支持拍照图片的删除。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5）档案补采图片编辑</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对已经补充扫描的图片，提供旋转、裁剪、矩形选取、缩放等编辑功能。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6）档案补采（本地上传）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在档案详情页面，点击本地上传，可批量导入已存入本地计算机的图片文件，支持已导入的图片文件删除。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7）电子影像预览、删除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在档案详情页面，点击预览，可查看已经补采的原始图片，支持图片轮播，图片方向调整，图片的放大缩小。确认图片文件是否正确和清晰，如需要重新采集，可以删除图片，重扫（重传）。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8）档案上传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对已在线扫描（或本地导入）的图片，程序提供暂存功能，临时存储在系统中，本条记录不消失（未办结状态），可继续进行在线扫描、本地导入、预览、删除操作。当执行上传操作后，将全部暂存的图片文件上传至服务器中，本条记录状态变为已办结。</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9）采集补录必采提醒</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在上传时，对必须采集的附列资料，如用户没有进行采集图片，在档案上传时对用户进行提醒，提醒信息需要列出遗漏的附列资料。</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10）采集补录报表导出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1.2增设欠税业务档案查询及统计功能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1.2.1欠税业务档案查询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能够提供功能设计界面原型图，实现按各种筛选条件组合查询用户所属机构范围内的已移交的欠税业务电子档案。</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1）欠税业务档案数据筛选</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纳税人识别号、纳税人名称、税务机构、欠税业务事项大类、</w:t>
      </w: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欠税业务事项小类、采集时间。支持对查询参数组合结果行查询。</w:t>
      </w:r>
      <w:r>
        <w:rPr>
          <w:rFonts w:ascii="仿宋_GB2312" w:eastAsia="仿宋_GB2312" w:hAnsi="仿宋_GB2312" w:cs="仿宋_GB2312"/>
          <w:sz w:val="28"/>
          <w:szCs w:val="28"/>
        </w:rPr>
        <w:t xml:space="preserve"> </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2）欠税业务档案数据展示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序号、勾选项、纳税人识别号、纳税人名称、欠税业务事项大类、</w:t>
      </w: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欠税业务事项小类、受理时间、查看详情。</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3）欠税业务档案查看详情</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在数据展示信息页面，选择某条数据，点击查看详情，默认显示本条记录对应的纳税人识别号（社会信用代码）、纳税人名称、工作事项、归档日期、材料名称、上传页数、报送类型、预览。</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4）欠税业务电子影像查阅、下载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在档案详情页面，点击预览，可查看电子影像图片，支持图片轮播，图片方向调整，图片的放大缩小。支持图片的单个下载、批量下载。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5）欠税业务报表导出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1.2.2欠税业务档案统计</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能够提供功能设计界面原型图，实现按各种筛选条件组合查询用户所属机构范围内的欠税业务档案归档量。</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1）查询项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查询年份、事项大类、事项小类。支持对查询参数组合结果进行查询。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地区、该年度内各月份的建档数量、采集图片数量。</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3）逐级下钻</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点击地区，下钻至县区层级，依次可下钻至科所。</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本模块自动展示的数据表、支持报表的导出功能。</w:t>
      </w:r>
    </w:p>
    <w:p>
      <w:pPr>
        <w:pStyle w:val="16"/>
        <w:keepNext/>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2.增设数电票业务档案管理功能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2.1增设数电票业务档案采集功能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2.1.1采集登记</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1）输入项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纳税人识别号、纳税人名称、</w:t>
      </w:r>
      <w:r>
        <w:rPr>
          <w:rFonts w:ascii="仿宋_GB2312" w:eastAsia="仿宋_GB2312" w:hAnsi="仿宋_GB2312" w:cs="仿宋_GB2312"/>
          <w:sz w:val="28"/>
          <w:szCs w:val="28"/>
        </w:rPr>
        <w:t xml:space="preserve">  纳税人登记序号、事项大类、 事项小类、采集时间。</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材料名称、预览、报送类型、在线扫描、本地上传。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3）数据检索与确定</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根据录入的纳税人识别号，自动调取出核心征管系统中的纳税人信息。如果同一纳税人识别号存在多条记录，用户可选择其中一条进行操作。</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4）在线扫描</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支持现有各办税厅的高拍仪在线扫描方式进行上传。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5）本地上传（单图上传、批量上传）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通过本地上传功能上传单个图片及批量上传图片。</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6）图片预览及删除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点击预览查看原始图片，确认扫描的文件是否正确和清晰，如需要重新采集，可以删除重扫（重传）。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7）图片编辑</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对已经扫描的图片，提供旋转、裁剪、矩形选取、缩放等编辑功能。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8）暂存、上传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对已在线扫描（或本地导入）的图片，程序提供暂存功能，临时存储在系统中，本条待办任务不消失（未办结状态），可继续进行在线扫描、本地导入、预览、删除操作。当执行上传操作后，将全部暂存的图片文件上传至服务器中，本条待办任务状态变为已办结，并在待办任务中消失。</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9）必采提醒</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在上传时，对必须采集的附列资料，如用户没有进行采集图片，在档案上传时对用户进行提醒，提醒信息需要列出遗漏的附列资料。</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10）业务复用</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档案上传完毕后，当前页面仍显示本次已录入的纳税人信息、业务事项信息，方便用户继续对同一纳税人继续操作。</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11）更换纳税人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当用户需要更换其他纳税人进行新的操作，点击</w:t>
      </w:r>
      <w:r>
        <w:rPr>
          <w:rFonts w:ascii="仿宋_GB2312" w:eastAsia="仿宋_GB2312" w:hAnsi="仿宋_GB2312" w:cs="仿宋_GB2312"/>
          <w:sz w:val="28"/>
          <w:szCs w:val="28"/>
        </w:rPr>
        <w:t>“更换纳税人”，可重置当前页面信息，继续录入新的数据。</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2.1.2采集补录</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1）数据筛选</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纳税人识别号、纳税人名称、登记序号、事项大类、</w:t>
      </w: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事项小类、采集时间。支持对查询参数组合结果行查询。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2）数据展示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序号、勾选项、纳税人名称、事项大类、事项小类、受理时间、受理人员、查看详情、删除。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3）档案查看详情</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在数据展示信息页面，选择某条数据，点击查看详情，默认显示本条记录对应的纳税人识别号（社会信用代码）、纳税人名称、工作事项、归档日期、材料名称、上传页数、预览、在线扫描、本地上传。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4）档案补采（在线扫描）</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在档案详情页面，点击在线扫描，可以在线连续扫描图片。通过高拍仪，可连续对资料进行拍照，支持拍照图片的删除。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5）数电票业务档案补采图片编辑</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对已经补充扫描的图片，提供旋转、裁剪、矩形选取、缩放等编辑功能。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6）档案补采（本地上传）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在档案详情页面，点击本地上传，可批量导入已存入本地计算机的图片文件，支持已导入的图片文件删除。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7）电子影像预览、删除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在档案详情页面，点击预览，可查看已经补采的原始图片，支持图片轮播，图片方向调整，图片的放大缩小。确认图片文件是否正确和清晰，如需要重新采集，可以删除图片，重扫（重传）。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8）档案上传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对已在线扫描（或本地导入）的图片，程序提供暂存功能，临时存储在系统中，本条记录不消失（未办结状态），可继续进行在线扫描、本地导入、预览、删除操作。当执行上传操作后，将全部暂存的图片文件上传至服务器中，本条记录状态变为已办结。</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9）采集补录必采提醒</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在上传时，对必须采集的附列资料，如用户没有进行采集图片，在档案上传时对用户进行提醒，提醒信息需要列出遗漏的附列资料。</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10）采集补录报表导出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2.1.3影印浏览</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1）输入项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根据工作事项、纳税人识别码、纳税人登记序号、纳税人名称、受理时间、受理人员工号、税务机关名称查询数据，参数支持按钮、日期、下拉树等多种控件类型。支持对查询参数组合结果进行查询。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包含序号，纳税人识别号、工作事项、纳税人名称、统一社会信用代码、受理时间、登记序号、受理人员、查看详情。</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点击查看详情，可以查询出纳税人识别码，纳税人名称，工作事项，受理时间，材料名称，登记页数，报送类型，预览。</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点击预览，可以查看图片：支持图片轮播，方向调整，放大缩小，下载图片。</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2.2 增设数电票业务档案归档管理功能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2.2.1档案移交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1）输入项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接收部门、接收人员、纳税人识别码、采集日期，参数支持按钮、日期、下拉树等多种控件类型。支持对查询参数组合结果进行查询。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序号，勾选框，纳税人识别号，纳税人名称，事项名称，采集日期，录入人，页数或件数。</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点击保存按钮，弹出移交清单打印界面，带出移交清单，日期，移交部门，移交人员，接受部门，接受人员</w:t>
      </w:r>
      <w:r>
        <w:rPr>
          <w:rFonts w:ascii="仿宋_GB2312" w:eastAsia="仿宋_GB2312" w:hAnsi="仿宋_GB2312" w:cs="仿宋_GB2312"/>
          <w:sz w:val="28"/>
          <w:szCs w:val="28"/>
        </w:rPr>
        <w:t>,纳税人识别号，纳税人名称，事项名称，采集日期，录入人，页数或件数。</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点击【打印】按钮，打印移交清单，将纸质档案、电子档案、移交清单，全部移交给归档人员。</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2.2.2撤销移交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1）输入项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移交清单号（必填）。</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序号、勾选框、纳税人识别号、纳税人名称、事项名称、采集日期、移交时间、移交部门、移交人员。</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勾选电子档案，点击撤销移交按钮，提示撤销移交成功。</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2.2.3档案归档</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 xml:space="preserve">1）输入项 </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移交部门、移交人员、移交清单、移交日期、纳税人识别号、纳税人名称，参数支持按钮、日期、下拉树等多种控件类型。支持对查询参数组合结果进行查询。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序号、勾选框、移交部门、移交人员、移交清单、移交日期。</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点击导入按钮，可以查询出序号，勾选框，移交人员，移交清单，移交日期</w:t>
      </w:r>
      <w:r>
        <w:rPr>
          <w:rFonts w:ascii="仿宋_GB2312" w:eastAsia="仿宋_GB2312" w:hAnsi="仿宋_GB2312" w:cs="仿宋_GB2312"/>
          <w:sz w:val="28"/>
          <w:szCs w:val="28"/>
        </w:rPr>
        <w:t>,纳税人识别号，纳税人名称，事项名称。</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点击归档按钮，提示归档成功。弹出归档清单打印界面，包含归档流水号，归档日期，归档部门，归档人员，纳税人编码，纳税人名称，事项名称。</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点击打印按钮，可以直接打印。</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2.2.4撤销归档</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1）输入项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归档流水号（必填）。</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序号、勾选框、纳税人识别号、纳税人名称、事项名称、采集日期、移交时间、移交人员、移交部门。</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勾选电子档案，点击撤销归档按钮，提示撤销归档成功。</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2.2.5档案入库</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1）输入项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库房号、档案架号、档案格号、归档流水号、入库按钮。查询按钮。</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社会信用代码、纳税人名称、事项名称、采集日期、归档日期、归档部门、归档流水号。</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勾选需要入库的数据，选择档案架，档案格，可进行档案入库。</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2.2.6撤销入库</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1）输入项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入库顺序号、查询按钮、撤销按钮、清空按钮。</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工作事项、社会信用代码、纳税人名称、受理时间、归档流水号。</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选择库房，点击撤销入库，根据各种筛选条件，点击</w:t>
      </w:r>
      <w:r>
        <w:rPr>
          <w:rFonts w:ascii="仿宋_GB2312" w:eastAsia="仿宋_GB2312" w:hAnsi="仿宋_GB2312" w:cs="仿宋_GB2312"/>
          <w:sz w:val="28"/>
          <w:szCs w:val="28"/>
        </w:rPr>
        <w:t>“查询”。 勾选需要撤销入库的数据，可将档案撤销入库。</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2.3 增设数电票业务档案查询及统计功能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2.3.1数电票业务档案查询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查询用户所属机构范围内的已移交的数电票业务电子档案。</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1）数据筛选</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纳税人识别号、纳税人名称、税务机构、数电票业务事项大类、数电票业务事项小类、采集时间。支持对查询参数组合结果行查询。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2）数据展示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序号、勾选项、纳税人识别号、纳税人名称、数电票业务事项大类、数电票业务事项小类、受理时间、查看详情。</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3）档案查看详情</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在数据展示信息页面，选择某条数据，点击查看详情，默认显示本条记录对应的纳税人识别号（社会信用代码）、纳税人名称、工作事项、归档日期、材料名称、上传页数、报送类型、预览。</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4）电子影像查阅、下载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在档案详情页面，点击预览，可查看电子影像图片，支持图片轮播，图片方向调整，图片的放大缩小。支持图片的单个下载、批量下载。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2.3.2数电票业务档案统计</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1）查询项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查询年份、数电票业务事项大类、数电票业务事项小类。支持对查询参数组合结果进行查询。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地区、领取数电票户数、该年度内各月份的建档数量、采集图片数量、未采集户数、建档率（建档数量</w:t>
      </w:r>
      <w:r>
        <w:rPr>
          <w:rFonts w:ascii="仿宋_GB2312" w:eastAsia="仿宋_GB2312" w:hAnsi="仿宋_GB2312" w:cs="仿宋_GB2312"/>
          <w:sz w:val="28"/>
          <w:szCs w:val="28"/>
        </w:rPr>
        <w:t>/领取数电票户数）。</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3）逐级下钻</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点击地区，下钻至县区层级，依次可下钻至科所。</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4）未采集户明细查看</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点击未采集户数的数字，可链接至详情页，社会信用代码（身份证件号码）、纳税人名称（姓名）、领取数电票日期。</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keepNext/>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3.电子档案系统现有功能完善</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3.1增设在线连续扫描图片功能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能够提供功能设计界面原型图，实现在一个页面上完成全部材料的在线扫描。</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1）采集信息输入项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纳税人识别号、纳税人名称、登记序号、采集时间、受理时间、工作事项。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2）数据检索与确定</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根据录入的纳税人识别号，自动调取出核心征管系统中的纳税人信息。如果同一纳税人识别号存在多条记录，用户可选择其中一条进行操作。</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3）在线扫描</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根据输入的信息项，系统自动显示需要采集的各项附列资料，选择其中任意一项附列资料，进行连续在线扫描，支持现有各办税厅的高拍仪在线扫描方式进行上传。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4）图片预览及删除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点击预览查看原始图片，确认扫描的文件是否正确和清晰，如需要重新采集，可以删除重扫（重传）。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5）图片编辑</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对已经扫描的图片，提供旋转、裁剪、矩形选取、缩放等编辑功能。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6）暂存、上传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对已在线扫描（或本地导入）的图片，程序提供暂存功能，临时存储在系统中，本条待办任务不消失（未办结状态），可继续进行在线扫描、本地导入、预览、删除操作。当执行上传操作后，将全部暂存的图片文件上传至服务器中，本条待办任务状态变为已办结，并在待办任务中消失。</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7）业务复用</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档案上传完毕后，当前页面仍显示本次已录入的纳税人信息、业务事项信息，方便用户继续对同一纳税人继续操作。</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8）更换纳税人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当用户需要更换其他纳税人进行新的操作，点击</w:t>
      </w:r>
      <w:r>
        <w:rPr>
          <w:rFonts w:ascii="仿宋_GB2312" w:eastAsia="仿宋_GB2312" w:hAnsi="仿宋_GB2312" w:cs="仿宋_GB2312"/>
          <w:sz w:val="28"/>
          <w:szCs w:val="28"/>
        </w:rPr>
        <w:t>“更换纳税人”，可重置当前页面信息，继续录入新的数据。</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3.2优化档案采集功能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w:t>
      </w:r>
      <w:r>
        <w:rPr>
          <w:rFonts w:ascii="仿宋_GB2312" w:eastAsia="仿宋_GB2312" w:hAnsi="仿宋_GB2312" w:cs="仿宋_GB2312"/>
          <w:sz w:val="28"/>
          <w:szCs w:val="28"/>
        </w:rPr>
        <w:t>）档案采集功能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新增录入信息项：纳税人办税受理时间。</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w:t>
      </w:r>
      <w:r>
        <w:rPr>
          <w:rFonts w:ascii="仿宋_GB2312" w:eastAsia="仿宋_GB2312" w:hAnsi="仿宋_GB2312" w:cs="仿宋_GB2312"/>
          <w:sz w:val="28"/>
          <w:szCs w:val="28"/>
        </w:rPr>
        <w:t>）档案补采功能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查询结果表中，新增一个信息项：纳税人办税受理时间，纳税人办税受理时间需要获取采集登记时，操作人员选择的时间。</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受理时间字样改为采集时间，受理人员字样改为采集人员。</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w:t>
      </w:r>
      <w:r>
        <w:rPr>
          <w:rFonts w:ascii="仿宋_GB2312" w:eastAsia="仿宋_GB2312" w:hAnsi="仿宋_GB2312" w:cs="仿宋_GB2312"/>
          <w:sz w:val="28"/>
          <w:szCs w:val="28"/>
        </w:rPr>
        <w:t>）影印浏览功能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查询条件，新增一个数据查询筛选项，下拉列表框（日历控件形式），名称：</w:t>
      </w: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纳税人办税受理时间，由录入人员进行选择。</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查询结果表中，新增一个信息项：纳税人办税受理时间；受理时间字样，改为采集时间，受理人员字样改为采集人员。</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w:t>
      </w:r>
      <w:r>
        <w:rPr>
          <w:rFonts w:ascii="仿宋_GB2312" w:eastAsia="仿宋_GB2312" w:hAnsi="仿宋_GB2312" w:cs="仿宋_GB2312"/>
          <w:sz w:val="28"/>
          <w:szCs w:val="28"/>
        </w:rPr>
        <w:t>）档案查询功能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查询条件，新增一个数据查询筛选项，下拉列表框（日历控件形式），名称：纳税人办税受理时间，由录入人员进行选择。</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查询结果表中，新增一个信息项：纳税人办税受理时间；受理时间字样，改为采集时间，受理人员字样改为采集人员。</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w:t>
      </w:r>
      <w:r>
        <w:rPr>
          <w:rFonts w:ascii="仿宋_GB2312" w:eastAsia="仿宋_GB2312" w:hAnsi="仿宋_GB2312" w:cs="仿宋_GB2312"/>
          <w:sz w:val="28"/>
          <w:szCs w:val="28"/>
        </w:rPr>
        <w:t>）档案移交功能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档案移交时，需要只能查询到本人的采集电子档案资料，并可以进行本人名下采集资料的移交操作。</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3.3增设批量上传PDF文件功能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1）新增批量上传pdf文件</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能够提供功能设计界面原型图，实现输入纳税人识别号，选择业务事项，业务办理日期，可批量选择</w:t>
      </w:r>
      <w:r>
        <w:rPr>
          <w:rFonts w:ascii="仿宋_GB2312" w:eastAsia="仿宋_GB2312" w:hAnsi="仿宋_GB2312" w:cs="仿宋_GB2312"/>
          <w:sz w:val="28"/>
          <w:szCs w:val="28"/>
        </w:rPr>
        <w:t>pdf文件进行上传。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2）新增批量上传补充采集的PDF文件</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输入纳税人识别号或档案顺序号，可查看已经采集的</w:t>
      </w:r>
      <w:r>
        <w:rPr>
          <w:rFonts w:ascii="仿宋_GB2312" w:eastAsia="仿宋_GB2312" w:hAnsi="仿宋_GB2312" w:cs="仿宋_GB2312"/>
          <w:sz w:val="28"/>
          <w:szCs w:val="28"/>
        </w:rPr>
        <w:t>PDF文件，在此基础上，可以继续批量选择pdf文件进行上传，并且最终存储的文件要按上传的先后顺序排序。</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3.</w:t>
      </w:r>
      <w:r>
        <w:rPr>
          <w:rFonts w:ascii="仿宋_GB2312" w:eastAsia="仿宋_GB2312" w:hAnsi="仿宋_GB2312" w:cs="仿宋_GB2312"/>
          <w:b/>
          <w:bCs/>
          <w:sz w:val="28"/>
          <w:szCs w:val="28"/>
        </w:rPr>
        <w:t>4</w:t>
      </w:r>
      <w:r>
        <w:rPr>
          <w:rFonts w:ascii="仿宋_GB2312" w:eastAsia="仿宋_GB2312" w:hAnsi="仿宋_GB2312" w:cs="仿宋_GB2312"/>
          <w:b/>
          <w:bCs/>
          <w:sz w:val="28"/>
          <w:szCs w:val="28"/>
        </w:rPr>
        <w:t>增设档案统计功能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能够提供功能设计界面原型图，实现按多种筛选条件，统计普通业务档案归档量。</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1）输入项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查询项：税务机关、采集时间起、止，办税受理时间起、止。支持对查询参数组合结果进行查询。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市州代码、市州名称、县区代码、县区名称、采集机关代码、采集机关名称、事项大类代码、事项大类名称、事项中类代码、事项中类名称、事项小类代码、事项小类名称、建档数量、建档图片数量。</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3.</w:t>
      </w:r>
      <w:r>
        <w:rPr>
          <w:rFonts w:ascii="仿宋_GB2312" w:eastAsia="仿宋_GB2312" w:hAnsi="仿宋_GB2312" w:cs="仿宋_GB2312"/>
          <w:b/>
          <w:bCs/>
          <w:sz w:val="28"/>
          <w:szCs w:val="28"/>
        </w:rPr>
        <w:t>5</w:t>
      </w:r>
      <w:r>
        <w:rPr>
          <w:rFonts w:ascii="仿宋_GB2312" w:eastAsia="仿宋_GB2312" w:hAnsi="仿宋_GB2312" w:cs="仿宋_GB2312"/>
          <w:b/>
          <w:bCs/>
          <w:sz w:val="28"/>
          <w:szCs w:val="28"/>
        </w:rPr>
        <w:t>优化执法视频采集功能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1）将“行政执法公示说明”，改为“执法音像记录事项”。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2）新增对应的执法事项：“减税降费实地核查”，新增对应的执法环节：“对不应享受而享受减税降费政策的实地调查”。可对该业务完成执法视频采集。</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3）配置执法视频有效期限</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只有系统管理员具有该权限，系统管理员配置各执法音像记录事项的项执法视频有效期限。根据《吉林省税务系统执法音像记录事项清单》，执法视频保存期限，可选择为：</w:t>
      </w:r>
      <w:r>
        <w:rPr>
          <w:rFonts w:ascii="仿宋_GB2312" w:eastAsia="仿宋_GB2312" w:hAnsi="仿宋_GB2312" w:cs="仿宋_GB2312"/>
          <w:sz w:val="28"/>
          <w:szCs w:val="28"/>
        </w:rPr>
        <w:t>6个月、永久保存。</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4）执法视频超期存储提醒</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展示已超过保存期限的执法视频记录。普通用户可查看，系统管理员可勾选记录做无效处理。</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3.</w:t>
      </w:r>
      <w:r>
        <w:rPr>
          <w:rFonts w:ascii="仿宋_GB2312" w:eastAsia="仿宋_GB2312" w:hAnsi="仿宋_GB2312" w:cs="仿宋_GB2312"/>
          <w:b/>
          <w:bCs/>
          <w:sz w:val="28"/>
          <w:szCs w:val="28"/>
        </w:rPr>
        <w:t>6</w:t>
      </w:r>
      <w:r>
        <w:rPr>
          <w:rFonts w:ascii="仿宋_GB2312" w:eastAsia="仿宋_GB2312" w:hAnsi="仿宋_GB2312" w:cs="仿宋_GB2312"/>
          <w:b/>
          <w:bCs/>
          <w:sz w:val="28"/>
          <w:szCs w:val="28"/>
        </w:rPr>
        <w:t>优化执法视频查询功能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1）将页面的查询条件和查询结果表格中的“原行政执法公示项目”、“行政执法公示项目”字样，均改为“执法音像记录事项”。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2）查询条件，新增按对应的执法事项：“减税降费实地核查”，执法环节：“对不应享受而享受减税降费政策的实地调查”。</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3）查询结果，新增展示执法事项：“减税降费实地核查”，执法环节：“对不应享受而享受减税降费政策的实地调查”的相关数据。</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4）查询结果，新增一列：“执法视频保存期限”。对于已超过保存期限的记录，当点击查看按钮时，提示：“本条执法视频已超过保存期限，不再提供查看”。</w:t>
      </w:r>
    </w:p>
    <w:p>
      <w:pPr>
        <w:pStyle w:val="16"/>
        <w:keepNext/>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4.增设历史档案管理功能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4.1增设历史档案采集功能</w:t>
      </w:r>
    </w:p>
    <w:p>
      <w:pPr>
        <w:pStyle w:val="MsoNormal"/>
        <w:spacing w:before="0" w:after="0" w:line="360" w:lineRule="auto"/>
        <w:ind w:lef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b/>
          <w:bCs/>
          <w:sz w:val="28"/>
          <w:szCs w:val="28"/>
        </w:rPr>
        <w:t>需要提供完整的吉林省税务系统历史档案税务事项分级目录。</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输入纳税人识别号后，可对该纳税人灵活批量上传历史档案图片，仅需分类到税务事项的二级目录，并且自动入库。</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1）数据录入</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输入项：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纳税人识别号、纳税人名称、</w:t>
      </w:r>
      <w:r>
        <w:rPr>
          <w:rFonts w:ascii="仿宋_GB2312" w:eastAsia="仿宋_GB2312" w:hAnsi="仿宋_GB2312" w:cs="仿宋_GB2312"/>
          <w:sz w:val="28"/>
          <w:szCs w:val="28"/>
        </w:rPr>
        <w:t xml:space="preserve">  纳税人登记序号、事项类别、纳税人办税受理时间、库房号、架号、格号、档案盒号。</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输出项：事项名称、预览、本地上传。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2）数据检索与确定</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根据录入的纳税人识别号，自动调取出核心征管系统中的纳税人信息。如果同一纳税人识别号存在多条记录，用户可选择其中一条进行操作。</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3）本地上传（单图上传、批量上传）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通过本地上传功能上传单个图片及批量上传图片。</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4）图片自动匹配事项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根据图片的命名，自动匹配事项。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5）图片预览及删除</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点击预览查看原始图片，确认扫描的文件是否正确和清晰，如需要重新采集，可以删除重扫（重传）。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6）暂存、上传</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对已在线扫描（或本地导入）的图片，程序提供暂存功能，临时存储在系统中，本条待办任务不消失（未办结状态），可继续进行在线扫描、本地导入、预览、删除操作。当执行上传操作后，将全部暂存的图片文件上传至服务器中，本条待办任务状态变为已办结，并在待办任务中消失。</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7）必采提醒</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在上传时，对必须采集的附列资料，如用户没有进行采集图片，在档案上传时对用户进行提醒，提醒信息需要列出遗漏的附列资料。</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8）确认入库</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根据录入的库房号、架号、格号、档案盒号，匹配登录者所属税务机构的库房，展示需要确认入库的数据，用户勾选后，档案进行入库。</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能够提供功能设计界面原型图，实现对检索出的纳税人，完成历史档案采集的操作。</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4.2增设历史档案查询功能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能够提供功能设计界面原型图，实现按各种筛选条件组合查询用户所属机构范围内的历史业务电子档案。</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1）数据筛选</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纳税人识别号、纳税人名称、税务机构、税务事项、库房号、架号、格号、档案盒号、采集时间起止、办税受理时间起止。支持对查询参数组合结果行查询。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2）数据展示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序号、勾选项、纳税人识别号、纳税人名称、税务机构、税务事项、库房号、架号、格号、档案盒号、采集时间、办税受理时间、查看详情。</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3）档案查看详情</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在数据展示信息页面，选择某条数据，点击查看详情，默认显示本条记录对应的纳税人识别号（社会信用代码）、纳税人名称、工作事项、归档日期、材料名称、上传页数、报送类型、预览。</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4）电子影像查阅、下载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在档案详情页面，点击预览，可查看电子影像图片，支持图片轮播，图片方向调整，图片的放大缩小。支持图片的单个下载、批量下载。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4.3增设历史档案统计功能</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能够提供功能设计界面原型图，实现按多种筛选条件，统计各个市州局下的各县区局上传的档案条数、文件数量。</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1）查询项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税务机关、业务事项、办税受理时间起止、采集时间起止。支持对查询参数组合结果进行查询。</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2）输出项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税务机关、业务事项，时间区间内的建档数量、采集图片数量。</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3）逐级下钻</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点击地区，下钻至县区层级，依次可下钻至科所。</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4）报表导出</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本模块自动展示的明细表，支持报表的导出功能。</w:t>
      </w:r>
    </w:p>
    <w:p>
      <w:pPr>
        <w:pStyle w:val="16"/>
        <w:keepNext/>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5.核心征管业务事项数据加工</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5.1业务事项配置</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1）增设税务办理事项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增设欠税业务和数电票业务的税务办理事项；增设历史业务事项。</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2）增设附列资料</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增设欠税业务和数电票业务的全部附列资料；</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对现有每项业务事项，均增设</w:t>
      </w:r>
      <w:r>
        <w:rPr>
          <w:rFonts w:ascii="仿宋_GB2312" w:eastAsia="仿宋_GB2312" w:hAnsi="仿宋_GB2312" w:cs="仿宋_GB2312"/>
          <w:sz w:val="28"/>
          <w:szCs w:val="28"/>
        </w:rPr>
        <w:t>“其他条件报送”、“其他”两项附列资料。</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3）建立对照关系</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提供新增的全部历史业务事项与附列资料对照绑定。选择任意业务事项，可对应勾选对应的附列资料。</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5.2核心征管欠税业务加工</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欠税业务需要与现有核心征管系统进行业务对接，对数据进行梳理、分析、加工。</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能够使用</w:t>
      </w:r>
      <w:r>
        <w:rPr>
          <w:rFonts w:ascii="仿宋_GB2312" w:eastAsia="仿宋_GB2312" w:hAnsi="仿宋_GB2312" w:cs="仿宋_GB2312"/>
          <w:sz w:val="28"/>
          <w:szCs w:val="28"/>
        </w:rPr>
        <w:t>GoldenGate软件每日自动从核心征管系统实时同步欠税业务数据到本系统。</w:t>
      </w:r>
    </w:p>
    <w:p>
      <w:pPr>
        <w:pStyle w:val="16"/>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5.3新增功能统一工作平台可信认证集成</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将本次升级新增的全部菜单挂接到吉林税务统一工作平台系统菜单中。</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能够提供符合统一工作平台可信认证要求的集成方案。</w:t>
      </w:r>
    </w:p>
    <w:p>
      <w:pPr>
        <w:pStyle w:val="16"/>
        <w:keepNext/>
        <w:spacing w:before="0" w:after="0" w:line="360" w:lineRule="auto"/>
        <w:ind w:left="0" w:firstLine="643"/>
        <w:jc w:val="both"/>
        <w:textAlignment w:val="baseline"/>
        <w:rPr>
          <w:rFonts w:ascii="Times New Roman" w:eastAsia="Times New Roman" w:hAnsi="Times New Roman" w:cs="Times New Roman"/>
        </w:rPr>
      </w:pPr>
      <w:r>
        <w:rPr>
          <w:rFonts w:ascii="仿宋_GB2312" w:eastAsia="仿宋_GB2312" w:hAnsi="仿宋_GB2312" w:cs="仿宋_GB2312"/>
          <w:b/>
          <w:bCs/>
          <w:sz w:val="28"/>
          <w:szCs w:val="28"/>
        </w:rPr>
        <w:t>（二）项目非功能性需求</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1.扩展性</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当数据容量发生变化时，目标系统能通过在横向（</w:t>
      </w:r>
      <w:r>
        <w:rPr>
          <w:rFonts w:ascii="仿宋_GB2312" w:eastAsia="仿宋_GB2312" w:hAnsi="仿宋_GB2312" w:cs="仿宋_GB2312"/>
          <w:sz w:val="28"/>
          <w:szCs w:val="28"/>
        </w:rPr>
        <w:t>Tiers）和纵向(Layers)的各个层次的扩充，保证系统合理的响应时间和负载能力。</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2.安全性</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需采用稳定、可靠的数据存储系统，需对应用系统进行源代码、安全功能的检查与测试。</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3.可靠性</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1）对系统进行改进维护或升级等的时间。</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2）系统应不受任何单点故障的影响。</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4.可用性</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系统应满足</w:t>
      </w:r>
      <w:r>
        <w:rPr>
          <w:rFonts w:ascii="仿宋_GB2312" w:eastAsia="仿宋_GB2312" w:hAnsi="仿宋_GB2312" w:cs="仿宋_GB2312"/>
          <w:sz w:val="28"/>
          <w:szCs w:val="28"/>
        </w:rPr>
        <w:t>7×24小时可以使用。</w:t>
      </w:r>
    </w:p>
    <w:p>
      <w:pPr>
        <w:pStyle w:val="16"/>
        <w:keepNext/>
        <w:spacing w:before="0" w:after="0" w:line="360" w:lineRule="auto"/>
        <w:ind w:left="0" w:firstLine="643"/>
        <w:jc w:val="both"/>
        <w:textAlignment w:val="baseline"/>
        <w:rPr>
          <w:rFonts w:ascii="Times New Roman" w:eastAsia="Times New Roman" w:hAnsi="Times New Roman" w:cs="Times New Roman"/>
        </w:rPr>
      </w:pPr>
      <w:r>
        <w:rPr>
          <w:rFonts w:ascii="仿宋_GB2312" w:eastAsia="仿宋_GB2312" w:hAnsi="仿宋_GB2312" w:cs="仿宋_GB2312"/>
          <w:b/>
          <w:bCs/>
          <w:sz w:val="28"/>
          <w:szCs w:val="28"/>
        </w:rPr>
        <w:t>（三）关于本项目接口情况说明</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无。</w:t>
      </w:r>
    </w:p>
    <w:p>
      <w:pPr>
        <w:pStyle w:val="Heading30"/>
        <w:keepNext w:val="0"/>
        <w:spacing w:before="0" w:after="0" w:line="360" w:lineRule="auto"/>
        <w:rPr>
          <w:rFonts w:ascii="仿宋_GB2312" w:eastAsia="仿宋_GB2312" w:hAnsi="仿宋_GB2312" w:cs="仿宋_GB2312"/>
          <w:b/>
          <w:bCs/>
          <w:sz w:val="28"/>
          <w:szCs w:val="28"/>
        </w:rPr>
      </w:pPr>
      <w:bookmarkStart w:id="26" w:name="_Toc256000022"/>
      <w:r>
        <w:rPr>
          <w:rFonts w:ascii="仿宋_GB2312" w:eastAsia="仿宋_GB2312" w:hAnsi="仿宋_GB2312" w:cs="仿宋_GB2312"/>
          <w:sz w:val="28"/>
          <w:szCs w:val="28"/>
        </w:rPr>
        <w:t>3.2.2技术和服务其他要求</w:t>
      </w:r>
      <w:bookmarkEnd w:id="26"/>
    </w:p>
    <w:p>
      <w:pPr>
        <w:pStyle w:val="MsoNormal"/>
        <w:spacing w:before="0" w:after="0" w:line="360" w:lineRule="auto"/>
        <w:ind w:left="0" w:right="0"/>
      </w:pPr>
      <w:r>
        <w:rPr>
          <w:rFonts w:ascii="FangSong_GB2312" w:eastAsia="FangSong_GB2312" w:hAnsi="FangSong_GB2312" w:cs="FangSong_GB2312"/>
          <w:sz w:val="28"/>
          <w:szCs w:val="28"/>
        </w:rPr>
        <w:t>    中标人应配备满足条件的开发团队，在规定时间内电子档案系统</w:t>
      </w:r>
      <w:r>
        <w:rPr>
          <w:rFonts w:ascii="FangSong_GB2312" w:eastAsia="FangSong_GB2312" w:hAnsi="FangSong_GB2312" w:cs="FangSong_GB2312"/>
          <w:sz w:val="28"/>
          <w:szCs w:val="28"/>
        </w:rPr>
        <w:t>平台</w:t>
      </w:r>
      <w:r>
        <w:rPr>
          <w:rFonts w:ascii="FangSong_GB2312" w:eastAsia="FangSong_GB2312" w:hAnsi="FangSong_GB2312" w:cs="FangSong_GB2312"/>
          <w:sz w:val="28"/>
          <w:szCs w:val="28"/>
        </w:rPr>
        <w:t>的功能开发工作和上线试运行工作，并负责开发上线后的培训，知识转移，运维服务等工作，保障用户能够及时找到人员进行问题处理及咨询，同时实行</w:t>
      </w:r>
      <w:r>
        <w:rPr>
          <w:rFonts w:ascii="FangSong_GB2312" w:eastAsia="FangSong_GB2312" w:hAnsi="FangSong_GB2312" w:cs="FangSong_GB2312"/>
          <w:sz w:val="28"/>
          <w:szCs w:val="28"/>
        </w:rPr>
        <w:t>5*8工作制，7*24小时保障系统运行，重点监控系统平台及应用信息系统层面，并根据采购人实际工作需要，参与包括节假日在内的各类加班和值班。</w:t>
      </w:r>
    </w:p>
    <w:p>
      <w:pPr>
        <w:pStyle w:val="Heading10"/>
        <w:keepNext w:val="0"/>
        <w:spacing w:before="0" w:after="0" w:line="360" w:lineRule="auto"/>
        <w:jc w:val="center"/>
        <w:rPr>
          <w:rFonts w:ascii="仿宋_GB2312" w:eastAsia="仿宋_GB2312" w:hAnsi="仿宋_GB2312" w:cs="仿宋_GB2312"/>
          <w:b/>
          <w:bCs/>
          <w:sz w:val="32"/>
          <w:szCs w:val="32"/>
        </w:rPr>
      </w:pPr>
      <w:bookmarkStart w:id="27" w:name="_Toc256000023"/>
      <w:r>
        <w:rPr>
          <w:rFonts w:ascii="仿宋_GB2312" w:eastAsia="仿宋_GB2312" w:hAnsi="仿宋_GB2312" w:cs="仿宋_GB2312"/>
          <w:kern w:val="36"/>
        </w:rPr>
        <w:t>4人员要求</w:t>
      </w:r>
      <w:bookmarkEnd w:id="27"/>
    </w:p>
    <w:p>
      <w:pPr>
        <w:pStyle w:val="Heading20"/>
        <w:keepNext w:val="0"/>
        <w:spacing w:before="0" w:after="0" w:line="360" w:lineRule="auto"/>
        <w:rPr>
          <w:rFonts w:ascii="仿宋_GB2312" w:eastAsia="仿宋_GB2312" w:hAnsi="仿宋_GB2312" w:cs="仿宋_GB2312"/>
          <w:b/>
          <w:bCs/>
          <w:sz w:val="28"/>
          <w:szCs w:val="28"/>
        </w:rPr>
      </w:pPr>
      <w:bookmarkStart w:id="28" w:name="_Toc256000024"/>
      <w:r>
        <w:rPr>
          <w:rFonts w:ascii="仿宋_GB2312" w:eastAsia="仿宋_GB2312" w:hAnsi="仿宋_GB2312" w:cs="仿宋_GB2312"/>
          <w:i w:val="0"/>
          <w:iCs w:val="0"/>
        </w:rPr>
        <w:t>4.1总体要求</w:t>
      </w:r>
      <w:bookmarkEnd w:id="28"/>
    </w:p>
    <w:p>
      <w:pPr>
        <w:pStyle w:val="MsoNormal"/>
        <w:spacing w:before="0" w:after="0" w:line="360" w:lineRule="auto"/>
        <w:ind w:left="0" w:right="0"/>
        <w:jc w:val="both"/>
      </w:pP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中标人须承诺向采购人提供有经验的项目实施队伍，至少一人为1人为高级信息系统项目管理师。对于不满足采购人要求的人员，采购人有权要求成交供应商无条件更换人员，且不能影响项目进度；如中标方不能及时更换，视为违约，采购人有权解除本项目合同。</w:t>
      </w:r>
    </w:p>
    <w:p>
      <w:pPr>
        <w:pStyle w:val="MsoNormal"/>
        <w:spacing w:before="0" w:after="0" w:line="360" w:lineRule="auto"/>
        <w:ind w:left="0" w:right="0"/>
        <w:jc w:val="both"/>
      </w:pPr>
      <w:r>
        <w:rPr>
          <w:rFonts w:ascii="仿宋_GB2312" w:eastAsia="仿宋_GB2312" w:hAnsi="仿宋_GB2312" w:cs="仿宋_GB2312"/>
          <w:sz w:val="28"/>
          <w:szCs w:val="28"/>
        </w:rPr>
        <w:t>     1．根据各投标人拟投入本项目技术人员定位、岗位职责、合理。</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2．投标人拟投入本项目技术人员资质、专业程度、工作经验。</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3．项目经理的工作年限、类似项目管理经验丰富。</w:t>
      </w:r>
      <w:r>
        <w:rPr>
          <w:sz w:val="28"/>
          <w:szCs w:val="28"/>
        </w:rPr>
        <w:t> </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4．投标人拟投入的高级、中级技术人员的数量、比例及稳定性情况。</w:t>
      </w:r>
    </w:p>
    <w:p>
      <w:pPr>
        <w:pStyle w:val="Heading20"/>
        <w:keepNext w:val="0"/>
        <w:spacing w:before="0" w:after="0" w:line="360" w:lineRule="auto"/>
        <w:rPr>
          <w:rFonts w:ascii="仿宋_GB2312" w:eastAsia="仿宋_GB2312" w:hAnsi="仿宋_GB2312" w:cs="仿宋_GB2312"/>
          <w:b/>
          <w:bCs/>
          <w:sz w:val="28"/>
          <w:szCs w:val="28"/>
        </w:rPr>
      </w:pPr>
      <w:bookmarkStart w:id="29" w:name="_Toc256000025"/>
      <w:r>
        <w:rPr>
          <w:rFonts w:ascii="仿宋_GB2312" w:eastAsia="仿宋_GB2312" w:hAnsi="仿宋_GB2312" w:cs="仿宋_GB2312"/>
          <w:i w:val="0"/>
          <w:iCs w:val="0"/>
        </w:rPr>
        <w:t>4.2管理团队</w:t>
      </w:r>
      <w:bookmarkEnd w:id="29"/>
    </w:p>
    <w:p>
      <w:pPr>
        <w:pStyle w:val="Heading30"/>
        <w:keepNext w:val="0"/>
        <w:spacing w:before="0" w:after="0" w:line="360" w:lineRule="auto"/>
        <w:rPr>
          <w:rFonts w:ascii="仿宋_GB2312" w:eastAsia="仿宋_GB2312" w:hAnsi="仿宋_GB2312" w:cs="仿宋_GB2312"/>
          <w:b/>
          <w:bCs/>
          <w:sz w:val="28"/>
          <w:szCs w:val="28"/>
        </w:rPr>
      </w:pPr>
      <w:bookmarkStart w:id="30" w:name="_Toc256000026"/>
      <w:r>
        <w:rPr>
          <w:rFonts w:ascii="仿宋_GB2312" w:eastAsia="仿宋_GB2312" w:hAnsi="仿宋_GB2312" w:cs="仿宋_GB2312"/>
          <w:sz w:val="28"/>
          <w:szCs w:val="28"/>
        </w:rPr>
        <w:t>4.2.1项目经理</w:t>
      </w:r>
      <w:bookmarkEnd w:id="30"/>
    </w:p>
    <w:p>
      <w:pPr>
        <w:pStyle w:val="MsoNormal"/>
        <w:spacing w:before="0" w:after="0" w:line="360" w:lineRule="auto"/>
        <w:ind w:left="0" w:right="0" w:firstLine="480"/>
      </w:pPr>
      <w:r>
        <w:rPr>
          <w:rFonts w:ascii="仿宋_GB2312" w:eastAsia="仿宋_GB2312" w:hAnsi="仿宋_GB2312" w:cs="仿宋_GB2312"/>
          <w:sz w:val="28"/>
          <w:szCs w:val="28"/>
        </w:rPr>
        <w:t>投标人须选择工作责任心强、技术水平高、业务熟练、管理敬业丰富的专业技术人员担任项目经理。</w:t>
      </w:r>
      <w:r>
        <w:rPr>
          <w:sz w:val="28"/>
          <w:szCs w:val="28"/>
        </w:rPr>
        <w:t> </w:t>
      </w:r>
    </w:p>
    <w:p>
      <w:pPr>
        <w:pStyle w:val="MsoNormal"/>
        <w:spacing w:before="0" w:after="0" w:line="360" w:lineRule="auto"/>
        <w:ind w:left="0" w:right="0"/>
        <w:rPr>
          <w:rFonts w:ascii="Times New Roman" w:eastAsia="Times New Roman" w:hAnsi="Times New Roman" w:cs="Times New Roman"/>
        </w:rPr>
      </w:pPr>
      <w:r>
        <w:rPr>
          <w:rFonts w:ascii="Times New Roman" w:eastAsia="Times New Roman" w:hAnsi="Times New Roman" w:cs="Times New Roman"/>
        </w:rPr>
        <w:t> </w:t>
      </w:r>
    </w:p>
    <w:p>
      <w:pPr>
        <w:pStyle w:val="Heading20"/>
        <w:keepNext w:val="0"/>
        <w:spacing w:before="0" w:after="0" w:line="360" w:lineRule="auto"/>
        <w:rPr>
          <w:rFonts w:ascii="仿宋_GB2312" w:eastAsia="仿宋_GB2312" w:hAnsi="仿宋_GB2312" w:cs="仿宋_GB2312"/>
          <w:b/>
          <w:bCs/>
          <w:sz w:val="28"/>
          <w:szCs w:val="28"/>
        </w:rPr>
      </w:pPr>
      <w:bookmarkStart w:id="31" w:name="_Toc256000027"/>
      <w:r>
        <w:rPr>
          <w:rFonts w:ascii="仿宋_GB2312" w:eastAsia="仿宋_GB2312" w:hAnsi="仿宋_GB2312" w:cs="仿宋_GB2312"/>
          <w:i w:val="0"/>
          <w:iCs w:val="0"/>
        </w:rPr>
        <w:t>4.3技术团队</w:t>
      </w:r>
      <w:bookmarkEnd w:id="31"/>
    </w:p>
    <w:p>
      <w:pPr>
        <w:pStyle w:val="MsoNormal"/>
        <w:spacing w:before="0" w:after="0" w:line="360" w:lineRule="auto"/>
        <w:ind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本项目涉及信息化服务技术人员的，技术人员应当是服务单位的正式人员，常驻技术人员应当为技术骨干。</w:t>
      </w:r>
    </w:p>
    <w:p>
      <w:pPr>
        <w:pStyle w:val="Heading20"/>
        <w:keepNext w:val="0"/>
        <w:spacing w:before="0" w:after="0" w:line="360" w:lineRule="auto"/>
        <w:rPr>
          <w:rFonts w:ascii="仿宋_GB2312" w:eastAsia="仿宋_GB2312" w:hAnsi="仿宋_GB2312" w:cs="仿宋_GB2312"/>
          <w:b/>
          <w:bCs/>
          <w:sz w:val="28"/>
          <w:szCs w:val="28"/>
        </w:rPr>
      </w:pPr>
      <w:bookmarkStart w:id="32" w:name="_Toc256000028"/>
      <w:r>
        <w:rPr>
          <w:rFonts w:ascii="仿宋_GB2312" w:eastAsia="仿宋_GB2312" w:hAnsi="仿宋_GB2312" w:cs="仿宋_GB2312"/>
          <w:i w:val="0"/>
          <w:iCs w:val="0"/>
        </w:rPr>
        <w:t>4.4优选资质/优选指标</w:t>
      </w:r>
      <w:bookmarkEnd w:id="32"/>
    </w:p>
    <w:tbl>
      <w:tblPr>
        <w:tblStyle w:val="TableNormal"/>
        <w:tblW w:w="5000" w:type="pct"/>
        <w:tblInd w:w="30" w:type="dxa"/>
        <w:tblCellMar>
          <w:top w:w="15" w:type="dxa"/>
          <w:left w:w="15" w:type="dxa"/>
          <w:bottom w:w="15" w:type="dxa"/>
          <w:right w:w="15" w:type="dxa"/>
        </w:tblCellMar>
      </w:tblPr>
      <w:tblGrid>
        <w:gridCol w:w="182"/>
        <w:gridCol w:w="744"/>
        <w:gridCol w:w="674"/>
        <w:gridCol w:w="6936"/>
        <w:gridCol w:w="534"/>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是否作为加分项</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信息系统项目管理师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信息系统项目管理师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投标人应安排1名综合技术实力较强的项目经理，与采购人共同统筹及协调一切与本项目有关的事项，领导并监督项目组中投标人人员的工作情况，与采购人定时审查及监督项目实施过程，处理项目实施中的各项变更事宜。</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项目经理应具备信息系统项目管理师证书。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高级信息技术专业人员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高级技术人员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具有计算机技术与软件专业技术高级资格证书（包括信息系统项目管理师、系统分析师、系统架构设计师）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中级信息技术专业人员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中级技术人员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具有计算机技术与软件专业技术中级资格证书（包括软件评测师、软件设计师、软件过程能力评估师、系统集成项目管理工程师、信息系统监理师、信息安全工程师、数据库系统工程师、信息系统管理工程师）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初级信息技术专业人员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普通技术人员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具有计算机技术与软件专业技术初级资格证书（包括程序员、信息系统运行管理员）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33" w:name="_Toc256000029"/>
      <w:r>
        <w:rPr>
          <w:rFonts w:ascii="仿宋_GB2312" w:eastAsia="仿宋_GB2312" w:hAnsi="仿宋_GB2312" w:cs="仿宋_GB2312"/>
          <w:kern w:val="36"/>
        </w:rPr>
        <w:t>5管理实施要求</w:t>
      </w:r>
      <w:bookmarkEnd w:id="33"/>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（一）安全及保密要求</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项目合同期内，中标方要严格遵守局方的各项管理规章制度，做好数据保密和信息安全工作，严禁非法修改和外泄数据，因中标方工作人员人为造成数据和技术文档泄密的，中标方应承担全部责任。因工作失误造成重大故障损失的，或者对事故处理不当、不及时等造成税务局损失的，中标方应承担全部责任。</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（二）考核要求</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中标方应严格按照采购方相关应用信息系统管理要求开展工作，接受采购方的定期考核，并承诺接受采购方考核要求。对采购方提出的按照考核成绩与合同款项支付挂钩的安排不提出异议。</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（三）服务响应时间要求</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合同履行期间，所负责运维系统一旦有紧急事件发生，中标方应立即逐级上报并启动应急预案，填写《应用信息系统故障排查任务单》。若发生重大事项，故障恢复后要填写《</w:t>
      </w:r>
      <w:r>
        <w:rPr>
          <w:rFonts w:ascii="仿宋_GB2312" w:eastAsia="仿宋_GB2312" w:hAnsi="仿宋_GB2312" w:cs="仿宋_GB2312"/>
          <w:sz w:val="28"/>
          <w:szCs w:val="28"/>
        </w:rPr>
        <w:t>××税务局征期信息系统运行重大事项说明（××月第×次）》并上报吉林省税务局网络安全和信息化领导小组办公室。</w:t>
      </w:r>
    </w:p>
    <w:p>
      <w:pPr>
        <w:pStyle w:val="MsoNormal"/>
        <w:spacing w:before="0" w:after="0" w:line="360" w:lineRule="auto"/>
        <w:ind w:right="0" w:firstLine="640"/>
        <w:jc w:val="both"/>
        <w:rPr>
          <w:rFonts w:ascii="Times New Roman" w:eastAsia="Times New Roman" w:hAnsi="Times New Roman" w:cs="Times New Roman"/>
        </w:rPr>
      </w:pPr>
      <w:r>
        <w:rPr>
          <w:rFonts w:ascii="仿宋_GB2312" w:eastAsia="仿宋_GB2312" w:hAnsi="仿宋_GB2312" w:cs="仿宋_GB2312"/>
          <w:sz w:val="28"/>
          <w:szCs w:val="28"/>
        </w:rPr>
        <w:t>信息系统重大事项是指出现业务阻断、系统停机、系统卡顿</w:t>
      </w:r>
      <w:r>
        <w:rPr>
          <w:rFonts w:ascii="仿宋_GB2312" w:eastAsia="仿宋_GB2312" w:hAnsi="仿宋_GB2312" w:cs="仿宋_GB2312"/>
          <w:sz w:val="28"/>
          <w:szCs w:val="28"/>
        </w:rPr>
        <w:t>30分钟以上的情况，或者出现重大安全事件，以及导致纳税人回流办税服务厅、引发负面舆情、法定或重点工作无法按期完成的问题。</w:t>
      </w:r>
    </w:p>
    <w:p>
      <w:pPr>
        <w:pStyle w:val="Heading10"/>
        <w:keepNext w:val="0"/>
        <w:spacing w:before="0" w:after="0" w:line="360" w:lineRule="auto"/>
        <w:jc w:val="center"/>
        <w:rPr>
          <w:rFonts w:ascii="仿宋_GB2312" w:eastAsia="仿宋_GB2312" w:hAnsi="仿宋_GB2312" w:cs="仿宋_GB2312"/>
          <w:b/>
          <w:bCs/>
          <w:sz w:val="32"/>
          <w:szCs w:val="32"/>
        </w:rPr>
      </w:pPr>
      <w:bookmarkStart w:id="34" w:name="_Toc256000030"/>
      <w:r>
        <w:rPr>
          <w:rFonts w:ascii="仿宋_GB2312" w:eastAsia="仿宋_GB2312" w:hAnsi="仿宋_GB2312" w:cs="仿宋_GB2312"/>
          <w:kern w:val="36"/>
        </w:rPr>
        <w:t>6保密要求</w:t>
      </w:r>
      <w:bookmarkEnd w:id="34"/>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1.双方应对在合同签订或履行过程中所接触的对方信息，包括但不限于知识产权、技术资料、技术诀窍、内部管理及其他相关信息，负有保密义务。</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2.投标人在使用用户方为其提供的数据、程序、用户名、口令、资料及甲方相关的业务和技术文档，包括方案设计细节、程序文件、数据结构，以及相关业务系统的硬软件、文档、测试和测试产生的数据时，应遵循以下约定:</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1）应以审慎态度避免泄露、公开或传播用户方的信息;</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2）未经用户方书面许可，不得对有关信息进行修改、补充、复制;</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3）未经用户方书面许可，不得将信息以任何方式(如E-mail)携带出甲方场所;</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4）未经用户方书面许可，不得将信息透露给任何其他人;</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5）用户方以书面形式提出的其他保密措施。</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3.保密期限不受合同有效期的限制，在合同有效期结束后，信息接受方仍应承担保密义务，直至该等信息成为公开信息。</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4.双方如出现泄密行为，泄密方应承担相关的法律责任并承担由此给对方造成的经济损失。</w:t>
      </w:r>
    </w:p>
    <w:p>
      <w:pPr>
        <w:pStyle w:val="Heading10"/>
        <w:keepNext w:val="0"/>
        <w:spacing w:before="0" w:after="0" w:line="360" w:lineRule="auto"/>
        <w:jc w:val="center"/>
        <w:rPr>
          <w:rFonts w:ascii="仿宋_GB2312" w:eastAsia="仿宋_GB2312" w:hAnsi="仿宋_GB2312" w:cs="仿宋_GB2312"/>
          <w:b/>
          <w:bCs/>
          <w:sz w:val="32"/>
          <w:szCs w:val="32"/>
        </w:rPr>
      </w:pPr>
      <w:bookmarkStart w:id="35" w:name="_Toc256000031"/>
      <w:r>
        <w:rPr>
          <w:rFonts w:ascii="仿宋_GB2312" w:eastAsia="仿宋_GB2312" w:hAnsi="仿宋_GB2312" w:cs="仿宋_GB2312"/>
          <w:kern w:val="36"/>
        </w:rPr>
        <w:t>7知识转移要求</w:t>
      </w:r>
      <w:bookmarkEnd w:id="35"/>
    </w:p>
    <w:p>
      <w:pPr>
        <w:pStyle w:val="MsoNormal"/>
        <w:spacing w:before="0" w:after="0" w:line="360" w:lineRule="auto"/>
        <w:ind w:firstLine="480"/>
        <w:rPr>
          <w:rFonts w:ascii="Times New Roman" w:eastAsia="Times New Roman" w:hAnsi="Times New Roman" w:cs="Times New Roman"/>
        </w:rPr>
      </w:pPr>
      <w:r>
        <w:rPr>
          <w:rFonts w:ascii="仿宋" w:eastAsia="仿宋" w:hAnsi="仿宋" w:cs="仿宋"/>
          <w:sz w:val="28"/>
          <w:szCs w:val="28"/>
        </w:rPr>
        <w:t>本项目所有知识产权归国家税务总局吉林省税务局所有。</w:t>
      </w:r>
      <w:r>
        <w:rPr>
          <w:rFonts w:ascii="仿宋_GB2312" w:eastAsia="仿宋_GB2312" w:hAnsi="仿宋_GB2312" w:cs="仿宋_GB2312"/>
          <w:sz w:val="28"/>
          <w:szCs w:val="28"/>
        </w:rPr>
        <w:t>投标人需保证所提供的服务不侵犯第三方的知识产权（专利权、商标权、版权等），因侵害第三方知识产权而产生的法律责任，全部由投标人承担。</w:t>
      </w:r>
    </w:p>
    <w:p>
      <w:pPr>
        <w:pStyle w:val="Heading10"/>
        <w:keepNext w:val="0"/>
        <w:spacing w:before="0" w:after="0" w:line="360" w:lineRule="auto"/>
        <w:jc w:val="center"/>
        <w:rPr>
          <w:rFonts w:ascii="仿宋_GB2312" w:eastAsia="仿宋_GB2312" w:hAnsi="仿宋_GB2312" w:cs="仿宋_GB2312"/>
          <w:b/>
          <w:bCs/>
          <w:sz w:val="32"/>
          <w:szCs w:val="32"/>
        </w:rPr>
      </w:pPr>
      <w:bookmarkStart w:id="36" w:name="_Toc256000032"/>
      <w:r>
        <w:rPr>
          <w:rFonts w:ascii="仿宋_GB2312" w:eastAsia="仿宋_GB2312" w:hAnsi="仿宋_GB2312" w:cs="仿宋_GB2312"/>
          <w:kern w:val="36"/>
        </w:rPr>
        <w:t>8风险管控要求</w:t>
      </w:r>
      <w:bookmarkEnd w:id="36"/>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本项目中，应实行两级检查、两级验收制度。一级检查、二级检查和一级验收由实施小组组织完成；二级验收由省局组织实施。各级检查验收严格按项目实施中制订的相应的检查验收规定和质量评定标准执行。对实施和验收过程中出现的重大技术问题，将上报用户协调处理，对一般质量问题的处理应予以书面记录。</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（一）职责分工控制措施。本项目的前台操作页面，按照数据管理权限和菜单管理权限分别进行控制，符合应用系统岗责权限管理控制的要求，对不同级别不同范围的数据按照岗责要求和数据权限进行细分。</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（二）不相容岗位（职责）分离控制措施。系统岗位设置符合不相容岗位（职责）分离的要求，避免一人履职发生错误或舞弊风险。</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（三）授权审批控制措施。本项目按照国家税务总局吉林省税务局统一要求集成至统一工作平台，平台分配用户岗位，审核、复审、发布流程符合授权审批控制，符合</w:t>
      </w:r>
      <w:r>
        <w:rPr>
          <w:rFonts w:ascii="仿宋_GB2312" w:eastAsia="仿宋_GB2312" w:hAnsi="仿宋_GB2312" w:cs="仿宋_GB2312"/>
          <w:sz w:val="28"/>
          <w:szCs w:val="28"/>
        </w:rPr>
        <w:t>“职责明确、分权制衡”的原则和有关制度规定。</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（四）</w:t>
      </w: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流程控制措施。本项目的操作步骤、处理时限等应当符合相关工作规程。</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（五）公开运行控制措施。本项目对规定和实际需要公开的事项，做到对具体对象公开。</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（六）痕迹记录控制措施。本项目涉及的数据操作要有记录留存后台数据库。</w:t>
      </w:r>
    </w:p>
    <w:p>
      <w:pPr>
        <w:pStyle w:val="Heading10"/>
        <w:keepNext w:val="0"/>
        <w:spacing w:before="0" w:after="0" w:line="360" w:lineRule="auto"/>
        <w:jc w:val="center"/>
        <w:rPr>
          <w:rFonts w:ascii="仿宋_GB2312" w:eastAsia="仿宋_GB2312" w:hAnsi="仿宋_GB2312" w:cs="仿宋_GB2312"/>
          <w:b/>
          <w:bCs/>
          <w:sz w:val="32"/>
          <w:szCs w:val="32"/>
        </w:rPr>
      </w:pPr>
      <w:bookmarkStart w:id="37" w:name="_Toc256000033"/>
      <w:r>
        <w:rPr>
          <w:rFonts w:ascii="仿宋_GB2312" w:eastAsia="仿宋_GB2312" w:hAnsi="仿宋_GB2312" w:cs="仿宋_GB2312"/>
          <w:kern w:val="36"/>
        </w:rPr>
        <w:t>9履约验收要求</w:t>
      </w:r>
      <w:bookmarkEnd w:id="37"/>
    </w:p>
    <w:p>
      <w:pPr>
        <w:pStyle w:val="Heading20"/>
        <w:keepNext w:val="0"/>
        <w:spacing w:before="0" w:after="0" w:line="360" w:lineRule="auto"/>
        <w:rPr>
          <w:rFonts w:ascii="仿宋_GB2312" w:eastAsia="仿宋_GB2312" w:hAnsi="仿宋_GB2312" w:cs="仿宋_GB2312"/>
          <w:b/>
          <w:bCs/>
          <w:sz w:val="28"/>
          <w:szCs w:val="28"/>
        </w:rPr>
      </w:pPr>
      <w:bookmarkStart w:id="38" w:name="_Toc256000034"/>
      <w:r>
        <w:rPr>
          <w:rFonts w:ascii="仿宋_GB2312" w:eastAsia="仿宋_GB2312" w:hAnsi="仿宋_GB2312" w:cs="仿宋_GB2312"/>
          <w:i w:val="0"/>
          <w:iCs w:val="0"/>
        </w:rPr>
        <w:t>9.1总体要求</w:t>
      </w:r>
      <w:bookmarkEnd w:id="38"/>
    </w:p>
    <w:tbl>
      <w:tblPr>
        <w:tblStyle w:val="TableNormal"/>
        <w:tblW w:w="5000" w:type="pct"/>
        <w:tblInd w:w="30" w:type="dxa"/>
        <w:tblCellMar>
          <w:top w:w="15" w:type="dxa"/>
          <w:left w:w="15" w:type="dxa"/>
          <w:bottom w:w="15" w:type="dxa"/>
          <w:right w:w="15" w:type="dxa"/>
        </w:tblCellMar>
      </w:tblPr>
      <w:tblGrid>
        <w:gridCol w:w="654"/>
        <w:gridCol w:w="8416"/>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本项目的系统升级改造，中标供应商应在3个月内完成全部功能模块的开发，达到预期目标后，中标供应商需向采购方验收小组提供要求提供的验收材料进行验收。</w:t>
            </w:r>
          </w:p>
        </w:tc>
      </w:tr>
    </w:tbl>
    <w:p>
      <w:pPr>
        <w:pStyle w:val="Heading20"/>
        <w:keepNext w:val="0"/>
        <w:spacing w:before="0" w:after="0" w:line="360" w:lineRule="auto"/>
        <w:rPr>
          <w:rFonts w:ascii="仿宋_GB2312" w:eastAsia="仿宋_GB2312" w:hAnsi="仿宋_GB2312" w:cs="仿宋_GB2312"/>
          <w:b/>
          <w:bCs/>
          <w:sz w:val="28"/>
          <w:szCs w:val="28"/>
        </w:rPr>
      </w:pPr>
      <w:bookmarkStart w:id="39" w:name="_Toc256000035"/>
      <w:r>
        <w:rPr>
          <w:rFonts w:ascii="仿宋_GB2312" w:eastAsia="仿宋_GB2312" w:hAnsi="仿宋_GB2312" w:cs="仿宋_GB2312"/>
          <w:i w:val="0"/>
          <w:iCs w:val="0"/>
        </w:rPr>
        <w:t>9.2具体要求</w:t>
      </w:r>
      <w:bookmarkEnd w:id="39"/>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本项目的系统升级改造，中标供应商应在</w:t>
      </w:r>
      <w:r>
        <w:rPr>
          <w:rFonts w:ascii="仿宋_GB2312" w:eastAsia="仿宋_GB2312" w:hAnsi="仿宋_GB2312" w:cs="仿宋_GB2312"/>
          <w:sz w:val="28"/>
          <w:szCs w:val="28"/>
        </w:rPr>
        <w:t>3个月内完成全部功能模块的开发，达到预期目标后，中标供应商需向采购方验收小组提供以下验收材料：</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（一）合同书（复印件）；</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（二）项目工作总结（加盖公章）；</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（三）项目需求分析报告终稿；</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（四）项目概要设计、详细设计终稿（建设方案包括数据安全建设方案）；</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（五）项目建设报告，包括目标实现情况、计划进度执行情况、网络安全、数据安全建设报告等；</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（六）系统测试报告，包括性能测试、功能测试、安全测试的方案、用例、结果和反馈等；</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（七）系统试运行报告，包括试运行方案、问题和结论等；</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（八）技术方案白皮书，包括项目建设难点及解决方案，对今后的工作的建议；</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（九）用户操作手册；</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（十）系统安装维护手册；</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（十一）项目源代码及注释；</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（十二）接口协议及注释；</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（十三）完整的数据字典；</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（十四）备份恢复手册；</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（十五）信息系统拟定级工作报告（项目规划阶段）；</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（十六）信息系统等级保护测评报告（项目上线前），本项目等级保护测评与省局统一工作平台年度等级保护测评一并进行；</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（十七）信息系统源代码审计报告，相关费用由中标公司承担；</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（十八）漏洞扫描、安全基线报告和渗透测试报告；</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（十九）内控内生化方案（包括内控内生化方案中的各项功能，是否事前预警、事中阻断、事后筛查等风险防控措施能够嵌入到软件中，保证正常运行。）；</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（二十一）内控内生化报告；</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（二十二）技术检测报告（运用技术、系统部署、数据流向等是否符合合同和需求说明，性能是否达标）等；</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（二十三）必要时，需要提供项目费用使用情况；</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（二十四）若项目为公开招标，提供相关招标文件。</w:t>
      </w:r>
    </w:p>
    <w:p>
      <w:pPr>
        <w:pStyle w:val="Heading10"/>
        <w:keepNext w:val="0"/>
        <w:spacing w:before="0" w:after="0" w:line="360" w:lineRule="auto"/>
        <w:jc w:val="center"/>
        <w:rPr>
          <w:rFonts w:ascii="仿宋_GB2312" w:eastAsia="仿宋_GB2312" w:hAnsi="仿宋_GB2312" w:cs="仿宋_GB2312"/>
          <w:b/>
          <w:bCs/>
          <w:sz w:val="32"/>
          <w:szCs w:val="32"/>
        </w:rPr>
      </w:pPr>
      <w:bookmarkStart w:id="40" w:name="_Toc256000036"/>
      <w:r>
        <w:rPr>
          <w:rFonts w:ascii="仿宋_GB2312" w:eastAsia="仿宋_GB2312" w:hAnsi="仿宋_GB2312" w:cs="仿宋_GB2312"/>
          <w:kern w:val="36"/>
        </w:rPr>
        <w:t>10其他要求</w:t>
      </w:r>
      <w:bookmarkEnd w:id="40"/>
    </w:p>
    <w:p>
      <w:pPr>
        <w:pStyle w:val="Heading20"/>
        <w:keepNext w:val="0"/>
        <w:spacing w:before="0" w:after="0" w:line="360" w:lineRule="auto"/>
        <w:rPr>
          <w:rFonts w:ascii="仿宋_GB2312" w:eastAsia="仿宋_GB2312" w:hAnsi="仿宋_GB2312" w:cs="仿宋_GB2312"/>
          <w:b/>
          <w:bCs/>
          <w:sz w:val="28"/>
          <w:szCs w:val="28"/>
        </w:rPr>
      </w:pPr>
      <w:bookmarkStart w:id="41" w:name="_Toc256000037"/>
      <w:r>
        <w:rPr>
          <w:rFonts w:ascii="仿宋_GB2312" w:eastAsia="仿宋_GB2312" w:hAnsi="仿宋_GB2312" w:cs="仿宋_GB2312"/>
          <w:i w:val="0"/>
          <w:iCs w:val="0"/>
        </w:rPr>
        <w:t>10.1必备要求</w:t>
      </w:r>
      <w:bookmarkEnd w:id="41"/>
    </w:p>
    <w:p>
      <w:pPr>
        <w:pStyle w:val="Heading30"/>
        <w:keepNext w:val="0"/>
        <w:spacing w:before="0" w:after="0" w:line="360" w:lineRule="auto"/>
        <w:rPr>
          <w:rFonts w:ascii="仿宋_GB2312" w:eastAsia="仿宋_GB2312" w:hAnsi="仿宋_GB2312" w:cs="仿宋_GB2312"/>
          <w:b/>
          <w:bCs/>
          <w:sz w:val="28"/>
          <w:szCs w:val="28"/>
        </w:rPr>
      </w:pPr>
      <w:bookmarkStart w:id="42" w:name="_Toc256000038"/>
      <w:r>
        <w:rPr>
          <w:rFonts w:ascii="仿宋_GB2312" w:eastAsia="仿宋_GB2312" w:hAnsi="仿宋_GB2312" w:cs="仿宋_GB2312"/>
          <w:sz w:val="28"/>
          <w:szCs w:val="28"/>
        </w:rPr>
        <w:t>10.1.1★税收信息化项目开发和应用管理工作要求</w:t>
      </w:r>
      <w:bookmarkEnd w:id="42"/>
    </w:p>
    <w:p>
      <w:pPr>
        <w:pStyle w:val="Normal0"/>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pPr>
        <w:pStyle w:val="Heading30"/>
        <w:keepNext w:val="0"/>
        <w:spacing w:before="0" w:after="0" w:line="360" w:lineRule="auto"/>
        <w:rPr>
          <w:rFonts w:ascii="仿宋_GB2312" w:eastAsia="仿宋_GB2312" w:hAnsi="仿宋_GB2312" w:cs="仿宋_GB2312"/>
          <w:b/>
          <w:bCs/>
          <w:sz w:val="28"/>
          <w:szCs w:val="28"/>
        </w:rPr>
      </w:pPr>
      <w:bookmarkStart w:id="43" w:name="_Toc256000039"/>
      <w:r>
        <w:rPr>
          <w:rFonts w:ascii="仿宋_GB2312" w:eastAsia="仿宋_GB2312" w:hAnsi="仿宋_GB2312" w:cs="仿宋_GB2312"/>
          <w:sz w:val="28"/>
          <w:szCs w:val="28"/>
        </w:rPr>
        <w:t>10.1.2★税收信息化项目廉政要求</w:t>
      </w:r>
      <w:bookmarkEnd w:id="43"/>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中标人在参与税务部门信息化项目工作过程中，需严格遵守法律法规、规范履行合同，积极协助税务部门开展廉政风险防控工作。请严格遵守并落实如下要求：</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一、积极发挥廉政风险防控正向作用。中标人有义务配合税务部门在信息化项目工作中加强廉政风险防控，执行有关措施。</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二、健全廉政风险防控机制。中标人有责任在项目管理机制中健全内部廉政防控措施，包括但不限于：对参与本项目的员工提出廉洁行为规范；指定专人对项目实施各环节进行廉政监督；在项目验收过程中提交本项目廉政情况报告等。</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三、杜绝违纪违法行为。中标人及相关项目人员必须严格遵守党纪国法，坚守职业道德，杜绝任何形式的利益输送、权力寻租等违纪违法行为，对甲方工作人员不得实施以下行为</w:t>
      </w:r>
      <w:r>
        <w:rPr>
          <w:rFonts w:ascii="仿宋_GB2312" w:eastAsia="仿宋_GB2312" w:hAnsi="仿宋_GB2312" w:cs="仿宋_GB2312"/>
          <w:sz w:val="28"/>
          <w:szCs w:val="28"/>
        </w:rPr>
        <w:t>:</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（一）以各种形式和名义提供礼品、礼金、电子红包、支付凭证、商业预付卡、名贵特产、有价证券、股权、其他金融产品等财物。</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（二）以各种形式和名义提供宴请、旅游、健身、娱乐、私人会所等活动安排；代付加班餐费、打车费等。</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（三）以讲课费、咨询费等名义，提供或变相提供报酬。</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（四）借款、借房、借车，报销应由个人负担的费用。</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（五）以无偿、象征性地收取费用等方式提供家政、司机等服务劳务。</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（六）其他通过任何形式行贿或输送利益的行为。</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四、信守承诺。中标人应承诺在项目实施过程中，严格遵守国家法律法规合法、诚信经营，杜绝商业贿赂、规范经营活动、公开透明合作、严格内部管理，并签订《税务信息化项目服务商廉洁承诺书》提交甲方负责项目实施的单位。</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五、自觉接受监管。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六、举报和反馈意见。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pPr>
        <w:pStyle w:val="17"/>
        <w:spacing w:before="0" w:after="0" w:line="360" w:lineRule="auto"/>
        <w:ind w:firstLine="480"/>
        <w:jc w:val="center"/>
        <w:rPr>
          <w:rFonts w:ascii="Times New Roman" w:eastAsia="Times New Roman" w:hAnsi="Times New Roman" w:cs="Times New Roman"/>
        </w:rPr>
      </w:pPr>
      <w:r>
        <w:rPr>
          <w:rFonts w:ascii="方正小标宋简体" w:eastAsia="方正小标宋简体" w:hAnsi="方正小标宋简体" w:cs="方正小标宋简体"/>
          <w:sz w:val="36"/>
          <w:szCs w:val="36"/>
        </w:rPr>
        <w:t>税务信息化服务商廉洁承诺书</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为深入贯彻落实党中央关于全面从严治党的决策部署，进一步加强税务信息化项目合作中的廉政建设，防范廉政风险发生，确保项目公开、公平、公正推进，我司郑重承诺如下：</w:t>
      </w:r>
    </w:p>
    <w:p>
      <w:pPr>
        <w:pStyle w:val="17"/>
        <w:spacing w:before="0" w:after="0" w:line="360" w:lineRule="auto"/>
        <w:ind w:firstLine="480"/>
        <w:rPr>
          <w:rFonts w:ascii="Times New Roman" w:eastAsia="Times New Roman" w:hAnsi="Times New Roman" w:cs="Times New Roman"/>
        </w:rPr>
      </w:pPr>
      <w:r>
        <w:rPr>
          <w:rFonts w:ascii="黑体" w:eastAsia="黑体" w:hAnsi="黑体" w:cs="黑体"/>
          <w:sz w:val="32"/>
          <w:szCs w:val="32"/>
        </w:rPr>
        <w:t>一、合法合规经营。</w:t>
      </w:r>
      <w:r>
        <w:rPr>
          <w:rFonts w:ascii="仿宋_GB2312" w:eastAsia="仿宋_GB2312" w:hAnsi="仿宋_GB2312" w:cs="仿宋_GB2312"/>
          <w:sz w:val="32"/>
          <w:szCs w:val="32"/>
        </w:rPr>
        <w:t>严格遵守国家法律法规及税务部门的相关规定，坚持廉洁从业、诚信经营的原则。在合作过程中不以任何形式进行利益输送，维护良好的政商关系。</w:t>
      </w:r>
    </w:p>
    <w:p>
      <w:pPr>
        <w:pStyle w:val="17"/>
        <w:spacing w:before="0" w:after="0" w:line="360" w:lineRule="auto"/>
        <w:ind w:firstLine="480"/>
        <w:rPr>
          <w:rFonts w:ascii="Times New Roman" w:eastAsia="Times New Roman" w:hAnsi="Times New Roman" w:cs="Times New Roman"/>
        </w:rPr>
      </w:pPr>
      <w:r>
        <w:rPr>
          <w:rFonts w:ascii="黑体" w:eastAsia="黑体" w:hAnsi="黑体" w:cs="黑体"/>
          <w:sz w:val="32"/>
          <w:szCs w:val="32"/>
        </w:rPr>
        <w:t>二、杜绝商业贿赂。</w:t>
      </w:r>
      <w:r>
        <w:rPr>
          <w:rFonts w:ascii="仿宋_GB2312" w:eastAsia="仿宋_GB2312" w:hAnsi="仿宋_GB2312" w:cs="仿宋_GB2312"/>
          <w:sz w:val="32"/>
          <w:szCs w:val="32"/>
        </w:rPr>
        <w:t>加强内部管理，我司及我司员工均不对甲方工作人员实施以下行为：</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（一）以各种形式和名义提供礼品、礼金、电子红包、支付凭证、商业预付卡、名贵特产、有价证券、股权、其他金融产品等财物。</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（二）以各种形式和名义提供宴请、旅游、健身、娱乐、私人会所等活动安排；代付加班餐费、打车费等。</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（三）以讲课费、咨询费等名义，提供或变相提供报酬。</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（四）借款、借房、借车，报销应由个人负担的费用。</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（五）以无偿、象征性地收取费用等方式提供家政、司机等服务劳务。</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（六）其他通过任何形式行贿或输送利益的行为。</w:t>
      </w:r>
    </w:p>
    <w:p>
      <w:pPr>
        <w:pStyle w:val="17"/>
        <w:spacing w:before="0" w:after="0" w:line="360" w:lineRule="auto"/>
        <w:ind w:firstLine="480"/>
        <w:rPr>
          <w:rFonts w:ascii="Times New Roman" w:eastAsia="Times New Roman" w:hAnsi="Times New Roman" w:cs="Times New Roman"/>
        </w:rPr>
      </w:pPr>
      <w:r>
        <w:rPr>
          <w:rFonts w:ascii="黑体" w:eastAsia="黑体" w:hAnsi="黑体" w:cs="黑体"/>
          <w:sz w:val="32"/>
          <w:szCs w:val="32"/>
        </w:rPr>
        <w:t>三、规范经营活动。</w:t>
      </w:r>
      <w:r>
        <w:rPr>
          <w:rFonts w:ascii="仿宋_GB2312" w:eastAsia="仿宋_GB2312" w:hAnsi="仿宋_GB2312" w:cs="仿宋_GB2312"/>
          <w:sz w:val="32"/>
          <w:szCs w:val="32"/>
        </w:rPr>
        <w:t>严格按照合同约定履行义务，保证项目质量，按时完成建设任务；在合作过程中不以任何借口拖延工期、虚报成本或谋取私利。</w:t>
      </w:r>
    </w:p>
    <w:p>
      <w:pPr>
        <w:pStyle w:val="17"/>
        <w:spacing w:before="0" w:after="0" w:line="360" w:lineRule="auto"/>
        <w:ind w:firstLine="480"/>
        <w:rPr>
          <w:rFonts w:ascii="Times New Roman" w:eastAsia="Times New Roman" w:hAnsi="Times New Roman" w:cs="Times New Roman"/>
        </w:rPr>
      </w:pPr>
      <w:r>
        <w:rPr>
          <w:rFonts w:ascii="黑体" w:eastAsia="黑体" w:hAnsi="黑体" w:cs="黑体"/>
          <w:sz w:val="32"/>
          <w:szCs w:val="32"/>
        </w:rPr>
        <w:t>四、公开透明合作。</w:t>
      </w:r>
      <w:r>
        <w:rPr>
          <w:rFonts w:ascii="仿宋_GB2312" w:eastAsia="仿宋_GB2312" w:hAnsi="仿宋_GB2312" w:cs="仿宋_GB2312"/>
          <w:sz w:val="32"/>
          <w:szCs w:val="32"/>
        </w:rPr>
        <w:t>我司承诺在项目实施过程中保持公开透明，主动接受税务部门及纪检监察机构的全程监督，并积极配合任何有关廉洁从业的调查工作。</w:t>
      </w:r>
    </w:p>
    <w:p>
      <w:pPr>
        <w:pStyle w:val="17"/>
        <w:spacing w:before="0" w:after="0" w:line="360" w:lineRule="auto"/>
        <w:ind w:firstLine="480"/>
        <w:rPr>
          <w:rFonts w:ascii="Times New Roman" w:eastAsia="Times New Roman" w:hAnsi="Times New Roman" w:cs="Times New Roman"/>
        </w:rPr>
      </w:pPr>
      <w:r>
        <w:rPr>
          <w:rFonts w:ascii="黑体" w:eastAsia="黑体" w:hAnsi="黑体" w:cs="黑体"/>
          <w:sz w:val="32"/>
          <w:szCs w:val="32"/>
        </w:rPr>
        <w:t>五、严格内部管理。</w:t>
      </w:r>
      <w:r>
        <w:rPr>
          <w:rFonts w:ascii="仿宋_GB2312" w:eastAsia="仿宋_GB2312" w:hAnsi="仿宋_GB2312" w:cs="仿宋_GB2312"/>
          <w:sz w:val="32"/>
          <w:szCs w:val="32"/>
        </w:rPr>
        <w:t>加强企业内部廉洁教育，确保员工知晓并遵守相关法律法规及廉洁要求；加强项目实施全过程廉洁监督；对于违反廉洁承诺的员工，将严肃处理，并承担相应责任。</w:t>
      </w:r>
    </w:p>
    <w:p>
      <w:pPr>
        <w:pStyle w:val="17"/>
        <w:spacing w:before="0" w:after="0" w:line="360" w:lineRule="auto"/>
        <w:ind w:firstLine="480"/>
        <w:rPr>
          <w:rFonts w:ascii="Times New Roman" w:eastAsia="Times New Roman" w:hAnsi="Times New Roman" w:cs="Times New Roman"/>
        </w:rPr>
      </w:pPr>
      <w:r>
        <w:rPr>
          <w:rFonts w:ascii="黑体" w:eastAsia="黑体" w:hAnsi="黑体" w:cs="黑体"/>
          <w:sz w:val="32"/>
          <w:szCs w:val="32"/>
        </w:rPr>
        <w:t>六、积极参与监督。</w:t>
      </w:r>
      <w:r>
        <w:rPr>
          <w:rFonts w:ascii="仿宋_GB2312" w:eastAsia="仿宋_GB2312" w:hAnsi="仿宋_GB2312" w:cs="仿宋_GB2312"/>
          <w:sz w:val="32"/>
          <w:szCs w:val="32"/>
        </w:rPr>
        <w:t>在税务信息化项目实施过程中，如发现任何违纪违法行为，将如实反馈问题和意见。</w:t>
      </w:r>
    </w:p>
    <w:p>
      <w:pPr>
        <w:pStyle w:val="17"/>
        <w:spacing w:before="0" w:after="0" w:line="360" w:lineRule="auto"/>
        <w:ind w:firstLine="480"/>
        <w:rPr>
          <w:rFonts w:ascii="Times New Roman" w:eastAsia="Times New Roman" w:hAnsi="Times New Roman" w:cs="Times New Roman"/>
        </w:rPr>
      </w:pPr>
      <w:r>
        <w:t> </w:t>
      </w:r>
    </w:p>
    <w:p>
      <w:pPr>
        <w:pStyle w:val="17"/>
        <w:spacing w:before="0" w:after="0" w:line="360" w:lineRule="auto"/>
        <w:ind w:firstLine="480"/>
        <w:rPr>
          <w:rFonts w:ascii="Times New Roman" w:eastAsia="Times New Roman" w:hAnsi="Times New Roman" w:cs="Times New Roman"/>
        </w:rPr>
      </w:pPr>
      <w:r>
        <w:t> </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承诺单位（盖章）：</w:t>
      </w:r>
      <w:r>
        <w:rPr>
          <w:rFonts w:ascii="仿宋_GB2312" w:eastAsia="仿宋_GB2312" w:hAnsi="仿宋_GB2312" w:cs="仿宋_GB2312"/>
          <w:sz w:val="32"/>
          <w:szCs w:val="32"/>
        </w:rPr>
        <w:t>________________________</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法定代表人或授权代表签字：</w:t>
      </w:r>
      <w:r>
        <w:rPr>
          <w:rFonts w:ascii="仿宋_GB2312" w:eastAsia="仿宋_GB2312" w:hAnsi="仿宋_GB2312" w:cs="仿宋_GB2312"/>
          <w:sz w:val="32"/>
          <w:szCs w:val="32"/>
        </w:rPr>
        <w:t>_______________</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日期：</w:t>
      </w:r>
      <w:r>
        <w:rPr>
          <w:rFonts w:ascii="仿宋_GB2312" w:eastAsia="仿宋_GB2312" w:hAnsi="仿宋_GB2312" w:cs="仿宋_GB2312"/>
          <w:sz w:val="32"/>
          <w:szCs w:val="32"/>
        </w:rPr>
        <w:t>XX年XX月XX日</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1"/>
          <w:szCs w:val="21"/>
        </w:rPr>
        <w:t>备注：本承诺书一式两份，一份由承诺单位留存，另一份交税务部门备案。</w:t>
      </w:r>
    </w:p>
    <w:p>
      <w:pPr>
        <w:pStyle w:val="17"/>
        <w:spacing w:before="0" w:after="0" w:line="360" w:lineRule="auto"/>
        <w:ind w:firstLine="480"/>
        <w:rPr>
          <w:rFonts w:ascii="Times New Roman" w:eastAsia="Times New Roman" w:hAnsi="Times New Roman" w:cs="Times New Roman"/>
        </w:rPr>
      </w:pPr>
      <w:r>
        <w:t> </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项目终验前提交《税务信息化项目服务商廉政反馈书》</w:t>
      </w:r>
    </w:p>
    <w:p>
      <w:pPr>
        <w:pStyle w:val="17"/>
        <w:spacing w:before="0" w:after="0" w:line="360" w:lineRule="auto"/>
        <w:ind w:firstLine="480"/>
        <w:jc w:val="center"/>
        <w:rPr>
          <w:rFonts w:ascii="Times New Roman" w:eastAsia="Times New Roman" w:hAnsi="Times New Roman" w:cs="Times New Roman"/>
        </w:rPr>
      </w:pPr>
      <w:r>
        <w:rPr>
          <w:rFonts w:ascii="方正小标宋简体" w:eastAsia="方正小标宋简体" w:hAnsi="方正小标宋简体" w:cs="方正小标宋简体"/>
          <w:sz w:val="36"/>
          <w:szCs w:val="36"/>
        </w:rPr>
        <w:t>税务信息化廉政情况反馈书</w:t>
      </w:r>
    </w:p>
    <w:tbl>
      <w:tblPr>
        <w:tblStyle w:val="18"/>
        <w:tblW w:w="9270" w:type="dxa"/>
        <w:tblCellSpacing w:w="0" w:type="dxa"/>
        <w:tblInd w:w="324" w:type="dxa"/>
        <w:tblCellMar>
          <w:top w:w="15" w:type="dxa"/>
          <w:left w:w="15" w:type="dxa"/>
          <w:bottom w:w="15" w:type="dxa"/>
          <w:right w:w="15" w:type="dxa"/>
        </w:tblCellMar>
        <w:tblLook w:val="05E0"/>
      </w:tblPr>
      <w:tblGrid>
        <w:gridCol w:w="2392"/>
        <w:gridCol w:w="6878"/>
      </w:tblGrid>
      <w:tr>
        <w:tblPrEx>
          <w:tblW w:w="9270" w:type="dxa"/>
          <w:tblCellSpacing w:w="0" w:type="dxa"/>
          <w:tblInd w:w="324" w:type="dxa"/>
          <w:tblCellMar>
            <w:top w:w="15" w:type="dxa"/>
            <w:left w:w="15" w:type="dxa"/>
            <w:bottom w:w="15" w:type="dxa"/>
            <w:right w:w="15" w:type="dxa"/>
          </w:tblCellMar>
          <w:tblLook w:val="05E0"/>
        </w:tblPrEx>
        <w:trPr>
          <w:trHeight w:val="840"/>
          <w:tblCellSpacing w:w="0" w:type="dxa"/>
        </w:trPr>
        <w:tc>
          <w:tcPr>
            <w:tcW w:w="10278" w:type="dxa"/>
            <w:gridSpan w:val="2"/>
            <w:tcBorders>
              <w:top w:val="single" w:sz="8" w:space="0" w:color="000000"/>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项目基本情况</w:t>
            </w:r>
          </w:p>
        </w:tc>
      </w:tr>
      <w:tr>
        <w:tblPrEx>
          <w:tblW w:w="9270" w:type="dxa"/>
          <w:tblCellSpacing w:w="0" w:type="dxa"/>
          <w:tblInd w:w="324" w:type="dxa"/>
          <w:tblCellMar>
            <w:top w:w="15" w:type="dxa"/>
            <w:left w:w="15" w:type="dxa"/>
            <w:bottom w:w="15" w:type="dxa"/>
            <w:right w:w="15" w:type="dxa"/>
          </w:tblCellMar>
          <w:tblLook w:val="05E0"/>
        </w:tblPrEx>
        <w:trPr>
          <w:trHeight w:val="285"/>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333333"/>
                <w:sz w:val="21"/>
                <w:szCs w:val="21"/>
              </w:rPr>
              <w:t>项目名称（编号）</w:t>
            </w:r>
          </w:p>
        </w:tc>
        <w:tc>
          <w:tcPr>
            <w:tcW w:w="7433"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sz w:val="21"/>
                <w:szCs w:val="21"/>
              </w:rPr>
              <w:t>XXX税务信息化项目  项目编号</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服务商名称</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XXX公司</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联系人及电话</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联系人：  职务：   电话：123-4567890</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项目情况概述</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80"/>
              <w:jc w:val="center"/>
              <w:textAlignment w:val="baseline"/>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r>
      <w:tr>
        <w:tblPrEx>
          <w:tblW w:w="9270" w:type="dxa"/>
          <w:tblCellSpacing w:w="0" w:type="dxa"/>
          <w:tblInd w:w="324" w:type="dxa"/>
          <w:tblCellMar>
            <w:top w:w="15" w:type="dxa"/>
            <w:left w:w="15" w:type="dxa"/>
            <w:bottom w:w="15" w:type="dxa"/>
            <w:right w:w="15" w:type="dxa"/>
          </w:tblCellMar>
          <w:tblLook w:val="05E0"/>
        </w:tblPrEx>
        <w:trPr>
          <w:trHeight w:val="700"/>
          <w:tblCellSpacing w:w="0" w:type="dxa"/>
        </w:trPr>
        <w:tc>
          <w:tcPr>
            <w:gridSpan w:val="2"/>
            <w:tcBorders>
              <w:left w:val="single" w:sz="8" w:space="0" w:color="000000"/>
              <w:bottom w:val="single" w:sz="8" w:space="0" w:color="000000"/>
              <w:right w:val="single" w:sz="8" w:space="0" w:color="000000"/>
            </w:tcBorders>
            <w:noWrap/>
            <w:tcMar>
              <w:top w:w="0" w:type="dxa"/>
              <w:left w:w="168" w:type="dxa"/>
              <w:bottom w:w="0" w:type="dxa"/>
              <w:right w:w="168" w:type="dxa"/>
            </w:tcMar>
            <w:vAlign w:val="center"/>
            <w:hideMark/>
          </w:tcPr>
          <w:p>
            <w:pPr>
              <w:pStyle w:val="16"/>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廉洁承诺履行情况</w:t>
            </w:r>
          </w:p>
        </w:tc>
      </w:tr>
      <w:tr>
        <w:tblPrEx>
          <w:tblW w:w="9270" w:type="dxa"/>
          <w:tblCellSpacing w:w="0" w:type="dxa"/>
          <w:tblInd w:w="324" w:type="dxa"/>
          <w:tblCellMar>
            <w:top w:w="15" w:type="dxa"/>
            <w:left w:w="15" w:type="dxa"/>
            <w:bottom w:w="15" w:type="dxa"/>
            <w:right w:w="15" w:type="dxa"/>
          </w:tblCellMar>
          <w:tblLook w:val="05E0"/>
        </w:tblPrEx>
        <w:trPr>
          <w:trHeight w:val="285"/>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333333"/>
                <w:sz w:val="21"/>
                <w:szCs w:val="21"/>
              </w:rPr>
              <w:t>反馈项</w:t>
            </w:r>
          </w:p>
        </w:tc>
        <w:tc>
          <w:tcPr>
            <w:tcW w:w="7433"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sz w:val="21"/>
                <w:szCs w:val="21"/>
              </w:rPr>
              <w:t>反馈内容</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杜绝商业贿赂</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8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向税务工作人员及其家属赠送礼品、礼金或提供任何形式的宴请、娱乐活动情况。</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规范经营活动</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8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按照合同要求，按时完成各阶段任务，确保项目质量和进度情况。</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公开透明合作</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8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在项目实施过程中保持信息公开透明，主动接受相关部门的监督和检查情况。</w:t>
            </w:r>
          </w:p>
        </w:tc>
      </w:tr>
      <w:tr>
        <w:tblPrEx>
          <w:tblW w:w="9270" w:type="dxa"/>
          <w:tblCellSpacing w:w="0" w:type="dxa"/>
          <w:tblInd w:w="324" w:type="dxa"/>
          <w:tblCellMar>
            <w:top w:w="15" w:type="dxa"/>
            <w:left w:w="15" w:type="dxa"/>
            <w:bottom w:w="15" w:type="dxa"/>
            <w:right w:w="15" w:type="dxa"/>
          </w:tblCellMar>
          <w:tblLook w:val="05E0"/>
        </w:tblPrEx>
        <w:trPr>
          <w:trHeight w:val="405"/>
          <w:tblCellSpacing w:w="0" w:type="dxa"/>
        </w:trPr>
        <w:tc>
          <w:tcPr>
            <w:gridSpan w:val="2"/>
            <w:tcBorders>
              <w:left w:val="single" w:sz="8" w:space="0" w:color="000000"/>
              <w:bottom w:val="single" w:sz="8" w:space="0" w:color="000000"/>
              <w:right w:val="single" w:sz="8" w:space="0" w:color="000000"/>
            </w:tcBorders>
            <w:noWrap/>
            <w:tcMar>
              <w:top w:w="0" w:type="dxa"/>
              <w:left w:w="168" w:type="dxa"/>
              <w:bottom w:w="0" w:type="dxa"/>
              <w:right w:w="168" w:type="dxa"/>
            </w:tcMar>
            <w:vAlign w:val="center"/>
            <w:hideMark/>
          </w:tcPr>
          <w:p>
            <w:pPr>
              <w:pStyle w:val="16"/>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税务人员履职期间廉政情况</w:t>
            </w:r>
          </w:p>
        </w:tc>
      </w:tr>
      <w:tr>
        <w:tblPrEx>
          <w:tblW w:w="9270" w:type="dxa"/>
          <w:tblCellSpacing w:w="0" w:type="dxa"/>
          <w:tblInd w:w="324" w:type="dxa"/>
          <w:tblCellMar>
            <w:top w:w="15" w:type="dxa"/>
            <w:left w:w="15" w:type="dxa"/>
            <w:bottom w:w="15" w:type="dxa"/>
            <w:right w:w="15" w:type="dxa"/>
          </w:tblCellMar>
          <w:tblLook w:val="05E0"/>
        </w:tblPrEx>
        <w:trPr>
          <w:trHeight w:val="505"/>
          <w:tblCellSpacing w:w="0" w:type="dxa"/>
        </w:trPr>
        <w:tc>
          <w:tcPr>
            <w:tcW w:w="3643" w:type="dxa"/>
            <w:vMerge w:val="restart"/>
            <w:tcBorders>
              <w:left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ind w:firstLine="48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税务人员履职过程存在违纪违规行为</w:t>
            </w:r>
          </w:p>
        </w:tc>
        <w:tc>
          <w:tcPr>
            <w:tcW w:w="7433"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sz w:val="21"/>
                <w:szCs w:val="21"/>
              </w:rPr>
              <w:t>否</w:t>
            </w:r>
          </w:p>
        </w:tc>
      </w:tr>
      <w:tr>
        <w:tblPrEx>
          <w:tblW w:w="9270" w:type="dxa"/>
          <w:tblCellSpacing w:w="0" w:type="dxa"/>
          <w:tblInd w:w="324" w:type="dxa"/>
          <w:tblCellMar>
            <w:top w:w="15" w:type="dxa"/>
            <w:left w:w="15" w:type="dxa"/>
            <w:bottom w:w="15" w:type="dxa"/>
            <w:right w:w="15" w:type="dxa"/>
          </w:tblCellMar>
          <w:tblLook w:val="05E0"/>
        </w:tblPrEx>
        <w:trPr>
          <w:trHeight w:val="475"/>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333333"/>
                <w:sz w:val="21"/>
                <w:szCs w:val="21"/>
              </w:rPr>
            </w:pPr>
          </w:p>
        </w:tc>
        <w:tc>
          <w:tcPr>
            <w:tcW w:w="7433" w:type="dxa"/>
            <w:vMerge w:val="restart"/>
            <w:tcBorders>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8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是（说明具体情况）</w:t>
            </w:r>
          </w:p>
        </w:tc>
      </w:tr>
      <w:tr>
        <w:tblPrEx>
          <w:tblW w:w="9270" w:type="dxa"/>
          <w:tblCellSpacing w:w="0" w:type="dxa"/>
          <w:tblInd w:w="324" w:type="dxa"/>
          <w:tblCellMar>
            <w:top w:w="15" w:type="dxa"/>
            <w:left w:w="15" w:type="dxa"/>
            <w:bottom w:w="15" w:type="dxa"/>
            <w:right w:w="15" w:type="dxa"/>
          </w:tblCellMar>
          <w:tblLook w:val="05E0"/>
        </w:tblPrEx>
        <w:trPr>
          <w:trHeight w:val="537"/>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r>
    </w:tbl>
    <w:p>
      <w:pPr>
        <w:pStyle w:val="17"/>
        <w:spacing w:before="0" w:after="0" w:line="360" w:lineRule="auto"/>
        <w:ind w:firstLine="480"/>
        <w:rPr>
          <w:rFonts w:ascii="Times New Roman" w:eastAsia="Times New Roman" w:hAnsi="Times New Roman" w:cs="Times New Roman"/>
        </w:rPr>
      </w:pPr>
      <w:r>
        <w:t> </w:t>
      </w:r>
    </w:p>
    <w:p>
      <w:pPr>
        <w:pStyle w:val="17"/>
        <w:spacing w:before="0" w:after="0" w:line="360" w:lineRule="auto"/>
        <w:ind w:firstLine="480"/>
        <w:rPr>
          <w:rFonts w:ascii="Times New Roman" w:eastAsia="Times New Roman" w:hAnsi="Times New Roman" w:cs="Times New Roman"/>
        </w:rPr>
      </w:pPr>
      <w:r>
        <w:t> </w:t>
      </w:r>
      <w:r>
        <w:rPr>
          <w:rStyle w:val="15Character"/>
          <w:rFonts w:ascii="仿宋_GB2312" w:eastAsia="仿宋_GB2312" w:hAnsi="仿宋_GB2312" w:cs="仿宋_GB2312"/>
          <w:sz w:val="32"/>
          <w:szCs w:val="32"/>
          <w:shd w:val="clear" w:color="auto" w:fill="FFFFFF"/>
        </w:rPr>
        <w:t>提交单位（盖章）：</w:t>
      </w:r>
      <w:r>
        <w:rPr>
          <w:rStyle w:val="15Character"/>
          <w:rFonts w:ascii="仿宋_GB2312" w:eastAsia="仿宋_GB2312" w:hAnsi="仿宋_GB2312" w:cs="仿宋_GB2312"/>
          <w:sz w:val="32"/>
          <w:szCs w:val="32"/>
          <w:shd w:val="clear" w:color="auto" w:fill="FFFFFF"/>
        </w:rPr>
        <w:t>XXX公司</w:t>
      </w:r>
    </w:p>
    <w:p>
      <w:pPr>
        <w:pStyle w:val="17"/>
        <w:spacing w:before="0" w:after="0" w:line="360" w:lineRule="auto"/>
        <w:ind w:firstLine="480"/>
        <w:rPr>
          <w:rFonts w:ascii="Times New Roman" w:eastAsia="Times New Roman" w:hAnsi="Times New Roman" w:cs="Times New Roman"/>
        </w:rPr>
      </w:pPr>
      <w:r>
        <w:rPr>
          <w:rStyle w:val="15Character"/>
          <w:rFonts w:ascii="仿宋_GB2312" w:eastAsia="仿宋_GB2312" w:hAnsi="仿宋_GB2312" w:cs="仿宋_GB2312"/>
          <w:sz w:val="32"/>
          <w:szCs w:val="32"/>
          <w:shd w:val="clear" w:color="auto" w:fill="FFFFFF"/>
        </w:rPr>
        <w:t>法定代表人或授权代表签字：</w:t>
      </w:r>
      <w:r>
        <w:rPr>
          <w:rStyle w:val="15Character"/>
          <w:rFonts w:ascii="仿宋_GB2312" w:eastAsia="仿宋_GB2312" w:hAnsi="仿宋_GB2312" w:cs="仿宋_GB2312"/>
          <w:sz w:val="32"/>
          <w:szCs w:val="32"/>
          <w:shd w:val="clear" w:color="auto" w:fill="FFFFFF"/>
        </w:rPr>
        <w:t>_______________________</w:t>
      </w:r>
    </w:p>
    <w:p>
      <w:pPr>
        <w:pStyle w:val="MsoNormal"/>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rPr>
        <w:t> </w:t>
      </w:r>
    </w:p>
    <w:p>
      <w:pPr>
        <w:pStyle w:val="17"/>
        <w:spacing w:before="0" w:after="0" w:line="360" w:lineRule="auto"/>
        <w:ind w:firstLine="480"/>
        <w:rPr>
          <w:rFonts w:ascii="Times New Roman" w:eastAsia="Times New Roman" w:hAnsi="Times New Roman" w:cs="Times New Roman"/>
        </w:rPr>
      </w:pPr>
      <w:r>
        <w:t> </w:t>
      </w:r>
      <w:r>
        <w:rPr>
          <w:rStyle w:val="15Character"/>
          <w:rFonts w:ascii="仿宋_GB2312" w:eastAsia="仿宋_GB2312" w:hAnsi="仿宋_GB2312" w:cs="仿宋_GB2312"/>
          <w:sz w:val="32"/>
          <w:szCs w:val="32"/>
          <w:shd w:val="clear" w:color="auto" w:fill="FFFFFF"/>
        </w:rPr>
        <w:t>日期：</w:t>
      </w:r>
      <w:r>
        <w:rPr>
          <w:rStyle w:val="15Character"/>
          <w:rFonts w:ascii="仿宋_GB2312" w:eastAsia="仿宋_GB2312" w:hAnsi="仿宋_GB2312" w:cs="仿宋_GB2312"/>
          <w:sz w:val="32"/>
          <w:szCs w:val="32"/>
          <w:shd w:val="clear" w:color="auto" w:fill="FFFFFF"/>
        </w:rPr>
        <w:t>XX年XX月XX日</w:t>
      </w:r>
    </w:p>
    <w:p>
      <w:pPr>
        <w:pStyle w:val="Heading30"/>
        <w:keepNext w:val="0"/>
        <w:spacing w:before="0" w:after="0" w:line="360" w:lineRule="auto"/>
        <w:rPr>
          <w:rFonts w:ascii="仿宋_GB2312" w:eastAsia="仿宋_GB2312" w:hAnsi="仿宋_GB2312" w:cs="仿宋_GB2312"/>
          <w:b/>
          <w:bCs/>
          <w:sz w:val="28"/>
          <w:szCs w:val="28"/>
        </w:rPr>
      </w:pPr>
      <w:bookmarkStart w:id="44" w:name="_Toc256000040"/>
      <w:r>
        <w:rPr>
          <w:rFonts w:ascii="仿宋_GB2312" w:eastAsia="仿宋_GB2312" w:hAnsi="仿宋_GB2312" w:cs="仿宋_GB2312"/>
          <w:sz w:val="28"/>
          <w:szCs w:val="28"/>
        </w:rPr>
        <w:t>10.1.3★供应链安全管理要求</w:t>
      </w:r>
      <w:bookmarkEnd w:id="44"/>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1、人员资格要求 </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 xml:space="preserve">1）签订承诺书。供应商应严格落实国家税务总局网络安全和保密管理要求，承担技术支持人员的网络安全和保密管理责任，按采购人要求签订协议和承诺书。 </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 xml:space="preserve">2）开展背景审查。供应商承担技术支持人员背景审查工作，提供其身份证明、履历、家庭成员及主要社会关系、无犯罪记录证明等材料，并提交采购人进行备案。 </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 xml:space="preserve">3）设置网络安全负责人（由驻场运维人员兼任）。供应商为本项目配备一名网络安全负责人，该负责人具备独立决策能力并保持相对稳定，在项目实施的全过程负责网络安全工作，组织落实各项网络安全要求。 </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2、日常行为规范要求 </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 xml:space="preserve">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 </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 xml:space="preserve">2）教育培训要求。供应商负责对技术支持人员进行网络和数据安全法律法规、网络安全意识、网络安全管理、网络安全技能、保密意识以及网络安全警示教育等培训，上岗前对其进行考核。 </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3、违约惩戒措施 </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供应商对供应链安全管理责任落实不到位，造成安全事件或产生不良影响的，采购人按照法律法规及合同约定进行处理。</w:t>
      </w:r>
    </w:p>
    <w:p>
      <w:pPr>
        <w:pStyle w:val="16"/>
        <w:spacing w:before="0" w:after="0" w:line="360" w:lineRule="auto"/>
        <w:ind w:left="0" w:right="0" w:firstLine="640"/>
        <w:jc w:val="both"/>
        <w:rPr>
          <w:rFonts w:ascii="Times New Roman" w:eastAsia="Times New Roman" w:hAnsi="Times New Roman" w:cs="Times New Roman"/>
        </w:rPr>
      </w:pPr>
      <w:r>
        <w:rPr>
          <w:rFonts w:ascii="黑体" w:eastAsia="黑体" w:hAnsi="黑体" w:cs="黑体"/>
          <w:spacing w:val="0"/>
          <w:sz w:val="28"/>
          <w:szCs w:val="28"/>
        </w:rPr>
        <w:t>（一）厂商及人员安全管理需求</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1.供应链厂商和人员要遵守国家网络安全政策法规和税务机关各项网络安全规章制度情况，供应链厂商要与税务机关签订《厂商网络安全承诺书》，向税务机关提交供应链厂商人员的《个人网络安全承诺书》及《无犯罪记录证明》。</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2.供应链厂商要配合税务机关对涉及税务机关税务信息化项目（以下简称项目）的人员做好背景审查。</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3.供应链厂商要定期对聘用离职税务人员情况进行排查，建立相关资料档案，确保人员安全可信。</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4.供应链厂商要建立网络安全负责人制度，并配备一名具备独立决策能力并保持相对稳定的负责人，在项目实施的全过程负责网络安全和数据安全工作，组织落实各项网络安全和数据安全要求。</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5.供应链厂商在项目实施前，要对参与人员开展网络和数据安全法律法规、税务机关供应链厂商及人员网络数据相关安全守则、安全技能、保密常识等方面的教育培训并考核合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pacing w:val="0"/>
          <w:sz w:val="28"/>
          <w:szCs w:val="28"/>
        </w:rPr>
        <w:t>6.供应链厂商要及时向税务机关报告可能发生影响网络安全的重大事项，包括负责人及重要工作人员变更、业务转型、合并重组、投资并购等。</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pacing w:val="0"/>
          <w:sz w:val="28"/>
          <w:szCs w:val="28"/>
        </w:rPr>
        <w:t>7.供应链厂商要在项目启动前向税务机关提供基于项目场景的供应链《安全事件应急响应预案》，明确相关职责和应急处置流程；供应链厂商每年要向税务机关报送《供应链厂商应急演练记录》，确保快速有效处置供应链安全事件。</w:t>
      </w:r>
    </w:p>
    <w:p>
      <w:pPr>
        <w:pStyle w:val="16"/>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pacing w:val="0"/>
          <w:sz w:val="28"/>
          <w:szCs w:val="28"/>
        </w:rPr>
        <w:t>8.供应链厂商及人员要严格遵守采购合同、协议、承诺书等文件中的安全相关条款。</w:t>
      </w:r>
    </w:p>
    <w:p>
      <w:pPr>
        <w:pStyle w:val="16"/>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pacing w:val="0"/>
          <w:sz w:val="28"/>
          <w:szCs w:val="28"/>
        </w:rPr>
        <w:t>9.供应链厂商要按照税务机关相关要求，对关键信息基础设施和重要信息系统进行自查，不利用提供产品和服务的便利条件非法获取数据、非法控制和操纵设备，不中断产品供应或必要的技术支持服务等。</w:t>
      </w:r>
    </w:p>
    <w:p>
      <w:pPr>
        <w:pStyle w:val="16"/>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pacing w:val="0"/>
          <w:sz w:val="28"/>
          <w:szCs w:val="28"/>
        </w:rPr>
        <w:t>10.供应链厂商要加强人员违规违纪管理，对违规违纪行为按签订合同、协议、承诺书等相关条款进行处理，建立《违规违纪管理档案表》。对涉嫌违法犯罪的人员，要主动依照相应法律法规移交有关部门处理。</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pacing w:val="0"/>
          <w:sz w:val="28"/>
          <w:szCs w:val="28"/>
        </w:rPr>
        <w:t>11.供应链厂商要严格落实风险控制、审计巡查、应急处置等方面的工作要求，确保系统安全稳定运行。供应链厂商要按着各项要求，撰写《年度供应链安全自查报告》并提交税务机关。</w:t>
      </w:r>
    </w:p>
    <w:p>
      <w:pPr>
        <w:pStyle w:val="16"/>
        <w:spacing w:before="0" w:after="0" w:line="360" w:lineRule="auto"/>
        <w:ind w:left="0" w:right="0" w:firstLine="640"/>
        <w:jc w:val="both"/>
        <w:rPr>
          <w:rFonts w:ascii="Times New Roman" w:eastAsia="Times New Roman" w:hAnsi="Times New Roman" w:cs="Times New Roman"/>
        </w:rPr>
      </w:pPr>
      <w:r>
        <w:rPr>
          <w:rFonts w:ascii="黑体" w:eastAsia="黑体" w:hAnsi="黑体" w:cs="黑体"/>
          <w:spacing w:val="0"/>
          <w:sz w:val="28"/>
          <w:szCs w:val="28"/>
        </w:rPr>
        <w:t>（二）进驻税务机关办公安全管理需求</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1.供应链厂商要加强驻场办公人员在日常工作中的行为安全管理，严格遵守运维场地管理规定及税务机关基础设施（机房）管理制度。</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2.驻场办公人员进驻运维场地期间不得携带个人电脑、个人存储介质（U盘）、未授权软件安装包等工具。</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3.驻场办公人员未经授权不允许访问、维护、维修基础设施。</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4.驻场办公人员严禁私自使用运维终端打印及刻录输出数据。</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5.驻场办公人员不得向第三方提供基础设施、场地设计图、设备部署图等有关信息。</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6.驻场办公人员使用的终端必须安装防病毒软件，定期开展终端病毒查杀，并形成病毒查杀文档。</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7.驻场办公人员不得将工作数据、工作内容、工作环境等任何与工作有关的信息传播至QQ、微信或任何与工作无关的地方。</w:t>
      </w:r>
    </w:p>
    <w:p>
      <w:pPr>
        <w:pStyle w:val="16"/>
        <w:spacing w:before="0" w:after="0" w:line="360" w:lineRule="auto"/>
        <w:ind w:left="0" w:right="0" w:firstLine="640"/>
        <w:jc w:val="both"/>
        <w:rPr>
          <w:rFonts w:ascii="Times New Roman" w:eastAsia="Times New Roman" w:hAnsi="Times New Roman" w:cs="Times New Roman"/>
        </w:rPr>
      </w:pPr>
      <w:r>
        <w:rPr>
          <w:rFonts w:ascii="黑体" w:eastAsia="黑体" w:hAnsi="黑体" w:cs="黑体"/>
          <w:spacing w:val="0"/>
          <w:sz w:val="28"/>
          <w:szCs w:val="28"/>
        </w:rPr>
        <w:t>（三）开发建设安全管理需求</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1.供应链厂商的软件研发工作场所需安全可控可信，要搭建专用的开发测试环境，配置安全可信的开发管理工具，设置可靠的权限管理策略，确保项目研发安全可控。</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2.供应链厂商在税务机关提供场所开展软件开发测试工作时，网络安全负责人要严格管理本单位人员，严禁供应链厂商人员使用自带电脑和移动存储介质，严禁私自变更办公场所和办公设备，严禁安装非必要的应用程序和组件，严禁擅自复制、使用和修改文档、数据以及其他开发测试资料。</w:t>
      </w:r>
    </w:p>
    <w:p>
      <w:pPr>
        <w:pStyle w:val="16"/>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pacing w:val="0"/>
          <w:sz w:val="28"/>
          <w:szCs w:val="28"/>
        </w:rPr>
        <w:t>3.供应链厂商要加强对提供的项目所涉软、硬件产品及服务的管理，产品及服务必须满足国家认可的网络安全规范和认证要求，供应链清单内的产品要具备销售许可证，定制开发软件必须开展网络安全“三同步”测评。采用源代码安全审计、开源组件安全检测、软件安全性深度测试等技术手段，对相关产品开展安全检查和技术检测，对存在的问题进行整改，最大限度消除风险隐患，并形成《供应链产品检查清单》，提交至税务机关。</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pacing w:val="0"/>
          <w:sz w:val="28"/>
          <w:szCs w:val="28"/>
        </w:rPr>
        <w:t>4.供应链厂商对项目使用的重要供应链产品要定期核查，形成《供应链产品清单》。</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5.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新第三方组件相关信息并报送税务机关，采取有效措施保障第三方组件安全。</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6.供应链厂商禁止使用存在高安全风险隐患或已停止维护的第三方组件。</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7.供应链厂商在产品中如使用了开源代码，应确保其符合开源许可协议要求。供应链厂商自行开发且多项目共用的基础框架及组件，一并参照管理。</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8.供应链厂商在项目开发建设时，要配置独立的、与互联网隔离的内部代码管理平台,并开展安全审查。严禁将源代码上传第三方平台，严禁使用互联网代码托管平台。</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9.供应链厂商在项目开发建设时，要搭建具备权限管控功能的统一版本控制系统，将全部源代码纳入管理，并制定安全编码规范，严禁开发人员未经授权或越权访问和违规开发。</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10.供应链厂商要开展源代码安全自查工作，设置专用代码审计场所，采用工具与人工核查相结合的方式开展工作，形成《源代码审计报告》提交税务机关。审计过程要确保源代码不外泄，对审计中发现的问题要及时解决。</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11.供应链厂商需要税务机关提供用于测试的脱敏数据时，应明确脱敏字段需求，要规范测试数据使用权限，切断数据拷出途径，确保测试数据安全。</w:t>
      </w:r>
    </w:p>
    <w:p>
      <w:pPr>
        <w:pStyle w:val="16"/>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pacing w:val="0"/>
          <w:sz w:val="28"/>
          <w:szCs w:val="28"/>
        </w:rPr>
        <w:t>12.供应链厂商要按照“三同步”工作要求，在应用系统开发上线前将《供应链产品清单》、《第三方组件使用清单》、《源代码审计报告》等相关内容，汇总至系统安全“三同步”材料一并提交税务机关审核，要从开发设计环节即全面落实安全管理要求。</w:t>
      </w:r>
    </w:p>
    <w:p>
      <w:pPr>
        <w:pStyle w:val="16"/>
        <w:spacing w:before="0" w:after="0" w:line="360" w:lineRule="auto"/>
        <w:ind w:left="0" w:right="0" w:firstLine="640"/>
        <w:jc w:val="both"/>
        <w:rPr>
          <w:rFonts w:ascii="Times New Roman" w:eastAsia="Times New Roman" w:hAnsi="Times New Roman" w:cs="Times New Roman"/>
        </w:rPr>
      </w:pPr>
      <w:r>
        <w:rPr>
          <w:rFonts w:ascii="黑体" w:eastAsia="黑体" w:hAnsi="黑体" w:cs="黑体"/>
          <w:spacing w:val="0"/>
          <w:sz w:val="28"/>
          <w:szCs w:val="28"/>
        </w:rPr>
        <w:t>（四）日常运维安全管理需求</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1.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账户一一对应，严禁用他人账户进行数据维护，严禁运维账户存在“一人多户”或“一户多人”情况。</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2.供应链厂商要加强数据安全管理，规范供应链厂商人员的日常运维工作，不得擅自访问、修改或删除税费数据，严禁将生产环境的真实税费数据导入测试环境，测试系统中不能留有真实税费数据。</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3.供应链厂商及人员需要导出数据时要经过审批且符合规定，严禁私自导出数据。</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4.供应链厂商及人员不得私自截留涉税相关数据，不得变更用途、用法，不得公开、转让或向第三方提供。</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5.供应链厂商要及时发现风险隐患，对发现的网络安全漏洞、缺陷、数据泄露或其他重大网络安全风险，及时向税务机关报告，不得公开或向第三方提供。</w:t>
      </w:r>
    </w:p>
    <w:p>
      <w:pPr>
        <w:pStyle w:val="16"/>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pacing w:val="0"/>
          <w:sz w:val="28"/>
          <w:szCs w:val="28"/>
        </w:rPr>
        <w:t>6.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pPr>
        <w:pStyle w:val="Heading30"/>
        <w:keepNext w:val="0"/>
        <w:spacing w:before="0" w:after="0" w:line="360" w:lineRule="auto"/>
        <w:rPr>
          <w:rFonts w:ascii="仿宋_GB2312" w:eastAsia="仿宋_GB2312" w:hAnsi="仿宋_GB2312" w:cs="仿宋_GB2312"/>
          <w:b/>
          <w:bCs/>
          <w:sz w:val="28"/>
          <w:szCs w:val="28"/>
        </w:rPr>
      </w:pPr>
      <w:bookmarkStart w:id="45" w:name="_Toc256000041"/>
      <w:r>
        <w:rPr>
          <w:rFonts w:ascii="仿宋_GB2312" w:eastAsia="仿宋_GB2312" w:hAnsi="仿宋_GB2312" w:cs="仿宋_GB2312"/>
          <w:sz w:val="28"/>
          <w:szCs w:val="28"/>
        </w:rPr>
        <w:t>10.1.4★信息化服务运维人员要求</w:t>
      </w:r>
      <w:bookmarkEnd w:id="45"/>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本项目涉及信息化服务运维人员的，运维人员应当是运维单位的正式人员，或者是与运维单位签订1年以上劳动合同且实际工作满1年的人员，常驻运维人员应当为技术骨干。</w:t>
      </w:r>
    </w:p>
    <w:p>
      <w:pPr>
        <w:pStyle w:val="MsoNormal"/>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sz w:val="28"/>
          <w:szCs w:val="28"/>
        </w:rPr>
        <w:t>常驻运维人员不得在同一服务期内，为两个或以上信息化项目提供驻场、运维服务。</w:t>
      </w:r>
    </w:p>
    <w:p>
      <w:pPr>
        <w:pStyle w:val="Heading30"/>
        <w:keepNext w:val="0"/>
        <w:spacing w:before="0" w:after="0" w:line="360" w:lineRule="auto"/>
        <w:rPr>
          <w:rFonts w:ascii="仿宋_GB2312" w:eastAsia="仿宋_GB2312" w:hAnsi="仿宋_GB2312" w:cs="仿宋_GB2312"/>
          <w:b/>
          <w:bCs/>
          <w:sz w:val="28"/>
          <w:szCs w:val="28"/>
        </w:rPr>
      </w:pPr>
      <w:bookmarkStart w:id="46" w:name="_Toc256000042"/>
      <w:r>
        <w:rPr>
          <w:rFonts w:ascii="仿宋_GB2312" w:eastAsia="仿宋_GB2312" w:hAnsi="仿宋_GB2312" w:cs="仿宋_GB2312"/>
          <w:sz w:val="28"/>
          <w:szCs w:val="28"/>
        </w:rPr>
        <w:t>10.1.5其他</w:t>
      </w:r>
      <w:bookmarkEnd w:id="46"/>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20"/>
        <w:keepNext w:val="0"/>
        <w:spacing w:before="0" w:after="0" w:line="360" w:lineRule="auto"/>
        <w:rPr>
          <w:rFonts w:ascii="仿宋_GB2312" w:eastAsia="仿宋_GB2312" w:hAnsi="仿宋_GB2312" w:cs="仿宋_GB2312"/>
          <w:b/>
          <w:bCs/>
          <w:sz w:val="28"/>
          <w:szCs w:val="28"/>
        </w:rPr>
      </w:pPr>
      <w:bookmarkStart w:id="47" w:name="_Toc256000043"/>
      <w:r>
        <w:rPr>
          <w:rFonts w:ascii="仿宋_GB2312" w:eastAsia="仿宋_GB2312" w:hAnsi="仿宋_GB2312" w:cs="仿宋_GB2312"/>
          <w:i w:val="0"/>
          <w:iCs w:val="0"/>
        </w:rPr>
        <w:t>10.2知识产权要求</w:t>
      </w:r>
      <w:bookmarkEnd w:id="47"/>
    </w:p>
    <w:p>
      <w:pPr>
        <w:pStyle w:val="MsoNormal"/>
        <w:spacing w:before="0" w:after="0" w:line="360" w:lineRule="auto"/>
        <w:ind w:right="0" w:firstLine="640"/>
        <w:rPr>
          <w:rFonts w:ascii="Times New Roman" w:eastAsia="Times New Roman" w:hAnsi="Times New Roman" w:cs="Times New Roman"/>
        </w:rPr>
      </w:pPr>
      <w:r>
        <w:rPr>
          <w:rFonts w:ascii="仿宋" w:eastAsia="仿宋" w:hAnsi="仿宋" w:cs="仿宋"/>
          <w:sz w:val="32"/>
          <w:szCs w:val="32"/>
        </w:rPr>
        <w:t>本项目所有知识产权归国家税务总局吉林省税务局所有。</w:t>
      </w:r>
      <w:r>
        <w:rPr>
          <w:rFonts w:ascii="仿宋_GB2312" w:eastAsia="仿宋_GB2312" w:hAnsi="仿宋_GB2312" w:cs="仿宋_GB2312"/>
          <w:sz w:val="32"/>
          <w:szCs w:val="32"/>
        </w:rPr>
        <w:t>投标人需保证所提供的服务不侵犯第三方的知识产权（专利权、商标权、版权等），因侵害第三方知识产权而产生的法律责任，全部由投标人承担。</w:t>
      </w:r>
    </w:p>
    <w:p>
      <w:pPr>
        <w:pStyle w:val="Heading20"/>
        <w:keepNext w:val="0"/>
        <w:spacing w:before="0" w:after="0" w:line="360" w:lineRule="auto"/>
        <w:rPr>
          <w:rFonts w:ascii="仿宋_GB2312" w:eastAsia="仿宋_GB2312" w:hAnsi="仿宋_GB2312" w:cs="仿宋_GB2312"/>
          <w:b/>
          <w:bCs/>
          <w:sz w:val="28"/>
          <w:szCs w:val="28"/>
        </w:rPr>
      </w:pPr>
      <w:bookmarkStart w:id="48" w:name="_Toc256000044"/>
      <w:r>
        <w:rPr>
          <w:rFonts w:ascii="仿宋_GB2312" w:eastAsia="仿宋_GB2312" w:hAnsi="仿宋_GB2312" w:cs="仿宋_GB2312"/>
          <w:i w:val="0"/>
          <w:iCs w:val="0"/>
        </w:rPr>
        <w:t>10.3付款安排建议</w:t>
      </w:r>
      <w:bookmarkEnd w:id="48"/>
    </w:p>
    <w:tbl>
      <w:tblPr>
        <w:tblStyle w:val="TableNormal"/>
        <w:tblW w:w="5000" w:type="pct"/>
        <w:tblInd w:w="30" w:type="dxa"/>
        <w:tblCellMar>
          <w:top w:w="15" w:type="dxa"/>
          <w:left w:w="15" w:type="dxa"/>
          <w:bottom w:w="15" w:type="dxa"/>
          <w:right w:w="15" w:type="dxa"/>
        </w:tblCellMar>
      </w:tblPr>
      <w:tblGrid>
        <w:gridCol w:w="3347"/>
        <w:gridCol w:w="5120"/>
        <w:gridCol w:w="603"/>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吉林税务2025年办税服务厅综合监控管理系统—电子档案子系统新增业务功能完善项目</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在完成项目系统升级改造服务并终验合格后，中标供应商提出付款申请并出具合法等额发票后10个工作日内支付合同总额100%的款项。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0"/>
        <w:keepNext w:val="0"/>
        <w:spacing w:before="0" w:after="0" w:line="360" w:lineRule="auto"/>
        <w:rPr>
          <w:rFonts w:ascii="仿宋_GB2312" w:eastAsia="仿宋_GB2312" w:hAnsi="仿宋_GB2312" w:cs="仿宋_GB2312"/>
          <w:b/>
          <w:bCs/>
          <w:sz w:val="28"/>
          <w:szCs w:val="28"/>
        </w:rPr>
      </w:pPr>
      <w:bookmarkStart w:id="49" w:name="_Toc256000045"/>
      <w:r>
        <w:rPr>
          <w:rFonts w:ascii="仿宋_GB2312" w:eastAsia="仿宋_GB2312" w:hAnsi="仿宋_GB2312" w:cs="仿宋_GB2312"/>
          <w:i w:val="0"/>
          <w:iCs w:val="0"/>
        </w:rPr>
        <w:t>10.4其他</w:t>
      </w:r>
      <w:bookmarkEnd w:id="49"/>
    </w:p>
    <w:p>
      <w:pPr>
        <w:pStyle w:val="MsoNormal"/>
        <w:spacing w:before="0" w:after="0" w:line="360" w:lineRule="auto"/>
        <w:jc w:val="center"/>
        <w:rPr>
          <w:rFonts w:ascii="Times New Roman" w:eastAsia="Times New Roman" w:hAnsi="Times New Roman" w:cs="Times New Roman"/>
        </w:rPr>
      </w:pPr>
      <w:r>
        <w:rPr>
          <w:rFonts w:ascii="仿宋_GB2312" w:eastAsia="仿宋_GB2312" w:hAnsi="仿宋_GB2312" w:cs="仿宋_GB2312"/>
          <w:sz w:val="32"/>
          <w:szCs w:val="32"/>
        </w:rPr>
        <w:t>“满足指标要求情况”内容</w:t>
      </w:r>
    </w:p>
    <w:p>
      <w:pPr>
        <w:pStyle w:val="MsoNormal"/>
        <w:spacing w:before="0" w:after="0" w:line="360" w:lineRule="auto"/>
        <w:jc w:val="center"/>
        <w:rPr>
          <w:rFonts w:ascii="Times New Roman" w:eastAsia="Times New Roman" w:hAnsi="Times New Roman" w:cs="Times New Roman"/>
        </w:rPr>
      </w:pPr>
      <w:r>
        <w:rPr>
          <w:rFonts w:ascii="仿宋_GB2312" w:eastAsia="仿宋_GB2312" w:hAnsi="仿宋_GB2312" w:cs="仿宋_GB2312"/>
          <w:sz w:val="32"/>
          <w:szCs w:val="32"/>
        </w:rPr>
        <w:t>（</w:t>
      </w:r>
      <w:r>
        <w:rPr>
          <w:rFonts w:ascii="仿宋_GB2312" w:eastAsia="仿宋_GB2312" w:hAnsi="仿宋_GB2312" w:cs="仿宋_GB2312"/>
          <w:sz w:val="32"/>
          <w:szCs w:val="32"/>
        </w:rPr>
        <w:t>办税服务厅综合管理系统</w:t>
      </w:r>
      <w:r>
        <w:rPr>
          <w:rFonts w:ascii="仿宋_GB2312" w:eastAsia="仿宋_GB2312" w:hAnsi="仿宋_GB2312" w:cs="仿宋_GB2312"/>
          <w:sz w:val="32"/>
          <w:szCs w:val="32"/>
        </w:rPr>
        <w:t>—电子档案子系统新增业务功能完善项目</w:t>
      </w:r>
      <w:r>
        <w:rPr>
          <w:rFonts w:ascii="仿宋_GB2312" w:eastAsia="仿宋_GB2312" w:hAnsi="仿宋_GB2312" w:cs="仿宋_GB2312"/>
          <w:sz w:val="32"/>
          <w:szCs w:val="32"/>
        </w:rPr>
        <w:t>）</w:t>
      </w:r>
    </w:p>
    <w:p>
      <w:pPr>
        <w:pStyle w:val="MsoNormal"/>
        <w:spacing w:before="0" w:after="0" w:line="360" w:lineRule="auto"/>
        <w:jc w:val="both"/>
        <w:rPr>
          <w:rFonts w:ascii="Times New Roman" w:eastAsia="Times New Roman" w:hAnsi="Times New Roman" w:cs="Times New Roman"/>
        </w:rPr>
      </w:pPr>
      <w:r>
        <w:rPr>
          <w:rFonts w:ascii="仿宋_GB2312" w:eastAsia="仿宋_GB2312" w:hAnsi="仿宋_GB2312" w:cs="仿宋_GB2312"/>
          <w:sz w:val="32"/>
          <w:szCs w:val="32"/>
        </w:rPr>
        <w:t> </w:t>
      </w:r>
    </w:p>
    <w:tbl>
      <w:tblPr>
        <w:tblStyle w:val="MsoNormalTable"/>
        <w:tblW w:w="4997" w:type="pct"/>
        <w:tblCellSpacing w:w="0" w:type="dxa"/>
        <w:tblInd w:w="128" w:type="dxa"/>
        <w:tblCellMar>
          <w:top w:w="15" w:type="dxa"/>
          <w:left w:w="15" w:type="dxa"/>
          <w:bottom w:w="15" w:type="dxa"/>
          <w:right w:w="15" w:type="dxa"/>
        </w:tblCellMar>
        <w:tblLook w:val="05E0"/>
      </w:tblPr>
      <w:tblGrid>
        <w:gridCol w:w="141"/>
        <w:gridCol w:w="1597"/>
        <w:gridCol w:w="222"/>
        <w:gridCol w:w="1100"/>
        <w:gridCol w:w="4446"/>
        <w:gridCol w:w="1565"/>
      </w:tblGrid>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top w:val="single" w:sz="8" w:space="0" w:color="000000"/>
              <w:left w:val="single" w:sz="8" w:space="0" w:color="000000"/>
              <w:bottom w:val="single" w:sz="8" w:space="0" w:color="000000"/>
              <w:right w:val="single" w:sz="8" w:space="0" w:color="000000"/>
            </w:tcBorders>
            <w:noWrap w:val="0"/>
            <w:tcMar>
              <w:top w:w="2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序号</w:t>
            </w:r>
          </w:p>
        </w:tc>
        <w:tc>
          <w:tcPr>
            <w:tcW w:w="670" w:type="dxa"/>
            <w:tcBorders>
              <w:top w:val="single" w:sz="8" w:space="0" w:color="000000"/>
              <w:bottom w:val="single" w:sz="8" w:space="0" w:color="000000"/>
              <w:right w:val="single" w:sz="8" w:space="0" w:color="000000"/>
            </w:tcBorders>
            <w:noWrap w:val="0"/>
            <w:tcMar>
              <w:top w:w="2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产品名称</w:t>
            </w:r>
          </w:p>
        </w:tc>
        <w:tc>
          <w:tcPr>
            <w:tcW w:w="715" w:type="dxa"/>
            <w:tcBorders>
              <w:top w:val="single" w:sz="8" w:space="0" w:color="000000"/>
              <w:bottom w:val="single" w:sz="8" w:space="0" w:color="000000"/>
              <w:right w:val="single" w:sz="8" w:space="0" w:color="000000"/>
            </w:tcBorders>
            <w:noWrap w:val="0"/>
            <w:tcMar>
              <w:top w:w="2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指标种类</w:t>
            </w:r>
          </w:p>
        </w:tc>
        <w:tc>
          <w:tcPr>
            <w:tcW w:w="1900" w:type="dxa"/>
            <w:tcBorders>
              <w:top w:val="single" w:sz="8" w:space="0" w:color="000000"/>
              <w:bottom w:val="single" w:sz="8" w:space="0" w:color="000000"/>
              <w:right w:val="single" w:sz="8" w:space="0" w:color="000000"/>
            </w:tcBorders>
            <w:noWrap w:val="0"/>
            <w:tcMar>
              <w:top w:w="2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指标名称</w:t>
            </w:r>
          </w:p>
        </w:tc>
        <w:tc>
          <w:tcPr>
            <w:tcW w:w="3834" w:type="dxa"/>
            <w:tcBorders>
              <w:top w:val="single" w:sz="8" w:space="0" w:color="000000"/>
              <w:bottom w:val="single" w:sz="8" w:space="0" w:color="000000"/>
              <w:right w:val="single" w:sz="8" w:space="0" w:color="000000"/>
            </w:tcBorders>
            <w:noWrap w:val="0"/>
            <w:tcMar>
              <w:top w:w="2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指标内容</w:t>
            </w:r>
          </w:p>
        </w:tc>
        <w:tc>
          <w:tcPr>
            <w:tcW w:w="1631" w:type="dxa"/>
            <w:tcBorders>
              <w:top w:val="single" w:sz="8" w:space="0" w:color="000000"/>
              <w:bottom w:val="single" w:sz="8" w:space="0" w:color="000000"/>
              <w:right w:val="single" w:sz="8" w:space="0" w:color="000000"/>
            </w:tcBorders>
            <w:noWrap w:val="0"/>
            <w:tcMar>
              <w:top w:w="2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证明材料要求（官网截图或产品说明书或白皮书或承诺书等证明材料）</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w:t>
            </w:r>
          </w:p>
        </w:tc>
        <w:tc>
          <w:tcPr>
            <w:tcW w:w="670" w:type="dxa"/>
            <w:vMerge w:val="restart"/>
            <w:tcBorders>
              <w:bottom w:val="none" w:sz="0" w:space="0" w:color="auto"/>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办税服务厅综合监控管理系统—电子档案子系统新增业务功能完善项目</w:t>
            </w: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欠税业务档案采集登记—数据检索与确定</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根据录入的纳税人识别号，自动调取出核心征管系统中的纳税人信息。如果同一纳税人识别号存在多条记录，用户可选择其中一条进行操作。</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2</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欠税业务档案采集登记—在线扫描</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能够提供功能设计界面原型图，实现对检索出的纳税人，完成欠税业务在线扫描图片的操作。</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3</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欠税业务档案采集登记—本地上传</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通过本地上传功能上传单个图片及批量上传图片。</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4</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欠税业务档案采集登记—图片预览及删除</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点击预览查看原始图片，确认扫描的文件是否正确和清晰，如需要重新采集，可以删除重扫（重传）。</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5</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欠税业务档案采集登记—图片编辑</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对已经扫描的图片，提供旋转、裁剪、矩形选取、缩放等编辑功能。</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6</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欠税业务档案采集登记—更换纳税人</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当用户需要更换其他纳税人进行新的操作，点击“更换纳税人”，可重置当前页面信息，继续录入新的数据。</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7</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欠税业务档案采集补录—数据展示</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数据展示项：序号、勾选项、纳税人名称、事项大类、事项小类、受理时间、受理人员、查看详情、删除。</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8</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欠税业务档案采集补录—档案查看详情</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在数据展示信息页面，选择某条数据，点击查看详情，默认显示本条记录对应的纳税人识别号（社会信用代码）、纳税人名称、工作事项、采集时间、材料名称、上传页数、预览、在线扫描、本地上传。</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9</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欠税业务档案采集补录—档案补采（在线扫描）</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在档案详情页面，点击在线扫描，可以在线连续扫描图片。通过高拍仪，可连续对资料进行拍照，支持拍照图片的删除。</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10</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欠税业务档案采集补录—电子影像预览、删除</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在档案详情页面，点击预览，可查看已经补采的原始图片，支持图片轮播，图片方向调整，图片的放大缩小。确认图片文件是否正确和清晰，如需要重新采集，可以删除图片，重扫（重传）</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11</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欠税业务档案查询</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能够提供功能设计界面原型图，实现按各种筛选条件组合查询用户所属机构范围内的已移交的欠税业务电子档案。</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12</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欠税业务档案统计</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能够提供功能设计界面原型图，实现按各种筛选条件组合查询用户所属机构范围内的欠税业务档案归档量。</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13</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在线连续扫描图片</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能够提供功能设计界面原型图，实现在一个页面上完成全部材料的在线扫描</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14</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新增批量上传pdf文件</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能够提供功能设计界面原型图，实现输入纳税人识别号，选择业务事项，业务办理日期，可批量选择pdf文件进行上传。</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15</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档案统计</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能够提供功能设计界面原型图，实现按多种筛选条件，统计普通业务档案归档量。</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16</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历史档案采集</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能够提供功能设计界面原型图，实现对检索出的纳税人，完成历史档案采集的操作。</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17</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历史档案查询</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能够提供功能设计界面原型图，实现按各种筛选条件组合查询用户所属机构范围内的历史业务电子档案。</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18</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历史档案统计</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能够提供功能设计界面原型图，实现按多种筛选条件，统计各个市州局下的各县区局上传的档案条数、文件数量。</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19</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核心征管欠税业务加工</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能够使用GoldenGate软件每日自动从核心征管系统实时同步欠税业务数据到本系统。</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551" w:type="dxa"/>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20</w:t>
            </w:r>
          </w:p>
        </w:tc>
        <w:tc>
          <w:tcPr>
            <w:vMerge/>
            <w:tcBorders>
              <w:bottom w:val="single" w:sz="8" w:space="0" w:color="000000"/>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715"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w:t>
            </w:r>
          </w:p>
        </w:tc>
        <w:tc>
          <w:tcPr>
            <w:tcW w:w="1900"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新增功能统一工作平台可信认证集成</w:t>
            </w:r>
          </w:p>
        </w:tc>
        <w:tc>
          <w:tcPr>
            <w:tcW w:w="3834"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能够提供符合统一工作平台可信认证要求的集成方案</w:t>
            </w:r>
          </w:p>
        </w:tc>
        <w:tc>
          <w:tcPr>
            <w:tcW w:w="1631" w:type="dxa"/>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spacing w:line="360" w:lineRule="auto"/>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bl>
    <w:p>
      <w:pPr>
        <w:pStyle w:val="Normal0"/>
        <w:spacing w:before="0" w:after="0" w:line="360" w:lineRule="auto"/>
        <w:jc w:val="left"/>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35</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rFonts w:ascii="仿宋_GB2312" w:eastAsia="仿宋_GB2312" w:hAnsi="仿宋_GB2312" w:cs="仿宋_GB2312"/>
      <w:b w:val="0"/>
      <w:bCs/>
      <w:caps/>
      <w:color w:val="000000"/>
      <w:sz w:val="24"/>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ascii="仿宋_GB2312" w:eastAsia="仿宋_GB2312" w:hAnsi="仿宋_GB2312" w:cs="仿宋_GB2312"/>
      <w:b w:val="0"/>
      <w:color w:val="000000"/>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ascii="仿宋_GB2312" w:eastAsia="仿宋_GB2312" w:hAnsi="仿宋_GB2312" w:cs="仿宋_GB2312"/>
      <w:b w:val="0"/>
      <w:color w:val="000000"/>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
    <w:name w:val="MsoNormal"/>
    <w:basedOn w:val="Normal"/>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16">
    <w:name w:val="16"/>
    <w:basedOn w:val="Normal"/>
    <w:pPr>
      <w:widowControl/>
      <w:spacing w:after="0" w:line="240" w:lineRule="auto"/>
      <w:jc w:val="left"/>
    </w:pPr>
    <w:rPr>
      <w:rFonts w:eastAsia="Times New Roman"/>
      <w:kern w:val="0"/>
      <w:sz w:val="24"/>
      <w:lang w:eastAsia="en-US"/>
    </w:rPr>
  </w:style>
  <w:style w:type="paragraph" w:customStyle="1" w:styleId="17">
    <w:name w:val="17"/>
    <w:basedOn w:val="Normal"/>
    <w:pPr>
      <w:widowControl/>
      <w:spacing w:after="0" w:line="240" w:lineRule="auto"/>
      <w:jc w:val="left"/>
    </w:pPr>
    <w:rPr>
      <w:rFonts w:eastAsia="Times New Roman"/>
      <w:kern w:val="0"/>
      <w:sz w:val="24"/>
      <w:lang w:eastAsia="en-US"/>
    </w:rPr>
  </w:style>
  <w:style w:type="table" w:customStyle="1" w:styleId="18">
    <w:name w:val="18"/>
    <w:basedOn w:val="TableNormal"/>
    <w:rPr>
      <w:rFonts w:eastAsia="Times New Roman"/>
      <w:lang w:val="en-US" w:eastAsia="en-US"/>
    </w:rPr>
    <w:tblPr/>
  </w:style>
  <w:style w:type="character" w:customStyle="1" w:styleId="15Character">
    <w:name w:val="15 Character"/>
    <w:basedOn w:val="DefaultParagraphFont"/>
  </w:style>
  <w:style w:type="table" w:customStyle="1" w:styleId="MsoNormalTable">
    <w:name w:val="MsoNormalTable"/>
    <w:basedOn w:val="TableNormal"/>
    <w:rPr>
      <w:rFonts w:eastAsia="Times New Roman"/>
      <w:lang w:val="en-US" w:eastAsia="en-US"/>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35</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