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14:paraId="00F17C8A">
      <w:pPr>
        <w:topLinePunct/>
        <w:autoSpaceDE w:val="0"/>
        <w:autoSpaceDN w:val="0"/>
        <w:jc w:val="center"/>
        <w:rPr>
          <w:rFonts w:ascii="黑体" w:eastAsia="黑体"/>
          <w:b/>
          <w:color w:val="auto"/>
          <w:sz w:val="52"/>
          <w:highlight w:val="none"/>
        </w:rPr>
      </w:pPr>
    </w:p>
    <w:p w14:paraId="2A5BDF97">
      <w:pPr>
        <w:topLinePunct/>
        <w:autoSpaceDE w:val="0"/>
        <w:autoSpaceDN w:val="0"/>
        <w:jc w:val="center"/>
        <w:rPr>
          <w:rFonts w:hAnsi="宋体"/>
          <w:b/>
          <w:color w:val="auto"/>
          <w:sz w:val="96"/>
          <w:szCs w:val="96"/>
          <w:highlight w:val="none"/>
        </w:rPr>
      </w:pPr>
      <w:r>
        <w:rPr>
          <w:rFonts w:hAnsi="宋体" w:hint="eastAsia"/>
          <w:b/>
          <w:color w:val="auto"/>
          <w:sz w:val="96"/>
          <w:szCs w:val="96"/>
          <w:highlight w:val="none"/>
        </w:rPr>
        <w:t>招 标 文 件</w:t>
      </w:r>
    </w:p>
    <w:p w14:paraId="192B28C2">
      <w:pPr>
        <w:topLinePunct/>
        <w:autoSpaceDE w:val="0"/>
        <w:autoSpaceDN w:val="0"/>
        <w:spacing w:line="60" w:lineRule="exact"/>
        <w:jc w:val="center"/>
        <w:rPr>
          <w:rFonts w:hAnsi="宋体"/>
          <w:color w:val="auto"/>
          <w:sz w:val="96"/>
          <w:szCs w:val="96"/>
          <w:highlight w:val="none"/>
        </w:rPr>
      </w:pPr>
    </w:p>
    <w:p w14:paraId="0DD5E4FB">
      <w:pPr>
        <w:topLinePunct/>
        <w:autoSpaceDE w:val="0"/>
        <w:autoSpaceDN w:val="0"/>
        <w:snapToGrid w:val="0"/>
        <w:jc w:val="center"/>
        <w:rPr>
          <w:rFonts w:ascii="宋体" w:hAnsi="宋体"/>
          <w:color w:val="auto"/>
          <w:sz w:val="96"/>
          <w:szCs w:val="96"/>
          <w:highlight w:val="none"/>
        </w:rPr>
      </w:pPr>
      <w:r>
        <w:rPr>
          <w:rFonts w:hAnsi="宋体" w:hint="eastAsia"/>
          <w:b/>
          <w:color w:val="auto"/>
          <w:sz w:val="56"/>
          <w:szCs w:val="56"/>
          <w:highlight w:val="none"/>
        </w:rPr>
        <w:t>（商务部分）</w:t>
      </w:r>
    </w:p>
    <w:p w14:paraId="135EF7D6">
      <w:pPr>
        <w:topLinePunct/>
        <w:autoSpaceDE w:val="0"/>
        <w:autoSpaceDN w:val="0"/>
        <w:snapToGrid w:val="0"/>
        <w:rPr>
          <w:rFonts w:ascii="宋体" w:hAnsi="宋体"/>
          <w:color w:val="auto"/>
          <w:sz w:val="96"/>
          <w:szCs w:val="96"/>
          <w:highlight w:val="none"/>
        </w:rPr>
      </w:pPr>
    </w:p>
    <w:p w14:paraId="40258D87">
      <w:pPr>
        <w:topLinePunct/>
        <w:autoSpaceDE w:val="0"/>
        <w:autoSpaceDN w:val="0"/>
        <w:snapToGrid w:val="0"/>
        <w:spacing w:line="360" w:lineRule="auto"/>
        <w:ind w:firstLine="280" w:firstLineChars="100"/>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pPr>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项目名称：</w:t>
      </w:r>
      <w:bookmarkStart w:id="0" w:name="招标文件_项目名称_fa_planName"/>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国家税务总局吉林市税务局2026年食材采购项目</w:t>
      </w:r>
      <w:bookmarkEnd w:id="0"/>
    </w:p>
    <w:p w14:paraId="40AAD881">
      <w:pPr>
        <w:topLinePunct/>
        <w:autoSpaceDE w:val="0"/>
        <w:autoSpaceDN w:val="0"/>
        <w:snapToGrid w:val="0"/>
        <w:spacing w:line="360" w:lineRule="auto"/>
        <w:ind w:firstLine="280" w:firstLineChars="100"/>
        <w:rPr>
          <w:rFonts w:ascii="宋体" w:eastAsia="宋体" w:hAnsi="宋体" w:cs="宋体" w:hint="eastAsia"/>
          <w:b/>
          <w:bCs/>
          <w:sz w:val="28"/>
          <w:szCs w:val="36"/>
        </w:rPr>
      </w:pPr>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项目编号：</w:t>
      </w:r>
      <w:bookmarkStart w:id="1" w:name="招标文件_项目编号_fa_planNo"/>
      <w:r>
        <w:rPr>
          <w:rFonts w:ascii="宋体" w:eastAsia="宋体" w:hAnsi="宋体" w:cs="宋体" w:hint="eastAsia"/>
          <w:b/>
          <w:bCs/>
          <w:sz w:val="28"/>
          <w:szCs w:val="36"/>
        </w:rPr>
        <w:t>JL2025-ZXGK-C0128-B02</w:t>
      </w:r>
      <w:bookmarkEnd w:id="1"/>
    </w:p>
    <w:p w14:paraId="7EA91CFF">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58449437">
      <w:pPr>
        <w:topLinePunct/>
        <w:autoSpaceDE w:val="0"/>
        <w:autoSpaceDN w:val="0"/>
        <w:spacing w:line="460" w:lineRule="exact"/>
        <w:rPr>
          <w:rFonts w:ascii="黑体" w:eastAsia="黑体"/>
          <w:b/>
          <w:color w:val="auto"/>
          <w:sz w:val="52"/>
          <w:highlight w:val="none"/>
        </w:rPr>
      </w:pPr>
      <w:bookmarkStart w:id="2" w:name="_GoBack"/>
      <w:bookmarkEnd w:id="2"/>
    </w:p>
    <w:p w14:paraId="227B211A">
      <w:pPr>
        <w:topLinePunct/>
        <w:autoSpaceDE w:val="0"/>
        <w:autoSpaceDN w:val="0"/>
        <w:spacing w:line="460" w:lineRule="exact"/>
        <w:rPr>
          <w:rFonts w:ascii="黑体" w:eastAsia="黑体"/>
          <w:b/>
          <w:color w:val="auto"/>
          <w:sz w:val="36"/>
          <w:szCs w:val="36"/>
          <w:highlight w:val="none"/>
        </w:rPr>
      </w:pPr>
    </w:p>
    <w:p w14:paraId="2F8A8B16">
      <w:pPr>
        <w:topLinePunct/>
        <w:autoSpaceDE w:val="0"/>
        <w:autoSpaceDN w:val="0"/>
        <w:spacing w:line="460" w:lineRule="exact"/>
        <w:rPr>
          <w:rFonts w:ascii="黑体" w:eastAsia="黑体"/>
          <w:b/>
          <w:color w:val="auto"/>
          <w:sz w:val="36"/>
          <w:szCs w:val="36"/>
          <w:highlight w:val="none"/>
        </w:rPr>
      </w:pPr>
    </w:p>
    <w:p w14:paraId="5EEB3AAC">
      <w:pPr>
        <w:topLinePunct/>
        <w:autoSpaceDE w:val="0"/>
        <w:autoSpaceDN w:val="0"/>
        <w:spacing w:line="460" w:lineRule="exact"/>
        <w:jc w:val="center"/>
        <w:rPr>
          <w:rFonts w:ascii="黑体" w:eastAsia="黑体" w:hint="eastAsia"/>
          <w:color w:val="auto"/>
          <w:sz w:val="36"/>
          <w:szCs w:val="36"/>
          <w:highlight w:val="none"/>
        </w:rPr>
      </w:pPr>
    </w:p>
    <w:p w14:paraId="3E2C7A54">
      <w:pPr>
        <w:topLinePunct/>
        <w:autoSpaceDE w:val="0"/>
        <w:autoSpaceDN w:val="0"/>
        <w:spacing w:line="460" w:lineRule="exact"/>
        <w:jc w:val="center"/>
        <w:rPr>
          <w:rFonts w:ascii="黑体" w:eastAsia="黑体" w:hint="eastAsia"/>
          <w:color w:val="auto"/>
          <w:sz w:val="36"/>
          <w:szCs w:val="36"/>
          <w:highlight w:val="none"/>
        </w:rPr>
      </w:pPr>
    </w:p>
    <w:p w14:paraId="5B855C97">
      <w:pPr>
        <w:topLinePunct/>
        <w:autoSpaceDE w:val="0"/>
        <w:autoSpaceDN w:val="0"/>
        <w:spacing w:line="460" w:lineRule="exact"/>
        <w:jc w:val="center"/>
        <w:rPr>
          <w:rFonts w:ascii="黑体" w:eastAsia="黑体"/>
          <w:color w:val="auto"/>
          <w:sz w:val="36"/>
          <w:szCs w:val="36"/>
          <w:highlight w:val="none"/>
        </w:rPr>
      </w:pPr>
      <w:bookmarkStart w:id="3" w:name="采购人名称_cgrmc"/>
      <w:r>
        <w:rPr>
          <w:rFonts w:ascii="黑体" w:eastAsia="黑体" w:hint="eastAsia"/>
          <w:color w:val="auto"/>
          <w:sz w:val="36"/>
          <w:szCs w:val="36"/>
          <w:highlight w:val="none"/>
        </w:rPr>
        <w:t>国家税务总局吉林市税务局</w:t>
      </w:r>
      <w:bookmarkEnd w:id="3"/>
    </w:p>
    <w:p w14:paraId="50DB2D5F">
      <w:pPr>
        <w:topLinePunct/>
        <w:autoSpaceDE w:val="0"/>
        <w:autoSpaceDN w:val="0"/>
        <w:spacing w:line="160" w:lineRule="exact"/>
        <w:jc w:val="center"/>
        <w:rPr>
          <w:rFonts w:ascii="黑体" w:eastAsia="黑体"/>
          <w:color w:val="auto"/>
          <w:sz w:val="36"/>
          <w:szCs w:val="36"/>
          <w:highlight w:val="none"/>
        </w:rPr>
      </w:pPr>
    </w:p>
    <w:p w14:paraId="41AFABFF">
      <w:pPr>
        <w:widowControl/>
        <w:topLinePunct/>
        <w:autoSpaceDE w:val="0"/>
        <w:autoSpaceDN w:val="0"/>
        <w:jc w:val="center"/>
        <w:rPr>
          <w:rFonts w:ascii="黑体" w:eastAsia="黑体" w:hAnsi="Courier New" w:cs="Courier New"/>
          <w:color w:val="auto"/>
          <w:sz w:val="36"/>
          <w:szCs w:val="36"/>
          <w:highlight w:val="none"/>
        </w:rPr>
      </w:pPr>
      <w:r>
        <w:rPr>
          <w:rFonts w:ascii="黑体" w:eastAsia="黑体" w:hAnsi="Courier New" w:cs="Courier New" w:hint="eastAsia"/>
          <w:color w:val="auto"/>
          <w:sz w:val="36"/>
          <w:szCs w:val="36"/>
          <w:highlight w:val="none"/>
          <w:lang w:val="en-US" w:eastAsia="zh-CN"/>
        </w:rPr>
        <w:t xml:space="preserve"> </w:t>
      </w:r>
      <w:bookmarkStart w:id="4" w:name="生成日期_currentDateTime_ymd"/>
      <w:r>
        <w:rPr>
          <w:rFonts w:ascii="黑体" w:eastAsia="黑体" w:hAnsi="Courier New" w:cs="Courier New" w:hint="eastAsia"/>
          <w:color w:val="auto"/>
          <w:sz w:val="36"/>
          <w:szCs w:val="36"/>
          <w:highlight w:val="none"/>
        </w:rPr>
        <w:t>2025年12月</w:t>
      </w:r>
      <w:bookmarkEnd w:id="4"/>
    </w:p>
    <w:p w14:paraId="0E33BFD2">
      <w:pPr>
        <w:jc w:val="center"/>
        <w:rPr>
          <w:b/>
          <w:color w:val="auto"/>
          <w:sz w:val="44"/>
          <w:szCs w:val="44"/>
          <w:highlight w:val="none"/>
        </w:rPr>
        <w:sectPr>
          <w:footerReference w:type="default" r:id="rId5"/>
          <w:pgSz w:w="11906" w:h="16838"/>
          <w:pgMar w:top="1440" w:right="1800" w:bottom="1440" w:left="1800" w:header="227" w:footer="283" w:gutter="0"/>
          <w:pgNumType w:fmt="decimal" w:start="1"/>
          <w:cols w:num="1" w:space="708"/>
          <w:docGrid w:type="lines" w:linePitch="312" w:charSpace="0"/>
        </w:sectPr>
      </w:pPr>
    </w:p>
    <w:p w14:paraId="69126AFB">
      <w:pPr>
        <w:jc w:val="center"/>
        <w:rPr>
          <w:b/>
          <w:color w:val="auto"/>
          <w:sz w:val="44"/>
          <w:szCs w:val="44"/>
          <w:highlight w:val="none"/>
        </w:rPr>
      </w:pPr>
      <w:r>
        <w:rPr>
          <w:rFonts w:hint="eastAsia"/>
          <w:b/>
          <w:color w:val="auto"/>
          <w:sz w:val="44"/>
          <w:szCs w:val="44"/>
          <w:highlight w:val="none"/>
        </w:rPr>
        <w:t>目　　录</w:t>
      </w:r>
    </w:p>
    <w:p w14:paraId="383828E1">
      <w:pPr>
        <w:rPr>
          <w:color w:val="auto"/>
          <w:highlight w:val="none"/>
        </w:rPr>
      </w:pPr>
    </w:p>
    <w:p w14:paraId="77286CE9">
      <w:pPr>
        <w:rPr>
          <w:b/>
          <w:color w:val="auto"/>
          <w:highlight w:val="none"/>
        </w:rPr>
      </w:pPr>
    </w:p>
    <w:p>
      <w:pPr>
        <w:pStyle w:val="TOC1"/>
        <w:tabs>
          <w:tab w:val="right" w:leader="dot" w:pos="8800"/>
        </w:tabs>
        <w:rPr>
          <w:rFonts w:asciiTheme="minorHAnsi" w:hAnsiTheme="minorHAnsi"/>
          <w:noProof/>
          <w:sz w:val="22"/>
        </w:rPr>
      </w:pPr>
      <w:r>
        <w:rPr>
          <w:b/>
          <w:color w:val="auto"/>
          <w:sz w:val="30"/>
          <w:szCs w:val="30"/>
          <w:highlight w:val="none"/>
        </w:rPr>
        <w:fldChar w:fldCharType="begin"/>
      </w:r>
      <w:r>
        <w:rPr>
          <w:rFonts w:hint="eastAsia"/>
          <w:b/>
          <w:color w:val="auto"/>
          <w:sz w:val="30"/>
          <w:szCs w:val="30"/>
          <w:highlight w:val="none"/>
        </w:rPr>
        <w:instrText>TOC \o "1-1" \h \z \u</w:instrText>
      </w:r>
      <w:r>
        <w:rPr>
          <w:b/>
          <w:color w:val="auto"/>
          <w:sz w:val="30"/>
          <w:szCs w:val="30"/>
          <w:highlight w:val="none"/>
        </w:rPr>
        <w:fldChar w:fldCharType="separate"/>
      </w:r>
      <w:hyperlink w:anchor="_Toc256000000" w:history="1">
        <w:r>
          <w:rPr>
            <w:rStyle w:val="Hyperlink"/>
            <w:rFonts w:hint="eastAsia"/>
          </w:rPr>
          <w:t xml:space="preserve">第一章  </w:t>
        </w:r>
        <w:r>
          <w:rPr>
            <w:rStyle w:val="Hyperlink"/>
            <w:rFonts w:hint="eastAsia"/>
          </w:rPr>
          <w:t>招标公告</w:t>
        </w:r>
        <w:r>
          <w:tab/>
        </w:r>
        <w:r>
          <w:fldChar w:fldCharType="begin"/>
        </w:r>
        <w:r>
          <w:instrText xml:space="preserve"> PAGEREF _Toc256000000 \h </w:instrText>
        </w:r>
        <w:r>
          <w:fldChar w:fldCharType="separate"/>
        </w:r>
        <w:r>
          <w:t>3</w:t>
        </w:r>
        <w:r>
          <w:fldChar w:fldCharType="end"/>
        </w:r>
      </w:hyperlink>
    </w:p>
    <w:p>
      <w:pPr>
        <w:pStyle w:val="TOC1"/>
        <w:tabs>
          <w:tab w:val="right" w:leader="dot" w:pos="8800"/>
        </w:tabs>
        <w:rPr>
          <w:rFonts w:asciiTheme="minorHAnsi" w:hAnsiTheme="minorHAnsi"/>
          <w:noProof/>
          <w:sz w:val="22"/>
        </w:rPr>
      </w:pPr>
      <w:hyperlink w:anchor="_Toc256000001" w:history="1">
        <w:r>
          <w:rPr>
            <w:rStyle w:val="Hyperlink"/>
            <w:rFonts w:hint="eastAsia"/>
          </w:rPr>
          <w:t>第二章　投标人须知</w:t>
        </w:r>
        <w:r>
          <w:tab/>
        </w:r>
        <w:r>
          <w:fldChar w:fldCharType="begin"/>
        </w:r>
        <w:r>
          <w:instrText xml:space="preserve"> PAGEREF _Toc256000001 \h </w:instrText>
        </w:r>
        <w:r>
          <w:fldChar w:fldCharType="separate"/>
        </w:r>
        <w:r>
          <w:t>6</w:t>
        </w:r>
        <w:r>
          <w:fldChar w:fldCharType="end"/>
        </w:r>
      </w:hyperlink>
    </w:p>
    <w:p>
      <w:pPr>
        <w:pStyle w:val="TOC1"/>
        <w:tabs>
          <w:tab w:val="right" w:leader="dot" w:pos="8800"/>
        </w:tabs>
        <w:rPr>
          <w:rFonts w:asciiTheme="minorHAnsi" w:hAnsiTheme="minorHAnsi"/>
          <w:noProof/>
          <w:sz w:val="22"/>
        </w:rPr>
      </w:pPr>
      <w:hyperlink w:anchor="_Toc256000002" w:history="1">
        <w:r>
          <w:rPr>
            <w:rStyle w:val="Hyperlink"/>
            <w:rFonts w:hint="eastAsia"/>
          </w:rPr>
          <w:t>第三章　评标方法及标准</w:t>
        </w:r>
        <w:r>
          <w:tab/>
        </w:r>
        <w:r>
          <w:fldChar w:fldCharType="begin"/>
        </w:r>
        <w:r>
          <w:instrText xml:space="preserve"> PAGEREF _Toc256000002 \h </w:instrText>
        </w:r>
        <w:r>
          <w:fldChar w:fldCharType="separate"/>
        </w:r>
        <w:r>
          <w:t>19</w:t>
        </w:r>
        <w:r>
          <w:fldChar w:fldCharType="end"/>
        </w:r>
      </w:hyperlink>
    </w:p>
    <w:p>
      <w:pPr>
        <w:pStyle w:val="TOC1"/>
        <w:tabs>
          <w:tab w:val="right" w:leader="dot" w:pos="8800"/>
        </w:tabs>
        <w:rPr>
          <w:rFonts w:asciiTheme="minorHAnsi" w:hAnsiTheme="minorHAnsi"/>
          <w:noProof/>
          <w:sz w:val="22"/>
        </w:rPr>
      </w:pPr>
      <w:hyperlink w:anchor="_Toc256000003" w:history="1">
        <w:r>
          <w:rPr>
            <w:rStyle w:val="Hyperlink"/>
            <w:rFonts w:hint="eastAsia"/>
          </w:rPr>
          <w:t>第四章  政府采购合同文本</w:t>
        </w:r>
        <w:r>
          <w:tab/>
        </w:r>
        <w:r>
          <w:fldChar w:fldCharType="begin"/>
        </w:r>
        <w:r>
          <w:instrText xml:space="preserve"> PAGEREF _Toc256000003 \h </w:instrText>
        </w:r>
        <w:r>
          <w:fldChar w:fldCharType="separate"/>
        </w:r>
        <w:r>
          <w:t>22</w:t>
        </w:r>
        <w:r>
          <w:fldChar w:fldCharType="end"/>
        </w:r>
      </w:hyperlink>
    </w:p>
    <w:p>
      <w:pPr>
        <w:pStyle w:val="TOC1"/>
        <w:tabs>
          <w:tab w:val="right" w:leader="dot" w:pos="8800"/>
        </w:tabs>
        <w:rPr>
          <w:rFonts w:asciiTheme="minorHAnsi" w:hAnsiTheme="minorHAnsi"/>
          <w:noProof/>
          <w:sz w:val="22"/>
        </w:rPr>
      </w:pPr>
      <w:hyperlink w:anchor="_Toc256000004" w:history="1">
        <w:r>
          <w:rPr>
            <w:rStyle w:val="Hyperlink"/>
            <w:rFonts w:hint="eastAsia"/>
          </w:rPr>
          <w:t>第五章　投标文件格式</w:t>
        </w:r>
        <w:r>
          <w:tab/>
        </w:r>
        <w:r>
          <w:fldChar w:fldCharType="begin"/>
        </w:r>
        <w:r>
          <w:instrText xml:space="preserve"> PAGEREF _Toc256000004 \h </w:instrText>
        </w:r>
        <w:r>
          <w:fldChar w:fldCharType="separate"/>
        </w:r>
        <w:r>
          <w:t>33</w:t>
        </w:r>
        <w:r>
          <w:fldChar w:fldCharType="end"/>
        </w:r>
      </w:hyperlink>
    </w:p>
    <w:p>
      <w:pPr>
        <w:jc w:val="center"/>
        <w:rPr>
          <w:rFonts w:hAnsi="宋体"/>
          <w:b/>
          <w:color w:val="auto"/>
          <w:sz w:val="32"/>
          <w:szCs w:val="32"/>
          <w:highlight w:val="none"/>
        </w:rPr>
      </w:pPr>
      <w:r>
        <w:rPr>
          <w:rFonts w:hAnsi="宋体"/>
          <w:color w:val="auto"/>
          <w:sz w:val="30"/>
          <w:szCs w:val="30"/>
          <w:highlight w:val="none"/>
        </w:rPr>
        <w:fldChar w:fldCharType="end"/>
      </w:r>
    </w:p>
    <w:p w14:paraId="55A8974A">
      <w:pPr>
        <w:ind w:firstLine="640" w:firstLineChars="200"/>
        <w:jc w:val="center"/>
        <w:rPr>
          <w:rFonts w:hAnsi="宋体"/>
          <w:b/>
          <w:color w:val="auto"/>
          <w:sz w:val="32"/>
          <w:szCs w:val="32"/>
          <w:highlight w:val="none"/>
        </w:rPr>
      </w:pPr>
    </w:p>
    <w:p w14:paraId="1B6D091F">
      <w:pPr>
        <w:ind w:firstLine="640" w:firstLineChars="200"/>
        <w:jc w:val="center"/>
        <w:rPr>
          <w:rFonts w:hAnsi="宋体"/>
          <w:b/>
          <w:color w:val="auto"/>
          <w:sz w:val="32"/>
          <w:szCs w:val="32"/>
          <w:highlight w:val="none"/>
        </w:rPr>
      </w:pPr>
    </w:p>
    <w:p w14:paraId="42FB017C">
      <w:pPr>
        <w:jc w:val="center"/>
        <w:rPr>
          <w:color w:val="auto"/>
          <w:highlight w:val="none"/>
        </w:rPr>
      </w:pPr>
    </w:p>
    <w:p w14:paraId="50143204">
      <w:pPr>
        <w:topLinePunct/>
        <w:autoSpaceDE w:val="0"/>
        <w:autoSpaceDN w:val="0"/>
        <w:rPr>
          <w:rFonts w:ascii="仿宋_GB2312" w:eastAsia="仿宋_GB2312"/>
          <w:b/>
          <w:color w:val="auto"/>
          <w:sz w:val="96"/>
          <w:szCs w:val="96"/>
          <w:highlight w:val="none"/>
        </w:rPr>
      </w:pPr>
    </w:p>
    <w:p w14:paraId="738D1A9C">
      <w:pPr>
        <w:pStyle w:val="Heading1"/>
        <w:jc w:val="center"/>
        <w:rPr>
          <w:rFonts w:hint="eastAsia"/>
          <w:color w:val="auto"/>
          <w:sz w:val="36"/>
          <w:szCs w:val="36"/>
          <w:highlight w:val="none"/>
        </w:rPr>
        <w:sectPr>
          <w:footerReference w:type="default" r:id="rId6"/>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titlePg/>
          <w:docGrid w:type="lines" w:linePitch="312" w:charSpace="0"/>
        </w:sectPr>
      </w:pPr>
      <w:bookmarkStart w:id="5" w:name="_Toc1314141995"/>
      <w:bookmarkStart w:id="6" w:name="_Toc1669619672"/>
      <w:bookmarkStart w:id="7" w:name="_Toc525052844"/>
      <w:bookmarkStart w:id="8" w:name="_Toc2069573289"/>
      <w:bookmarkStart w:id="9" w:name="_Toc550008647"/>
      <w:bookmarkStart w:id="10" w:name="_Toc38030147"/>
      <w:bookmarkStart w:id="11" w:name="_Toc1507395400"/>
    </w:p>
    <w:p w14:paraId="0387E55F">
      <w:pPr>
        <w:pStyle w:val="Heading1"/>
        <w:jc w:val="center"/>
        <w:rPr>
          <w:color w:val="auto"/>
          <w:sz w:val="36"/>
          <w:szCs w:val="36"/>
          <w:highlight w:val="none"/>
        </w:rPr>
      </w:pPr>
      <w:bookmarkStart w:id="12" w:name="_Toc256000000"/>
      <w:r>
        <w:rPr>
          <w:rFonts w:hint="eastAsia"/>
          <w:color w:val="auto"/>
          <w:sz w:val="36"/>
          <w:szCs w:val="36"/>
          <w:highlight w:val="none"/>
        </w:rPr>
        <w:t xml:space="preserve">第一章  </w:t>
      </w:r>
      <w:bookmarkEnd w:id="5"/>
      <w:bookmarkEnd w:id="6"/>
      <w:bookmarkEnd w:id="7"/>
      <w:bookmarkEnd w:id="8"/>
      <w:bookmarkEnd w:id="9"/>
      <w:bookmarkEnd w:id="10"/>
      <w:bookmarkEnd w:id="11"/>
      <w:r>
        <w:rPr>
          <w:rFonts w:hint="eastAsia"/>
          <w:color w:val="auto"/>
          <w:sz w:val="36"/>
          <w:szCs w:val="36"/>
          <w:highlight w:val="none"/>
        </w:rPr>
        <w:t>招标公告</w:t>
      </w:r>
      <w:bookmarkEnd w:id="12"/>
    </w:p>
    <w:p w14:paraId="7AFF1FC8">
      <w:pPr>
        <w:rPr>
          <w:sz w:val="24"/>
        </w:rPr>
      </w:pPr>
      <w:bookmarkStart w:id="13" w:name="_Toc974999554"/>
      <w:bookmarkStart w:id="14" w:name="_Toc1977141569"/>
      <w:bookmarkStart w:id="15" w:name="_Toc525052845"/>
      <w:bookmarkStart w:id="16" w:name="_Toc302424507"/>
      <w:bookmarkStart w:id="17" w:name="_Toc38030148"/>
      <w:bookmarkStart w:id="18" w:name="_Toc1504408516"/>
      <w:bookmarkStart w:id="19" w:name="招标公告_zxzbsw_ZBGG"/>
    </w:p>
    <w:p w14:paraId="28732382">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hint="eastAsia"/>
          <w:sz w:val="24"/>
        </w:rPr>
      </w:pPr>
      <w:r>
        <w:rPr>
          <w:rFonts w:ascii="宋体" w:hAnsi="宋体" w:cs="宋体" w:hint="eastAsia"/>
          <w:sz w:val="24"/>
        </w:rPr>
        <w:t>项目概况</w:t>
      </w:r>
    </w:p>
    <w:p w14:paraId="642602C6">
      <w:pPr>
        <w:pBdr>
          <w:top w:val="single" w:sz="4" w:space="1" w:color="auto"/>
          <w:left w:val="single" w:sz="4" w:space="4" w:color="auto"/>
          <w:bottom w:val="single" w:sz="4" w:space="1" w:color="auto"/>
          <w:right w:val="single" w:sz="4" w:space="4" w:color="auto"/>
        </w:pBdr>
        <w:spacing w:line="360" w:lineRule="auto"/>
        <w:ind w:firstLine="480" w:firstLineChars="200"/>
        <w:rPr>
          <w:sz w:val="24"/>
        </w:rPr>
      </w:pPr>
      <w:bookmarkStart w:id="20" w:name="项目名称_fa_planName_1"/>
      <w:r>
        <w:rPr>
          <w:rFonts w:ascii="宋体" w:hAnsi="宋体" w:cs="宋体" w:hint="eastAsia"/>
          <w:sz w:val="24"/>
        </w:rPr>
        <w:t>国家税务总局吉林市税务局2026年食材采购项目</w:t>
      </w:r>
      <w:bookmarkEnd w:id="20"/>
      <w:r>
        <w:rPr>
          <w:rFonts w:ascii="宋体" w:hAnsi="宋体" w:cs="宋体" w:hint="eastAsia"/>
          <w:sz w:val="24"/>
        </w:rPr>
        <w:t>的潜在投标人应通过</w:t>
      </w:r>
      <w:r>
        <w:rPr>
          <w:rFonts w:ascii="宋体" w:hAnsi="宋体" w:cs="宋体" w:hint="eastAsia"/>
          <w:sz w:val="24"/>
          <w:u w:val="single"/>
        </w:rPr>
        <w:t>在线下载方式</w:t>
      </w:r>
      <w:r>
        <w:rPr>
          <w:rFonts w:ascii="宋体" w:hAnsi="宋体" w:cs="宋体" w:hint="eastAsia"/>
          <w:sz w:val="24"/>
        </w:rPr>
        <w:t>获取招标文件，并于</w:t>
      </w:r>
      <w:bookmarkStart w:id="21" w:name="投标时间_zxzbgg_bidLastTime"/>
      <w:r>
        <w:rPr>
          <w:rFonts w:ascii="宋体" w:hAnsi="宋体" w:cs="宋体" w:hint="eastAsia"/>
          <w:sz w:val="24"/>
          <w:u w:val="single"/>
        </w:rPr>
        <w:t>2026年1月15日9点00分</w:t>
      </w:r>
      <w:bookmarkEnd w:id="21"/>
      <w:r>
        <w:rPr>
          <w:rFonts w:ascii="宋体" w:hAnsi="宋体" w:cs="宋体" w:hint="eastAsia"/>
          <w:sz w:val="24"/>
        </w:rPr>
        <w:t>（</w:t>
      </w:r>
      <w:r>
        <w:rPr>
          <w:rFonts w:ascii="宋体" w:hAnsi="宋体" w:cs="宋体" w:hint="eastAsia"/>
          <w:bCs/>
          <w:sz w:val="24"/>
        </w:rPr>
        <w:t>北京时间）前递交投标文件</w:t>
      </w:r>
      <w:r>
        <w:rPr>
          <w:rFonts w:ascii="宋体" w:hAnsi="宋体" w:cs="宋体" w:hint="eastAsia"/>
          <w:sz w:val="24"/>
        </w:rPr>
        <w:t>。</w:t>
      </w:r>
    </w:p>
    <w:p w14:paraId="214549E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p>
    <w:p w14:paraId="7A3048C7">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一、项目基本情况</w:t>
      </w:r>
    </w:p>
    <w:p w14:paraId="2964E6CA">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项目编号：</w:t>
      </w:r>
      <w:bookmarkStart w:id="22" w:name="项目编号_fa_planNo_2"/>
      <w:r>
        <w:rPr>
          <w:rFonts w:ascii="宋体" w:hAnsi="宋体" w:cs="宋体" w:hint="eastAsia"/>
          <w:sz w:val="24"/>
        </w:rPr>
        <w:t>JL2025-ZXGK-C0128-B02</w:t>
      </w:r>
      <w:bookmarkEnd w:id="22"/>
    </w:p>
    <w:p w14:paraId="1EF6ADD3">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项目名称：</w:t>
      </w:r>
      <w:bookmarkStart w:id="23" w:name="项目名称_fa_planName_2"/>
      <w:r>
        <w:rPr>
          <w:rFonts w:ascii="宋体" w:hAnsi="宋体" w:cs="宋体" w:hint="eastAsia"/>
          <w:sz w:val="24"/>
        </w:rPr>
        <w:t>国家税务总局吉林市税务局2026年食材采购项目</w:t>
      </w:r>
      <w:bookmarkEnd w:id="23"/>
    </w:p>
    <w:p w14:paraId="78773457">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预算金额：</w:t>
      </w:r>
      <w:bookmarkStart w:id="24" w:name="预算金额_fa_planAmount"/>
      <w:r>
        <w:rPr>
          <w:rFonts w:ascii="宋体" w:hAnsi="宋体" w:cs="宋体" w:hint="eastAsia"/>
          <w:sz w:val="24"/>
        </w:rPr>
        <w:t>286.176万元</w:t>
      </w:r>
      <w:bookmarkEnd w:id="24"/>
    </w:p>
    <w:p w14:paraId="101FF2C2">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最高限价</w:t>
      </w:r>
      <w:r>
        <w:rPr>
          <w:rFonts w:ascii="宋体" w:hAnsi="宋体" w:cs="宋体" w:hint="eastAsia"/>
          <w:sz w:val="24"/>
        </w:rPr>
        <w:t>：</w:t>
      </w:r>
      <w:bookmarkStart w:id="25" w:name="最高限价_zxzbgg_maxPrice"/>
      <w:r>
        <w:rPr>
          <w:rFonts w:ascii="宋体" w:hAnsi="宋体" w:cs="宋体" w:hint="eastAsia"/>
          <w:sz w:val="24"/>
        </w:rPr>
        <w:t>286.176万元</w:t>
      </w:r>
      <w:bookmarkEnd w:id="25"/>
    </w:p>
    <w:p w14:paraId="34B0A76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采购需求：</w:t>
      </w:r>
      <w:bookmarkStart w:id="26" w:name="采购需求_zxzbgg_requireRemark"/>
      <w:r>
        <w:rPr>
          <w:rFonts w:ascii="宋体" w:hAnsi="宋体" w:cs="宋体" w:hint="eastAsia"/>
          <w:sz w:val="24"/>
        </w:rPr>
        <w:t>本项目采购国家税务总局吉林市税务局机关及一二三稽查局食堂所需食材，含相应配送服务，项目预算金额为286.176万元/年。本项目分为2个包采购，其中，第一包提供国家税务总局吉林市税务局机关食堂食材，预算162.8万元/年。第二包提供国家税务总局吉林市税务局第一稽查局、国家税务总局吉林市税务局第二稽查局、国家税务总局吉林市税务局第三稽查局食堂食材，预算123.376万元/年。供应商以结算率（以百分数表示，小数点后保留两位）报价，根据供应商报送的结算率计算出的总价金额不得超过采购预算，采购食材按实际采购量进行结算，总结算金额不超过采购预算。</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sz w:val="24"/>
        </w:rPr>
        <w:t>投标人应严格遵守《中华人民共和国食品安全法》和《中华人民共和国动物防疫法》等相关规定，严格保证食品质量符合国家相关产品质量标准，符合国家各级强制性规范的要求。在中标后如出现因食用其提供的食品导致食物中毒事故发生，投标人应对此承担一切法律责任。</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sz w:val="24"/>
        </w:rPr>
        <w:t>服务期为自项目开始实施之日起两年，合同一年一签，第二年合同金额以第二年预算批复为准。</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sz w:val="24"/>
        </w:rPr>
        <w:t>需求部门确认，本项目需求内容不包含已有合同内容；需求内容与项目立项、预算评审（如有）内容一致。</w:t>
      </w:r>
      <w:bookmarkEnd w:id="26"/>
    </w:p>
    <w:p w14:paraId="7813440D">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b/>
          <w:bCs/>
          <w:sz w:val="24"/>
        </w:rPr>
      </w:pPr>
      <w:r>
        <w:rPr>
          <w:rFonts w:ascii="宋体" w:hAnsi="宋体" w:cs="宋体" w:hint="eastAsia"/>
          <w:b/>
          <w:bCs/>
          <w:sz w:val="24"/>
        </w:rPr>
        <w:t>合同履行期限：</w:t>
      </w:r>
      <w:r>
        <w:rPr>
          <w:rFonts w:ascii="宋体" w:hAnsi="宋体" w:cs="宋体" w:hint="eastAsia"/>
          <w:sz w:val="24"/>
        </w:rPr>
        <w:t>自合同签订之日起至合同全部权利义务履行完毕之日止。</w:t>
      </w:r>
    </w:p>
    <w:p w14:paraId="1626AFEB">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本项目（是/否）接受联合体投标：</w:t>
      </w:r>
      <w:bookmarkStart w:id="27" w:name="联合体投标_zxzbgg_canUnion"/>
      <w:r>
        <w:rPr>
          <w:rFonts w:ascii="宋体" w:hAnsi="宋体" w:cs="宋体" w:hint="eastAsia"/>
          <w:sz w:val="24"/>
        </w:rPr>
        <w:t>否</w:t>
      </w:r>
      <w:bookmarkEnd w:id="27"/>
    </w:p>
    <w:p w14:paraId="6537945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二、申请人的资格要求</w:t>
      </w:r>
    </w:p>
    <w:p w14:paraId="204218B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bookmarkStart w:id="28" w:name="资格要求_zxzbgg_qualityRequire"/>
      <w:r>
        <w:rPr>
          <w:rFonts w:ascii="宋体" w:hAnsi="宋体" w:hint="eastAsia"/>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3.本项目的特定资格要求：本项目专门面向中小企业采购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★供应商具有《食品经营许可证》或《食品生产许可证》。仅提供《食品生产许可证》的，许可范围应包括本包中除食用农产品外的全部供应品类。</w:t>
      </w:r>
      <w:bookmarkEnd w:id="28"/>
    </w:p>
    <w:p w14:paraId="5A60BE8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三、获取招标文件</w:t>
      </w:r>
    </w:p>
    <w:p w14:paraId="4C7B3AE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时间：</w:t>
      </w:r>
      <w:bookmarkStart w:id="29" w:name="报名时间_zxzbgg_registrationTime"/>
      <w:r>
        <w:rPr>
          <w:rFonts w:ascii="宋体" w:hAnsi="宋体" w:hint="eastAsia"/>
          <w:sz w:val="24"/>
        </w:rPr>
        <w:t>2025年12月20日至2025年12月26日每天8:00至20:00</w:t>
      </w:r>
      <w:bookmarkEnd w:id="29"/>
      <w:r>
        <w:rPr>
          <w:rFonts w:ascii="宋体" w:hAnsi="宋体" w:hint="eastAsia"/>
          <w:sz w:val="24"/>
        </w:rPr>
        <w:t>（北京时间，法定节假日除外）。</w:t>
      </w:r>
    </w:p>
    <w:p w14:paraId="2E8FB0A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地点：</w:t>
      </w:r>
      <w:bookmarkStart w:id="30" w:name="获取地点_zxzbgg_getBidFileAddress_2"/>
      <w:r>
        <w:rPr>
          <w:rFonts w:ascii="宋体" w:hAnsi="宋体" w:cs="宋体" w:hint="eastAsia"/>
          <w:sz w:val="24"/>
        </w:rPr>
        <w:t>国家税务总局集中采购中心网站（https://swcg.chinatax.gov.cn）</w:t>
      </w:r>
      <w:bookmarkEnd w:id="30"/>
    </w:p>
    <w:p w14:paraId="59788607">
      <w:pPr>
        <w:adjustRightInd w:val="0"/>
        <w:snapToGrid w:val="0"/>
        <w:spacing w:before="62" w:beforeLines="20" w:after="62" w:afterLines="20" w:line="360" w:lineRule="auto"/>
        <w:ind w:firstLine="480" w:firstLineChars="200"/>
        <w:rPr>
          <w:rFonts w:ascii="宋体" w:hAnsi="宋体" w:hint="eastAsia"/>
          <w:bCs/>
          <w:sz w:val="24"/>
        </w:rPr>
      </w:pPr>
      <w:r>
        <w:rPr>
          <w:rFonts w:ascii="宋体" w:hAnsi="宋体" w:hint="eastAsia"/>
          <w:b/>
          <w:bCs/>
          <w:sz w:val="24"/>
        </w:rPr>
        <w:t>方式：</w:t>
      </w:r>
      <w:bookmarkStart w:id="31" w:name="获取方式_zxzbgg_getBidFileWay"/>
      <w:r>
        <w:rPr>
          <w:rFonts w:ascii="宋体" w:hAnsi="宋体" w:hint="eastAsia"/>
          <w:bCs/>
          <w:sz w:val="24"/>
        </w:rPr>
        <w:t>在线下载</w:t>
      </w:r>
      <w:bookmarkEnd w:id="31"/>
    </w:p>
    <w:p w14:paraId="7FBA9D72">
      <w:pPr>
        <w:adjustRightInd w:val="0"/>
        <w:snapToGrid w:val="0"/>
        <w:spacing w:before="62" w:beforeLines="20" w:after="62" w:afterLines="20" w:line="360" w:lineRule="auto"/>
        <w:ind w:firstLine="480" w:firstLineChars="200"/>
        <w:rPr>
          <w:rFonts w:ascii="宋体" w:eastAsia="Times New Roman" w:hAnsi="宋体"/>
          <w:sz w:val="24"/>
        </w:rPr>
      </w:pPr>
      <w:r>
        <w:rPr>
          <w:rFonts w:ascii="宋体" w:hAnsi="宋体" w:hint="eastAsia"/>
          <w:b/>
          <w:bCs/>
          <w:sz w:val="24"/>
        </w:rPr>
        <w:t>售价：</w:t>
      </w:r>
      <w:bookmarkStart w:id="32" w:name="标书售价_zxzbgg_bidFilePrice"/>
      <w:r>
        <w:rPr>
          <w:rFonts w:ascii="宋体" w:hAnsi="宋体" w:hint="eastAsia"/>
          <w:sz w:val="24"/>
        </w:rPr>
        <w:t>0.00</w:t>
      </w:r>
      <w:bookmarkEnd w:id="32"/>
    </w:p>
    <w:p w14:paraId="353715A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四、提交投标文件截止时间、开标时间和地点</w:t>
      </w:r>
    </w:p>
    <w:p w14:paraId="1D4574AB">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时间：</w:t>
      </w:r>
      <w:r>
        <w:rPr>
          <w:rFonts w:ascii="宋体" w:hAnsi="宋体" w:cs="宋体" w:hint="eastAsia"/>
          <w:sz w:val="24"/>
        </w:rPr>
        <w:t xml:space="preserve"> </w:t>
      </w:r>
      <w:bookmarkStart w:id="33" w:name="开标时间_zxzbgg_openBidTime"/>
      <w:r>
        <w:rPr>
          <w:rFonts w:ascii="宋体" w:hAnsi="宋体" w:cs="宋体" w:hint="eastAsia"/>
          <w:sz w:val="24"/>
        </w:rPr>
        <w:t>2026年1月15日9点00分</w:t>
      </w:r>
      <w:bookmarkEnd w:id="33"/>
      <w:r>
        <w:rPr>
          <w:rFonts w:ascii="宋体" w:hAnsi="宋体" w:hint="eastAsia"/>
          <w:sz w:val="24"/>
        </w:rPr>
        <w:t>（北京时间）</w:t>
      </w:r>
    </w:p>
    <w:p w14:paraId="0C9979E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bCs/>
          <w:sz w:val="24"/>
        </w:rPr>
      </w:pPr>
      <w:r>
        <w:rPr>
          <w:rFonts w:ascii="宋体" w:hAnsi="宋体" w:hint="eastAsia"/>
          <w:b/>
          <w:bCs/>
          <w:sz w:val="24"/>
        </w:rPr>
        <w:t>地点：</w:t>
      </w:r>
      <w:bookmarkStart w:id="34" w:name="开标地点_zxzbgg_bidAddress"/>
      <w:r>
        <w:rPr>
          <w:rFonts w:ascii="宋体" w:hAnsi="宋体"/>
          <w:bCs/>
          <w:sz w:val="24"/>
        </w:rPr>
        <w:t>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bookmarkEnd w:id="34"/>
    </w:p>
    <w:p w14:paraId="76E7163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五、公告期限</w:t>
      </w:r>
    </w:p>
    <w:p w14:paraId="1A4D3B9E">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自本公告发布之日起5个工作日</w:t>
      </w:r>
    </w:p>
    <w:p w14:paraId="1FF4CFE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六、其他补充事宜</w:t>
      </w:r>
    </w:p>
    <w:p w:rsidR="00A77B3E">
      <w:pPr>
        <w:widowControl/>
        <w:spacing w:before="48" w:after="48" w:line="360" w:lineRule="auto"/>
        <w:ind w:firstLine="480"/>
        <w:jc w:val="left"/>
        <w:rPr>
          <w:rFonts w:ascii="宋体" w:hAnsi="宋体" w:cs="宋体"/>
          <w:kern w:val="0"/>
          <w:sz w:val="24"/>
          <w:lang w:eastAsia="en-US"/>
        </w:rPr>
      </w:pPr>
      <w:bookmarkStart w:id="35" w:name="其他补充_zxzbgg_remarks"/>
      <w:r>
        <w:rPr>
          <w:rFonts w:ascii="宋体" w:hAnsi="宋体" w:cs="宋体"/>
          <w:kern w:val="0"/>
          <w:sz w:val="24"/>
          <w:lang w:eastAsia="en-US"/>
        </w:rPr>
        <w:t>1.本项目采用国家税务总局政府采购评审管理系统进行招投标，请在投标前详细阅读国家税务总局集中采购中心网站（https://swcg.chinatax.gov.cn）《供应商操作手册》。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2.供应商在国家税务总局集中采购中心网站，点击“供应商登录”，完成注册，登录国家税务总局政府采购评审管理系统，报名并免费下载采购文件电子版。没有报名的供应商，不能参加本项目采购活动。</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3.供应商制作投标文件前须提前办理数字证书和电子签章，办理方式和注意事项详见网站《供应商操作手册》。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5.本项目通过国家税务总局政府采购评审管理系统进行开标，投标人应在开标前登录系统点击“开标大厅”，参加开标过程并确认开标结果，投标人未参加开标的视同认同开标结果。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6.供应商在投标过程中涉及系统操作的技术问题，可致电系统服务热线：400-6168-636转1。</w:t>
      </w:r>
    </w:p>
    <w:p w:rsidR="00A77B3E">
      <w:pPr>
        <w:widowControl/>
        <w:spacing w:before="48" w:after="48" w:line="360" w:lineRule="auto"/>
        <w:ind w:firstLine="480"/>
        <w:jc w:val="left"/>
        <w:rPr>
          <w:rFonts w:ascii="宋体" w:hAnsi="宋体" w:cs="宋体"/>
          <w:kern w:val="0"/>
          <w:sz w:val="24"/>
          <w:lang w:eastAsia="en-US"/>
        </w:rPr>
      </w:pPr>
      <w:bookmarkEnd w:id="35"/>
    </w:p>
    <w:p w14:paraId="552B5AC8">
      <w:pPr>
        <w:pStyle w:val="a2"/>
        <w:adjustRightInd w:val="0"/>
        <w:snapToGrid w:val="0"/>
        <w:spacing w:before="62" w:beforeLines="20" w:after="62" w:afterLines="20" w:line="360" w:lineRule="auto"/>
        <w:ind w:firstLine="480" w:firstLineChars="200"/>
        <w:rPr>
          <w:rFonts w:ascii="黑体" w:eastAsia="黑体" w:hAnsi="黑体" w:cs="黑体" w:hint="eastAsia"/>
          <w:szCs w:val="24"/>
        </w:rPr>
      </w:pPr>
      <w:r>
        <w:rPr>
          <w:rFonts w:ascii="黑体" w:eastAsia="黑体" w:hAnsi="黑体" w:cs="黑体" w:hint="eastAsia"/>
          <w:szCs w:val="24"/>
        </w:rPr>
        <w:t>七、对本次招标提出询问，请按以下方式联系</w:t>
      </w:r>
    </w:p>
    <w:p w14:paraId="7B46804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1.采购人信息</w:t>
      </w:r>
    </w:p>
    <w:p w14:paraId="5AB4D50D">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名称：</w:t>
      </w:r>
      <w:bookmarkStart w:id="36" w:name="采购人名称_zxzbgg_purchaseUserName"/>
      <w:r>
        <w:rPr>
          <w:rFonts w:ascii="宋体" w:hAnsi="宋体" w:hint="eastAsia"/>
          <w:sz w:val="24"/>
        </w:rPr>
        <w:t>国家税务总局吉林市税务局</w:t>
      </w:r>
      <w:bookmarkEnd w:id="36"/>
    </w:p>
    <w:p w14:paraId="665E2DD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地址：</w:t>
      </w:r>
      <w:bookmarkStart w:id="37" w:name="采购人地址_zxzbgg_purchaseUserAddress"/>
      <w:r>
        <w:rPr>
          <w:rFonts w:ascii="宋体" w:hAnsi="宋体" w:hint="eastAsia"/>
          <w:sz w:val="24"/>
        </w:rPr>
        <w:t>吉林市丰满区三亚路33号</w:t>
      </w:r>
      <w:bookmarkEnd w:id="37"/>
    </w:p>
    <w:p w14:paraId="46123E7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联系方式：</w:t>
      </w:r>
      <w:bookmarkStart w:id="38" w:name="采购人电话_zxzbgg_purchaseUserPhone"/>
      <w:r>
        <w:rPr>
          <w:rFonts w:ascii="宋体" w:hAnsi="宋体" w:hint="eastAsia"/>
          <w:sz w:val="24"/>
        </w:rPr>
        <w:t>0432--65136099、65136098</w:t>
      </w:r>
      <w:bookmarkEnd w:id="38"/>
    </w:p>
    <w:p w14:paraId="44F34A80">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2.项目联系方式</w:t>
      </w:r>
    </w:p>
    <w:p w14:paraId="447DE03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hint="eastAsia"/>
          <w:sz w:val="24"/>
        </w:rPr>
        <w:t>项目联系人：</w:t>
      </w:r>
      <w:bookmarkStart w:id="39" w:name="项目联系人_zxzbgg_contactName"/>
      <w:r>
        <w:rPr>
          <w:rFonts w:ascii="宋体" w:eastAsia="宋体" w:hAnsi="宋体" w:cs="宋体" w:hint="eastAsia"/>
          <w:sz w:val="24"/>
          <w:szCs w:val="24"/>
        </w:rPr>
        <w:t>周胜林、陈世应</w:t>
      </w:r>
      <w:bookmarkEnd w:id="39"/>
    </w:p>
    <w:p w:rsidR="00A77B3E">
      <w:pPr>
        <w:spacing w:before="48" w:after="48" w:line="360" w:lineRule="auto"/>
        <w:ind w:firstLine="480"/>
        <w:rPr>
          <w:rFonts w:ascii="宋体" w:hAnsi="宋体" w:cs="宋体"/>
        </w:rPr>
      </w:pPr>
      <w:r>
        <w:rPr>
          <w:rFonts w:ascii="宋体" w:hAnsi="宋体" w:hint="eastAsia"/>
          <w:sz w:val="24"/>
        </w:rPr>
        <w:t>电话：</w:t>
      </w:r>
      <w:bookmarkStart w:id="40" w:name="项目联系人电话_zxzbgg_contactPhone"/>
      <w:r>
        <w:rPr>
          <w:rFonts w:ascii="宋体" w:eastAsia="宋体" w:hAnsi="宋体" w:cs="宋体"/>
          <w:sz w:val="24"/>
        </w:rPr>
        <w:t>0432--65136099、65136098</w:t>
      </w:r>
    </w:p>
    <w:p w:rsidR="00A77B3E">
      <w:pPr>
        <w:spacing w:before="48" w:after="48" w:line="360" w:lineRule="auto"/>
        <w:ind w:firstLine="480"/>
        <w:rPr>
          <w:rFonts w:ascii="宋体" w:hAnsi="宋体" w:cs="宋体"/>
        </w:rPr>
      </w:pPr>
      <w:bookmarkEnd w:id="40"/>
    </w:p>
    <w:p>
      <w:pPr>
        <w:rPr>
          <w:sz w:val="24"/>
        </w:rPr>
      </w:pPr>
      <w:bookmarkEnd w:id="19"/>
      <w:bookmarkStart w:id="41" w:name="_Toc1485034239"/>
    </w:p>
    <w:p w14:paraId="3314635B">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ascii="Times New Roman" w:eastAsia="宋体" w:hAnsi="Times New Roman" w:cs="Times New Roman" w:hint="eastAsia"/>
          <w:b/>
          <w:bCs/>
          <w:kern w:val="44"/>
          <w:sz w:val="36"/>
          <w:szCs w:val="36"/>
          <w:highlight w:val="none"/>
          <w:lang w:val="en-US" w:eastAsia="zh-CN" w:bidi="ar-SA"/>
        </w:rPr>
      </w:pPr>
      <w:r>
        <w:rPr>
          <w:b/>
          <w:bCs/>
          <w:color w:val="auto"/>
          <w:kern w:val="44"/>
          <w:sz w:val="36"/>
          <w:szCs w:val="36"/>
          <w:highlight w:val="none"/>
        </w:rPr>
        <w:br w:type="page"/>
      </w:r>
      <w:bookmarkEnd w:id="13"/>
      <w:bookmarkEnd w:id="14"/>
      <w:bookmarkEnd w:id="15"/>
      <w:bookmarkEnd w:id="16"/>
      <w:bookmarkEnd w:id="17"/>
      <w:bookmarkEnd w:id="18"/>
      <w:bookmarkEnd w:id="41"/>
      <w:bookmarkStart w:id="42" w:name="_Toc30140"/>
      <w:bookmarkStart w:id="43" w:name="_Toc256000001"/>
      <w:r>
        <w:rPr>
          <w:rStyle w:val="1Char"/>
          <w:rFonts w:hint="eastAsia"/>
          <w:highlight w:val="none"/>
          <w:lang w:val="en-US" w:eastAsia="zh-CN"/>
        </w:rPr>
        <w:t>第二章　投标人须知</w:t>
      </w:r>
      <w:bookmarkEnd w:id="43"/>
      <w:bookmarkEnd w:id="42"/>
    </w:p>
    <w:p w:rsidR="00A77B3E">
      <w:pPr>
        <w:spacing w:after="160" w:line="520" w:lineRule="exact"/>
        <w:jc w:val="center"/>
        <w:rPr>
          <w:rFonts w:ascii="SimHei" w:eastAsia="SimHei" w:hAnsi="SimHei" w:cs="SimHei"/>
          <w:sz w:val="28"/>
        </w:rPr>
      </w:pPr>
      <w:bookmarkStart w:id="44" w:name="磋商须知_zxzbsw_TBXZ"/>
      <w:r>
        <w:rPr>
          <w:rFonts w:ascii="SimHei" w:eastAsia="SimHei" w:hAnsi="SimHei" w:cs="SimHei"/>
          <w:sz w:val="28"/>
        </w:rPr>
        <w:t>投标人须知前附表</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777"/>
        <w:gridCol w:w="1763"/>
        <w:gridCol w:w="612"/>
        <w:gridCol w:w="6183"/>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sz w:val="21"/>
              </w:rPr>
            </w:pPr>
            <w:r>
              <w:rPr>
                <w:rFonts w:ascii="SimSun" w:eastAsia="SimSun" w:hAnsi="SimSun" w:cs="SimSun"/>
                <w:b/>
                <w:sz w:val="21"/>
              </w:rPr>
              <w:t>序 号</w:t>
            </w:r>
          </w:p>
        </w:tc>
        <w:tc>
          <w:tcPr>
            <w:tcW w:w="1763" w:type="dxa"/>
            <w:vAlign w:val="center"/>
          </w:tcPr>
          <w:p>
            <w:pPr>
              <w:spacing w:before="48" w:after="48" w:line="240" w:lineRule="auto"/>
              <w:jc w:val="center"/>
              <w:rPr>
                <w:rFonts w:ascii="SimSun" w:eastAsia="SimSun" w:hAnsi="SimSun" w:cs="SimSun"/>
                <w:b/>
                <w:sz w:val="21"/>
              </w:rPr>
            </w:pPr>
            <w:r>
              <w:rPr>
                <w:rFonts w:ascii="SimSun" w:eastAsia="SimSun" w:hAnsi="SimSun" w:cs="SimSun"/>
                <w:b/>
                <w:sz w:val="21"/>
              </w:rPr>
              <w:t>类  别</w:t>
            </w:r>
          </w:p>
        </w:tc>
        <w:tc>
          <w:tcPr>
            <w:tcW w:w="6795" w:type="dxa"/>
            <w:gridSpan w:val="2"/>
            <w:vAlign w:val="center"/>
          </w:tcPr>
          <w:p>
            <w:pPr>
              <w:spacing w:before="48" w:after="48" w:line="240" w:lineRule="auto"/>
              <w:jc w:val="center"/>
              <w:rPr>
                <w:rFonts w:ascii="SimSun" w:eastAsia="SimSun" w:hAnsi="SimSun" w:cs="SimSun"/>
                <w:b/>
                <w:sz w:val="21"/>
              </w:rPr>
            </w:pPr>
            <w:r>
              <w:rPr>
                <w:rFonts w:ascii="SimSun" w:eastAsia="SimSun" w:hAnsi="SimSun" w:cs="SimSun"/>
                <w:b/>
                <w:sz w:val="21"/>
              </w:rPr>
              <w:t>内     容</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sz w:val="21"/>
              </w:rPr>
              <w:t>1</w:t>
            </w:r>
          </w:p>
        </w:tc>
        <w:tc>
          <w:tcPr>
            <w:tcW w:w="1763"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sz w:val="21"/>
              </w:rPr>
              <w:t>项目名称、编号及预算</w:t>
            </w: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项目名称：</w:t>
            </w:r>
            <w:r>
              <w:rPr>
                <w:rFonts w:ascii="SimSun" w:eastAsia="SimSun" w:hAnsi="SimSun" w:cs="SimSun"/>
                <w:b w:val="0"/>
                <w:sz w:val="21"/>
              </w:rPr>
              <w:t>国家税务总局吉林市税务局2026年食材采购项目</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项目编号：</w:t>
            </w:r>
            <w:r>
              <w:rPr>
                <w:rFonts w:ascii="SimSun" w:eastAsia="SimSun" w:hAnsi="SimSun" w:cs="SimSun"/>
                <w:b w:val="0"/>
                <w:sz w:val="21"/>
              </w:rPr>
              <w:t>JL2025-ZXGK-C0128-B02</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项目预算：</w:t>
            </w:r>
            <w:r>
              <w:rPr>
                <w:rFonts w:ascii="SimSun" w:eastAsia="SimSun" w:hAnsi="SimSun" w:cs="SimSun"/>
                <w:b w:val="0"/>
                <w:sz w:val="21"/>
              </w:rPr>
              <w:t>286.176万元</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2</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采购需求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本项目采购国家税务总局吉林市税务局机关及一二三稽查局食堂所需食材，含相应配送服务，项目预算金额为286.176万元/年。本项目分为2个包采购，其中，第一包提供国家税务总局吉林市税务局机关食堂食材，预算162.8万元/年。第二包提供国家税务总局吉林市税务局第一稽查局、国家税务总局吉林市税务局第二稽查局、国家税务总局吉林市税务局第三稽查局食堂食材，预算123.376万元/年。供应商以结算率（以百分数表示，小数点后保留两位）报价，根据供应商报送的结算率计算出的总价金额不得超过采购预算，采购食材按实际采购量进行结算，总结算金额不超过采购预算。</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投标人应严格遵守《中华人民共和国食品安全法》和《中华人民共和国动物防疫法》等相关规定，严格保证食品质量符合国家相关产品质量标准，符合国家各级强制性规范的要求。在中标后如出现因食用其提供的食品导致食物中毒事故发生，投标人应对此承担一切法律责任。</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服务期为自项目开始实施之日起两年，合同一年一签，第二年合同金额以第二年预算批复为准。</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需求部门确认，本项目需求内容不包含已有合同内容；需求内容与项目立项、预算评审（如有）内容一致。</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3</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项目属性和类别</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rPr>
              <w:t>项目属性：</w:t>
            </w: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货物</w:t>
            </w: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服务</w:t>
            </w:r>
          </w:p>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rPr>
              <w:t>项目类别：</w:t>
            </w: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信息化项目</w:t>
            </w: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非信息化项目</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4</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投标人资格要求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1.符合国家有关法律规定，在中国境内（指关境内）注册，满足《中华人民共和国政府采购法》第二十二条规定。</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3.本项目的特定资格要求：本项目专门面向中小企业采购</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★供应商具有《食品经营许可证》或《食品生产许可证》。仅提供《食品生产许可证》的，许可范围应包括本包中除食用农产品外的全部供应品类。</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5</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是否接受联合体投标</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不接受</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接受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6</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采购标的对应的中小企业划分标准所属行业</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批发业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7</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核心产品</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无</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有</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rPr>
              <w:t>产品名称：</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采购进口产品</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本采购项目拒绝进口产品参加投标</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本采购项目已经财政部审核同意购买进口产品</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其他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信息发布媒体</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中国政府采购网（www.ccgp.gov.cn）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国家税务总局吉林市税务局门户网站（www.jilin.chinatax.gov.cn）</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获取招标文件时间、地点和方式等</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时间：</w:t>
            </w:r>
            <w:r>
              <w:rPr>
                <w:rFonts w:ascii="SimSun" w:eastAsia="SimSun" w:hAnsi="SimSun" w:cs="SimSun"/>
                <w:b w:val="0"/>
                <w:color w:val="000000"/>
                <w:sz w:val="21"/>
                <w:u w:val="none"/>
              </w:rPr>
              <w:t>2025年12月20日至2025年12月26日每天8:00至20:00（北京时间，法定节假日除外）</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地点：</w:t>
            </w:r>
            <w:r>
              <w:rPr>
                <w:rFonts w:ascii="SimSun" w:eastAsia="SimSun" w:hAnsi="SimSun" w:cs="SimSun"/>
                <w:b w:val="0"/>
                <w:color w:val="000000"/>
                <w:sz w:val="21"/>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方式：</w:t>
            </w:r>
            <w:r>
              <w:rPr>
                <w:rFonts w:ascii="SimSun" w:eastAsia="SimSun" w:hAnsi="SimSun" w:cs="SimSun"/>
                <w:b w:val="0"/>
                <w:color w:val="000000"/>
                <w:sz w:val="21"/>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现场考察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不组织现场考察</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组织现场考察：</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时间：</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年</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月</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日（北京时间）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地点：</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联系人：</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联系电话：</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要求：</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12</w:t>
            </w:r>
          </w:p>
        </w:tc>
        <w:tc>
          <w:tcPr>
            <w:tcW w:w="1763"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投标文件组成</w:t>
            </w:r>
          </w:p>
        </w:tc>
        <w:tc>
          <w:tcPr>
            <w:tcW w:w="612"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商务部分</w:t>
            </w: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一、资格证明文件：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1.★法人或者其他组织的营业执照等证明文件（上传扫描件）；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3.★近6个月以来不少于2个月依法缴纳税收（不包括个人所得税）的相关材料，如依法免税或不需要纳税的，则应提供相应证明材料（上传扫描件）；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4.★近6个月以来不少于2个月的依法缴纳社会保障资金的相关材料，如依法不需要缴纳社会保障资金的，则应提供相应证明材料（上传扫描件）；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5.★具备履行合同所必需的设备和专业技术能力的证明材料(供应商根据项目需求提供证明材料或者承诺)；</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7.★具有《食品经营许可证》或《食品生产许可证》。仅提供《食品生产许可证》的，许可范围应包括本包中除食用农产品外的全部供应品类。</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二、报价一览表：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1.★投标报价表（开标一览表）；供应商按照结算率（以百分数表示，小数点后保留两位）进行报价。</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三、其他文件及资料：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2.★投标函（上传加盖公章的扫描件）；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3.★商务条款偏离表；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5.监狱企业证明文件[监狱企业投标的，应提交省级以上监狱管理局、戒毒管理局（含新疆生产建设兵团）出具的证明文件，格式自拟]；</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6.残疾人福利性单位声明函（残疾人福利性单位投标的，应提交此函）；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7.具有ISO 9001：2015质量管理体系认证证书资质证书（上传扫描件）；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8.具有ISO 45001职业健康安全管理体系认证证书（上传扫描件）；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9.成功案例一览表:有效案例为2023年1月1日以来（以合同签订日期为准），投标人独立承担的肉类、蔬菜类、主副食类等食材供应项目案例；（应提供合同扫描件，合同扫描件应能清晰体现合同甲乙双方、合同时间、合同金额、合同主要内容等，并提供对方联系人及联系方式。）；</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10.投标人认为需要提供的其它说明和资料。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技术部分</w:t>
            </w:r>
          </w:p>
        </w:tc>
        <w:tc>
          <w:tcPr>
            <w:tcW w:w="5822" w:type="dxa"/>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1.★技术条款偏离表；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2.★技术力量一览表；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3.★满足最关键指标项（★指标）情况（相关内容在《技术条款偏离表》中予以响应）；</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4.满足重要指标项（#指标）和一般指标项（△指标）要求情况（相关内容在《技术条款偏离表》中予以响应）；</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5.技术人员简历表；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6.技术人员缴纳社保的证明材料：提供投标人为投入本项目的项目经理、技术主管人员及技术主要人员缴纳社保的证明材料；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7.投标人认为需要提供的其它方案、说明和资料。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1.以上带★的文件及资料未提供或提供的无效，则投标无效。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2.要求提供扫描件的，照片、图片等电子文件与扫描件效力相等。</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投标有效期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120</w:t>
            </w:r>
            <w:r>
              <w:rPr>
                <w:rFonts w:ascii="SimSun" w:eastAsia="SimSun" w:hAnsi="SimSun" w:cs="SimSun"/>
                <w:b w:val="0"/>
                <w:color w:val="000000"/>
                <w:sz w:val="21"/>
                <w:u w:val="none"/>
              </w:rPr>
              <w:t>天（从提交投标文件的截止之日起计算）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提交投标文件方式、截止时间、开标时间</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提交方式：</w:t>
            </w:r>
            <w:r>
              <w:rPr>
                <w:rFonts w:ascii="SimSun" w:eastAsia="SimSun" w:hAnsi="SimSun" w:cs="SimSun"/>
                <w:b w:val="0"/>
                <w:color w:val="000000"/>
                <w:sz w:val="21"/>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投标截止时间和开标时间：</w:t>
            </w:r>
            <w:r>
              <w:rPr>
                <w:rFonts w:ascii="SimSun" w:eastAsia="SimSun" w:hAnsi="SimSun" w:cs="SimSun"/>
                <w:b w:val="0"/>
                <w:color w:val="000000"/>
                <w:sz w:val="21"/>
                <w:u w:val="none"/>
              </w:rPr>
              <w:t>2026年1月15日9:00</w:t>
            </w:r>
            <w:r>
              <w:rPr>
                <w:rFonts w:ascii="SimSun" w:eastAsia="SimSun" w:hAnsi="SimSun" w:cs="SimSun"/>
                <w:b w:val="0"/>
                <w:color w:val="000000"/>
                <w:sz w:val="21"/>
                <w:u w:val="none"/>
              </w:rPr>
              <w:t>（北京时间）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开标方式：</w:t>
            </w:r>
            <w:r>
              <w:rPr>
                <w:rFonts w:ascii="SimSun" w:eastAsia="SimSun" w:hAnsi="SimSun" w:cs="SimSun"/>
                <w:b w:val="0"/>
                <w:color w:val="000000"/>
                <w:sz w:val="21"/>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联系电话：</w:t>
            </w:r>
            <w:r>
              <w:rPr>
                <w:rFonts w:ascii="SimSun" w:eastAsia="SimSun" w:hAnsi="SimSun" w:cs="SimSun"/>
                <w:b w:val="0"/>
                <w:color w:val="000000"/>
                <w:sz w:val="21"/>
                <w:u w:val="none"/>
              </w:rPr>
              <w:t>0432-65136099</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要求提供，数额不得超过采购项目预算金额的</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w:t>
            </w:r>
            <w:r>
              <w:rPr>
                <w:rFonts w:ascii="SimSun" w:eastAsia="SimSun" w:hAnsi="SimSun" w:cs="SimSun"/>
                <w:b w:val="0"/>
                <w:color w:val="000000"/>
                <w:sz w:val="21"/>
                <w:u w:val="none"/>
              </w:rPr>
              <w:t xml:space="preserve"> 本项目的投标保证金为人民币</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元，</w:t>
            </w:r>
            <w:r>
              <w:rPr>
                <w:rFonts w:ascii="SimSun" w:eastAsia="SimSun" w:hAnsi="SimSun" w:cs="SimSun"/>
                <w:b w:val="0"/>
                <w:color w:val="000000"/>
                <w:sz w:val="21"/>
                <w:u w:val="none"/>
              </w:rPr>
              <w:t xml:space="preserve"> 提交方式为银行电汇、金融机构或担保机构出具的保函。</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信用记录审查</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本次查询的信用记录仅限于本项目使用，查询结果将留存在采购档案中。</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在上述指定网站不能查询信用信息的投标人，应提供相关证明材料（原件加盖公章）。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17</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促进中小企业发展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根据《政府采购促进中小企业发展管理办法》（财库〔2020〕46号），鼓励中小企业参加本项目采购活动。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专门面向中小企业采购项目。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预留份额面向中小企业采购项目。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非专门面向中小企业采购项目。对小型和微型企业的投标价格给予</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 xml:space="preserve"> %的扣除，用扣除后的价格参与评审。</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支持监狱企业发展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根据《关于政府采购支持监狱企业发展有关问题的通知》（财库〔2014〕68号），监狱企业视同小型、微型企业，按照投标人须知前附表第17项享受政府采购促进中小企业发展的政府采购政策。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促进残疾人就业</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根据《关于促进残疾人就业政府采购政策的通知》（财库〔2017〕141号），残疾人福利性单位视同小型、微型企业，按照投标人须知前附表第17项享受政府采购促进中小企业发展的政府采购政策。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节能环保要求</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（2）属于政府优先采购产品类别的，须按照要求提供依据国家确定的认证机构出具的、处于有效期之内的节能产品或环境标志产品认证证书，否则不予认定。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其他法律法规强制性规定或扶持政策</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在履约验收中，采购人将按照采购文件、中标/成交供应商响应文件、采购合同等对中标/成交供应商提供的货物和服务进行验收，必要时依法依规开展相应检测、认证。</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22</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评标方法及分值</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包件1：本项目采用综合评分法，其中价格分值为10分，其他因素分值为90分，详见招标文件商务部分第三章。</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包件2：本项目采用综合评分法，其中价格分值为10分，其他因素分值为90分，详见招标文件商务部分第三章。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合同类型和定价方式</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本项目签订固定结算率的服务合同。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履约保证金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本采购项目履约保证金为合同金额的</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w:t>
            </w:r>
            <w:r>
              <w:rPr>
                <w:rFonts w:ascii="SimSun" w:eastAsia="SimSun" w:hAnsi="SimSun" w:cs="SimSun"/>
                <w:b w:val="0"/>
                <w:color w:val="000000"/>
                <w:sz w:val="21"/>
                <w:u w:val="none"/>
              </w:rPr>
              <w:t xml:space="preserve"> 提交方式为银行电汇、金融机构或担保机构出具的保函。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账户信息：</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收款单位：</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银行帐号：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开户银行：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付款安排</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每月5日前中标供应商按照原始验收单据主动与采购人核对上一个月的货款。双方核对账目无误后，中标供应商于每月10日前向采购人提供付款材料。满足合同约定支付条件的，采购人自收到发票后10个工作日内支付给中标供应商。</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接收质疑的方式、部门、电话和通讯地址</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逾期提交的，采购人有权不予受理。</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联系部门：</w:t>
            </w:r>
            <w:r>
              <w:rPr>
                <w:rFonts w:ascii="SimSun" w:eastAsia="SimSun" w:hAnsi="SimSun" w:cs="SimSun"/>
                <w:b w:val="0"/>
                <w:color w:val="000000"/>
                <w:sz w:val="21"/>
                <w:u w:val="none"/>
              </w:rPr>
              <w:t>国家税务总局吉林市税务局财务管理科</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联系电话：</w:t>
            </w:r>
            <w:r>
              <w:rPr>
                <w:rFonts w:ascii="SimSun" w:eastAsia="SimSun" w:hAnsi="SimSun" w:cs="SimSun"/>
                <w:b w:val="0"/>
                <w:color w:val="000000"/>
                <w:sz w:val="21"/>
                <w:u w:val="none"/>
              </w:rPr>
              <w:t>0432--65136099、65136098</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通讯地址：</w:t>
            </w:r>
            <w:r>
              <w:rPr>
                <w:rFonts w:ascii="SimSun" w:eastAsia="SimSun" w:hAnsi="SimSun" w:cs="SimSun"/>
                <w:b w:val="0"/>
                <w:color w:val="000000"/>
                <w:sz w:val="21"/>
                <w:u w:val="none"/>
              </w:rPr>
              <w:t>吉林省吉林市丰满区三亚路33号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电子邮箱：</w:t>
            </w:r>
            <w:r>
              <w:rPr>
                <w:rFonts w:ascii="SimSun" w:eastAsia="SimSun" w:hAnsi="SimSun" w:cs="SimSun"/>
                <w:b w:val="0"/>
                <w:color w:val="000000"/>
                <w:sz w:val="21"/>
                <w:u w:val="none"/>
              </w:rPr>
              <w:t>848801931@qq.com</w:t>
            </w:r>
          </w:p>
        </w:tc>
      </w:tr>
    </w:tbl>
    <w:p w:rsidR="00A77B3E">
      <w:pPr>
        <w:spacing w:after="160" w:line="520" w:lineRule="exact"/>
        <w:jc w:val="center"/>
        <w:rPr>
          <w:rFonts w:ascii="SimHei" w:eastAsia="SimHei" w:hAnsi="SimHei" w:cs="SimHei"/>
          <w:sz w:val="28"/>
        </w:rPr>
      </w:pPr>
      <w:bookmarkEnd w:id="44"/>
      <w:r>
        <w:rPr>
          <w:sz w:val="32"/>
          <w:szCs w:val="32"/>
          <w:highlight w:val="none"/>
        </w:rPr>
        <w:br w:type="page"/>
      </w:r>
    </w:p>
    <w:p w14:paraId="7CD673C0">
      <w:pPr>
        <w:topLinePunct/>
        <w:autoSpaceDE w:val="0"/>
        <w:autoSpaceDN w:val="0"/>
        <w:adjustRightInd w:val="0"/>
        <w:snapToGrid w:val="0"/>
        <w:spacing w:after="0" w:line="360" w:lineRule="auto"/>
        <w:jc w:val="center"/>
        <w:rPr>
          <w:b/>
          <w:color w:val="auto"/>
          <w:sz w:val="32"/>
          <w:szCs w:val="32"/>
        </w:rPr>
      </w:pPr>
      <w:r>
        <w:rPr>
          <w:rFonts w:hint="eastAsia"/>
          <w:b/>
          <w:color w:val="auto"/>
          <w:sz w:val="32"/>
          <w:szCs w:val="32"/>
        </w:rPr>
        <w:t>一、总则</w:t>
      </w:r>
    </w:p>
    <w:p w14:paraId="101710A0">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auto"/>
          <w:sz w:val="24"/>
        </w:rPr>
        <w:t>1.预算资金及来源</w:t>
      </w:r>
    </w:p>
    <w:p w14:paraId="24A233C3">
      <w:pPr>
        <w:topLinePunct/>
        <w:autoSpaceDE w:val="0"/>
        <w:autoSpaceDN w:val="0"/>
        <w:adjustRightInd w:val="0"/>
        <w:snapToGrid w:val="0"/>
        <w:spacing w:after="0" w:line="360" w:lineRule="auto"/>
        <w:ind w:left="432"/>
        <w:rPr>
          <w:rFonts w:ascii="宋体" w:hAnsi="宋体" w:cs="宋体"/>
          <w:color w:val="auto"/>
          <w:sz w:val="24"/>
        </w:rPr>
      </w:pPr>
      <w:r>
        <w:rPr>
          <w:rFonts w:ascii="宋体" w:hAnsi="宋体" w:cs="宋体" w:hint="eastAsia"/>
          <w:color w:val="auto"/>
          <w:sz w:val="24"/>
        </w:rPr>
        <w:t>1.1 本项目已批准立项。</w:t>
      </w:r>
    </w:p>
    <w:p w14:paraId="327D5DB3">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auto"/>
          <w:sz w:val="24"/>
        </w:rPr>
        <w:t>1.2 本项目预算资金见</w:t>
      </w:r>
      <w:r>
        <w:rPr>
          <w:rFonts w:ascii="宋体" w:hAnsi="宋体" w:cs="宋体" w:hint="eastAsia"/>
          <w:b/>
          <w:bCs/>
          <w:color w:val="auto"/>
          <w:sz w:val="24"/>
        </w:rPr>
        <w:t>投标人须知前附表</w:t>
      </w:r>
      <w:r>
        <w:rPr>
          <w:rFonts w:ascii="宋体" w:hAnsi="宋体" w:cs="宋体" w:hint="eastAsia"/>
          <w:color w:val="auto"/>
          <w:sz w:val="24"/>
        </w:rPr>
        <w:t>，已列入预算。</w:t>
      </w:r>
    </w:p>
    <w:p w14:paraId="40723995">
      <w:pPr>
        <w:topLinePunct/>
        <w:autoSpaceDE w:val="0"/>
        <w:autoSpaceDN w:val="0"/>
        <w:adjustRightInd w:val="0"/>
        <w:snapToGrid w:val="0"/>
        <w:spacing w:after="0" w:line="360" w:lineRule="auto"/>
        <w:rPr>
          <w:rFonts w:ascii="宋体" w:hAnsi="宋体" w:cs="宋体"/>
          <w:color w:val="auto"/>
          <w:sz w:val="24"/>
        </w:rPr>
      </w:pPr>
    </w:p>
    <w:p w14:paraId="5CB2C5E7">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2.合格的产品和服务</w:t>
      </w:r>
    </w:p>
    <w:p w14:paraId="038D8A3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 本项目所涉及的</w:t>
      </w:r>
      <w:r>
        <w:rPr>
          <w:rFonts w:ascii="宋体" w:hAnsi="宋体" w:cs="宋体" w:hint="eastAsia"/>
          <w:color w:val="auto"/>
          <w:sz w:val="24"/>
          <w:lang w:eastAsia="zh-CN"/>
        </w:rPr>
        <w:t>所有产品和</w:t>
      </w:r>
      <w:r>
        <w:rPr>
          <w:rFonts w:ascii="宋体" w:hAnsi="宋体" w:cs="宋体" w:hint="eastAsia"/>
          <w:color w:val="auto"/>
          <w:sz w:val="24"/>
        </w:rPr>
        <w:t>服务均应来自中国境内（指关境内），合同金额的支付也仅限于这些产品和服务。</w:t>
      </w:r>
    </w:p>
    <w:p w14:paraId="24A96669">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 合格的产品和服务即</w:t>
      </w:r>
      <w:r>
        <w:rPr>
          <w:rFonts w:ascii="宋体" w:hAnsi="宋体" w:cs="宋体" w:hint="eastAsia"/>
          <w:b/>
          <w:bCs/>
          <w:color w:val="auto"/>
          <w:sz w:val="24"/>
        </w:rPr>
        <w:t>采购需求</w:t>
      </w:r>
      <w:r>
        <w:rPr>
          <w:rFonts w:ascii="宋体" w:hAnsi="宋体" w:cs="宋体" w:hint="eastAsia"/>
          <w:color w:val="auto"/>
          <w:sz w:val="24"/>
        </w:rPr>
        <w:t>见</w:t>
      </w:r>
      <w:r>
        <w:rPr>
          <w:rFonts w:ascii="宋体" w:hAnsi="宋体" w:cs="宋体" w:hint="eastAsia"/>
          <w:b/>
          <w:color w:val="auto"/>
          <w:sz w:val="24"/>
        </w:rPr>
        <w:t>招标文件（技术部分）。</w:t>
      </w:r>
    </w:p>
    <w:p w14:paraId="5A567183">
      <w:pPr>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 投标人应保证所提供的产品及服务免受第三方提出侵犯其知识产权（专利权、商标权、工业设计权及使用权）的请求及起诉。</w:t>
      </w:r>
    </w:p>
    <w:p w14:paraId="3E4D3AB0">
      <w:pPr>
        <w:adjustRightInd w:val="0"/>
        <w:snapToGrid w:val="0"/>
        <w:spacing w:after="0" w:line="360" w:lineRule="auto"/>
        <w:ind w:firstLine="470" w:firstLineChars="196"/>
        <w:rPr>
          <w:rFonts w:ascii="宋体" w:hAnsi="宋体" w:cs="宋体"/>
          <w:b/>
          <w:color w:val="auto"/>
          <w:sz w:val="24"/>
        </w:rPr>
      </w:pPr>
    </w:p>
    <w:p w14:paraId="6B7ACBE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3.合格的投标人</w:t>
      </w:r>
    </w:p>
    <w:p w14:paraId="5243EB42">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ascii="宋体" w:hAnsi="宋体" w:cs="宋体" w:hint="eastAsia"/>
          <w:color w:val="auto"/>
          <w:sz w:val="24"/>
        </w:rPr>
        <w:t>3.1 投标人的资格要求及本项目的特定资格要求见</w:t>
      </w:r>
      <w:r>
        <w:rPr>
          <w:rFonts w:ascii="宋体" w:hAnsi="宋体" w:cs="宋体" w:hint="eastAsia"/>
          <w:b/>
          <w:color w:val="auto"/>
          <w:sz w:val="24"/>
        </w:rPr>
        <w:t>投标人须知前附表。</w:t>
      </w:r>
    </w:p>
    <w:p w14:paraId="666AE55F">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auto"/>
          <w:sz w:val="24"/>
        </w:rPr>
        <w:t>3.2 投标人相关要求</w:t>
      </w:r>
    </w:p>
    <w:p w14:paraId="46578E3B">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auto"/>
          <w:sz w:val="24"/>
        </w:rPr>
        <w:t>3.2.1 单位负责人为同一人或者存在直接控股、管理关系的不同供应商，不得参加同一合同项下的政府采购活动。</w:t>
      </w:r>
    </w:p>
    <w:p w14:paraId="7DA64901">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auto"/>
          <w:sz w:val="24"/>
        </w:rPr>
        <w:t>3.2.2 为采购项目提供整体设计、规范编制或者项目管理、监理、检测等服务的供应商，不得再参加该采购项目的其他采购活动。</w:t>
      </w:r>
    </w:p>
    <w:p w14:paraId="68EF468B">
      <w:pPr>
        <w:adjustRightInd w:val="0"/>
        <w:snapToGrid w:val="0"/>
        <w:spacing w:after="0" w:line="360" w:lineRule="auto"/>
        <w:ind w:firstLine="432" w:firstLineChars="180"/>
        <w:rPr>
          <w:rFonts w:ascii="宋体" w:hAnsi="宋体" w:cs="宋体"/>
          <w:b/>
          <w:color w:val="auto"/>
          <w:sz w:val="24"/>
        </w:rPr>
      </w:pPr>
    </w:p>
    <w:p w14:paraId="4E06DD9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4.投标费用</w:t>
      </w:r>
    </w:p>
    <w:p w14:paraId="3A15C4D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4.1 投标人应承担所有与编写、提交投标文件有关的费用，不论招标的结果如何，采购人在任何情况下均无义务和责任承担这些费用。</w:t>
      </w:r>
    </w:p>
    <w:p w14:paraId="5902B73F">
      <w:pPr>
        <w:topLinePunct/>
        <w:autoSpaceDE w:val="0"/>
        <w:autoSpaceDN w:val="0"/>
        <w:adjustRightInd w:val="0"/>
        <w:snapToGrid w:val="0"/>
        <w:spacing w:after="0" w:line="360" w:lineRule="auto"/>
        <w:ind w:firstLine="480" w:firstLineChars="200"/>
        <w:rPr>
          <w:rFonts w:ascii="宋体" w:hAnsi="宋体" w:cs="宋体"/>
          <w:color w:val="auto"/>
          <w:sz w:val="24"/>
        </w:rPr>
      </w:pPr>
    </w:p>
    <w:p w14:paraId="36BD1437">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二、  招标文件</w:t>
      </w:r>
    </w:p>
    <w:p w14:paraId="0E2F258D">
      <w:pPr>
        <w:topLinePunct/>
        <w:autoSpaceDE w:val="0"/>
        <w:autoSpaceDN w:val="0"/>
        <w:adjustRightInd w:val="0"/>
        <w:snapToGrid w:val="0"/>
        <w:spacing w:after="0" w:line="360" w:lineRule="auto"/>
        <w:jc w:val="center"/>
        <w:rPr>
          <w:rFonts w:ascii="宋体" w:hAnsi="宋体" w:cs="宋体"/>
          <w:b/>
          <w:color w:val="auto"/>
          <w:sz w:val="24"/>
        </w:rPr>
      </w:pPr>
    </w:p>
    <w:p w14:paraId="608D39E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5.招标文件构成</w:t>
      </w:r>
    </w:p>
    <w:p w14:paraId="162E0821">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第一部分 商务部分</w:t>
      </w:r>
    </w:p>
    <w:p w14:paraId="2F32B45F">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（1）招标公告</w:t>
      </w:r>
    </w:p>
    <w:p w14:paraId="4CEF7E03">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（2）投标人须知</w:t>
      </w:r>
    </w:p>
    <w:p w14:paraId="79B80ACE">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（3）评标方法及标准</w:t>
      </w:r>
    </w:p>
    <w:p w14:paraId="052FAAD2">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（4）政府采购合同文本</w:t>
      </w:r>
    </w:p>
    <w:p w14:paraId="6087BEDF">
      <w:pPr>
        <w:topLinePunct/>
        <w:autoSpaceDE w:val="0"/>
        <w:autoSpaceDN w:val="0"/>
        <w:adjustRightInd w:val="0"/>
        <w:snapToGrid w:val="0"/>
        <w:spacing w:after="0" w:line="360" w:lineRule="auto"/>
        <w:ind w:left="359" w:firstLine="120" w:leftChars="171" w:firstLineChars="50"/>
        <w:rPr>
          <w:rFonts w:ascii="宋体" w:eastAsia="宋体" w:hAnsi="宋体" w:cs="宋体" w:hint="eastAsia"/>
          <w:color w:val="auto"/>
          <w:sz w:val="24"/>
          <w:highlight w:val="none"/>
          <w:lang w:eastAsia="zh-CN"/>
        </w:rPr>
      </w:pPr>
      <w:r>
        <w:rPr>
          <w:rFonts w:ascii="宋体" w:hAnsi="宋体" w:cs="宋体" w:hint="eastAsia"/>
          <w:color w:val="auto"/>
          <w:sz w:val="24"/>
        </w:rPr>
        <w:t>（5）投标文件格式</w:t>
      </w:r>
    </w:p>
    <w:p w14:paraId="2779E7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第二部分 技术部分</w:t>
      </w:r>
    </w:p>
    <w:p w14:paraId="7B2DB273">
      <w:pPr>
        <w:topLinePunct/>
        <w:autoSpaceDE w:val="0"/>
        <w:autoSpaceDN w:val="0"/>
        <w:adjustRightInd w:val="0"/>
        <w:snapToGrid w:val="0"/>
        <w:spacing w:after="0" w:line="360" w:lineRule="auto"/>
        <w:ind w:firstLine="480" w:firstLineChars="200"/>
        <w:rPr>
          <w:rFonts w:ascii="宋体" w:hAnsi="宋体" w:cs="宋体"/>
          <w:color w:val="auto"/>
          <w:sz w:val="24"/>
        </w:rPr>
      </w:pPr>
    </w:p>
    <w:p w14:paraId="19CA045E">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auto"/>
          <w:sz w:val="24"/>
        </w:rPr>
        <w:t>6.招标文件询问、澄清或修改</w:t>
      </w:r>
    </w:p>
    <w:p w14:paraId="7292399E">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ascii="宋体" w:hAnsi="宋体" w:cs="宋体" w:hint="eastAsia"/>
          <w:color w:val="auto"/>
          <w:sz w:val="24"/>
        </w:rPr>
        <w:t>6.1 投标人对招标文件如有疑问的，可以向采购人提出询问，采购人应当在3个工作日内作出答复</w:t>
      </w:r>
      <w:r>
        <w:rPr>
          <w:rFonts w:ascii="宋体" w:hAnsi="宋体" w:cs="宋体" w:hint="eastAsia"/>
          <w:bCs/>
          <w:color w:val="auto"/>
          <w:sz w:val="24"/>
        </w:rPr>
        <w:t>，但答复的内容不得涉及商业秘密。</w:t>
      </w:r>
      <w:r>
        <w:rPr>
          <w:rFonts w:ascii="宋体" w:hAnsi="宋体" w:cs="宋体" w:hint="eastAsia"/>
          <w:color w:val="auto"/>
          <w:sz w:val="24"/>
        </w:rPr>
        <w:t>如有必要，采购人可对招标文件进行澄清或者修改。</w:t>
      </w:r>
    </w:p>
    <w:p w14:paraId="785E44D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6.2 采购人可主动对招标文件进行必要的澄清或者修改，但不得改变采购标的和资格条件。</w:t>
      </w:r>
    </w:p>
    <w:p w14:paraId="696387C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6.3 澄清或者修改应当在原公告发布媒体上发布更正公告，</w:t>
      </w:r>
      <w:r>
        <w:rPr>
          <w:rFonts w:ascii="宋体" w:hAnsi="宋体" w:hint="eastAsia"/>
          <w:color w:val="auto"/>
          <w:sz w:val="24"/>
        </w:rPr>
        <w:t>并通过国家税务总局政府采购评审管理系统（以下简称“评审管理系统”）通知所有获取</w:t>
      </w:r>
      <w:r>
        <w:rPr>
          <w:rFonts w:ascii="宋体" w:hAnsi="宋体" w:cs="宋体" w:hint="eastAsia"/>
          <w:color w:val="auto"/>
          <w:sz w:val="24"/>
        </w:rPr>
        <w:t>招标文件的潜在投标人。</w:t>
      </w:r>
    </w:p>
    <w:p w14:paraId="624B357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6.4 澄清或者修改的内容可能影响投标文件编制的，采购人应当在投标截止时间至少15日前，</w:t>
      </w:r>
      <w:r>
        <w:rPr>
          <w:rFonts w:ascii="宋体" w:hAnsi="宋体" w:hint="eastAsia"/>
          <w:color w:val="auto"/>
          <w:sz w:val="24"/>
        </w:rPr>
        <w:t>通过评审管理系统通知</w:t>
      </w:r>
      <w:r>
        <w:rPr>
          <w:rFonts w:ascii="宋体" w:hAnsi="宋体" w:cs="宋体" w:hint="eastAsia"/>
          <w:color w:val="auto"/>
          <w:sz w:val="24"/>
        </w:rPr>
        <w:t>所有获取招标文件的潜在投标人；不足15日的，采购人应当顺延提交投标文件的截止时间。</w:t>
      </w:r>
    </w:p>
    <w:p w14:paraId="45C3D50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6.5 澄清或者修改的内容为招标文件的组成部分。</w:t>
      </w:r>
    </w:p>
    <w:p w14:paraId="61DFF308">
      <w:pPr>
        <w:topLinePunct/>
        <w:autoSpaceDE w:val="0"/>
        <w:autoSpaceDN w:val="0"/>
        <w:adjustRightInd w:val="0"/>
        <w:snapToGrid w:val="0"/>
        <w:spacing w:after="0" w:line="360" w:lineRule="auto"/>
        <w:rPr>
          <w:rFonts w:ascii="宋体" w:hAnsi="宋体" w:cs="宋体"/>
          <w:color w:val="auto"/>
          <w:sz w:val="24"/>
        </w:rPr>
      </w:pPr>
    </w:p>
    <w:p w14:paraId="4D172A44">
      <w:pPr>
        <w:topLinePunct/>
        <w:autoSpaceDE w:val="0"/>
        <w:autoSpaceDN w:val="0"/>
        <w:adjustRightInd w:val="0"/>
        <w:snapToGrid w:val="0"/>
        <w:spacing w:after="0" w:line="360" w:lineRule="auto"/>
        <w:jc w:val="center"/>
        <w:rPr>
          <w:rFonts w:ascii="宋体" w:hAnsi="宋体" w:cs="宋体"/>
          <w:b/>
          <w:color w:val="auto"/>
          <w:sz w:val="24"/>
        </w:rPr>
      </w:pPr>
      <w:r>
        <w:rPr>
          <w:rFonts w:ascii="宋体" w:hAnsi="宋体" w:cs="宋体" w:hint="eastAsia"/>
          <w:b/>
          <w:bCs/>
          <w:color w:val="auto"/>
          <w:sz w:val="32"/>
          <w:szCs w:val="32"/>
        </w:rPr>
        <w:t>三、投标文件</w:t>
      </w:r>
    </w:p>
    <w:p w14:paraId="15FA574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7</w:t>
      </w:r>
      <w:r>
        <w:rPr>
          <w:rFonts w:ascii="宋体" w:hAnsi="宋体" w:cs="宋体" w:hint="eastAsia"/>
          <w:color w:val="auto"/>
          <w:szCs w:val="21"/>
        </w:rPr>
        <w:t>．</w:t>
      </w:r>
      <w:r>
        <w:rPr>
          <w:rFonts w:ascii="宋体" w:hAnsi="宋体" w:cs="宋体" w:hint="eastAsia"/>
          <w:b/>
          <w:color w:val="auto"/>
          <w:sz w:val="24"/>
        </w:rPr>
        <w:t>投标文件编制</w:t>
      </w:r>
    </w:p>
    <w:p w14:paraId="70D6A16F">
      <w:pPr>
        <w:topLinePunct/>
        <w:autoSpaceDE w:val="0"/>
        <w:autoSpaceDN w:val="0"/>
        <w:adjustRightInd w:val="0"/>
        <w:snapToGrid w:val="0"/>
        <w:spacing w:after="0" w:line="360" w:lineRule="auto"/>
        <w:ind w:firstLine="480" w:firstLineChars="200"/>
        <w:rPr>
          <w:rFonts w:ascii="宋体" w:eastAsia="Times New Roman" w:hAnsi="宋体" w:cs="宋体"/>
          <w:color w:val="auto"/>
          <w:sz w:val="24"/>
        </w:rPr>
      </w:pPr>
      <w:r>
        <w:rPr>
          <w:rFonts w:ascii="宋体" w:hAnsi="宋体" w:cs="宋体" w:hint="eastAsia"/>
          <w:color w:val="auto"/>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9F3661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7.2 投标文件应使用中文简化字。</w:t>
      </w:r>
    </w:p>
    <w:p w14:paraId="014BF2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756FB14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7.4 除在招标文件的要求中另有规定外，投标文件计量单位应使用中华人民共和国法定计量单位。</w:t>
      </w:r>
    </w:p>
    <w:p w14:paraId="75C96192">
      <w:pPr>
        <w:topLinePunct/>
        <w:autoSpaceDE w:val="0"/>
        <w:autoSpaceDN w:val="0"/>
        <w:adjustRightInd w:val="0"/>
        <w:snapToGrid w:val="0"/>
        <w:spacing w:after="0" w:line="360" w:lineRule="auto"/>
        <w:rPr>
          <w:rFonts w:ascii="宋体" w:hAnsi="宋体" w:cs="宋体"/>
          <w:b/>
          <w:color w:val="auto"/>
          <w:sz w:val="24"/>
        </w:rPr>
      </w:pPr>
    </w:p>
    <w:p w14:paraId="6587F84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8.投标文件的组成</w:t>
      </w:r>
    </w:p>
    <w:p w14:paraId="3B2CA3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8.1 投标文件包括商务部分和技术部分。</w:t>
      </w:r>
    </w:p>
    <w:p w14:paraId="0CDE699C">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auto"/>
          <w:sz w:val="24"/>
        </w:rPr>
        <w:t>8.2 投标文件</w:t>
      </w:r>
      <w:r>
        <w:rPr>
          <w:rFonts w:ascii="宋体" w:hAnsi="宋体" w:cs="宋体" w:hint="eastAsia"/>
          <w:b/>
          <w:bCs/>
          <w:color w:val="auto"/>
          <w:sz w:val="24"/>
        </w:rPr>
        <w:t>商务部分</w:t>
      </w:r>
      <w:r>
        <w:rPr>
          <w:rFonts w:ascii="宋体" w:hAnsi="宋体" w:cs="宋体" w:hint="eastAsia"/>
          <w:color w:val="auto"/>
          <w:sz w:val="24"/>
        </w:rPr>
        <w:t>主要包括的文件和资料：</w:t>
      </w:r>
    </w:p>
    <w:p w14:paraId="64D66C33">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auto"/>
          <w:sz w:val="24"/>
        </w:rPr>
        <w:t>8.2.1 资格证明文件，见</w:t>
      </w:r>
      <w:r>
        <w:rPr>
          <w:rFonts w:ascii="宋体" w:hAnsi="宋体" w:cs="宋体" w:hint="eastAsia"/>
          <w:b/>
          <w:color w:val="auto"/>
          <w:sz w:val="24"/>
        </w:rPr>
        <w:t>投标人须知前附表。</w:t>
      </w:r>
    </w:p>
    <w:p w14:paraId="41B5E08A">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8.2.2 其他文件及资料，见</w:t>
      </w:r>
      <w:r>
        <w:rPr>
          <w:rFonts w:ascii="宋体" w:hAnsi="宋体" w:cs="宋体" w:hint="eastAsia"/>
          <w:b/>
          <w:color w:val="auto"/>
          <w:sz w:val="24"/>
        </w:rPr>
        <w:t>投标人须知前附表。</w:t>
      </w:r>
    </w:p>
    <w:p w14:paraId="7E62C6FD">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8.3 投标文件</w:t>
      </w:r>
      <w:r>
        <w:rPr>
          <w:rFonts w:ascii="宋体" w:hAnsi="宋体" w:cs="宋体" w:hint="eastAsia"/>
          <w:b/>
          <w:bCs/>
          <w:color w:val="auto"/>
          <w:sz w:val="24"/>
        </w:rPr>
        <w:t>技术部分</w:t>
      </w:r>
      <w:r>
        <w:rPr>
          <w:rFonts w:ascii="宋体" w:hAnsi="宋体" w:cs="宋体" w:hint="eastAsia"/>
          <w:color w:val="auto"/>
          <w:sz w:val="24"/>
        </w:rPr>
        <w:t>主要包括的文件及资料，见</w:t>
      </w:r>
      <w:r>
        <w:rPr>
          <w:rFonts w:ascii="宋体" w:hAnsi="宋体" w:cs="宋体" w:hint="eastAsia"/>
          <w:b/>
          <w:color w:val="auto"/>
          <w:sz w:val="24"/>
        </w:rPr>
        <w:t>投标人须知前附表。</w:t>
      </w:r>
    </w:p>
    <w:p w14:paraId="3F07AB91">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8.4 证明资料如标明有效期的，必须在有效期内。</w:t>
      </w:r>
    </w:p>
    <w:p w14:paraId="76ABAE7D">
      <w:pPr>
        <w:overflowPunct w:val="0"/>
        <w:autoSpaceDE w:val="0"/>
        <w:autoSpaceDN w:val="0"/>
        <w:adjustRightInd w:val="0"/>
        <w:snapToGrid w:val="0"/>
        <w:spacing w:after="0" w:line="360" w:lineRule="auto"/>
        <w:ind w:firstLine="487" w:firstLineChars="203"/>
        <w:rPr>
          <w:rFonts w:ascii="宋体" w:hAnsi="宋体" w:cs="宋体"/>
          <w:b/>
          <w:color w:val="auto"/>
          <w:sz w:val="24"/>
        </w:rPr>
      </w:pPr>
    </w:p>
    <w:p w14:paraId="667E95E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9.报价要求</w:t>
      </w:r>
    </w:p>
    <w:p w14:paraId="28A840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9.1 投标应以人民币报价，且必须按照投标工具的流程和提示编制并上传投标报价表。</w:t>
      </w:r>
    </w:p>
    <w:p w14:paraId="6E724CC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9.2 本项目不接受任何形式的赠送、“零”报价和折扣报价。</w:t>
      </w:r>
    </w:p>
    <w:p w14:paraId="3212805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9.3 本项目以投标报价为依据计算价格分。投标报价应包括招标文件中要求投标人承担所有工作内容的全部费用。</w:t>
      </w:r>
    </w:p>
    <w:p w14:paraId="52FEA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7D90D5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9.5 最低报价不能作为中标的保证。</w:t>
      </w:r>
    </w:p>
    <w:p w14:paraId="4C048425">
      <w:pPr>
        <w:topLinePunct/>
        <w:autoSpaceDE w:val="0"/>
        <w:autoSpaceDN w:val="0"/>
        <w:adjustRightInd w:val="0"/>
        <w:snapToGrid w:val="0"/>
        <w:spacing w:after="0" w:line="360" w:lineRule="auto"/>
        <w:ind w:firstLine="480" w:firstLineChars="200"/>
        <w:rPr>
          <w:rFonts w:ascii="宋体" w:hAnsi="宋体" w:cs="宋体"/>
          <w:color w:val="auto"/>
          <w:sz w:val="24"/>
        </w:rPr>
      </w:pPr>
    </w:p>
    <w:p w14:paraId="7C19345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10.投标文件的签署、盖章</w:t>
      </w:r>
    </w:p>
    <w:p w14:paraId="17E4241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10.1 投标文件</w:t>
      </w:r>
      <w:r>
        <w:rPr>
          <w:rFonts w:ascii="宋体" w:hAnsi="宋体" w:hint="eastAsia"/>
          <w:color w:val="auto"/>
          <w:sz w:val="24"/>
        </w:rPr>
        <w:t>必须按照招标文件给出文件格式的签署要求进行</w:t>
      </w:r>
      <w:r>
        <w:rPr>
          <w:rFonts w:ascii="宋体" w:hAnsi="宋体" w:hint="eastAsia"/>
          <w:b/>
          <w:color w:val="auto"/>
          <w:sz w:val="24"/>
        </w:rPr>
        <w:t>电子</w:t>
      </w:r>
      <w:r>
        <w:rPr>
          <w:rFonts w:ascii="宋体" w:hAnsi="宋体" w:hint="eastAsia"/>
          <w:color w:val="auto"/>
          <w:sz w:val="24"/>
        </w:rPr>
        <w:t>签署。</w:t>
      </w:r>
    </w:p>
    <w:p w14:paraId="3295B0C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10.2 投标人在</w:t>
      </w:r>
      <w:r>
        <w:rPr>
          <w:rFonts w:ascii="宋体" w:hAnsi="宋体" w:cs="宋体" w:hint="eastAsia"/>
          <w:b/>
          <w:bCs/>
          <w:color w:val="auto"/>
          <w:sz w:val="24"/>
        </w:rPr>
        <w:t>“投标函”“法定代表人授权委托书”</w:t>
      </w:r>
      <w:r>
        <w:rPr>
          <w:rFonts w:ascii="宋体" w:hAnsi="宋体" w:cs="宋体" w:hint="eastAsia"/>
          <w:color w:val="auto"/>
          <w:sz w:val="24"/>
        </w:rPr>
        <w:t>上应当按格式要求加盖与投标人名称全称一致的标准公章，并</w:t>
      </w:r>
      <w:r>
        <w:rPr>
          <w:rFonts w:ascii="宋体" w:hAnsi="宋体" w:cs="宋体" w:hint="eastAsia"/>
          <w:color w:val="auto"/>
          <w:sz w:val="24"/>
          <w:lang w:eastAsia="zh-CN"/>
        </w:rPr>
        <w:t>按照招标文件第五章投标文件格式中的相应格式文件要求</w:t>
      </w:r>
      <w:r>
        <w:rPr>
          <w:rFonts w:ascii="宋体" w:hAnsi="宋体" w:cs="宋体" w:hint="eastAsia"/>
          <w:color w:val="auto"/>
          <w:sz w:val="24"/>
        </w:rPr>
        <w:t>签署全名或加盖名章。</w:t>
      </w:r>
    </w:p>
    <w:p w14:paraId="579278F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10.3 投标文件中的“盖章”指加盖投标人的“公章”，而非“合同专用章”、“投标专用章”等其他非公章。</w:t>
      </w:r>
    </w:p>
    <w:p w14:paraId="4CAF9EF7">
      <w:pPr>
        <w:topLinePunct/>
        <w:autoSpaceDE w:val="0"/>
        <w:autoSpaceDN w:val="0"/>
        <w:adjustRightInd w:val="0"/>
        <w:snapToGrid w:val="0"/>
        <w:spacing w:after="0" w:line="360" w:lineRule="auto"/>
        <w:ind w:firstLine="490" w:firstLineChars="204"/>
        <w:rPr>
          <w:rFonts w:ascii="宋体" w:hAnsi="宋体" w:cs="宋体"/>
          <w:color w:val="auto"/>
          <w:sz w:val="24"/>
        </w:rPr>
      </w:pPr>
    </w:p>
    <w:p w14:paraId="685F346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11</w:t>
      </w:r>
      <w:r>
        <w:rPr>
          <w:rFonts w:ascii="宋体" w:hAnsi="宋体" w:cs="宋体" w:hint="eastAsia"/>
          <w:color w:val="auto"/>
          <w:szCs w:val="21"/>
        </w:rPr>
        <w:t>．</w:t>
      </w:r>
      <w:r>
        <w:rPr>
          <w:rFonts w:ascii="宋体" w:hAnsi="宋体" w:cs="宋体" w:hint="eastAsia"/>
          <w:b/>
          <w:color w:val="auto"/>
          <w:sz w:val="24"/>
        </w:rPr>
        <w:t>投标有效期</w:t>
      </w:r>
    </w:p>
    <w:p w14:paraId="7468568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11.1 投标有效期见</w:t>
      </w:r>
      <w:r>
        <w:rPr>
          <w:rFonts w:ascii="宋体" w:hAnsi="宋体" w:cs="宋体" w:hint="eastAsia"/>
          <w:b/>
          <w:color w:val="auto"/>
          <w:sz w:val="24"/>
        </w:rPr>
        <w:t>投标人须知前附表</w:t>
      </w:r>
      <w:r>
        <w:rPr>
          <w:rFonts w:ascii="宋体" w:hAnsi="宋体" w:cs="宋体" w:hint="eastAsia"/>
          <w:color w:val="auto"/>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7D1F36F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11.2 特殊情况下，在原投标有效期期满之前，采购人可征得投标人同意延长投标有效期。</w:t>
      </w:r>
    </w:p>
    <w:p w14:paraId="0C1501C2">
      <w:pPr>
        <w:topLinePunct/>
        <w:autoSpaceDE w:val="0"/>
        <w:autoSpaceDN w:val="0"/>
        <w:adjustRightInd w:val="0"/>
        <w:snapToGrid w:val="0"/>
        <w:spacing w:after="0" w:line="360" w:lineRule="auto"/>
        <w:jc w:val="center"/>
        <w:rPr>
          <w:rFonts w:ascii="宋体" w:hAnsi="宋体" w:cs="宋体"/>
          <w:b/>
          <w:color w:val="auto"/>
          <w:sz w:val="24"/>
        </w:rPr>
      </w:pPr>
    </w:p>
    <w:p w14:paraId="4DB67C68">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四、投标文件递交</w:t>
      </w:r>
    </w:p>
    <w:p w14:paraId="597E03B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12</w:t>
      </w:r>
      <w:r>
        <w:rPr>
          <w:rFonts w:ascii="宋体" w:hAnsi="宋体" w:cs="宋体" w:hint="eastAsia"/>
          <w:color w:val="auto"/>
          <w:szCs w:val="21"/>
        </w:rPr>
        <w:t>．</w:t>
      </w:r>
      <w:r>
        <w:rPr>
          <w:rFonts w:ascii="宋体" w:hAnsi="宋体" w:cs="宋体" w:hint="eastAsia"/>
          <w:b/>
          <w:color w:val="auto"/>
          <w:sz w:val="24"/>
        </w:rPr>
        <w:t>投标文件递交</w:t>
      </w:r>
    </w:p>
    <w:p w14:paraId="14793E2D">
      <w:pPr>
        <w:topLinePunct/>
        <w:autoSpaceDE w:val="0"/>
        <w:autoSpaceDN w:val="0"/>
        <w:adjustRightInd w:val="0"/>
        <w:snapToGrid w:val="0"/>
        <w:spacing w:after="0" w:line="360" w:lineRule="auto"/>
        <w:ind w:firstLine="480" w:firstLineChars="200"/>
        <w:rPr>
          <w:rFonts w:ascii="宋体" w:eastAsia="宋体" w:hAnsi="宋体" w:cs="宋体" w:hint="eastAsia"/>
          <w:color w:val="auto"/>
          <w:sz w:val="24"/>
          <w:lang w:eastAsia="zh-CN"/>
        </w:rPr>
      </w:pPr>
      <w:r>
        <w:rPr>
          <w:rFonts w:ascii="宋体" w:hAnsi="宋体" w:cs="宋体" w:hint="eastAsia"/>
          <w:color w:val="auto"/>
          <w:sz w:val="24"/>
        </w:rPr>
        <w:t>12.1 投标人应当在</w:t>
      </w:r>
      <w:r>
        <w:rPr>
          <w:rFonts w:ascii="宋体" w:hAnsi="宋体" w:cs="宋体" w:hint="eastAsia"/>
          <w:b/>
          <w:color w:val="auto"/>
          <w:sz w:val="24"/>
        </w:rPr>
        <w:t>投标人须知前附表</w:t>
      </w:r>
      <w:r>
        <w:rPr>
          <w:rFonts w:ascii="宋体" w:hAnsi="宋体" w:cs="宋体" w:hint="eastAsia"/>
          <w:color w:val="auto"/>
          <w:sz w:val="24"/>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auto"/>
          <w:sz w:val="24"/>
          <w:lang w:eastAsia="zh-CN"/>
        </w:rPr>
        <w:t>投标人应充分考虑网络传输时间等因素，合理安排上传时间。</w:t>
      </w:r>
    </w:p>
    <w:p w14:paraId="2ED0A2F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12.2 提交投标文件截止时间后，评审管理系统不提供投标文件上传功能。投标人未完成投标文件上传的，投标将被拒绝。</w:t>
      </w:r>
    </w:p>
    <w:p w14:paraId="41A3633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　　</w:t>
      </w:r>
    </w:p>
    <w:p w14:paraId="314D093C">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13</w:t>
      </w:r>
      <w:r>
        <w:rPr>
          <w:rFonts w:ascii="宋体" w:hAnsi="宋体" w:cs="宋体" w:hint="eastAsia"/>
          <w:color w:val="auto"/>
          <w:szCs w:val="21"/>
        </w:rPr>
        <w:t>．</w:t>
      </w:r>
      <w:r>
        <w:rPr>
          <w:rFonts w:ascii="宋体" w:hAnsi="宋体" w:cs="宋体" w:hint="eastAsia"/>
          <w:b/>
          <w:color w:val="auto"/>
          <w:sz w:val="24"/>
        </w:rPr>
        <w:t>投标文件补充、修改或撤回</w:t>
      </w:r>
    </w:p>
    <w:p w14:paraId="166650F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13.1 投标人在投标截止时间前，可以登录评审管理系统对所提交的投标文件进行撤回、补充、修改、重新提交</w:t>
      </w:r>
      <w:r>
        <w:rPr>
          <w:rFonts w:ascii="宋体" w:hAnsi="宋体" w:hint="eastAsia"/>
          <w:color w:val="auto"/>
          <w:sz w:val="24"/>
        </w:rPr>
        <w:t>。</w:t>
      </w:r>
      <w:r>
        <w:rPr>
          <w:rFonts w:ascii="宋体" w:hAnsi="宋体" w:cs="宋体" w:hint="eastAsia"/>
          <w:color w:val="auto"/>
          <w:sz w:val="24"/>
        </w:rPr>
        <w:t>补充、修改的内容应当按照招标文件要求签署、盖章。</w:t>
      </w:r>
    </w:p>
    <w:p w14:paraId="69D733A5">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auto"/>
          <w:sz w:val="24"/>
        </w:rPr>
        <w:t>13.2 提交投标文件截止时间后，评审管理系统不</w:t>
      </w:r>
      <w:r>
        <w:rPr>
          <w:rFonts w:ascii="宋体" w:hAnsi="宋体" w:cs="宋体" w:hint="eastAsia"/>
          <w:color w:val="auto"/>
          <w:sz w:val="24"/>
          <w:lang w:eastAsia="zh-CN"/>
        </w:rPr>
        <w:t>支持</w:t>
      </w:r>
      <w:r>
        <w:rPr>
          <w:rFonts w:ascii="宋体" w:hAnsi="宋体" w:cs="宋体" w:hint="eastAsia"/>
          <w:color w:val="auto"/>
          <w:sz w:val="24"/>
        </w:rPr>
        <w:t>对已提交的投标文件作任何补充、修改或者撤回。</w:t>
      </w:r>
    </w:p>
    <w:p w14:paraId="32B7E92C">
      <w:pPr>
        <w:topLinePunct/>
        <w:autoSpaceDE w:val="0"/>
        <w:autoSpaceDN w:val="0"/>
        <w:adjustRightInd w:val="0"/>
        <w:snapToGrid w:val="0"/>
        <w:spacing w:after="0" w:line="360" w:lineRule="auto"/>
        <w:ind w:firstLine="480" w:firstLineChars="200"/>
        <w:rPr>
          <w:rFonts w:ascii="宋体" w:hAnsi="宋体" w:cs="宋体"/>
          <w:color w:val="auto"/>
          <w:sz w:val="24"/>
        </w:rPr>
      </w:pPr>
    </w:p>
    <w:p w14:paraId="7944095E">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五、开标与评标</w:t>
      </w:r>
    </w:p>
    <w:p w14:paraId="14A425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
          <w:color w:val="auto"/>
          <w:sz w:val="24"/>
        </w:rPr>
        <w:t>14</w:t>
      </w:r>
      <w:r>
        <w:rPr>
          <w:rFonts w:ascii="宋体" w:hAnsi="宋体" w:cs="宋体" w:hint="eastAsia"/>
          <w:color w:val="auto"/>
          <w:szCs w:val="21"/>
        </w:rPr>
        <w:t>．</w:t>
      </w:r>
      <w:r>
        <w:rPr>
          <w:rFonts w:ascii="宋体" w:hAnsi="宋体" w:cs="宋体" w:hint="eastAsia"/>
          <w:b/>
          <w:color w:val="auto"/>
          <w:sz w:val="24"/>
        </w:rPr>
        <w:t>开标</w:t>
      </w:r>
    </w:p>
    <w:p w14:paraId="33FF7D1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14.1 采购人将在</w:t>
      </w:r>
      <w:r>
        <w:rPr>
          <w:rFonts w:ascii="宋体" w:hAnsi="宋体" w:cs="宋体" w:hint="eastAsia"/>
          <w:b/>
          <w:color w:val="auto"/>
          <w:sz w:val="24"/>
        </w:rPr>
        <w:t>投标人须知前附表</w:t>
      </w:r>
      <w:r>
        <w:rPr>
          <w:rFonts w:ascii="宋体" w:hAnsi="宋体" w:cs="宋体" w:hint="eastAsia"/>
          <w:color w:val="auto"/>
          <w:sz w:val="24"/>
        </w:rPr>
        <w:t>规定的时间进行电子开标，采购人将对开标、评标现场活动进行全程录音录像，音像资料作为采购文件一并存档。开标由采购人主持，投标人通过登录评审管理系统进入开标大厅远程参加。</w:t>
      </w:r>
    </w:p>
    <w:p w14:paraId="4432BDA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 xml:space="preserve">14.2 </w:t>
      </w:r>
      <w:r>
        <w:rPr>
          <w:rFonts w:ascii="宋体" w:hAnsi="宋体" w:hint="eastAsia"/>
          <w:color w:val="auto"/>
          <w:sz w:val="24"/>
        </w:rPr>
        <w:t>提交投标文件截止时间后进入解密程序，由采购人对所有完成投递的电子投标文件进行解密。</w:t>
      </w:r>
      <w:r>
        <w:rPr>
          <w:rFonts w:ascii="宋体" w:hAnsi="宋体" w:cs="宋体" w:hint="eastAsia"/>
          <w:color w:val="auto"/>
          <w:sz w:val="24"/>
        </w:rPr>
        <w:t>投标人不足3家的，不进入解密程序。</w:t>
      </w:r>
    </w:p>
    <w:p w14:paraId="5359BB9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14.3 解密完成后，进行电子</w:t>
      </w:r>
      <w:r>
        <w:rPr>
          <w:rFonts w:ascii="宋体" w:hAnsi="宋体" w:cs="宋体" w:hint="eastAsia"/>
          <w:color w:val="auto"/>
          <w:sz w:val="24"/>
          <w:lang w:eastAsia="zh-CN"/>
        </w:rPr>
        <w:t>开</w:t>
      </w:r>
      <w:r>
        <w:rPr>
          <w:rFonts w:ascii="宋体" w:hAnsi="宋体" w:cs="宋体" w:hint="eastAsia"/>
          <w:color w:val="auto"/>
          <w:sz w:val="24"/>
        </w:rPr>
        <w:t>标。</w:t>
      </w:r>
      <w:r>
        <w:rPr>
          <w:rFonts w:ascii="宋体" w:hAnsi="宋体" w:cs="宋体" w:hint="eastAsia"/>
          <w:color w:val="auto"/>
          <w:sz w:val="24"/>
          <w:lang w:eastAsia="zh-CN"/>
        </w:rPr>
        <w:t>开标</w:t>
      </w:r>
      <w:r>
        <w:rPr>
          <w:rFonts w:ascii="宋体" w:hAnsi="宋体" w:cs="宋体" w:hint="eastAsia"/>
          <w:color w:val="auto"/>
          <w:sz w:val="24"/>
        </w:rPr>
        <w:t>结束后，采购人发起开标结果确认，</w:t>
      </w:r>
      <w:r>
        <w:rPr>
          <w:rFonts w:ascii="宋体" w:hAnsi="宋体" w:hint="eastAsia"/>
          <w:color w:val="auto"/>
          <w:sz w:val="24"/>
        </w:rPr>
        <w:t>投标人在开标大厅于规定时间内确认开标结果，未</w:t>
      </w:r>
      <w:r>
        <w:rPr>
          <w:rFonts w:ascii="宋体" w:hAnsi="宋体" w:hint="eastAsia"/>
          <w:color w:val="auto"/>
          <w:sz w:val="24"/>
          <w:lang w:eastAsia="zh-CN"/>
        </w:rPr>
        <w:t>按时</w:t>
      </w:r>
      <w:r>
        <w:rPr>
          <w:rFonts w:ascii="宋体" w:hAnsi="宋体" w:hint="eastAsia"/>
          <w:color w:val="auto"/>
          <w:sz w:val="24"/>
        </w:rPr>
        <w:t>确认的系统将自动确认。</w:t>
      </w:r>
    </w:p>
    <w:p w14:paraId="1079EAD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14.4 投标人未参加开标的，视同认可开标结果。</w:t>
      </w:r>
    </w:p>
    <w:p w14:paraId="3857CA0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ascii="宋体" w:hAnsi="宋体" w:cs="宋体" w:hint="eastAsia"/>
          <w:color w:val="auto"/>
          <w:sz w:val="24"/>
        </w:rPr>
        <w:t>14.5 投标人代表对开标过程和开标记录有疑义，以及认为采购人相关工作人员有需要回避情形的，应及时提出询问或者回避申请。采购人对投标人代表提出的询问或者回避申请应当及时处理。</w:t>
      </w:r>
    </w:p>
    <w:p w14:paraId="3CD1E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highlight w:val="none"/>
        </w:rPr>
        <w:t>14.6 未解密或解密失败的</w:t>
      </w:r>
      <w:r>
        <w:rPr>
          <w:rFonts w:ascii="宋体" w:hAnsi="宋体" w:cs="宋体" w:hint="eastAsia"/>
          <w:color w:val="auto"/>
          <w:sz w:val="24"/>
          <w:highlight w:val="none"/>
          <w:lang w:eastAsia="zh-CN"/>
        </w:rPr>
        <w:t>投标文件，</w:t>
      </w:r>
      <w:r>
        <w:rPr>
          <w:rFonts w:ascii="宋体" w:hAnsi="宋体" w:cs="宋体" w:hint="eastAsia"/>
          <w:color w:val="auto"/>
          <w:sz w:val="24"/>
          <w:highlight w:val="none"/>
        </w:rPr>
        <w:t>按无效投标处理。若解密成功的投标人不足3家，</w:t>
      </w:r>
      <w:r>
        <w:rPr>
          <w:rFonts w:ascii="宋体" w:hAnsi="宋体" w:cs="宋体" w:hint="eastAsia"/>
          <w:color w:val="auto"/>
          <w:sz w:val="24"/>
        </w:rPr>
        <w:t>不进入后续程序。</w:t>
      </w:r>
    </w:p>
    <w:p w14:paraId="6F060C2F">
      <w:pPr>
        <w:topLinePunct/>
        <w:autoSpaceDE w:val="0"/>
        <w:autoSpaceDN w:val="0"/>
        <w:adjustRightInd w:val="0"/>
        <w:snapToGrid w:val="0"/>
        <w:spacing w:after="0" w:line="360" w:lineRule="auto"/>
        <w:ind w:firstLine="480" w:firstLineChars="200"/>
        <w:rPr>
          <w:rFonts w:ascii="宋体" w:hAnsi="宋体" w:cs="宋体"/>
          <w:color w:val="auto"/>
          <w:sz w:val="24"/>
        </w:rPr>
      </w:pPr>
    </w:p>
    <w:p w14:paraId="3D7C8AC9">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15</w:t>
      </w:r>
      <w:r>
        <w:rPr>
          <w:rFonts w:ascii="宋体" w:hAnsi="宋体" w:cs="宋体" w:hint="eastAsia"/>
          <w:color w:val="auto"/>
          <w:szCs w:val="21"/>
        </w:rPr>
        <w:t>．</w:t>
      </w:r>
      <w:r>
        <w:rPr>
          <w:rFonts w:ascii="宋体" w:hAnsi="宋体" w:cs="宋体" w:hint="eastAsia"/>
          <w:b/>
          <w:color w:val="auto"/>
          <w:sz w:val="24"/>
        </w:rPr>
        <w:t>投标资格审查</w:t>
      </w:r>
    </w:p>
    <w:p w14:paraId="33B738E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15.1 采购人依法对投标人的资格进行审查，以确定投标人是否具备投标资格。</w:t>
      </w:r>
    </w:p>
    <w:p w14:paraId="37BBA2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15.1.1 审查投标人按照</w:t>
      </w:r>
      <w:r>
        <w:rPr>
          <w:rFonts w:ascii="宋体" w:hAnsi="宋体" w:cs="宋体" w:hint="eastAsia"/>
          <w:color w:val="auto"/>
          <w:sz w:val="24"/>
          <w:lang w:val="en-US" w:eastAsia="zh-CN"/>
        </w:rPr>
        <w:t>8.2.1</w:t>
      </w:r>
      <w:r>
        <w:rPr>
          <w:rFonts w:ascii="宋体" w:hAnsi="宋体" w:cs="宋体" w:hint="eastAsia"/>
          <w:color w:val="auto"/>
          <w:sz w:val="24"/>
        </w:rPr>
        <w:t>提交的</w:t>
      </w:r>
      <w:r>
        <w:rPr>
          <w:rFonts w:ascii="宋体" w:hAnsi="宋体" w:cs="宋体" w:hint="eastAsia"/>
          <w:b/>
          <w:color w:val="auto"/>
          <w:sz w:val="24"/>
        </w:rPr>
        <w:t>“资格证明文件”</w:t>
      </w:r>
      <w:r>
        <w:rPr>
          <w:rFonts w:ascii="宋体" w:hAnsi="宋体" w:cs="宋体" w:hint="eastAsia"/>
          <w:color w:val="auto"/>
          <w:sz w:val="24"/>
        </w:rPr>
        <w:t>。</w:t>
      </w:r>
    </w:p>
    <w:p w14:paraId="53D9E7C8">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ascii="宋体" w:hAnsi="宋体" w:cs="宋体" w:hint="eastAsia"/>
          <w:color w:val="auto"/>
          <w:sz w:val="24"/>
        </w:rPr>
        <w:t>15.1.2 信用记录审查。</w:t>
      </w:r>
      <w:r>
        <w:rPr>
          <w:rFonts w:ascii="宋体" w:hAnsi="宋体" w:cs="宋体" w:hint="eastAsia"/>
          <w:b/>
          <w:bCs/>
          <w:color w:val="auto"/>
          <w:sz w:val="24"/>
        </w:rPr>
        <w:t>见投标人须知前附表。</w:t>
      </w:r>
    </w:p>
    <w:p w14:paraId="3E6F8A3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15.2 未通过资格审查的投标人，其投标无效。</w:t>
      </w:r>
    </w:p>
    <w:p w14:paraId="2EA190E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15.3 合格投标人不足3家的，不得评标。</w:t>
      </w:r>
    </w:p>
    <w:p w14:paraId="2E1F612E">
      <w:pPr>
        <w:topLinePunct/>
        <w:autoSpaceDE w:val="0"/>
        <w:autoSpaceDN w:val="0"/>
        <w:adjustRightInd w:val="0"/>
        <w:snapToGrid w:val="0"/>
        <w:spacing w:after="0" w:line="360" w:lineRule="auto"/>
        <w:ind w:firstLine="480"/>
        <w:rPr>
          <w:rFonts w:ascii="宋体" w:hAnsi="宋体" w:cs="宋体"/>
          <w:b/>
          <w:color w:val="auto"/>
          <w:sz w:val="24"/>
        </w:rPr>
      </w:pPr>
    </w:p>
    <w:p w14:paraId="4FECF1AA">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16</w:t>
      </w:r>
      <w:r>
        <w:rPr>
          <w:rFonts w:ascii="宋体" w:hAnsi="宋体" w:cs="宋体" w:hint="eastAsia"/>
          <w:color w:val="auto"/>
          <w:szCs w:val="21"/>
        </w:rPr>
        <w:t>．</w:t>
      </w:r>
      <w:r>
        <w:rPr>
          <w:rFonts w:ascii="宋体" w:hAnsi="宋体" w:cs="宋体" w:hint="eastAsia"/>
          <w:b/>
          <w:color w:val="auto"/>
          <w:sz w:val="24"/>
        </w:rPr>
        <w:t>评标委员会的组成</w:t>
      </w:r>
    </w:p>
    <w:p w14:paraId="345E1C2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16.1 根据有关法律法规规定组建评标委员会，评标委员会由采购人代表和评审专家组成。</w:t>
      </w:r>
    </w:p>
    <w:p w14:paraId="3B596ED2">
      <w:pPr>
        <w:topLinePunct/>
        <w:autoSpaceDE w:val="0"/>
        <w:autoSpaceDN w:val="0"/>
        <w:adjustRightInd w:val="0"/>
        <w:snapToGrid w:val="0"/>
        <w:spacing w:after="0" w:line="360" w:lineRule="auto"/>
        <w:ind w:firstLine="480"/>
        <w:rPr>
          <w:rFonts w:ascii="宋体" w:hAnsi="宋体" w:cs="宋体"/>
          <w:b/>
          <w:color w:val="auto"/>
          <w:sz w:val="24"/>
        </w:rPr>
      </w:pPr>
    </w:p>
    <w:p w14:paraId="5DAD43A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17</w:t>
      </w:r>
      <w:r>
        <w:rPr>
          <w:rFonts w:ascii="宋体" w:hAnsi="宋体" w:cs="宋体" w:hint="eastAsia"/>
          <w:color w:val="auto"/>
          <w:szCs w:val="21"/>
        </w:rPr>
        <w:t>．</w:t>
      </w:r>
      <w:r>
        <w:rPr>
          <w:rFonts w:ascii="宋体" w:hAnsi="宋体" w:cs="宋体" w:hint="eastAsia"/>
          <w:b/>
          <w:color w:val="auto"/>
          <w:sz w:val="24"/>
        </w:rPr>
        <w:t>投标符合性审查</w:t>
      </w:r>
    </w:p>
    <w:p w14:paraId="5F68840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17.1 评标委员会对符合资格的投标人的投标文件进行符合性审查，以确定其是否符合招标文件的商务、技术等实质性要求。</w:t>
      </w:r>
    </w:p>
    <w:p w14:paraId="6FEE220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17.2 未通过符合性审查的投标人，其投标无效。</w:t>
      </w:r>
    </w:p>
    <w:p w14:paraId="617BC35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17.3 通过符合性审查的投标人不足3家的，应予以废标。</w:t>
      </w:r>
    </w:p>
    <w:p w14:paraId="322F5B72">
      <w:pPr>
        <w:topLinePunct/>
        <w:autoSpaceDE w:val="0"/>
        <w:autoSpaceDN w:val="0"/>
        <w:adjustRightInd w:val="0"/>
        <w:snapToGrid w:val="0"/>
        <w:spacing w:after="0" w:line="360" w:lineRule="auto"/>
        <w:rPr>
          <w:rFonts w:ascii="宋体" w:hAnsi="宋体" w:cs="宋体"/>
          <w:b/>
          <w:color w:val="auto"/>
          <w:sz w:val="24"/>
        </w:rPr>
      </w:pPr>
    </w:p>
    <w:p w14:paraId="698E1CD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18</w:t>
      </w:r>
      <w:r>
        <w:rPr>
          <w:rFonts w:ascii="宋体" w:hAnsi="宋体" w:cs="宋体" w:hint="eastAsia"/>
          <w:color w:val="auto"/>
          <w:szCs w:val="21"/>
        </w:rPr>
        <w:t>．</w:t>
      </w:r>
      <w:r>
        <w:rPr>
          <w:rFonts w:ascii="宋体" w:hAnsi="宋体" w:cs="宋体" w:hint="eastAsia"/>
          <w:b/>
          <w:color w:val="auto"/>
          <w:sz w:val="24"/>
        </w:rPr>
        <w:t>投标文件的澄清</w:t>
      </w:r>
    </w:p>
    <w:p w14:paraId="28FBD89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18.1 对于投标文件中含义不明确、同类问题表述不一致或者有明显文字和计算错误的内容，评标委员会可以书面形式要求投标人作出必要的澄清、说明或者补正。</w:t>
      </w:r>
    </w:p>
    <w:p w14:paraId="1D67122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18.2 投标人的澄清、说明或者补正应当采用书面形式，通过评审管理系统上传加盖电子公章的扫描件。投标人的澄清、说明或者补正不得超出投标文件的范围或者改变投标文件的实质性内容。</w:t>
      </w:r>
    </w:p>
    <w:p w14:paraId="416EE4E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18.3 除评标委员会要求投标人做出的澄清、说明或者补正以外，评标委员会不接受投标人的任何询问、说明、更改及文件。</w:t>
      </w:r>
    </w:p>
    <w:p w14:paraId="5BDE1BE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18.4 投标人的澄清必须在规定的时间内提交。</w:t>
      </w:r>
    </w:p>
    <w:p w14:paraId="2DCCBDD3">
      <w:pPr>
        <w:topLinePunct/>
        <w:autoSpaceDE w:val="0"/>
        <w:autoSpaceDN w:val="0"/>
        <w:adjustRightInd w:val="0"/>
        <w:snapToGrid w:val="0"/>
        <w:spacing w:after="0" w:line="360" w:lineRule="auto"/>
        <w:ind w:firstLine="480" w:firstLineChars="200"/>
        <w:rPr>
          <w:rFonts w:ascii="宋体" w:hAnsi="宋体" w:cs="宋体"/>
          <w:color w:val="auto"/>
          <w:sz w:val="24"/>
        </w:rPr>
      </w:pPr>
    </w:p>
    <w:p w14:paraId="233168B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19</w:t>
      </w:r>
      <w:r>
        <w:rPr>
          <w:rFonts w:ascii="宋体" w:hAnsi="宋体" w:cs="宋体" w:hint="eastAsia"/>
          <w:color w:val="auto"/>
          <w:szCs w:val="21"/>
        </w:rPr>
        <w:t>．</w:t>
      </w:r>
      <w:r>
        <w:rPr>
          <w:rFonts w:ascii="宋体" w:hAnsi="宋体" w:cs="宋体" w:hint="eastAsia"/>
          <w:b/>
          <w:color w:val="auto"/>
          <w:sz w:val="24"/>
        </w:rPr>
        <w:t>核价原则</w:t>
      </w:r>
    </w:p>
    <w:p w14:paraId="79D4878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Cs/>
          <w:color w:val="auto"/>
          <w:sz w:val="24"/>
        </w:rPr>
        <w:t xml:space="preserve">19.1 </w:t>
      </w:r>
      <w:r>
        <w:rPr>
          <w:rFonts w:ascii="宋体" w:hAnsi="宋体" w:cs="宋体" w:hint="eastAsia"/>
          <w:color w:val="auto"/>
          <w:sz w:val="24"/>
        </w:rPr>
        <w:t>投标文件报价出现前后不一致的，除招标文件另有规定外，按照下列规定修正：</w:t>
      </w:r>
    </w:p>
    <w:p w14:paraId="53E36A39">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（1）投标文件中开标一览表（总报价表）内容与投标文件中相应内容不一致的，以开标一览表（总报价表）为准；</w:t>
      </w:r>
    </w:p>
    <w:p w14:paraId="75FE6990">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（2）大写金额和小写金额不一致的，以大写金额为准；</w:t>
      </w:r>
    </w:p>
    <w:p w14:paraId="5515B6AE">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（3）单价金额小数点或者百分比有明显错位的，以开标一览表的总价为准，并修改单价；</w:t>
      </w:r>
    </w:p>
    <w:p w14:paraId="26AB4AC3">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（4）总价金额与按单价汇总金额不一致的，以单价金额计算结果为准。</w:t>
      </w:r>
    </w:p>
    <w:p w14:paraId="4E9ACE1F">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（5）同时出现两种以上不一致的，按照前款规定的顺序修正。修正后的报价按照</w:t>
      </w:r>
      <w:r>
        <w:rPr>
          <w:rFonts w:ascii="宋体" w:hAnsi="宋体" w:cs="宋体" w:hint="eastAsia"/>
          <w:color w:val="auto"/>
          <w:sz w:val="24"/>
          <w:lang w:val="en-US" w:eastAsia="zh-CN"/>
        </w:rPr>
        <w:t>18.2</w:t>
      </w:r>
      <w:r>
        <w:rPr>
          <w:rFonts w:ascii="宋体" w:hAnsi="宋体" w:cs="宋体" w:hint="eastAsia"/>
          <w:color w:val="auto"/>
          <w:sz w:val="24"/>
        </w:rPr>
        <w:t>条的规定经投标人确认后产生约束力，投标人不确认的，其投标无效。</w:t>
      </w:r>
    </w:p>
    <w:p w14:paraId="31A602A8">
      <w:pPr>
        <w:topLinePunct/>
        <w:autoSpaceDE w:val="0"/>
        <w:autoSpaceDN w:val="0"/>
        <w:adjustRightInd w:val="0"/>
        <w:snapToGrid w:val="0"/>
        <w:spacing w:after="0" w:line="360" w:lineRule="auto"/>
        <w:ind w:left="420"/>
        <w:rPr>
          <w:rFonts w:ascii="宋体" w:hAnsi="宋体" w:cs="宋体"/>
          <w:color w:val="auto"/>
          <w:sz w:val="24"/>
        </w:rPr>
      </w:pPr>
    </w:p>
    <w:p w14:paraId="562D2CE4">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20</w:t>
      </w:r>
      <w:r>
        <w:rPr>
          <w:rFonts w:ascii="宋体" w:hAnsi="宋体" w:cs="宋体" w:hint="eastAsia"/>
          <w:color w:val="auto"/>
          <w:szCs w:val="21"/>
        </w:rPr>
        <w:t>．</w:t>
      </w:r>
      <w:r>
        <w:rPr>
          <w:rFonts w:ascii="宋体" w:hAnsi="宋体" w:cs="宋体" w:hint="eastAsia"/>
          <w:b/>
          <w:color w:val="auto"/>
          <w:sz w:val="24"/>
        </w:rPr>
        <w:t>投标无效</w:t>
      </w:r>
    </w:p>
    <w:p w14:paraId="704FFB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20.1 投标人及投标文件有下列情况之一的，应当在资格审查时按照投标无效处理：</w:t>
      </w:r>
    </w:p>
    <w:p w14:paraId="1059E7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不具备招标文件中规定的资格要求的；</w:t>
      </w:r>
    </w:p>
    <w:p w14:paraId="15DE5C4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投标文件组成中“资格证明文件”未提供或无效的；</w:t>
      </w:r>
    </w:p>
    <w:p w14:paraId="2369E6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 未通过信用记录审查或未提供相关证明材料的。</w:t>
      </w:r>
    </w:p>
    <w:p w14:paraId="0B0D9D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20.2 投标人及投标文件有下列情况之一的，应当在符合性审查时按照投标无效处理：</w:t>
      </w:r>
    </w:p>
    <w:p w14:paraId="5E8864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投标文件组成中除“资格证明文件”外，★条款相关文件及资料未提供或提供无效的;</w:t>
      </w:r>
    </w:p>
    <w:p w14:paraId="47032FD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投标文件未按招标文件要求签署、盖章的；</w:t>
      </w:r>
    </w:p>
    <w:p w14:paraId="677C76F3">
      <w:pPr>
        <w:topLinePunct/>
        <w:autoSpaceDE w:val="0"/>
        <w:autoSpaceDN w:val="0"/>
        <w:adjustRightInd w:val="0"/>
        <w:snapToGrid w:val="0"/>
        <w:spacing w:after="0" w:line="360" w:lineRule="auto"/>
        <w:ind w:firstLine="480" w:firstLineChars="200"/>
        <w:rPr>
          <w:rFonts w:ascii="宋体" w:eastAsia="宋体" w:hAnsi="宋体" w:cs="宋体" w:hint="default"/>
          <w:color w:val="auto"/>
          <w:sz w:val="24"/>
          <w:highlight w:val="none"/>
          <w:lang w:val="en-US" w:eastAsia="zh-CN"/>
        </w:rPr>
      </w:pPr>
      <w:r>
        <w:rPr>
          <w:rFonts w:ascii="宋体" w:hAnsi="宋体" w:cs="宋体" w:hint="eastAsia"/>
          <w:color w:val="auto"/>
          <w:sz w:val="24"/>
          <w:highlight w:val="none"/>
        </w:rPr>
        <w:t>（3） 投标报价超过招标文件中规定的预算金额或者最高限价</w:t>
      </w:r>
      <w:r>
        <w:rPr>
          <w:rFonts w:ascii="宋体" w:hAnsi="宋体" w:cs="宋体" w:hint="eastAsia"/>
          <w:color w:val="auto"/>
          <w:sz w:val="24"/>
          <w:highlight w:val="none"/>
          <w:lang w:eastAsia="zh-CN"/>
        </w:rPr>
        <w:t>（分项预算最高限价，如有）</w:t>
      </w:r>
      <w:r>
        <w:rPr>
          <w:rFonts w:ascii="宋体" w:hAnsi="宋体" w:cs="宋体" w:hint="eastAsia"/>
          <w:color w:val="auto"/>
          <w:sz w:val="24"/>
          <w:highlight w:val="none"/>
        </w:rPr>
        <w:t>的</w:t>
      </w:r>
      <w:r>
        <w:rPr>
          <w:rFonts w:ascii="宋体" w:hAnsi="宋体" w:cs="宋体" w:hint="eastAsia"/>
          <w:b w:val="0"/>
          <w:bCs w:val="0"/>
          <w:color w:val="auto"/>
          <w:sz w:val="24"/>
          <w:highlight w:val="none"/>
          <w:lang w:val="en-US" w:eastAsia="zh-CN"/>
        </w:rPr>
        <w:t>；</w:t>
      </w:r>
    </w:p>
    <w:p w14:paraId="77517B1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 投标有效期不足的；</w:t>
      </w:r>
    </w:p>
    <w:p w14:paraId="78AD477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（5） 投标文件含有采购人不能接受的附加条件的；</w:t>
      </w:r>
    </w:p>
    <w:p w14:paraId="4DC4ECF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20.3 除20.1及20.2情形外，投标人及投标文件有下列情况之一的，应当按照投标无效处理：</w:t>
      </w:r>
    </w:p>
    <w:p w14:paraId="243D778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提供虚假投标文件材料的；</w:t>
      </w:r>
    </w:p>
    <w:p w14:paraId="2D36EE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投标人串通投标的；</w:t>
      </w:r>
    </w:p>
    <w:p w14:paraId="519AEE6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 投标报价明显低于其他通过符合性审查投标人的报价，且不能证明其报价合理性的。</w:t>
      </w:r>
    </w:p>
    <w:p w14:paraId="3061AC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 法律、法规和招标文件规定的其他无效情形。</w:t>
      </w:r>
    </w:p>
    <w:p w14:paraId="7180B695">
      <w:pPr>
        <w:topLinePunct/>
        <w:autoSpaceDE w:val="0"/>
        <w:autoSpaceDN w:val="0"/>
        <w:adjustRightInd w:val="0"/>
        <w:snapToGrid w:val="0"/>
        <w:spacing w:after="0" w:line="360" w:lineRule="auto"/>
        <w:ind w:firstLine="720" w:firstLineChars="300"/>
        <w:rPr>
          <w:rFonts w:ascii="宋体" w:hAnsi="宋体" w:cs="宋体"/>
          <w:color w:val="auto"/>
          <w:sz w:val="24"/>
        </w:rPr>
      </w:pPr>
    </w:p>
    <w:p w14:paraId="161E2D5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21</w:t>
      </w:r>
      <w:r>
        <w:rPr>
          <w:rFonts w:ascii="宋体" w:hAnsi="宋体" w:cs="宋体" w:hint="eastAsia"/>
          <w:color w:val="auto"/>
          <w:szCs w:val="21"/>
        </w:rPr>
        <w:t>．</w:t>
      </w:r>
      <w:r>
        <w:rPr>
          <w:rFonts w:ascii="宋体" w:hAnsi="宋体" w:cs="宋体" w:hint="eastAsia"/>
          <w:b/>
          <w:color w:val="auto"/>
          <w:sz w:val="24"/>
        </w:rPr>
        <w:t>比较与评价</w:t>
      </w:r>
    </w:p>
    <w:p w14:paraId="65658A63">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rPr>
        <w:t>21.1 评标委员会按照招标文件中规定的评标方法和标准，对符合性审查合格的投标文件进行商务和技术评估，综合比较与评价。</w:t>
      </w:r>
    </w:p>
    <w:p w14:paraId="6B2D55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21.2 价格分应当采用低价优先法计算。</w:t>
      </w:r>
      <w:r>
        <w:rPr>
          <w:rFonts w:ascii="宋体" w:eastAsia="宋体" w:hAnsi="宋体" w:cs="宋体" w:hint="eastAsia"/>
          <w:kern w:val="2"/>
          <w:sz w:val="24"/>
          <w:szCs w:val="24"/>
          <w:lang w:val="en-US" w:eastAsia="zh-CN" w:bidi="ar"/>
        </w:rPr>
        <w:t>如果小型、微型企业和监狱企业、残疾人福利性单位的投标报价按照</w:t>
      </w:r>
      <w:r>
        <w:rPr>
          <w:rFonts w:ascii="宋体" w:eastAsia="宋体" w:hAnsi="宋体" w:cs="宋体" w:hint="eastAsia"/>
          <w:b/>
          <w:kern w:val="2"/>
          <w:sz w:val="24"/>
          <w:szCs w:val="24"/>
          <w:lang w:val="en-US" w:eastAsia="zh-CN" w:bidi="ar"/>
        </w:rPr>
        <w:t>投标人须知前附表</w:t>
      </w:r>
      <w:r>
        <w:rPr>
          <w:rFonts w:ascii="宋体" w:eastAsia="宋体" w:hAnsi="宋体" w:cs="宋体" w:hint="eastAsia"/>
          <w:kern w:val="2"/>
          <w:sz w:val="24"/>
          <w:szCs w:val="24"/>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2E1ABFE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21.3 评标委员会各成员独立对每个投标人的投标文件进行评价，并汇总得出每个投标人的评审得分。</w:t>
      </w:r>
    </w:p>
    <w:p w14:paraId="5074036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7F4CA171">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color w:val="auto"/>
          <w:sz w:val="24"/>
        </w:rPr>
        <w:t>21.5 评标方法及标准</w:t>
      </w:r>
      <w:r>
        <w:rPr>
          <w:rFonts w:ascii="宋体" w:hAnsi="宋体" w:cs="宋体" w:hint="eastAsia"/>
          <w:b/>
          <w:color w:val="auto"/>
          <w:sz w:val="24"/>
        </w:rPr>
        <w:t>详见招标文件商务部分第三章。</w:t>
      </w:r>
    </w:p>
    <w:p w14:paraId="36FF0D3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7A01D9E0">
      <w:pPr>
        <w:topLinePunct/>
        <w:autoSpaceDE w:val="0"/>
        <w:autoSpaceDN w:val="0"/>
        <w:adjustRightInd w:val="0"/>
        <w:snapToGrid w:val="0"/>
        <w:spacing w:after="0" w:line="360" w:lineRule="auto"/>
        <w:ind w:firstLine="480" w:firstLineChars="200"/>
        <w:rPr>
          <w:rFonts w:ascii="宋体" w:hAnsi="宋体" w:cs="宋体"/>
          <w:color w:val="auto"/>
          <w:sz w:val="24"/>
        </w:rPr>
      </w:pPr>
    </w:p>
    <w:p w14:paraId="535C13AE">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22</w:t>
      </w:r>
      <w:r>
        <w:rPr>
          <w:rFonts w:ascii="宋体" w:hAnsi="宋体" w:cs="宋体" w:hint="eastAsia"/>
          <w:color w:val="auto"/>
          <w:szCs w:val="21"/>
        </w:rPr>
        <w:t>．</w:t>
      </w:r>
      <w:r>
        <w:rPr>
          <w:rFonts w:ascii="宋体" w:hAnsi="宋体" w:cs="宋体" w:hint="eastAsia"/>
          <w:b/>
          <w:color w:val="auto"/>
          <w:sz w:val="24"/>
        </w:rPr>
        <w:t>废标</w:t>
      </w:r>
    </w:p>
    <w:p w14:paraId="3B72E88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22.1 在招标采购中，出现下列情形之一的，应予废标：</w:t>
      </w:r>
    </w:p>
    <w:p w14:paraId="0ABC1FA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（1）符合专业条件的供应商或者对招标文件作实质响应的供应商不足三家的；</w:t>
      </w:r>
    </w:p>
    <w:p w14:paraId="416F53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（2）出现影响采购公正的违法、违规行为的；</w:t>
      </w:r>
    </w:p>
    <w:p w14:paraId="22F2C55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（3）投标人的报价均超过了采购预算，采购人不能支付的；</w:t>
      </w:r>
    </w:p>
    <w:p w14:paraId="3ACC4B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（4）因重大变故，采购任务取消的。</w:t>
      </w:r>
    </w:p>
    <w:p w14:paraId="692AF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22.2 废标后，采购人将废标理由通知所有投标人。</w:t>
      </w:r>
    </w:p>
    <w:p w14:paraId="6C618F6F">
      <w:pPr>
        <w:topLinePunct/>
        <w:autoSpaceDE w:val="0"/>
        <w:autoSpaceDN w:val="0"/>
        <w:adjustRightInd w:val="0"/>
        <w:snapToGrid w:val="0"/>
        <w:spacing w:after="0" w:line="360" w:lineRule="auto"/>
        <w:ind w:firstLine="480" w:firstLineChars="200"/>
        <w:rPr>
          <w:rFonts w:ascii="宋体" w:hAnsi="宋体" w:cs="宋体"/>
          <w:color w:val="auto"/>
          <w:sz w:val="24"/>
        </w:rPr>
      </w:pPr>
    </w:p>
    <w:p w14:paraId="3E65B603">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六、中标和合同</w:t>
      </w:r>
    </w:p>
    <w:p w14:paraId="2DC5F29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23</w:t>
      </w:r>
      <w:r>
        <w:rPr>
          <w:rFonts w:ascii="宋体" w:hAnsi="宋体" w:cs="宋体" w:hint="eastAsia"/>
          <w:color w:val="auto"/>
          <w:szCs w:val="21"/>
        </w:rPr>
        <w:t>．</w:t>
      </w:r>
      <w:r>
        <w:rPr>
          <w:rFonts w:ascii="宋体" w:hAnsi="宋体" w:cs="宋体" w:hint="eastAsia"/>
          <w:b/>
          <w:color w:val="auto"/>
          <w:sz w:val="24"/>
        </w:rPr>
        <w:t>中标</w:t>
      </w:r>
    </w:p>
    <w:p w14:paraId="07CE4C4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23.1 采购人在评标结束后5个工作日内，按评标报告推荐的中标候选人顺序确定中标人。</w:t>
      </w:r>
    </w:p>
    <w:p w14:paraId="0AF7CC4A">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rPr>
        <w:t>23.2 采购人自中标人确定之日起2个工作日内，在</w:t>
      </w:r>
      <w:r>
        <w:rPr>
          <w:rFonts w:ascii="宋体" w:hAnsi="宋体" w:cs="宋体" w:hint="eastAsia"/>
          <w:b/>
          <w:color w:val="auto"/>
          <w:sz w:val="24"/>
        </w:rPr>
        <w:t>投标人须知前附表</w:t>
      </w:r>
      <w:r>
        <w:rPr>
          <w:rFonts w:ascii="宋体" w:hAnsi="宋体" w:cs="宋体" w:hint="eastAsia"/>
          <w:color w:val="auto"/>
          <w:sz w:val="24"/>
        </w:rPr>
        <w:t>规定的媒体上公告中标结果，招标文件应随中标结果同时公告（中标、成交结果公告前采购文件已公告的，不再重复公告）。中标公告期限为1个工作日。</w:t>
      </w:r>
    </w:p>
    <w:p w14:paraId="0ABF050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23.3 在公告中标结果的同时，采购人通过评审管理系统，发出中标通知书；对未通过资格审查的投标人，告知其未通过的原因；采用综合评分法评审的，同时告知未中标人本人的评审得分与排序。</w:t>
      </w:r>
    </w:p>
    <w:p w14:paraId="60AEFAB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23.4 中标通知书发出后，采购人不得违法改变中标结果，中标人无正当理由不得放弃中标。</w:t>
      </w:r>
    </w:p>
    <w:p w14:paraId="4637EA0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23.5 中标通知书对采购人和中标人具有同等法律效力。</w:t>
      </w:r>
    </w:p>
    <w:p w14:paraId="6A7AFF60">
      <w:pPr>
        <w:topLinePunct/>
        <w:autoSpaceDE w:val="0"/>
        <w:autoSpaceDN w:val="0"/>
        <w:adjustRightInd w:val="0"/>
        <w:snapToGrid w:val="0"/>
        <w:spacing w:after="0" w:line="360" w:lineRule="auto"/>
        <w:ind w:left="420"/>
        <w:rPr>
          <w:rFonts w:ascii="宋体" w:hAnsi="宋体" w:cs="宋体"/>
          <w:color w:val="auto"/>
          <w:sz w:val="24"/>
        </w:rPr>
      </w:pPr>
    </w:p>
    <w:p w14:paraId="1B832F2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24</w:t>
      </w:r>
      <w:r>
        <w:rPr>
          <w:rFonts w:ascii="宋体" w:hAnsi="宋体" w:cs="宋体" w:hint="eastAsia"/>
          <w:color w:val="auto"/>
          <w:szCs w:val="21"/>
        </w:rPr>
        <w:t>．</w:t>
      </w:r>
      <w:r>
        <w:rPr>
          <w:rFonts w:ascii="宋体" w:hAnsi="宋体" w:cs="宋体" w:hint="eastAsia"/>
          <w:b/>
          <w:color w:val="auto"/>
          <w:sz w:val="24"/>
        </w:rPr>
        <w:t>签订合同</w:t>
      </w:r>
    </w:p>
    <w:p w14:paraId="5A4DD38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24.1 采购人应当自中标通知书发出之日起30日内，按照招标文件和中标人投标文件的规定，</w:t>
      </w:r>
      <w:r>
        <w:rPr>
          <w:rFonts w:ascii="宋体" w:hAnsi="宋体" w:cs="宋体" w:hint="eastAsia"/>
          <w:color w:val="auto"/>
          <w:sz w:val="24"/>
          <w:lang w:eastAsia="zh-CN"/>
        </w:rPr>
        <w:t>通过国家税务总局政府采购评审管理系统</w:t>
      </w:r>
      <w:r>
        <w:rPr>
          <w:rFonts w:ascii="宋体" w:hAnsi="宋体" w:cs="宋体" w:hint="eastAsia"/>
          <w:color w:val="auto"/>
          <w:sz w:val="24"/>
        </w:rPr>
        <w:t>与中标人签订合同。</w:t>
      </w:r>
    </w:p>
    <w:p w14:paraId="1B97983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24.2 所签订的合同不得对招标文件确定的事项和中标人投标文件作实质性修改。</w:t>
      </w:r>
    </w:p>
    <w:p w14:paraId="5DEE7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24.3 采购人不得向中标人提出任何不合理的要求作为签订合同的条件。</w:t>
      </w:r>
    </w:p>
    <w:p w14:paraId="7790FDF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24.4 中标人拒绝与采购人签订合同的，采购人可以按照评审报告推荐的中标候选人名单排序，确定下一候选人为中标人，也可以重新开展政府采购活动。</w:t>
      </w:r>
    </w:p>
    <w:p w14:paraId="56CDB8C9">
      <w:pPr>
        <w:topLinePunct/>
        <w:autoSpaceDE w:val="0"/>
        <w:autoSpaceDN w:val="0"/>
        <w:adjustRightInd w:val="0"/>
        <w:snapToGrid w:val="0"/>
        <w:spacing w:after="0" w:line="360" w:lineRule="auto"/>
        <w:rPr>
          <w:rFonts w:ascii="宋体" w:hAnsi="宋体" w:cs="宋体"/>
          <w:b/>
          <w:color w:val="auto"/>
          <w:sz w:val="24"/>
        </w:rPr>
      </w:pPr>
    </w:p>
    <w:p w14:paraId="6BD1CAB7">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25</w:t>
      </w:r>
      <w:r>
        <w:rPr>
          <w:rFonts w:ascii="宋体" w:hAnsi="宋体" w:cs="宋体" w:hint="eastAsia"/>
          <w:color w:val="auto"/>
          <w:szCs w:val="21"/>
        </w:rPr>
        <w:t>．</w:t>
      </w:r>
      <w:r>
        <w:rPr>
          <w:rFonts w:ascii="宋体" w:hAnsi="宋体" w:cs="宋体" w:hint="eastAsia"/>
          <w:b/>
          <w:color w:val="auto"/>
          <w:sz w:val="24"/>
        </w:rPr>
        <w:t>履约保证金</w:t>
      </w:r>
    </w:p>
    <w:p w14:paraId="0DB4B111">
      <w:pPr>
        <w:topLinePunct/>
        <w:autoSpaceDE w:val="0"/>
        <w:autoSpaceDN w:val="0"/>
        <w:adjustRightInd w:val="0"/>
        <w:snapToGrid w:val="0"/>
        <w:spacing w:after="0" w:line="360" w:lineRule="auto"/>
        <w:ind w:firstLine="480" w:firstLineChars="200"/>
        <w:rPr>
          <w:rFonts w:ascii="宋体"/>
          <w:color w:val="auto"/>
          <w:sz w:val="24"/>
        </w:rPr>
      </w:pPr>
      <w:r>
        <w:rPr>
          <w:rFonts w:ascii="宋体" w:hAnsi="宋体" w:cs="宋体" w:hint="eastAsia"/>
          <w:color w:val="auto"/>
          <w:sz w:val="24"/>
        </w:rPr>
        <w:t xml:space="preserve">25.1 </w:t>
      </w:r>
      <w:r>
        <w:rPr>
          <w:rFonts w:ascii="宋体" w:hAnsi="宋体" w:cs="宋体" w:hint="eastAsia"/>
          <w:color w:val="auto"/>
          <w:sz w:val="24"/>
          <w:lang w:eastAsia="zh-CN"/>
        </w:rPr>
        <w:t>需提交履约保证金的项目，</w:t>
      </w:r>
      <w:r>
        <w:rPr>
          <w:rFonts w:ascii="宋体" w:hAnsi="宋体" w:cs="宋体" w:hint="eastAsia"/>
          <w:color w:val="auto"/>
          <w:sz w:val="24"/>
        </w:rPr>
        <w:t>中标人应在合同签订之日起30日内，</w:t>
      </w:r>
      <w:r>
        <w:rPr>
          <w:rFonts w:ascii="宋体" w:hint="eastAsia"/>
          <w:color w:val="auto"/>
          <w:sz w:val="24"/>
        </w:rPr>
        <w:t>按照</w:t>
      </w:r>
      <w:r>
        <w:rPr>
          <w:rFonts w:ascii="宋体" w:hAnsi="宋体" w:cs="宋体" w:hint="eastAsia"/>
          <w:b/>
          <w:color w:val="auto"/>
          <w:sz w:val="24"/>
        </w:rPr>
        <w:t>投标人须知前附表</w:t>
      </w:r>
      <w:r>
        <w:rPr>
          <w:rFonts w:ascii="宋体" w:hint="eastAsia"/>
          <w:color w:val="auto"/>
          <w:sz w:val="24"/>
        </w:rPr>
        <w:t>的规定，向采购人提交履约保证金。</w:t>
      </w:r>
    </w:p>
    <w:p w14:paraId="36BABCDB">
      <w:pPr>
        <w:pStyle w:val="a2"/>
        <w:adjustRightInd w:val="0"/>
        <w:snapToGrid w:val="0"/>
        <w:spacing w:after="0" w:line="360" w:lineRule="auto"/>
        <w:rPr>
          <w:color w:val="auto"/>
        </w:rPr>
      </w:pPr>
    </w:p>
    <w:p w14:paraId="37079E83">
      <w:pPr>
        <w:topLinePunct/>
        <w:autoSpaceDE w:val="0"/>
        <w:autoSpaceDN w:val="0"/>
        <w:adjustRightInd w:val="0"/>
        <w:snapToGrid w:val="0"/>
        <w:spacing w:after="0" w:line="360" w:lineRule="auto"/>
        <w:ind w:firstLine="480" w:firstLineChars="200"/>
        <w:rPr>
          <w:rFonts w:ascii="宋体" w:hAnsi="宋体" w:cs="宋体"/>
          <w:color w:val="auto"/>
          <w:sz w:val="24"/>
        </w:rPr>
      </w:pPr>
    </w:p>
    <w:p w14:paraId="612E524E">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ascii="宋体" w:hAnsi="宋体" w:cs="宋体" w:hint="eastAsia"/>
          <w:b/>
          <w:bCs/>
          <w:color w:val="auto"/>
          <w:sz w:val="32"/>
          <w:szCs w:val="32"/>
        </w:rPr>
        <w:t>七、询问和质疑</w:t>
      </w:r>
    </w:p>
    <w:p w14:paraId="0CDE2E9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26. 询问</w:t>
      </w:r>
    </w:p>
    <w:p w14:paraId="62A95874">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auto"/>
          <w:sz w:val="24"/>
        </w:rPr>
        <w:t>26.1 供应商对政府采购活动事项有疑问的，可以向采购人提出询问，采购人应在3个工作日内作出答复，但答复的内容不得涉及商业秘密。</w:t>
      </w:r>
    </w:p>
    <w:p w14:paraId="7087ADA4">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14:paraId="55D5730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27</w:t>
      </w:r>
      <w:r>
        <w:rPr>
          <w:rFonts w:ascii="宋体" w:hAnsi="宋体" w:cs="宋体" w:hint="eastAsia"/>
          <w:color w:val="auto"/>
          <w:szCs w:val="21"/>
        </w:rPr>
        <w:t>．</w:t>
      </w:r>
      <w:r>
        <w:rPr>
          <w:rFonts w:ascii="宋体" w:hAnsi="宋体" w:cs="宋体" w:hint="eastAsia"/>
          <w:b/>
          <w:color w:val="auto"/>
          <w:sz w:val="24"/>
        </w:rPr>
        <w:t>质疑</w:t>
      </w:r>
    </w:p>
    <w:p w14:paraId="004147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27.1 供应商认为招标文件、招标过程和中标结果使自己的权益受到损害的，可以在知道或者应知其权益受到损害之日起7个工作日内</w:t>
      </w:r>
      <w:r>
        <w:rPr>
          <w:rFonts w:ascii="宋体" w:hAnsi="宋体" w:cs="宋体" w:hint="eastAsia"/>
          <w:b w:val="0"/>
          <w:bCs/>
          <w:color w:val="auto"/>
          <w:sz w:val="24"/>
        </w:rPr>
        <w:t>通过评审管理系统</w:t>
      </w:r>
      <w:r>
        <w:rPr>
          <w:rFonts w:ascii="宋体" w:hAnsi="宋体" w:cs="宋体" w:hint="eastAsia"/>
          <w:b w:val="0"/>
          <w:bCs/>
          <w:color w:val="auto"/>
          <w:sz w:val="24"/>
          <w:lang w:eastAsia="zh-CN"/>
        </w:rPr>
        <w:t>等书面形式</w:t>
      </w:r>
      <w:r>
        <w:rPr>
          <w:rFonts w:ascii="宋体" w:hAnsi="宋体" w:cs="宋体" w:hint="eastAsia"/>
          <w:color w:val="auto"/>
          <w:sz w:val="24"/>
        </w:rPr>
        <w:t>向采购人提出质疑。联系部门、联系电话、通讯地址、电子邮箱</w:t>
      </w:r>
      <w:r>
        <w:rPr>
          <w:rFonts w:ascii="宋体" w:hAnsi="宋体" w:cs="宋体" w:hint="eastAsia"/>
          <w:b/>
          <w:bCs/>
          <w:color w:val="auto"/>
          <w:sz w:val="24"/>
        </w:rPr>
        <w:t>见</w:t>
      </w:r>
      <w:r>
        <w:rPr>
          <w:rFonts w:ascii="宋体" w:hAnsi="宋体" w:cs="宋体" w:hint="eastAsia"/>
          <w:b/>
          <w:color w:val="auto"/>
          <w:sz w:val="24"/>
        </w:rPr>
        <w:t>投标人须知前附表</w:t>
      </w:r>
      <w:r>
        <w:rPr>
          <w:rFonts w:ascii="宋体" w:hAnsi="宋体" w:cs="宋体" w:hint="eastAsia"/>
          <w:color w:val="auto"/>
          <w:sz w:val="24"/>
        </w:rPr>
        <w:t>。在法定质疑期内，针对同一采购程序环节的质疑应一次性提出。</w:t>
      </w:r>
    </w:p>
    <w:p w14:paraId="2573F0F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27.2 供应商提出质疑应当提交质疑函和必要的证明材料。供应商为自然人的，应当由本人签字；供应商为法人或者其他组织的，应当由法定代表人、主要负责人，或者其授权代表签字或者签章，并加盖公章。</w:t>
      </w:r>
    </w:p>
    <w:p w14:paraId="4A64FEA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27.3 采购人应当在收到供应商的质疑函后7个工作日内，对质疑内容作出答复，并通过评审管理系统</w:t>
      </w:r>
      <w:r>
        <w:rPr>
          <w:rFonts w:ascii="宋体" w:hAnsi="宋体" w:cs="宋体" w:hint="eastAsia"/>
          <w:b w:val="0"/>
          <w:bCs/>
          <w:color w:val="auto"/>
          <w:sz w:val="24"/>
          <w:lang w:eastAsia="zh-CN"/>
        </w:rPr>
        <w:t>等书面形式</w:t>
      </w:r>
      <w:r>
        <w:rPr>
          <w:rFonts w:ascii="宋体" w:hAnsi="宋体" w:cs="宋体" w:hint="eastAsia"/>
          <w:color w:val="auto"/>
          <w:sz w:val="24"/>
        </w:rPr>
        <w:t>通知质疑供应商和其他有关供应商，但答复内容不得涉及商业秘密。</w:t>
      </w:r>
    </w:p>
    <w:p w14:paraId="601523E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27.4 质疑供应商对采购人的答复不满意或者采购人未在规定时间内作出答复的，可以在答复期满后15个工作日内按有关规定，向同级人民政府财政部门投诉。</w:t>
      </w:r>
    </w:p>
    <w:p w14:paraId="4C4A673B">
      <w:pPr>
        <w:topLinePunct/>
        <w:autoSpaceDE w:val="0"/>
        <w:autoSpaceDN w:val="0"/>
        <w:adjustRightInd w:val="0"/>
        <w:snapToGrid w:val="0"/>
        <w:spacing w:after="0" w:line="360" w:lineRule="auto"/>
        <w:rPr>
          <w:rFonts w:ascii="宋体" w:hAnsi="宋体" w:cs="宋体"/>
          <w:b/>
          <w:color w:val="auto"/>
          <w:sz w:val="24"/>
        </w:rPr>
      </w:pPr>
    </w:p>
    <w:p w14:paraId="2E849CF0">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八、其他</w:t>
      </w:r>
    </w:p>
    <w:p w14:paraId="2C80044B">
      <w:pPr>
        <w:topLinePunct/>
        <w:autoSpaceDE w:val="0"/>
        <w:autoSpaceDN w:val="0"/>
        <w:adjustRightInd w:val="0"/>
        <w:snapToGrid w:val="0"/>
        <w:spacing w:after="0" w:line="360" w:lineRule="auto"/>
        <w:ind w:firstLine="480" w:firstLineChars="200"/>
        <w:rPr>
          <w:rFonts w:ascii="宋体" w:hAnsi="宋体" w:cs="宋体"/>
          <w:b/>
          <w:color w:val="auto"/>
          <w:sz w:val="24"/>
        </w:rPr>
      </w:pPr>
    </w:p>
    <w:p w14:paraId="3ED8EC5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28</w:t>
      </w:r>
      <w:r>
        <w:rPr>
          <w:rFonts w:ascii="宋体" w:hAnsi="宋体" w:cs="宋体" w:hint="eastAsia"/>
          <w:color w:val="auto"/>
          <w:szCs w:val="21"/>
        </w:rPr>
        <w:t>．</w:t>
      </w:r>
      <w:r>
        <w:rPr>
          <w:rFonts w:ascii="宋体" w:hAnsi="宋体" w:cs="宋体" w:hint="eastAsia"/>
          <w:b/>
          <w:color w:val="auto"/>
          <w:sz w:val="24"/>
        </w:rPr>
        <w:t>保密</w:t>
      </w:r>
    </w:p>
    <w:p w14:paraId="4CE19B6E">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28.1 采购人应当采取必要措施，保证评标在严格保密的情况下进行。除采购人代表、评标现场组织人员外，采购人的其他工作人员以及与评标工作无关的人员不得进入评标现场。</w:t>
      </w:r>
    </w:p>
    <w:p w14:paraId="5ED3D2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28.2 评标委员会成员和参与评标工作的有关人员对评标情况以及在评标过程中获悉的国家秘密、商业秘密负有保密责任。</w:t>
      </w:r>
    </w:p>
    <w:p w14:paraId="577DC978">
      <w:pPr>
        <w:topLinePunct/>
        <w:autoSpaceDE w:val="0"/>
        <w:autoSpaceDN w:val="0"/>
        <w:adjustRightInd w:val="0"/>
        <w:snapToGrid w:val="0"/>
        <w:spacing w:after="0" w:line="360" w:lineRule="auto"/>
        <w:rPr>
          <w:rFonts w:ascii="宋体" w:hAnsi="宋体" w:cs="宋体"/>
          <w:b/>
          <w:color w:val="auto"/>
          <w:sz w:val="24"/>
          <w:highlight w:val="none"/>
        </w:rPr>
      </w:pPr>
    </w:p>
    <w:p w14:paraId="07FB2404">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ascii="宋体" w:hAnsi="宋体" w:cs="宋体" w:hint="eastAsia"/>
          <w:b/>
          <w:color w:val="auto"/>
          <w:sz w:val="24"/>
          <w:highlight w:val="none"/>
        </w:rPr>
        <w:t>29. 知识产权与规避专利、版权纠纷</w:t>
      </w:r>
    </w:p>
    <w:p w14:paraId="707ABDF8">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eastAsia="zh-CN"/>
        </w:rPr>
        <w:t>2</w:t>
      </w:r>
      <w:r>
        <w:rPr>
          <w:rFonts w:ascii="宋体" w:hAnsi="宋体" w:cs="宋体" w:hint="eastAsia"/>
          <w:color w:val="auto"/>
          <w:sz w:val="24"/>
          <w:lang w:val="en-US" w:eastAsia="zh-CN"/>
        </w:rPr>
        <w:t>9</w:t>
      </w:r>
      <w:r>
        <w:rPr>
          <w:rFonts w:ascii="宋体" w:hAnsi="宋体" w:cs="宋体" w:hint="eastAsia"/>
          <w:color w:val="auto"/>
          <w:sz w:val="24"/>
        </w:rPr>
        <w:t>.1 知识产权</w:t>
      </w:r>
    </w:p>
    <w:p w14:paraId="7A8386E4">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 xml:space="preserve">.1.1 </w:t>
      </w:r>
      <w:r>
        <w:rPr>
          <w:rFonts w:ascii="宋体" w:hAnsi="宋体" w:cs="宋体" w:hint="eastAsia"/>
          <w:color w:val="auto"/>
          <w:sz w:val="24"/>
          <w:lang w:val="en-US" w:eastAsia="zh-CN"/>
        </w:rPr>
        <w:t>本项目涉及需开发的系统的版权属于采购人所有</w:t>
      </w:r>
      <w:r>
        <w:rPr>
          <w:rFonts w:ascii="宋体" w:hAnsi="宋体" w:cs="宋体" w:hint="eastAsia"/>
          <w:color w:val="auto"/>
          <w:sz w:val="24"/>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auto"/>
          <w:sz w:val="24"/>
        </w:rPr>
        <w:t>。</w:t>
      </w:r>
    </w:p>
    <w:p w14:paraId="530A35D9">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 规避专利、版权纠纷</w:t>
      </w:r>
    </w:p>
    <w:p w14:paraId="4396EACC">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.2.1 投标人应保证其投标方案中的有关软件、文件、图纸等没有违反有关专利和版权等知识产权的规定。</w:t>
      </w:r>
    </w:p>
    <w:p w14:paraId="247E22A7">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.2.2 中标人应保证采购人在中华人民共和国使用本项目成果任何一部分、或接受乙方服务时，免受第三方提出的侵犯其专利权、商标权或工业设计权等知识产权的索赔或起诉。</w:t>
      </w:r>
    </w:p>
    <w:p w14:paraId="0DF7502D">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298E15A5">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highlight w:val="none"/>
        </w:rPr>
      </w:pPr>
      <w:r>
        <w:rPr>
          <w:rFonts w:ascii="宋体" w:hAnsi="宋体" w:cs="宋体" w:hint="eastAsia"/>
          <w:color w:val="auto"/>
          <w:sz w:val="24"/>
          <w:lang w:val="en-US" w:eastAsia="zh-CN"/>
        </w:rPr>
        <w:t>29</w:t>
      </w:r>
      <w:r>
        <w:rPr>
          <w:rFonts w:ascii="宋体" w:hAnsi="宋体" w:cs="宋体" w:hint="eastAsia"/>
          <w:color w:val="auto"/>
          <w:sz w:val="24"/>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6089060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auto"/>
          <w:sz w:val="24"/>
          <w:highlight w:val="none"/>
        </w:rPr>
        <w:br w:type="page"/>
      </w:r>
      <w:bookmarkStart w:id="45" w:name="_Toc1481241717"/>
      <w:bookmarkStart w:id="46" w:name="_Toc38030149"/>
      <w:bookmarkStart w:id="47" w:name="_Toc1380332034"/>
      <w:bookmarkStart w:id="48" w:name="_Toc1168671576"/>
      <w:bookmarkStart w:id="49" w:name="_Toc937455070"/>
      <w:bookmarkStart w:id="50" w:name="_Toc1762322514"/>
      <w:bookmarkStart w:id="51" w:name="_Toc525052846"/>
      <w:bookmarkStart w:id="52" w:name="_Toc256000002"/>
      <w:r>
        <w:rPr>
          <w:rStyle w:val="1Char"/>
          <w:rFonts w:hint="eastAsia"/>
          <w:color w:val="auto"/>
          <w:highlight w:val="none"/>
          <w:lang w:val="en-US" w:eastAsia="zh-CN"/>
        </w:rPr>
        <w:t>第三章　评标方法及标准</w:t>
      </w:r>
      <w:bookmarkEnd w:id="52"/>
      <w:bookmarkEnd w:id="45"/>
      <w:bookmarkEnd w:id="46"/>
      <w:bookmarkEnd w:id="47"/>
      <w:bookmarkEnd w:id="48"/>
      <w:bookmarkEnd w:id="49"/>
      <w:bookmarkEnd w:id="50"/>
      <w:bookmarkEnd w:id="51"/>
    </w:p>
    <w:p w:rsidR="00A77B3E">
      <w:pPr>
        <w:spacing w:line="360" w:lineRule="auto"/>
        <w:rPr>
          <w:rFonts w:ascii="宋体" w:eastAsia="宋体" w:hAnsi="宋体" w:cs="宋体"/>
        </w:rPr>
      </w:pPr>
      <w:bookmarkStart w:id="53" w:name="评审办法_zxzbsw_PSBF"/>
      <w:r>
        <w:rPr>
          <w:rFonts w:ascii="宋体" w:eastAsia="宋体" w:hAnsi="宋体" w:cs="宋体"/>
          <w:sz w:val="24"/>
        </w:rPr>
        <w:t xml:space="preserve">    </w:t>
      </w:r>
      <w:r>
        <w:rPr>
          <w:rFonts w:ascii="宋体" w:eastAsia="宋体" w:hAnsi="宋体" w:cs="宋体"/>
          <w:sz w:val="24"/>
        </w:rPr>
        <w:t>包件1：</w:t>
      </w:r>
    </w:p>
    <w:p w:rsidR="00A77B3E">
      <w:pPr>
        <w:spacing w:line="360" w:lineRule="auto"/>
        <w:rPr>
          <w:rFonts w:ascii="宋体" w:eastAsia="宋体" w:hAnsi="宋体" w:cs="宋体"/>
        </w:rPr>
      </w:pPr>
      <w:r>
        <w:rPr>
          <w:rFonts w:ascii="宋体" w:eastAsia="宋体" w:hAnsi="宋体" w:cs="宋体"/>
          <w:sz w:val="24"/>
        </w:rPr>
        <w:t xml:space="preserve">    根据财政部《政府采购货物和服务招标投标管理办法》（财政部令第87号）第五十五条规定，本项目采用综合评分法，其中价格分值10分，客观分值73分，主观分值17分。具体评审标准如下：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sz w:val="21"/>
              </w:rPr>
              <w:t>序号</w:t>
            </w:r>
          </w:p>
        </w:tc>
        <w:tc>
          <w:tcPr>
            <w:tcW w:w="1276" w:type="dxa"/>
            <w:vAlign w:val="center"/>
          </w:tcPr>
          <w:p>
            <w:pPr>
              <w:spacing w:before="48" w:after="48" w:line="240" w:lineRule="auto"/>
              <w:jc w:val="center"/>
            </w:pPr>
            <w:r>
              <w:rPr>
                <w:rFonts w:ascii="宋体" w:eastAsia="宋体" w:hAnsi="宋体" w:cs="宋体"/>
                <w:b/>
                <w:sz w:val="21"/>
              </w:rPr>
              <w:t>类别</w:t>
            </w:r>
          </w:p>
        </w:tc>
        <w:tc>
          <w:tcPr>
            <w:tcW w:w="1134" w:type="dxa"/>
            <w:vAlign w:val="center"/>
          </w:tcPr>
          <w:p>
            <w:pPr>
              <w:spacing w:before="48" w:after="48" w:line="240" w:lineRule="auto"/>
              <w:jc w:val="center"/>
            </w:pPr>
            <w:r>
              <w:rPr>
                <w:rFonts w:ascii="宋体" w:eastAsia="宋体" w:hAnsi="宋体" w:cs="宋体"/>
                <w:b/>
                <w:sz w:val="21"/>
              </w:rPr>
              <w:t>评审因素</w:t>
            </w:r>
          </w:p>
        </w:tc>
        <w:tc>
          <w:tcPr>
            <w:tcW w:w="1276" w:type="dxa"/>
            <w:vAlign w:val="center"/>
          </w:tcPr>
          <w:p>
            <w:pPr>
              <w:spacing w:before="48" w:after="48" w:line="240" w:lineRule="auto"/>
              <w:jc w:val="center"/>
            </w:pPr>
            <w:r>
              <w:rPr>
                <w:rFonts w:ascii="宋体" w:eastAsia="宋体" w:hAnsi="宋体" w:cs="宋体"/>
                <w:b/>
                <w:sz w:val="21"/>
              </w:rPr>
              <w:t>主要内容</w:t>
            </w:r>
          </w:p>
        </w:tc>
        <w:tc>
          <w:tcPr>
            <w:tcW w:w="3475" w:type="dxa"/>
            <w:vAlign w:val="center"/>
          </w:tcPr>
          <w:p>
            <w:pPr>
              <w:spacing w:before="48" w:after="48" w:line="240" w:lineRule="auto"/>
              <w:jc w:val="center"/>
            </w:pPr>
            <w:r>
              <w:rPr>
                <w:rFonts w:ascii="宋体" w:eastAsia="宋体" w:hAnsi="宋体" w:cs="宋体"/>
                <w:b/>
                <w:sz w:val="21"/>
              </w:rPr>
              <w:t>指标要求</w:t>
            </w:r>
          </w:p>
        </w:tc>
        <w:tc>
          <w:tcPr>
            <w:tcW w:w="1196" w:type="dxa"/>
            <w:vAlign w:val="center"/>
          </w:tcPr>
          <w:p>
            <w:pPr>
              <w:spacing w:before="48" w:after="48" w:line="240" w:lineRule="auto"/>
              <w:jc w:val="center"/>
            </w:pPr>
            <w:r>
              <w:rPr>
                <w:rFonts w:ascii="宋体" w:eastAsia="宋体" w:hAnsi="宋体" w:cs="宋体"/>
                <w:b/>
                <w:sz w:val="21"/>
              </w:rPr>
              <w:t>细项分值</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w:t>
            </w:r>
          </w:p>
        </w:tc>
        <w:tc>
          <w:tcPr>
            <w:tcW w:w="360" w:type="dxa"/>
            <w:vMerge w:val="restart"/>
            <w:vAlign w:val="center"/>
          </w:tcPr>
          <w:p>
            <w:pPr>
              <w:spacing w:before="48" w:after="48" w:line="240" w:lineRule="auto"/>
              <w:jc w:val="center"/>
            </w:pPr>
            <w:r>
              <w:rPr>
                <w:rFonts w:ascii="宋体" w:eastAsia="宋体" w:hAnsi="宋体" w:cs="宋体"/>
                <w:sz w:val="21"/>
              </w:rPr>
              <w:t>价格分</w:t>
            </w:r>
            <w:r>
              <w:br/>
            </w:r>
            <w:r>
              <w:rPr>
                <w:rFonts w:ascii="宋体" w:eastAsia="宋体" w:hAnsi="宋体" w:cs="宋体"/>
                <w:sz w:val="21"/>
              </w:rPr>
              <w:t>(10分)</w:t>
            </w:r>
          </w:p>
        </w:tc>
        <w:tc>
          <w:tcPr>
            <w:tcW w:w="360" w:type="dxa"/>
            <w:vMerge w:val="restart"/>
            <w:vAlign w:val="center"/>
          </w:tcPr>
          <w:p>
            <w:pPr>
              <w:spacing w:before="48" w:after="48" w:line="240" w:lineRule="auto"/>
              <w:jc w:val="center"/>
            </w:pPr>
            <w:r>
              <w:rPr>
                <w:rFonts w:ascii="宋体" w:eastAsia="宋体" w:hAnsi="宋体" w:cs="宋体"/>
                <w:sz w:val="21"/>
              </w:rPr>
              <w:t>报价</w:t>
            </w:r>
          </w:p>
        </w:tc>
        <w:tc>
          <w:tcPr>
            <w:tcW w:w="360" w:type="dxa"/>
            <w:vMerge w:val="restart"/>
            <w:vAlign w:val="center"/>
          </w:tcPr>
          <w:p>
            <w:pPr>
              <w:spacing w:before="48" w:after="48" w:line="240" w:lineRule="auto"/>
              <w:jc w:val="center"/>
            </w:pPr>
            <w:r>
              <w:rPr>
                <w:rFonts w:ascii="宋体" w:eastAsia="宋体" w:hAnsi="宋体" w:cs="宋体"/>
                <w:sz w:val="21"/>
              </w:rPr>
              <w:t>价格</w:t>
            </w:r>
          </w:p>
        </w:tc>
        <w:tc>
          <w:tcPr>
            <w:tcW w:w="360" w:type="dxa"/>
          </w:tcPr>
          <w:p>
            <w:pPr>
              <w:spacing w:before="48" w:after="48" w:line="240" w:lineRule="auto"/>
            </w:pPr>
            <w:r>
              <w:rPr>
                <w:rFonts w:ascii="宋体" w:eastAsia="宋体" w:hAnsi="宋体" w:cs="宋体"/>
                <w:sz w:val="21"/>
              </w:rPr>
              <w:t>得分S＝（Pmin/P）×10，其中：Pmin为所有供应商的最低有效报价，P为供应商有效报价。</w:t>
            </w:r>
          </w:p>
        </w:tc>
        <w:tc>
          <w:tcPr>
            <w:tcW w:w="360" w:type="dxa"/>
            <w:vMerge w:val="restart"/>
            <w:vAlign w:val="center"/>
          </w:tcPr>
          <w:p>
            <w:pPr>
              <w:spacing w:before="48" w:after="48" w:line="240" w:lineRule="auto"/>
              <w:jc w:val="center"/>
            </w:pPr>
            <w:r>
              <w:rPr>
                <w:rFonts w:ascii="宋体" w:eastAsia="宋体" w:hAnsi="宋体" w:cs="宋体"/>
                <w:sz w:val="21"/>
              </w:rPr>
              <w:t>10</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2</w:t>
            </w:r>
          </w:p>
        </w:tc>
        <w:tc>
          <w:tcPr>
            <w:tcW w:w="360" w:type="dxa"/>
            <w:vMerge w:val="restart"/>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360" w:type="dxa"/>
            <w:vMerge w:val="restart"/>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成功案例</w:t>
            </w:r>
          </w:p>
        </w:tc>
        <w:tc>
          <w:tcPr>
            <w:tcW w:w="360" w:type="dxa"/>
          </w:tcPr>
          <w:p>
            <w:pPr>
              <w:spacing w:before="48" w:after="48" w:line="240" w:lineRule="auto"/>
            </w:pPr>
            <w:r>
              <w:rPr>
                <w:rFonts w:ascii="宋体" w:eastAsia="宋体" w:hAnsi="宋体" w:cs="宋体"/>
                <w:sz w:val="21"/>
              </w:rPr>
              <w:t>有效案例为2023年1月1日以来（以合同签订日期为准），供应商独立承担的肉类、蔬菜类、主副食类等食材供应项目案例，予以加分考虑。每提供一个得1分，最多得5分。</w:t>
            </w:r>
          </w:p>
        </w:tc>
        <w:tc>
          <w:tcPr>
            <w:tcW w:w="360" w:type="dxa"/>
            <w:vMerge w:val="restart"/>
            <w:vAlign w:val="center"/>
          </w:tcPr>
          <w:p>
            <w:pPr>
              <w:spacing w:before="48" w:after="48" w:line="240" w:lineRule="auto"/>
              <w:jc w:val="center"/>
            </w:pPr>
            <w:r>
              <w:rPr>
                <w:rFonts w:ascii="宋体" w:eastAsia="宋体" w:hAnsi="宋体" w:cs="宋体"/>
                <w:sz w:val="21"/>
              </w:rPr>
              <w:t>5</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3</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0" w:type="dxa"/>
            <w:vMerge/>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相关证书</w:t>
            </w:r>
          </w:p>
        </w:tc>
        <w:tc>
          <w:tcPr>
            <w:tcW w:w="360" w:type="dxa"/>
          </w:tcPr>
          <w:p>
            <w:pPr>
              <w:spacing w:before="48" w:after="48" w:line="240" w:lineRule="auto"/>
            </w:pPr>
            <w:r>
              <w:rPr>
                <w:rFonts w:ascii="宋体" w:eastAsia="宋体" w:hAnsi="宋体" w:cs="宋体"/>
                <w:sz w:val="21"/>
              </w:rPr>
              <w:t>1.具有ISO9001：2015质量管理体系认证证书，得1分。</w:t>
            </w:r>
            <w:r>
              <w:rPr>
                <w:rFonts w:ascii="宋体" w:eastAsia="宋体" w:hAnsi="宋体" w:cs="宋体"/>
                <w:sz w:val="21"/>
              </w:rPr>
              <w:br/>
            </w:r>
            <w:r>
              <w:rPr>
                <w:rFonts w:ascii="宋体" w:eastAsia="宋体" w:hAnsi="宋体" w:cs="宋体"/>
                <w:sz w:val="21"/>
              </w:rPr>
              <w:t>2.具有ISO45001职业健康安全管理体系认证证书，得1分。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4</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0" w:type="dxa"/>
            <w:vMerge/>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技术力量</w:t>
            </w:r>
          </w:p>
        </w:tc>
        <w:tc>
          <w:tcPr>
            <w:tcW w:w="360" w:type="dxa"/>
          </w:tcPr>
          <w:p>
            <w:pPr>
              <w:spacing w:before="48" w:after="48" w:line="240" w:lineRule="auto"/>
            </w:pPr>
            <w:r>
              <w:rPr>
                <w:rFonts w:ascii="宋体" w:eastAsia="宋体" w:hAnsi="宋体" w:cs="宋体"/>
                <w:sz w:val="21"/>
              </w:rPr>
              <w:t>(投标人为本项目提供的服务团队人员,需提供缴纳社保证明材料,否则不得分.)</w:t>
            </w:r>
            <w:r>
              <w:rPr>
                <w:rFonts w:ascii="宋体" w:eastAsia="宋体" w:hAnsi="宋体" w:cs="宋体"/>
                <w:sz w:val="21"/>
              </w:rPr>
              <w:br/>
            </w:r>
            <w:r>
              <w:rPr>
                <w:rFonts w:ascii="宋体" w:eastAsia="宋体" w:hAnsi="宋体" w:cs="宋体"/>
                <w:sz w:val="21"/>
              </w:rPr>
              <w:t>1.投入本项目的经理（1人），得2分；</w:t>
            </w:r>
            <w:r>
              <w:rPr>
                <w:rFonts w:ascii="宋体" w:eastAsia="宋体" w:hAnsi="宋体" w:cs="宋体"/>
                <w:sz w:val="21"/>
              </w:rPr>
              <w:br/>
            </w:r>
            <w:r>
              <w:rPr>
                <w:rFonts w:ascii="宋体" w:eastAsia="宋体" w:hAnsi="宋体" w:cs="宋体"/>
                <w:sz w:val="21"/>
              </w:rPr>
              <w:t>2.投入本项目的供应业务员（1人），得1分；</w:t>
            </w:r>
            <w:r>
              <w:rPr>
                <w:rFonts w:ascii="宋体" w:eastAsia="宋体" w:hAnsi="宋体" w:cs="宋体"/>
                <w:sz w:val="21"/>
              </w:rPr>
              <w:br/>
            </w:r>
            <w:r>
              <w:rPr>
                <w:rFonts w:ascii="宋体" w:eastAsia="宋体" w:hAnsi="宋体" w:cs="宋体"/>
                <w:sz w:val="21"/>
              </w:rPr>
              <w:t>3.投入本项目的食品安全管理员（1人）,得2分；</w:t>
            </w:r>
            <w:r>
              <w:rPr>
                <w:rFonts w:ascii="宋体" w:eastAsia="宋体" w:hAnsi="宋体" w:cs="宋体"/>
                <w:sz w:val="21"/>
              </w:rPr>
              <w:br/>
            </w:r>
            <w:r>
              <w:rPr>
                <w:rFonts w:ascii="宋体" w:eastAsia="宋体" w:hAnsi="宋体" w:cs="宋体"/>
                <w:sz w:val="21"/>
              </w:rPr>
              <w:t>4.投入本项目的采购员（1人）,得1分；</w:t>
            </w:r>
            <w:r>
              <w:rPr>
                <w:rFonts w:ascii="宋体" w:eastAsia="宋体" w:hAnsi="宋体" w:cs="宋体"/>
                <w:sz w:val="21"/>
              </w:rPr>
              <w:br/>
            </w:r>
            <w:r>
              <w:rPr>
                <w:rFonts w:ascii="宋体" w:eastAsia="宋体" w:hAnsi="宋体" w:cs="宋体"/>
                <w:sz w:val="21"/>
              </w:rPr>
              <w:t>5.投入本项目的配送司机（1人）：具有符合配送车辆型号的驾驶资格证书得1分。</w:t>
            </w:r>
          </w:p>
        </w:tc>
        <w:tc>
          <w:tcPr>
            <w:tcW w:w="360" w:type="dxa"/>
            <w:vMerge w:val="restart"/>
            <w:vAlign w:val="center"/>
          </w:tcPr>
          <w:p>
            <w:pPr>
              <w:spacing w:before="48" w:after="48" w:line="240" w:lineRule="auto"/>
              <w:jc w:val="center"/>
            </w:pPr>
            <w:r>
              <w:rPr>
                <w:rFonts w:ascii="宋体" w:eastAsia="宋体" w:hAnsi="宋体" w:cs="宋体"/>
                <w:sz w:val="21"/>
              </w:rPr>
              <w:t>7</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5</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360" w:type="dxa"/>
            <w:vMerge w:val="restart"/>
            <w:vAlign w:val="center"/>
          </w:tcPr>
          <w:p>
            <w:pPr>
              <w:spacing w:before="48" w:after="48" w:line="240" w:lineRule="auto"/>
              <w:jc w:val="center"/>
            </w:pPr>
            <w:r>
              <w:rPr>
                <w:rFonts w:ascii="宋体" w:eastAsia="宋体" w:hAnsi="宋体" w:cs="宋体"/>
                <w:sz w:val="21"/>
              </w:rPr>
              <w:t>技术和服务客观指标</w:t>
            </w:r>
          </w:p>
        </w:tc>
        <w:tc>
          <w:tcPr>
            <w:tcW w:w="360" w:type="dxa"/>
            <w:vMerge w:val="restart"/>
            <w:vAlign w:val="center"/>
          </w:tcPr>
          <w:p>
            <w:pPr>
              <w:spacing w:before="48" w:after="48" w:line="240" w:lineRule="auto"/>
              <w:jc w:val="center"/>
            </w:pPr>
            <w:r>
              <w:rPr>
                <w:rFonts w:ascii="宋体" w:eastAsia="宋体" w:hAnsi="宋体" w:cs="宋体"/>
                <w:sz w:val="21"/>
              </w:rPr>
              <w:t>满足指标要求情况</w:t>
            </w:r>
          </w:p>
        </w:tc>
        <w:tc>
          <w:tcPr>
            <w:tcW w:w="360" w:type="dxa"/>
          </w:tcPr>
          <w:p>
            <w:pPr>
              <w:spacing w:before="48" w:after="48" w:line="240" w:lineRule="auto"/>
            </w:pPr>
            <w:r>
              <w:rPr>
                <w:rFonts w:ascii="宋体" w:eastAsia="宋体" w:hAnsi="宋体" w:cs="宋体"/>
                <w:sz w:val="21"/>
              </w:rPr>
              <w:t>参加本项目采购文件技术部分中的技术指标及服务指标:</w:t>
            </w:r>
            <w:r>
              <w:rPr>
                <w:rFonts w:ascii="宋体" w:eastAsia="宋体" w:hAnsi="宋体" w:cs="宋体"/>
                <w:sz w:val="21"/>
              </w:rPr>
              <w:br/>
            </w:r>
            <w:r>
              <w:rPr>
                <w:rFonts w:ascii="宋体" w:eastAsia="宋体" w:hAnsi="宋体" w:cs="宋体"/>
                <w:sz w:val="21"/>
              </w:rPr>
              <w:t>★代表最关键指标项，不满足该指标项将导致响应被拒绝；</w:t>
            </w:r>
            <w:r>
              <w:rPr>
                <w:rFonts w:ascii="宋体" w:eastAsia="宋体" w:hAnsi="宋体" w:cs="宋体"/>
                <w:sz w:val="21"/>
              </w:rPr>
              <w:br/>
            </w:r>
            <w:r>
              <w:rPr>
                <w:rFonts w:ascii="宋体" w:eastAsia="宋体" w:hAnsi="宋体" w:cs="宋体"/>
                <w:sz w:val="21"/>
              </w:rPr>
              <w:t>#代表重要指标项，满足或优于该指标项得1.5分，共计26项，共计39分；</w:t>
            </w:r>
            <w:r>
              <w:rPr>
                <w:rFonts w:ascii="宋体" w:eastAsia="宋体" w:hAnsi="宋体" w:cs="宋体"/>
                <w:sz w:val="21"/>
              </w:rPr>
              <w:br/>
            </w:r>
            <w:r>
              <w:rPr>
                <w:rFonts w:ascii="宋体" w:eastAsia="宋体" w:hAnsi="宋体" w:cs="宋体"/>
                <w:sz w:val="21"/>
              </w:rPr>
              <w:t>△表示一般指标项，满足或优于该指标项得1分，共计20项，共计20分。</w:t>
            </w:r>
            <w:r>
              <w:rPr>
                <w:rFonts w:ascii="宋体" w:eastAsia="宋体" w:hAnsi="宋体" w:cs="宋体"/>
                <w:sz w:val="21"/>
              </w:rPr>
              <w:br/>
            </w:r>
            <w:r>
              <w:rPr>
                <w:rFonts w:ascii="宋体" w:eastAsia="宋体" w:hAnsi="宋体" w:cs="宋体"/>
                <w:sz w:val="21"/>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eastAsia="宋体" w:hAnsi="宋体" w:cs="宋体"/>
                <w:sz w:val="21"/>
              </w:rPr>
              <w:t>59</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6</w:t>
            </w:r>
          </w:p>
        </w:tc>
        <w:tc>
          <w:tcPr>
            <w:tcW w:w="360" w:type="dxa"/>
            <w:vMerge w:val="restart"/>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360" w:type="dxa"/>
            <w:vMerge w:val="restart"/>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项目管理方案</w:t>
            </w:r>
          </w:p>
        </w:tc>
        <w:tc>
          <w:tcPr>
            <w:tcW w:w="360" w:type="dxa"/>
          </w:tcPr>
          <w:p>
            <w:pPr>
              <w:spacing w:before="48" w:after="48" w:line="240" w:lineRule="auto"/>
            </w:pPr>
            <w:r>
              <w:rPr>
                <w:rFonts w:ascii="宋体" w:eastAsia="宋体" w:hAnsi="宋体" w:cs="宋体"/>
                <w:sz w:val="21"/>
              </w:rPr>
              <w:t>投标人提供的方案内容应包含1.项目管理实施总要求；2.项目实施计划；3.项目质量管理。方案中每提供1项且内容完整、详细、完全符合本项目实际情况、可操作性强的得1分，最多得3分。否则不得分。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7</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供应方案</w:t>
            </w:r>
          </w:p>
        </w:tc>
        <w:tc>
          <w:tcPr>
            <w:tcW w:w="360" w:type="dxa"/>
          </w:tcPr>
          <w:p>
            <w:pPr>
              <w:spacing w:before="48" w:after="48" w:line="240" w:lineRule="auto"/>
            </w:pPr>
            <w:r>
              <w:rPr>
                <w:rFonts w:ascii="宋体" w:eastAsia="宋体" w:hAnsi="宋体" w:cs="宋体"/>
                <w:sz w:val="21"/>
              </w:rPr>
              <w:t>投标人提供的方案应包含1.服务团队管理;2.内部采购管理;3.储存分拣管理；4.运输管理。方案中每提供１项且内容完整、详细、完全符合本项目实际情况、可操作性强的得１分，最多得４分，否则不得分。</w:t>
            </w:r>
          </w:p>
        </w:tc>
        <w:tc>
          <w:tcPr>
            <w:tcW w:w="360" w:type="dxa"/>
            <w:vMerge w:val="restart"/>
            <w:vAlign w:val="center"/>
          </w:tcPr>
          <w:p>
            <w:pPr>
              <w:spacing w:before="48" w:after="48" w:line="240" w:lineRule="auto"/>
              <w:jc w:val="center"/>
            </w:pPr>
            <w:r>
              <w:rPr>
                <w:rFonts w:ascii="宋体" w:eastAsia="宋体" w:hAnsi="宋体" w:cs="宋体"/>
                <w:sz w:val="21"/>
              </w:rPr>
              <w:t>4</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8</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质量安全把控方案</w:t>
            </w:r>
          </w:p>
        </w:tc>
        <w:tc>
          <w:tcPr>
            <w:tcW w:w="360" w:type="dxa"/>
          </w:tcPr>
          <w:p>
            <w:pPr>
              <w:spacing w:before="48" w:after="48" w:line="240" w:lineRule="auto"/>
            </w:pPr>
            <w:r>
              <w:rPr>
                <w:rFonts w:ascii="宋体" w:eastAsia="宋体" w:hAnsi="宋体" w:cs="宋体"/>
                <w:sz w:val="21"/>
              </w:rPr>
              <w:t>投标人提供的方案应包含1.货物质量把控措施;2.检验检疫措施。方案中每提供１项且内容完整、详细、完全符合本项目实际情况、可操作性强的得2分，最多得4分，否则不得分。</w:t>
            </w:r>
          </w:p>
        </w:tc>
        <w:tc>
          <w:tcPr>
            <w:tcW w:w="360" w:type="dxa"/>
            <w:vMerge w:val="restart"/>
            <w:vAlign w:val="center"/>
          </w:tcPr>
          <w:p>
            <w:pPr>
              <w:spacing w:before="48" w:after="48" w:line="240" w:lineRule="auto"/>
              <w:jc w:val="center"/>
            </w:pPr>
            <w:r>
              <w:rPr>
                <w:rFonts w:ascii="宋体" w:eastAsia="宋体" w:hAnsi="宋体" w:cs="宋体"/>
                <w:sz w:val="21"/>
              </w:rPr>
              <w:t>4</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9</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应急保障方案</w:t>
            </w:r>
          </w:p>
        </w:tc>
        <w:tc>
          <w:tcPr>
            <w:tcW w:w="360" w:type="dxa"/>
          </w:tcPr>
          <w:p>
            <w:pPr>
              <w:spacing w:before="48" w:after="48" w:line="240" w:lineRule="auto"/>
            </w:pPr>
            <w:r>
              <w:rPr>
                <w:rFonts w:ascii="宋体" w:eastAsia="宋体" w:hAnsi="宋体" w:cs="宋体"/>
                <w:sz w:val="21"/>
              </w:rPr>
              <w:t>投标人提供的方案应包含1.应急保障措施;2.预防机制；方案中每提供１项且内容完整、详细、完全符合本项目实际情况、可操作性强的得１.5分，最多得３分，否则不得分。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10</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货物验收方案</w:t>
            </w:r>
          </w:p>
        </w:tc>
        <w:tc>
          <w:tcPr>
            <w:tcW w:w="360" w:type="dxa"/>
          </w:tcPr>
          <w:p>
            <w:pPr>
              <w:spacing w:before="48" w:after="48" w:line="240" w:lineRule="auto"/>
            </w:pPr>
            <w:r>
              <w:rPr>
                <w:rFonts w:ascii="宋体" w:eastAsia="宋体" w:hAnsi="宋体" w:cs="宋体"/>
                <w:sz w:val="21"/>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1800" w:type="dxa"/>
            <w:gridSpan w:val="5"/>
          </w:tcPr>
          <w:p>
            <w:pPr>
              <w:spacing w:before="48" w:after="48" w:line="240" w:lineRule="auto"/>
              <w:jc w:val="center"/>
            </w:pPr>
            <w:r>
              <w:rPr>
                <w:rFonts w:ascii="宋体" w:eastAsia="宋体" w:hAnsi="宋体" w:cs="宋体"/>
                <w:sz w:val="21"/>
              </w:rPr>
              <w:t>合计</w:t>
            </w:r>
          </w:p>
        </w:tc>
        <w:tc>
          <w:tcPr>
            <w:tcW w:w="360" w:type="dxa"/>
          </w:tcPr>
          <w:p>
            <w:pPr>
              <w:spacing w:before="48" w:after="48" w:line="240" w:lineRule="auto"/>
              <w:jc w:val="center"/>
            </w:pPr>
            <w:r>
              <w:rPr>
                <w:rFonts w:ascii="宋体" w:eastAsia="宋体" w:hAnsi="宋体" w:cs="宋体"/>
                <w:sz w:val="21"/>
              </w:rPr>
              <w:t>100</w:t>
            </w:r>
          </w:p>
        </w:tc>
      </w:tr>
    </w:tbl>
    <w:p w:rsidR="00A77B3E">
      <w:pPr>
        <w:spacing w:line="360" w:lineRule="auto"/>
        <w:rPr>
          <w:rFonts w:ascii="宋体" w:eastAsia="宋体" w:hAnsi="宋体" w:cs="宋体"/>
        </w:rPr>
      </w:pPr>
      <w:r>
        <w:rPr>
          <w:rFonts w:ascii="宋体" w:eastAsia="宋体" w:hAnsi="宋体" w:cs="宋体"/>
          <w:sz w:val="24"/>
        </w:rPr>
        <w:t xml:space="preserve">    </w:t>
      </w:r>
      <w:r>
        <w:rPr>
          <w:rFonts w:ascii="宋体" w:eastAsia="宋体" w:hAnsi="宋体" w:cs="宋体"/>
          <w:sz w:val="24"/>
        </w:rPr>
        <w:t>包件2：</w:t>
      </w:r>
    </w:p>
    <w:p w:rsidR="00A77B3E">
      <w:pPr>
        <w:spacing w:line="360" w:lineRule="auto"/>
        <w:rPr>
          <w:rFonts w:ascii="宋体" w:eastAsia="宋体" w:hAnsi="宋体" w:cs="宋体"/>
        </w:rPr>
      </w:pPr>
      <w:r>
        <w:rPr>
          <w:rFonts w:ascii="宋体" w:eastAsia="宋体" w:hAnsi="宋体" w:cs="宋体"/>
          <w:sz w:val="24"/>
        </w:rPr>
        <w:t xml:space="preserve">    根据财政部《政府采购货物和服务招标投标管理办法》（财政部令第87号）第五十五条规定，本项目采用综合评分法，其中价格分值10分，客观分值73分，主观分值17分。具体评审标准如下：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sz w:val="21"/>
              </w:rPr>
              <w:t>序号</w:t>
            </w:r>
          </w:p>
        </w:tc>
        <w:tc>
          <w:tcPr>
            <w:tcW w:w="1276" w:type="dxa"/>
            <w:vAlign w:val="center"/>
          </w:tcPr>
          <w:p>
            <w:pPr>
              <w:spacing w:before="48" w:after="48" w:line="240" w:lineRule="auto"/>
              <w:jc w:val="center"/>
            </w:pPr>
            <w:r>
              <w:rPr>
                <w:rFonts w:ascii="宋体" w:eastAsia="宋体" w:hAnsi="宋体" w:cs="宋体"/>
                <w:b/>
                <w:sz w:val="21"/>
              </w:rPr>
              <w:t>类别</w:t>
            </w:r>
          </w:p>
        </w:tc>
        <w:tc>
          <w:tcPr>
            <w:tcW w:w="1134" w:type="dxa"/>
            <w:vAlign w:val="center"/>
          </w:tcPr>
          <w:p>
            <w:pPr>
              <w:spacing w:before="48" w:after="48" w:line="240" w:lineRule="auto"/>
              <w:jc w:val="center"/>
            </w:pPr>
            <w:r>
              <w:rPr>
                <w:rFonts w:ascii="宋体" w:eastAsia="宋体" w:hAnsi="宋体" w:cs="宋体"/>
                <w:b/>
                <w:sz w:val="21"/>
              </w:rPr>
              <w:t>评审因素</w:t>
            </w:r>
          </w:p>
        </w:tc>
        <w:tc>
          <w:tcPr>
            <w:tcW w:w="1276" w:type="dxa"/>
            <w:vAlign w:val="center"/>
          </w:tcPr>
          <w:p>
            <w:pPr>
              <w:spacing w:before="48" w:after="48" w:line="240" w:lineRule="auto"/>
              <w:jc w:val="center"/>
            </w:pPr>
            <w:r>
              <w:rPr>
                <w:rFonts w:ascii="宋体" w:eastAsia="宋体" w:hAnsi="宋体" w:cs="宋体"/>
                <w:b/>
                <w:sz w:val="21"/>
              </w:rPr>
              <w:t>主要内容</w:t>
            </w:r>
          </w:p>
        </w:tc>
        <w:tc>
          <w:tcPr>
            <w:tcW w:w="3475" w:type="dxa"/>
            <w:vAlign w:val="center"/>
          </w:tcPr>
          <w:p>
            <w:pPr>
              <w:spacing w:before="48" w:after="48" w:line="240" w:lineRule="auto"/>
              <w:jc w:val="center"/>
            </w:pPr>
            <w:r>
              <w:rPr>
                <w:rFonts w:ascii="宋体" w:eastAsia="宋体" w:hAnsi="宋体" w:cs="宋体"/>
                <w:b/>
                <w:sz w:val="21"/>
              </w:rPr>
              <w:t>指标要求</w:t>
            </w:r>
          </w:p>
        </w:tc>
        <w:tc>
          <w:tcPr>
            <w:tcW w:w="1196" w:type="dxa"/>
            <w:vAlign w:val="center"/>
          </w:tcPr>
          <w:p>
            <w:pPr>
              <w:spacing w:before="48" w:after="48" w:line="240" w:lineRule="auto"/>
              <w:jc w:val="center"/>
            </w:pPr>
            <w:r>
              <w:rPr>
                <w:rFonts w:ascii="宋体" w:eastAsia="宋体" w:hAnsi="宋体" w:cs="宋体"/>
                <w:b/>
                <w:sz w:val="21"/>
              </w:rPr>
              <w:t>细项分值</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w:t>
            </w:r>
          </w:p>
        </w:tc>
        <w:tc>
          <w:tcPr>
            <w:tcW w:w="360" w:type="dxa"/>
            <w:vMerge w:val="restart"/>
            <w:vAlign w:val="center"/>
          </w:tcPr>
          <w:p>
            <w:pPr>
              <w:spacing w:before="48" w:after="48" w:line="240" w:lineRule="auto"/>
              <w:jc w:val="center"/>
            </w:pPr>
            <w:r>
              <w:rPr>
                <w:rFonts w:ascii="宋体" w:eastAsia="宋体" w:hAnsi="宋体" w:cs="宋体"/>
                <w:sz w:val="21"/>
              </w:rPr>
              <w:t>价格分</w:t>
            </w:r>
            <w:r>
              <w:br/>
            </w:r>
            <w:r>
              <w:rPr>
                <w:rFonts w:ascii="宋体" w:eastAsia="宋体" w:hAnsi="宋体" w:cs="宋体"/>
                <w:sz w:val="21"/>
              </w:rPr>
              <w:t>(10分)</w:t>
            </w:r>
          </w:p>
        </w:tc>
        <w:tc>
          <w:tcPr>
            <w:tcW w:w="360" w:type="dxa"/>
            <w:vMerge w:val="restart"/>
            <w:vAlign w:val="center"/>
          </w:tcPr>
          <w:p>
            <w:pPr>
              <w:spacing w:before="48" w:after="48" w:line="240" w:lineRule="auto"/>
              <w:jc w:val="center"/>
            </w:pPr>
            <w:r>
              <w:rPr>
                <w:rFonts w:ascii="宋体" w:eastAsia="宋体" w:hAnsi="宋体" w:cs="宋体"/>
                <w:sz w:val="21"/>
              </w:rPr>
              <w:t>报价</w:t>
            </w:r>
          </w:p>
        </w:tc>
        <w:tc>
          <w:tcPr>
            <w:tcW w:w="360" w:type="dxa"/>
            <w:vMerge w:val="restart"/>
            <w:vAlign w:val="center"/>
          </w:tcPr>
          <w:p>
            <w:pPr>
              <w:spacing w:before="48" w:after="48" w:line="240" w:lineRule="auto"/>
              <w:jc w:val="center"/>
            </w:pPr>
            <w:r>
              <w:rPr>
                <w:rFonts w:ascii="宋体" w:eastAsia="宋体" w:hAnsi="宋体" w:cs="宋体"/>
                <w:sz w:val="21"/>
              </w:rPr>
              <w:t>价格</w:t>
            </w:r>
          </w:p>
        </w:tc>
        <w:tc>
          <w:tcPr>
            <w:tcW w:w="360" w:type="dxa"/>
          </w:tcPr>
          <w:p>
            <w:pPr>
              <w:spacing w:before="48" w:after="48" w:line="240" w:lineRule="auto"/>
            </w:pPr>
            <w:r>
              <w:rPr>
                <w:rFonts w:ascii="宋体" w:eastAsia="宋体" w:hAnsi="宋体" w:cs="宋体"/>
                <w:sz w:val="21"/>
              </w:rPr>
              <w:t>得分S＝（Pmin/P）×10，其中：Pmin为所有供应商的最低有效报价，P为供应商有效报价。</w:t>
            </w:r>
          </w:p>
        </w:tc>
        <w:tc>
          <w:tcPr>
            <w:tcW w:w="360" w:type="dxa"/>
            <w:vMerge w:val="restart"/>
            <w:vAlign w:val="center"/>
          </w:tcPr>
          <w:p>
            <w:pPr>
              <w:spacing w:before="48" w:after="48" w:line="240" w:lineRule="auto"/>
              <w:jc w:val="center"/>
            </w:pPr>
            <w:r>
              <w:rPr>
                <w:rFonts w:ascii="宋体" w:eastAsia="宋体" w:hAnsi="宋体" w:cs="宋体"/>
                <w:sz w:val="21"/>
              </w:rPr>
              <w:t>10</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2</w:t>
            </w:r>
          </w:p>
        </w:tc>
        <w:tc>
          <w:tcPr>
            <w:tcW w:w="360" w:type="dxa"/>
            <w:vMerge w:val="restart"/>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360" w:type="dxa"/>
            <w:vMerge w:val="restart"/>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成功案例</w:t>
            </w:r>
          </w:p>
        </w:tc>
        <w:tc>
          <w:tcPr>
            <w:tcW w:w="360" w:type="dxa"/>
          </w:tcPr>
          <w:p>
            <w:pPr>
              <w:spacing w:before="48" w:after="48" w:line="240" w:lineRule="auto"/>
            </w:pPr>
            <w:r>
              <w:rPr>
                <w:rFonts w:ascii="宋体" w:eastAsia="宋体" w:hAnsi="宋体" w:cs="宋体"/>
                <w:sz w:val="21"/>
              </w:rPr>
              <w:t>有效案例为2023年1月1日以来（以合同签订日期为准），供应商独立承担的肉类、蔬菜类、主副食类等食材供应项目案例，予以加分考虑。每提供一个得1分，最多得5分。</w:t>
            </w:r>
          </w:p>
        </w:tc>
        <w:tc>
          <w:tcPr>
            <w:tcW w:w="360" w:type="dxa"/>
            <w:vMerge w:val="restart"/>
            <w:vAlign w:val="center"/>
          </w:tcPr>
          <w:p>
            <w:pPr>
              <w:spacing w:before="48" w:after="48" w:line="240" w:lineRule="auto"/>
              <w:jc w:val="center"/>
            </w:pPr>
            <w:r>
              <w:rPr>
                <w:rFonts w:ascii="宋体" w:eastAsia="宋体" w:hAnsi="宋体" w:cs="宋体"/>
                <w:sz w:val="21"/>
              </w:rPr>
              <w:t>5</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3</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0" w:type="dxa"/>
            <w:vMerge/>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相关证书</w:t>
            </w:r>
          </w:p>
        </w:tc>
        <w:tc>
          <w:tcPr>
            <w:tcW w:w="360" w:type="dxa"/>
          </w:tcPr>
          <w:p>
            <w:pPr>
              <w:spacing w:before="48" w:after="48" w:line="240" w:lineRule="auto"/>
            </w:pPr>
            <w:r>
              <w:rPr>
                <w:rFonts w:ascii="宋体" w:eastAsia="宋体" w:hAnsi="宋体" w:cs="宋体"/>
                <w:sz w:val="21"/>
              </w:rPr>
              <w:t>1.具有ISO9001：2015质量管理体系认证证书，得1分。</w:t>
            </w:r>
            <w:r>
              <w:rPr>
                <w:rFonts w:ascii="宋体" w:eastAsia="宋体" w:hAnsi="宋体" w:cs="宋体"/>
                <w:sz w:val="21"/>
              </w:rPr>
              <w:br/>
            </w:r>
            <w:r>
              <w:rPr>
                <w:rFonts w:ascii="宋体" w:eastAsia="宋体" w:hAnsi="宋体" w:cs="宋体"/>
                <w:sz w:val="21"/>
              </w:rPr>
              <w:t>2.具有ISO45001职业健康安全管理体系认证证书，得1分。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4</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0" w:type="dxa"/>
            <w:vMerge/>
            <w:vAlign w:val="center"/>
          </w:tcPr>
          <w:p>
            <w:pPr>
              <w:spacing w:before="48" w:after="48" w:line="240" w:lineRule="auto"/>
              <w:jc w:val="center"/>
            </w:pPr>
            <w:r>
              <w:rPr>
                <w:rFonts w:ascii="宋体" w:eastAsia="宋体" w:hAnsi="宋体" w:cs="宋体"/>
                <w:sz w:val="21"/>
              </w:rPr>
              <w:t>履约能力</w:t>
            </w:r>
          </w:p>
        </w:tc>
        <w:tc>
          <w:tcPr>
            <w:tcW w:w="360" w:type="dxa"/>
            <w:vMerge w:val="restart"/>
            <w:vAlign w:val="center"/>
          </w:tcPr>
          <w:p>
            <w:pPr>
              <w:spacing w:before="48" w:after="48" w:line="240" w:lineRule="auto"/>
              <w:jc w:val="center"/>
            </w:pPr>
            <w:r>
              <w:rPr>
                <w:rFonts w:ascii="宋体" w:eastAsia="宋体" w:hAnsi="宋体" w:cs="宋体"/>
                <w:sz w:val="21"/>
              </w:rPr>
              <w:t>技术力量</w:t>
            </w:r>
          </w:p>
        </w:tc>
        <w:tc>
          <w:tcPr>
            <w:tcW w:w="360" w:type="dxa"/>
          </w:tcPr>
          <w:p>
            <w:pPr>
              <w:spacing w:before="48" w:after="48" w:line="240" w:lineRule="auto"/>
            </w:pPr>
            <w:r>
              <w:rPr>
                <w:rFonts w:ascii="宋体" w:eastAsia="宋体" w:hAnsi="宋体" w:cs="宋体"/>
                <w:sz w:val="21"/>
              </w:rPr>
              <w:t>(投标人为本项目提供的服务团队人员,需提供缴纳社保证明材料,否则不得分.)</w:t>
            </w:r>
            <w:r>
              <w:rPr>
                <w:rFonts w:ascii="宋体" w:eastAsia="宋体" w:hAnsi="宋体" w:cs="宋体"/>
                <w:sz w:val="21"/>
              </w:rPr>
              <w:br/>
            </w:r>
            <w:r>
              <w:rPr>
                <w:rFonts w:ascii="宋体" w:eastAsia="宋体" w:hAnsi="宋体" w:cs="宋体"/>
                <w:sz w:val="21"/>
              </w:rPr>
              <w:t>1.投入本项目的经理（1人），得2分；</w:t>
            </w:r>
            <w:r>
              <w:rPr>
                <w:rFonts w:ascii="宋体" w:eastAsia="宋体" w:hAnsi="宋体" w:cs="宋体"/>
                <w:sz w:val="21"/>
              </w:rPr>
              <w:br/>
            </w:r>
            <w:r>
              <w:rPr>
                <w:rFonts w:ascii="宋体" w:eastAsia="宋体" w:hAnsi="宋体" w:cs="宋体"/>
                <w:sz w:val="21"/>
              </w:rPr>
              <w:t>2.投入本项目的供应业务员（1人），得1分；</w:t>
            </w:r>
            <w:r>
              <w:rPr>
                <w:rFonts w:ascii="宋体" w:eastAsia="宋体" w:hAnsi="宋体" w:cs="宋体"/>
                <w:sz w:val="21"/>
              </w:rPr>
              <w:br/>
            </w:r>
            <w:r>
              <w:rPr>
                <w:rFonts w:ascii="宋体" w:eastAsia="宋体" w:hAnsi="宋体" w:cs="宋体"/>
                <w:sz w:val="21"/>
              </w:rPr>
              <w:t>3.投入本项目的食品安全管理员（1人）,得2分；</w:t>
            </w:r>
            <w:r>
              <w:rPr>
                <w:rFonts w:ascii="宋体" w:eastAsia="宋体" w:hAnsi="宋体" w:cs="宋体"/>
                <w:sz w:val="21"/>
              </w:rPr>
              <w:br/>
            </w:r>
            <w:r>
              <w:rPr>
                <w:rFonts w:ascii="宋体" w:eastAsia="宋体" w:hAnsi="宋体" w:cs="宋体"/>
                <w:sz w:val="21"/>
              </w:rPr>
              <w:t>4.投入本项目的采购员（1人）,得1分；</w:t>
            </w:r>
            <w:r>
              <w:rPr>
                <w:rFonts w:ascii="宋体" w:eastAsia="宋体" w:hAnsi="宋体" w:cs="宋体"/>
                <w:sz w:val="21"/>
              </w:rPr>
              <w:br/>
            </w:r>
            <w:r>
              <w:rPr>
                <w:rFonts w:ascii="宋体" w:eastAsia="宋体" w:hAnsi="宋体" w:cs="宋体"/>
                <w:sz w:val="21"/>
              </w:rPr>
              <w:t>5.投入本项目的配送司机（1人）：具有符合配送车辆型号的驾驶资格证书得1分。</w:t>
            </w:r>
          </w:p>
        </w:tc>
        <w:tc>
          <w:tcPr>
            <w:tcW w:w="360" w:type="dxa"/>
            <w:vMerge w:val="restart"/>
            <w:vAlign w:val="center"/>
          </w:tcPr>
          <w:p>
            <w:pPr>
              <w:spacing w:before="48" w:after="48" w:line="240" w:lineRule="auto"/>
              <w:jc w:val="center"/>
            </w:pPr>
            <w:r>
              <w:rPr>
                <w:rFonts w:ascii="宋体" w:eastAsia="宋体" w:hAnsi="宋体" w:cs="宋体"/>
                <w:sz w:val="21"/>
              </w:rPr>
              <w:t>7</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5</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(73分)</w:t>
            </w:r>
          </w:p>
        </w:tc>
        <w:tc>
          <w:tcPr>
            <w:tcW w:w="360" w:type="dxa"/>
            <w:vMerge w:val="restart"/>
            <w:vAlign w:val="center"/>
          </w:tcPr>
          <w:p>
            <w:pPr>
              <w:spacing w:before="48" w:after="48" w:line="240" w:lineRule="auto"/>
              <w:jc w:val="center"/>
            </w:pPr>
            <w:r>
              <w:rPr>
                <w:rFonts w:ascii="宋体" w:eastAsia="宋体" w:hAnsi="宋体" w:cs="宋体"/>
                <w:sz w:val="21"/>
              </w:rPr>
              <w:t>技术和服务客观指标</w:t>
            </w:r>
          </w:p>
        </w:tc>
        <w:tc>
          <w:tcPr>
            <w:tcW w:w="360" w:type="dxa"/>
            <w:vMerge w:val="restart"/>
            <w:vAlign w:val="center"/>
          </w:tcPr>
          <w:p>
            <w:pPr>
              <w:spacing w:before="48" w:after="48" w:line="240" w:lineRule="auto"/>
              <w:jc w:val="center"/>
            </w:pPr>
            <w:r>
              <w:rPr>
                <w:rFonts w:ascii="宋体" w:eastAsia="宋体" w:hAnsi="宋体" w:cs="宋体"/>
                <w:sz w:val="21"/>
              </w:rPr>
              <w:t>满足指标要求情况</w:t>
            </w:r>
          </w:p>
        </w:tc>
        <w:tc>
          <w:tcPr>
            <w:tcW w:w="360" w:type="dxa"/>
          </w:tcPr>
          <w:p>
            <w:pPr>
              <w:spacing w:before="48" w:after="48" w:line="240" w:lineRule="auto"/>
            </w:pPr>
            <w:r>
              <w:rPr>
                <w:rFonts w:ascii="宋体" w:eastAsia="宋体" w:hAnsi="宋体" w:cs="宋体"/>
                <w:sz w:val="21"/>
              </w:rPr>
              <w:t>参加本项目采购文件技术部分中的技术指标及服务指标:</w:t>
            </w:r>
            <w:r>
              <w:rPr>
                <w:rFonts w:ascii="宋体" w:eastAsia="宋体" w:hAnsi="宋体" w:cs="宋体"/>
                <w:sz w:val="21"/>
              </w:rPr>
              <w:br/>
            </w:r>
            <w:r>
              <w:rPr>
                <w:rFonts w:ascii="宋体" w:eastAsia="宋体" w:hAnsi="宋体" w:cs="宋体"/>
                <w:sz w:val="21"/>
              </w:rPr>
              <w:t>★代表最关键指标项，不满足该指标项将导致响应被拒绝；</w:t>
            </w:r>
            <w:r>
              <w:rPr>
                <w:rFonts w:ascii="宋体" w:eastAsia="宋体" w:hAnsi="宋体" w:cs="宋体"/>
                <w:sz w:val="21"/>
              </w:rPr>
              <w:br/>
            </w:r>
            <w:r>
              <w:rPr>
                <w:rFonts w:ascii="宋体" w:eastAsia="宋体" w:hAnsi="宋体" w:cs="宋体"/>
                <w:sz w:val="21"/>
              </w:rPr>
              <w:t>#代表重要指标项，满足或优于该指标项得1.5分，共计26项，共计39分；</w:t>
            </w:r>
            <w:r>
              <w:rPr>
                <w:rFonts w:ascii="宋体" w:eastAsia="宋体" w:hAnsi="宋体" w:cs="宋体"/>
                <w:sz w:val="21"/>
              </w:rPr>
              <w:br/>
            </w:r>
            <w:r>
              <w:rPr>
                <w:rFonts w:ascii="宋体" w:eastAsia="宋体" w:hAnsi="宋体" w:cs="宋体"/>
                <w:sz w:val="21"/>
              </w:rPr>
              <w:t>△表示一般指标项，满足或优于该指标项得1分，共计20项，共计20分。</w:t>
            </w:r>
            <w:r>
              <w:rPr>
                <w:rFonts w:ascii="宋体" w:eastAsia="宋体" w:hAnsi="宋体" w:cs="宋体"/>
                <w:sz w:val="21"/>
              </w:rPr>
              <w:br/>
            </w:r>
            <w:r>
              <w:rPr>
                <w:rFonts w:ascii="宋体" w:eastAsia="宋体" w:hAnsi="宋体" w:cs="宋体"/>
                <w:sz w:val="21"/>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eastAsia="宋体" w:hAnsi="宋体" w:cs="宋体"/>
                <w:sz w:val="21"/>
              </w:rPr>
              <w:t>59</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6</w:t>
            </w:r>
          </w:p>
        </w:tc>
        <w:tc>
          <w:tcPr>
            <w:tcW w:w="360" w:type="dxa"/>
            <w:vMerge w:val="restart"/>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360" w:type="dxa"/>
            <w:vMerge w:val="restart"/>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项目管理方案</w:t>
            </w:r>
          </w:p>
        </w:tc>
        <w:tc>
          <w:tcPr>
            <w:tcW w:w="360" w:type="dxa"/>
          </w:tcPr>
          <w:p>
            <w:pPr>
              <w:spacing w:before="48" w:after="48" w:line="240" w:lineRule="auto"/>
            </w:pPr>
            <w:r>
              <w:rPr>
                <w:rFonts w:ascii="宋体" w:eastAsia="宋体" w:hAnsi="宋体" w:cs="宋体"/>
                <w:sz w:val="21"/>
              </w:rPr>
              <w:t>投标人提供的方案内容应包含1.项目管理实施总要求；2.项目实施计划；3.项目质量管理。方案中每提供1项且内容完整、详细、完全符合本项目实际情况、可操作性强的得1分，最多得3分。否则不得分。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7</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供应方案</w:t>
            </w:r>
          </w:p>
        </w:tc>
        <w:tc>
          <w:tcPr>
            <w:tcW w:w="360" w:type="dxa"/>
          </w:tcPr>
          <w:p>
            <w:pPr>
              <w:spacing w:before="48" w:after="48" w:line="240" w:lineRule="auto"/>
            </w:pPr>
            <w:r>
              <w:rPr>
                <w:rFonts w:ascii="宋体" w:eastAsia="宋体" w:hAnsi="宋体" w:cs="宋体"/>
                <w:sz w:val="21"/>
              </w:rPr>
              <w:t>投标人提供的方案应包含1.服务团队管理;2.内部采购管理;3.储存分拣管理；4.运输管理。方案中每提供１项且内容完整、详细、完全符合本项目实际情况、可操作性强的得１分，最多得４分，否则不得分。</w:t>
            </w:r>
          </w:p>
        </w:tc>
        <w:tc>
          <w:tcPr>
            <w:tcW w:w="360" w:type="dxa"/>
            <w:vMerge w:val="restart"/>
            <w:vAlign w:val="center"/>
          </w:tcPr>
          <w:p>
            <w:pPr>
              <w:spacing w:before="48" w:after="48" w:line="240" w:lineRule="auto"/>
              <w:jc w:val="center"/>
            </w:pPr>
            <w:r>
              <w:rPr>
                <w:rFonts w:ascii="宋体" w:eastAsia="宋体" w:hAnsi="宋体" w:cs="宋体"/>
                <w:sz w:val="21"/>
              </w:rPr>
              <w:t>4</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8</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质量安全把控方案</w:t>
            </w:r>
          </w:p>
        </w:tc>
        <w:tc>
          <w:tcPr>
            <w:tcW w:w="360" w:type="dxa"/>
          </w:tcPr>
          <w:p>
            <w:pPr>
              <w:spacing w:before="48" w:after="48" w:line="240" w:lineRule="auto"/>
            </w:pPr>
            <w:r>
              <w:rPr>
                <w:rFonts w:ascii="宋体" w:eastAsia="宋体" w:hAnsi="宋体" w:cs="宋体"/>
                <w:sz w:val="21"/>
              </w:rPr>
              <w:t>投标人提供的方案应包含1.货物质量把控措施;2.检验检疫措施。方案中每提供１项且内容完整、详细、完全符合本项目实际情况、可操作性强的得2分，最多得4分，否则不得分。</w:t>
            </w:r>
          </w:p>
        </w:tc>
        <w:tc>
          <w:tcPr>
            <w:tcW w:w="360" w:type="dxa"/>
            <w:vMerge w:val="restart"/>
            <w:vAlign w:val="center"/>
          </w:tcPr>
          <w:p>
            <w:pPr>
              <w:spacing w:before="48" w:after="48" w:line="240" w:lineRule="auto"/>
              <w:jc w:val="center"/>
            </w:pPr>
            <w:r>
              <w:rPr>
                <w:rFonts w:ascii="宋体" w:eastAsia="宋体" w:hAnsi="宋体" w:cs="宋体"/>
                <w:sz w:val="21"/>
              </w:rPr>
              <w:t>4</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9</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应急保障方案</w:t>
            </w:r>
          </w:p>
        </w:tc>
        <w:tc>
          <w:tcPr>
            <w:tcW w:w="360" w:type="dxa"/>
          </w:tcPr>
          <w:p>
            <w:pPr>
              <w:spacing w:before="48" w:after="48" w:line="240" w:lineRule="auto"/>
            </w:pPr>
            <w:r>
              <w:rPr>
                <w:rFonts w:ascii="宋体" w:eastAsia="宋体" w:hAnsi="宋体" w:cs="宋体"/>
                <w:sz w:val="21"/>
              </w:rPr>
              <w:t>投标人提供的方案应包含1.应急保障措施;2.预防机制；方案中每提供１项且内容完整、详细、完全符合本项目实际情况、可操作性强的得１.5分，最多得３分，否则不得分。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10</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(17分)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货物验收方案</w:t>
            </w:r>
          </w:p>
        </w:tc>
        <w:tc>
          <w:tcPr>
            <w:tcW w:w="360" w:type="dxa"/>
          </w:tcPr>
          <w:p>
            <w:pPr>
              <w:spacing w:before="48" w:after="48" w:line="240" w:lineRule="auto"/>
            </w:pPr>
            <w:r>
              <w:rPr>
                <w:rFonts w:ascii="宋体" w:eastAsia="宋体" w:hAnsi="宋体" w:cs="宋体"/>
                <w:sz w:val="21"/>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1800" w:type="dxa"/>
            <w:gridSpan w:val="5"/>
          </w:tcPr>
          <w:p>
            <w:pPr>
              <w:spacing w:before="48" w:after="48" w:line="240" w:lineRule="auto"/>
              <w:jc w:val="center"/>
            </w:pPr>
            <w:r>
              <w:rPr>
                <w:rFonts w:ascii="宋体" w:eastAsia="宋体" w:hAnsi="宋体" w:cs="宋体"/>
                <w:sz w:val="21"/>
              </w:rPr>
              <w:t>合计</w:t>
            </w:r>
          </w:p>
        </w:tc>
        <w:tc>
          <w:tcPr>
            <w:tcW w:w="360" w:type="dxa"/>
          </w:tcPr>
          <w:p>
            <w:pPr>
              <w:spacing w:before="48" w:after="48" w:line="240" w:lineRule="auto"/>
              <w:jc w:val="center"/>
            </w:pPr>
            <w:r>
              <w:rPr>
                <w:rFonts w:ascii="宋体" w:eastAsia="宋体" w:hAnsi="宋体" w:cs="宋体"/>
                <w:sz w:val="21"/>
              </w:rPr>
              <w:t>100</w:t>
            </w:r>
          </w:p>
        </w:tc>
      </w:tr>
    </w:tbl>
    <w:p w:rsidR="00A77B3E">
      <w:pPr>
        <w:spacing w:line="360" w:lineRule="auto"/>
        <w:rPr>
          <w:rFonts w:ascii="宋体" w:eastAsia="宋体" w:hAnsi="宋体" w:cs="宋体"/>
        </w:rPr>
      </w:pPr>
      <w:bookmarkEnd w:id="53"/>
      <w:bookmarkStart w:id="54" w:name="_Toc525052847"/>
    </w:p>
    <w:p w14:paraId="13CACDE0">
      <w:pPr>
        <w:pStyle w:val="Heading1"/>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ascii="Times New Roman" w:eastAsia="宋体" w:hAnsi="Times New Roman" w:cs="Times New Roman" w:hint="eastAsia"/>
          <w:b/>
          <w:bCs/>
          <w:color w:val="auto"/>
          <w:kern w:val="44"/>
          <w:sz w:val="36"/>
          <w:szCs w:val="36"/>
          <w:highlight w:val="none"/>
          <w:lang w:val="en-US" w:eastAsia="zh-CN" w:bidi="ar-SA"/>
        </w:rPr>
      </w:pPr>
      <w:r>
        <w:rPr>
          <w:color w:val="auto"/>
          <w:highlight w:val="none"/>
        </w:rPr>
        <w:br w:type="page"/>
      </w:r>
      <w:bookmarkStart w:id="55" w:name="_Toc1505390621"/>
      <w:bookmarkStart w:id="56" w:name="_Toc1406510925"/>
      <w:bookmarkStart w:id="57" w:name="_Toc38030150"/>
      <w:bookmarkStart w:id="58" w:name="_Toc1484421284"/>
      <w:bookmarkStart w:id="59" w:name="_Toc614538032"/>
      <w:bookmarkStart w:id="60" w:name="_Toc353483817"/>
      <w:bookmarkStart w:id="61" w:name="_Toc256000003"/>
      <w:r>
        <w:rPr>
          <w:rStyle w:val="1Char"/>
          <w:rFonts w:hint="eastAsia"/>
          <w:b/>
          <w:bCs/>
          <w:lang w:val="en-US" w:eastAsia="zh-CN"/>
        </w:rPr>
        <w:t>第四章  政府采购合同文本</w:t>
      </w:r>
      <w:bookmarkEnd w:id="61"/>
      <w:bookmarkEnd w:id="54"/>
      <w:bookmarkEnd w:id="55"/>
      <w:bookmarkEnd w:id="56"/>
      <w:bookmarkEnd w:id="57"/>
      <w:bookmarkEnd w:id="58"/>
      <w:bookmarkEnd w:id="59"/>
      <w:bookmarkEnd w:id="60"/>
    </w:p>
    <w:p>
      <w:pPr>
        <w:widowControl w:val="0"/>
        <w:adjustRightInd w:val="0"/>
        <w:spacing w:before="0" w:beforeAutospacing="0" w:after="0" w:afterAutospacing="0" w:line="360" w:lineRule="atLeast"/>
        <w:jc w:val="center"/>
        <w:textAlignment w:val="baseline"/>
        <w:rPr>
          <w:rFonts w:ascii="宋体" w:eastAsia="宋体" w:hAnsi="Courier New" w:hint="eastAsia"/>
          <w:b/>
          <w:bCs/>
          <w:kern w:val="44"/>
          <w:sz w:val="36"/>
          <w:szCs w:val="36"/>
          <w:lang w:eastAsia="zh-CN"/>
        </w:rPr>
      </w:pPr>
      <w:bookmarkStart w:id="62" w:name="采购合同_zxzbsw_CGHT"/>
      <w:r>
        <w:rPr>
          <w:rFonts w:ascii="宋体" w:eastAsia="宋体" w:hAnsi="Courier New" w:hint="eastAsia"/>
          <w:b/>
          <w:bCs/>
          <w:kern w:val="44"/>
          <w:sz w:val="36"/>
          <w:szCs w:val="36"/>
          <w:lang w:eastAsia="zh-CN"/>
        </w:rPr>
        <w:t>政府采购合同文本（服务类）</w:t>
      </w:r>
    </w:p>
    <w:p>
      <w:pPr>
        <w:widowControl w:val="0"/>
        <w:adjustRightInd w:val="0"/>
        <w:spacing w:before="0" w:beforeAutospacing="0" w:after="0" w:afterAutospacing="0" w:line="360" w:lineRule="atLeast"/>
        <w:jc w:val="center"/>
        <w:textAlignment w:val="baseline"/>
        <w:rPr>
          <w:rFonts w:ascii="宋体" w:eastAsia="宋体" w:hAnsi="Courier New" w:hint="eastAsia"/>
          <w:b/>
          <w:bCs/>
          <w:kern w:val="44"/>
          <w:sz w:val="36"/>
          <w:szCs w:val="36"/>
          <w:lang w:eastAsia="zh-CN"/>
        </w:rPr>
      </w:pPr>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r>
        <w:rPr>
          <w:rFonts w:ascii="宋体" w:eastAsia="宋体" w:hAnsi="宋体" w:cs="宋体" w:hint="eastAsia"/>
          <w:b/>
          <w:sz w:val="96"/>
          <w:szCs w:val="96"/>
          <w:lang w:eastAsia="zh-CN"/>
        </w:rPr>
        <w:t>合 同 书</w:t>
      </w:r>
    </w:p>
    <w:p>
      <w:pPr>
        <w:widowControl w:val="0"/>
        <w:tabs>
          <w:tab w:val="left" w:pos="540"/>
          <w:tab w:val="left" w:pos="1080"/>
          <w:tab w:val="left" w:pos="1440"/>
        </w:tabs>
        <w:snapToGrid w:val="0"/>
        <w:spacing w:before="0" w:beforeAutospacing="0" w:after="0" w:afterAutospacing="0" w:line="259" w:lineRule="auto"/>
        <w:jc w:val="center"/>
        <w:rPr>
          <w:rFonts w:ascii="宋体" w:eastAsia="宋体" w:hAnsi="宋体" w:cs="宋体" w:hint="eastAsia"/>
          <w:kern w:val="2"/>
          <w:sz w:val="32"/>
          <w:szCs w:val="32"/>
          <w:lang w:eastAsia="zh-CN"/>
        </w:rPr>
      </w:pPr>
    </w:p>
    <w:p>
      <w:pPr>
        <w:widowControl w:val="0"/>
        <w:tabs>
          <w:tab w:val="left" w:pos="540"/>
          <w:tab w:val="left" w:pos="1080"/>
          <w:tab w:val="left" w:pos="1440"/>
        </w:tabs>
        <w:snapToGrid w:val="0"/>
        <w:spacing w:before="0" w:beforeAutospacing="0" w:after="0" w:afterAutospacing="0" w:line="259" w:lineRule="auto"/>
        <w:jc w:val="center"/>
        <w:rPr>
          <w:rFonts w:ascii="宋体" w:eastAsia="宋体" w:hAnsi="宋体" w:cs="宋体" w:hint="eastAsia"/>
          <w:kern w:val="2"/>
          <w:sz w:val="32"/>
          <w:szCs w:val="32"/>
          <w:lang w:eastAsia="zh-CN"/>
        </w:rPr>
      </w:pPr>
    </w:p>
    <w:p>
      <w:pPr>
        <w:widowControl w:val="0"/>
        <w:tabs>
          <w:tab w:val="left" w:pos="540"/>
          <w:tab w:val="left" w:pos="1080"/>
          <w:tab w:val="left" w:pos="1440"/>
        </w:tabs>
        <w:snapToGrid w:val="0"/>
        <w:spacing w:before="0" w:beforeAutospacing="0" w:after="0" w:afterAutospacing="0" w:line="500" w:lineRule="exact"/>
        <w:ind w:left="840" w:leftChars="400"/>
        <w:jc w:val="both"/>
        <w:rPr>
          <w:rFonts w:ascii="宋体" w:eastAsia="宋体" w:hAnsi="宋体" w:cs="宋体" w:hint="eastAsia"/>
          <w:b/>
          <w:kern w:val="2"/>
          <w:sz w:val="32"/>
          <w:szCs w:val="32"/>
          <w:lang w:eastAsia="zh-CN"/>
        </w:rPr>
      </w:pPr>
      <w:r>
        <w:rPr>
          <w:rFonts w:ascii="宋体" w:eastAsia="宋体" w:hAnsi="宋体" w:cs="宋体" w:hint="eastAsia"/>
          <w:b/>
          <w:kern w:val="2"/>
          <w:sz w:val="32"/>
          <w:szCs w:val="32"/>
          <w:lang w:eastAsia="zh-CN"/>
        </w:rPr>
        <w:t>项目名称：</w:t>
      </w:r>
      <w:r>
        <w:rPr>
          <w:rFonts w:ascii="宋体" w:eastAsia="宋体" w:hAnsi="宋体" w:cs="宋体" w:hint="eastAsia"/>
          <w:b/>
          <w:kern w:val="2"/>
          <w:sz w:val="32"/>
          <w:szCs w:val="32"/>
          <w:lang w:eastAsia="zh-CN"/>
        </w:rPr>
        <w:tab/>
      </w:r>
      <w:r>
        <w:rPr>
          <w:rFonts w:ascii="宋体" w:eastAsia="宋体" w:hAnsi="宋体" w:cs="宋体" w:hint="eastAsia"/>
          <w:b/>
          <w:kern w:val="2"/>
          <w:sz w:val="28"/>
          <w:szCs w:val="28"/>
          <w:lang w:eastAsia="zh-CN"/>
        </w:rPr>
        <w:t>国家税务总局XXX税务局2026年食材采购项目</w:t>
      </w:r>
      <w:r>
        <w:rPr>
          <w:rFonts w:ascii="宋体" w:eastAsia="宋体" w:hAnsi="宋体" w:cs="宋体" w:hint="eastAsia"/>
          <w:b/>
          <w:kern w:val="2"/>
          <w:sz w:val="28"/>
          <w:szCs w:val="28"/>
          <w:lang w:eastAsia="zh-CN"/>
        </w:rPr>
        <w:tab/>
      </w:r>
      <w:r>
        <w:rPr>
          <w:rFonts w:ascii="宋体" w:eastAsia="宋体" w:hAnsi="宋体" w:cs="宋体" w:hint="eastAsia"/>
          <w:b/>
          <w:kern w:val="2"/>
          <w:sz w:val="28"/>
          <w:szCs w:val="28"/>
          <w:lang w:eastAsia="zh-CN"/>
        </w:rPr>
        <w:tab/>
      </w:r>
      <w:r>
        <w:rPr>
          <w:rFonts w:ascii="宋体" w:eastAsia="宋体" w:hAnsi="宋体" w:cs="宋体" w:hint="eastAsia"/>
          <w:b/>
          <w:kern w:val="2"/>
          <w:sz w:val="32"/>
          <w:szCs w:val="32"/>
          <w:lang w:eastAsia="zh-CN"/>
        </w:rPr>
        <w:tab/>
      </w:r>
      <w:r>
        <w:rPr>
          <w:rFonts w:ascii="宋体" w:eastAsia="宋体" w:hAnsi="宋体" w:cs="宋体" w:hint="eastAsia"/>
          <w:b/>
          <w:kern w:val="2"/>
          <w:sz w:val="32"/>
          <w:szCs w:val="32"/>
          <w:lang w:eastAsia="zh-CN"/>
        </w:rPr>
        <w:tab/>
      </w:r>
      <w:r>
        <w:rPr>
          <w:rFonts w:ascii="宋体" w:eastAsia="宋体" w:hAnsi="宋体" w:cs="宋体" w:hint="eastAsia"/>
          <w:b/>
          <w:kern w:val="2"/>
          <w:sz w:val="32"/>
          <w:szCs w:val="32"/>
          <w:lang w:eastAsia="zh-CN"/>
        </w:rPr>
        <w:tab/>
      </w:r>
      <w:r>
        <w:rPr>
          <w:rFonts w:ascii="宋体" w:eastAsia="宋体" w:hAnsi="宋体" w:cs="宋体" w:hint="eastAsia"/>
          <w:b/>
          <w:kern w:val="2"/>
          <w:sz w:val="32"/>
          <w:szCs w:val="32"/>
          <w:lang w:eastAsia="zh-CN"/>
        </w:rPr>
        <w:tab/>
      </w:r>
      <w:r>
        <w:rPr>
          <w:rFonts w:ascii="宋体" w:eastAsia="宋体" w:hAnsi="宋体" w:cs="宋体" w:hint="eastAsia"/>
          <w:b/>
          <w:kern w:val="2"/>
          <w:sz w:val="32"/>
          <w:szCs w:val="32"/>
          <w:lang w:eastAsia="zh-CN"/>
        </w:rPr>
        <w:tab/>
      </w:r>
      <w:r>
        <w:rPr>
          <w:rFonts w:ascii="宋体" w:eastAsia="宋体" w:hAnsi="宋体" w:cs="宋体" w:hint="eastAsia"/>
          <w:b/>
          <w:kern w:val="2"/>
          <w:sz w:val="32"/>
          <w:szCs w:val="32"/>
          <w:lang w:eastAsia="zh-CN"/>
        </w:rPr>
        <w:tab/>
      </w:r>
    </w:p>
    <w:p>
      <w:pPr>
        <w:widowControl w:val="0"/>
        <w:tabs>
          <w:tab w:val="left" w:pos="540"/>
          <w:tab w:val="left" w:pos="1080"/>
          <w:tab w:val="left" w:pos="1440"/>
        </w:tabs>
        <w:snapToGrid w:val="0"/>
        <w:spacing w:before="0" w:beforeAutospacing="0" w:after="0" w:afterAutospacing="0" w:line="500" w:lineRule="exact"/>
        <w:ind w:left="840" w:leftChars="400"/>
        <w:jc w:val="both"/>
        <w:rPr>
          <w:rFonts w:ascii="宋体" w:eastAsia="宋体" w:hAnsi="宋体" w:cs="宋体" w:hint="eastAsia"/>
          <w:b/>
          <w:kern w:val="2"/>
          <w:sz w:val="32"/>
          <w:szCs w:val="32"/>
          <w:lang w:eastAsia="zh-CN"/>
        </w:rPr>
      </w:pPr>
      <w:r>
        <w:rPr>
          <w:rFonts w:ascii="宋体" w:eastAsia="宋体" w:hAnsi="宋体" w:cs="宋体" w:hint="eastAsia"/>
          <w:b/>
          <w:kern w:val="2"/>
          <w:sz w:val="32"/>
          <w:szCs w:val="32"/>
          <w:lang w:eastAsia="zh-CN"/>
        </w:rPr>
        <w:t>合同编号：</w:t>
      </w:r>
    </w:p>
    <w:p>
      <w:pPr>
        <w:widowControl w:val="0"/>
        <w:tabs>
          <w:tab w:val="left" w:pos="2160"/>
        </w:tabs>
        <w:topLinePunct/>
        <w:autoSpaceDE w:val="0"/>
        <w:autoSpaceDN w:val="0"/>
        <w:snapToGrid w:val="0"/>
        <w:spacing w:before="0" w:beforeAutospacing="0" w:after="0" w:afterAutospacing="0" w:line="360" w:lineRule="auto"/>
        <w:ind w:left="2558" w:hanging="1600" w:leftChars="456" w:hangingChars="500"/>
        <w:jc w:val="both"/>
        <w:rPr>
          <w:rFonts w:ascii="宋体" w:eastAsia="宋体" w:hAnsi="宋体" w:cs="宋体" w:hint="eastAsia"/>
          <w:b/>
          <w:kern w:val="2"/>
          <w:sz w:val="32"/>
          <w:szCs w:val="32"/>
          <w:lang w:eastAsia="zh-CN"/>
        </w:rPr>
      </w:pPr>
    </w:p>
    <w:p>
      <w:pPr>
        <w:widowControl w:val="0"/>
        <w:adjustRightInd w:val="0"/>
        <w:spacing w:before="0" w:beforeAutospacing="0" w:after="0" w:afterAutospacing="0" w:line="460" w:lineRule="exact"/>
        <w:jc w:val="center"/>
        <w:textAlignment w:val="baseline"/>
        <w:rPr>
          <w:rFonts w:ascii="宋体" w:eastAsia="宋体" w:hAnsi="宋体" w:cs="宋体" w:hint="eastAsia"/>
          <w:b/>
          <w:sz w:val="52"/>
          <w:szCs w:val="21"/>
          <w:lang w:eastAsia="zh-CN"/>
        </w:rPr>
      </w:pP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32"/>
          <w:szCs w:val="21"/>
          <w:lang w:eastAsia="zh-CN"/>
        </w:rPr>
      </w:pPr>
      <w:r>
        <w:rPr>
          <w:rFonts w:ascii="宋体" w:eastAsia="宋体" w:hAnsi="宋体" w:cs="宋体" w:hint="eastAsia"/>
          <w:b/>
          <w:sz w:val="32"/>
          <w:szCs w:val="21"/>
          <w:lang w:eastAsia="zh-CN"/>
        </w:rPr>
        <w:tab/>
      </w: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32"/>
          <w:szCs w:val="21"/>
          <w:lang w:eastAsia="zh-CN"/>
        </w:rPr>
      </w:pP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52"/>
          <w:szCs w:val="21"/>
          <w:lang w:eastAsia="zh-CN"/>
        </w:rPr>
      </w:pPr>
    </w:p>
    <w:p>
      <w:pPr>
        <w:widowControl w:val="0"/>
        <w:adjustRightInd w:val="0"/>
        <w:spacing w:before="0" w:beforeAutospacing="0" w:after="0" w:afterAutospacing="0" w:line="460" w:lineRule="exact"/>
        <w:jc w:val="both"/>
        <w:textAlignment w:val="baseline"/>
        <w:rPr>
          <w:rFonts w:ascii="宋体" w:eastAsia="宋体" w:hAnsi="宋体" w:cs="宋体" w:hint="eastAsia"/>
          <w:b/>
          <w:sz w:val="52"/>
          <w:szCs w:val="21"/>
          <w:lang w:eastAsia="zh-CN"/>
        </w:rPr>
      </w:pPr>
    </w:p>
    <w:p>
      <w:pPr>
        <w:widowControl w:val="0"/>
        <w:adjustRightInd w:val="0"/>
        <w:spacing w:before="0" w:beforeAutospacing="0" w:after="0" w:afterAutospacing="0" w:line="460" w:lineRule="exact"/>
        <w:jc w:val="center"/>
        <w:textAlignment w:val="baseline"/>
        <w:rPr>
          <w:rFonts w:ascii="宋体" w:eastAsia="宋体" w:hAnsi="宋体" w:cs="宋体" w:hint="eastAsia"/>
          <w:b/>
          <w:sz w:val="52"/>
          <w:szCs w:val="21"/>
          <w:lang w:eastAsia="zh-CN"/>
        </w:rPr>
      </w:pP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lang w:eastAsia="zh-CN"/>
        </w:rPr>
      </w:pPr>
      <w:r>
        <w:rPr>
          <w:rFonts w:ascii="宋体" w:eastAsia="宋体" w:hAnsi="宋体" w:cs="宋体" w:hint="eastAsia"/>
          <w:b/>
          <w:bCs/>
          <w:kern w:val="2"/>
          <w:sz w:val="28"/>
          <w:lang w:eastAsia="zh-CN"/>
        </w:rPr>
        <w:t xml:space="preserve">甲    方： </w:t>
      </w:r>
      <w:r>
        <w:rPr>
          <w:rFonts w:ascii="宋体" w:eastAsia="宋体" w:hAnsi="宋体" w:cs="宋体" w:hint="eastAsia"/>
          <w:b/>
          <w:bCs/>
          <w:kern w:val="2"/>
          <w:sz w:val="28"/>
          <w:u w:val="single"/>
          <w:lang w:eastAsia="zh-CN"/>
        </w:rPr>
        <w:t xml:space="preserve"> </w:t>
      </w:r>
      <w:r>
        <w:rPr>
          <w:rFonts w:ascii="宋体" w:eastAsia="宋体" w:hAnsi="宋体" w:cs="宋体" w:hint="eastAsia"/>
          <w:b/>
          <w:bCs/>
          <w:kern w:val="2"/>
          <w:sz w:val="28"/>
          <w:u w:val="single"/>
          <w:lang w:eastAsia="zh-CN"/>
        </w:rPr>
        <w:tab/>
      </w:r>
      <w:r>
        <w:rPr>
          <w:rFonts w:ascii="宋体" w:eastAsia="宋体" w:hAnsi="宋体" w:cs="宋体" w:hint="eastAsia"/>
          <w:b/>
          <w:bCs/>
          <w:kern w:val="2"/>
          <w:sz w:val="28"/>
          <w:u w:val="single"/>
          <w:lang w:eastAsia="zh-CN"/>
        </w:rPr>
        <w:t>国家税务总局</w:t>
      </w:r>
      <w:r>
        <w:rPr>
          <w:rFonts w:ascii="宋体" w:eastAsia="宋体" w:hAnsi="宋体" w:cs="宋体" w:hint="eastAsia"/>
          <w:b/>
          <w:bCs/>
          <w:kern w:val="2"/>
          <w:sz w:val="28"/>
          <w:u w:val="single"/>
          <w:lang w:eastAsia="zh-CN"/>
        </w:rPr>
        <w:t>XXX</w:t>
      </w:r>
      <w:r>
        <w:rPr>
          <w:rFonts w:ascii="宋体" w:eastAsia="宋体" w:hAnsi="宋体" w:cs="宋体" w:hint="eastAsia"/>
          <w:b/>
          <w:bCs/>
          <w:kern w:val="2"/>
          <w:sz w:val="28"/>
          <w:u w:val="single"/>
          <w:lang w:eastAsia="zh-CN"/>
        </w:rPr>
        <w:t xml:space="preserve">税务局                 </w:t>
      </w: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u w:val="single"/>
          <w:lang w:eastAsia="zh-CN"/>
        </w:rPr>
      </w:pPr>
      <w:r>
        <w:rPr>
          <w:rFonts w:ascii="宋体" w:eastAsia="宋体" w:hAnsi="宋体" w:cs="宋体" w:hint="eastAsia"/>
          <w:b/>
          <w:bCs/>
          <w:kern w:val="2"/>
          <w:sz w:val="28"/>
          <w:lang w:eastAsia="zh-CN"/>
        </w:rPr>
        <w:t xml:space="preserve">乙    方： </w:t>
      </w:r>
      <w:r>
        <w:rPr>
          <w:rFonts w:ascii="宋体" w:eastAsia="宋体" w:hAnsi="宋体" w:cs="宋体" w:hint="eastAsia"/>
          <w:b/>
          <w:bCs/>
          <w:kern w:val="2"/>
          <w:sz w:val="28"/>
          <w:u w:val="single"/>
          <w:lang w:eastAsia="zh-CN"/>
        </w:rPr>
        <w:t xml:space="preserve">                                      </w:t>
      </w: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u w:val="single"/>
          <w:lang w:eastAsia="zh-CN"/>
        </w:rPr>
      </w:pPr>
      <w:r>
        <w:rPr>
          <w:rFonts w:ascii="宋体" w:eastAsia="宋体" w:hAnsi="宋体" w:cs="宋体" w:hint="eastAsia"/>
          <w:b/>
          <w:bCs/>
          <w:kern w:val="2"/>
          <w:sz w:val="28"/>
          <w:lang w:eastAsia="zh-CN"/>
        </w:rPr>
        <w:t xml:space="preserve">日    期： </w:t>
      </w:r>
      <w:r>
        <w:rPr>
          <w:rFonts w:ascii="宋体" w:eastAsia="宋体" w:hAnsi="宋体" w:cs="宋体" w:hint="eastAsia"/>
          <w:b/>
          <w:bCs/>
          <w:kern w:val="2"/>
          <w:sz w:val="28"/>
          <w:u w:val="single"/>
          <w:lang w:eastAsia="zh-CN"/>
        </w:rPr>
        <w:t xml:space="preserve">        年      月                     </w:t>
      </w:r>
    </w:p>
    <w:p>
      <w:pPr>
        <w:widowControl w:val="0"/>
        <w:spacing w:before="0" w:beforeAutospacing="0" w:after="0" w:afterAutospacing="0" w:line="300" w:lineRule="auto"/>
        <w:jc w:val="center"/>
        <w:rPr>
          <w:rFonts w:ascii="宋体" w:eastAsia="宋体" w:hAnsi="宋体" w:cs="宋体" w:hint="eastAsia"/>
          <w:b/>
          <w:kern w:val="2"/>
          <w:sz w:val="28"/>
          <w:lang w:eastAsia="zh-CN"/>
        </w:rPr>
      </w:pPr>
      <w:r>
        <w:rPr>
          <w:rFonts w:ascii="宋体" w:eastAsia="宋体" w:hAnsi="宋体" w:cs="宋体"/>
          <w:b/>
          <w:bCs/>
          <w:kern w:val="2"/>
          <w:sz w:val="28"/>
          <w:u w:val="single"/>
          <w:lang w:eastAsia="zh-CN"/>
        </w:rPr>
        <w:br w:type="page"/>
      </w:r>
      <w:r>
        <w:rPr>
          <w:rFonts w:ascii="宋体" w:eastAsia="宋体" w:hAnsi="宋体" w:cs="宋体" w:hint="eastAsia"/>
          <w:b/>
          <w:kern w:val="2"/>
          <w:sz w:val="28"/>
          <w:lang w:eastAsia="zh-CN"/>
        </w:rPr>
        <w:t>合同条款前附表</w:t>
      </w:r>
    </w:p>
    <w:tbl>
      <w:tblPr>
        <w:tblStyle w:val="TableNormal"/>
        <w:tblW w:w="884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520"/>
        <w:gridCol w:w="544"/>
        <w:gridCol w:w="1376"/>
        <w:gridCol w:w="6388"/>
        <w:gridCol w:w="13"/>
      </w:tblGrid>
      <w:tr>
        <w:tblPrEx>
          <w:tblW w:w="884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gridAfter w:val="1"/>
          <w:wAfter w:w="13" w:type="dxa"/>
          <w:trHeight w:hRule="exact" w:val="5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b/>
                <w:kern w:val="2"/>
                <w:sz w:val="28"/>
                <w:szCs w:val="28"/>
                <w:lang w:eastAsia="zh-CN"/>
              </w:rPr>
            </w:pPr>
            <w:r>
              <w:rPr>
                <w:rFonts w:ascii="仿宋_GB2312" w:eastAsia="仿宋_GB2312" w:hAnsi="仿宋_GB2312" w:cs="仿宋_GB2312" w:hint="eastAsia"/>
                <w:b/>
                <w:kern w:val="2"/>
                <w:sz w:val="28"/>
                <w:szCs w:val="28"/>
                <w:lang w:eastAsia="zh-CN"/>
              </w:rPr>
              <w:t>序号</w:t>
            </w:r>
          </w:p>
        </w:tc>
        <w:tc>
          <w:tcPr>
            <w:tcW w:w="8308" w:type="dxa"/>
            <w:gridSpan w:val="3"/>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b/>
                <w:kern w:val="2"/>
                <w:sz w:val="28"/>
                <w:szCs w:val="28"/>
                <w:lang w:eastAsia="zh-CN"/>
              </w:rPr>
            </w:pPr>
            <w:r>
              <w:rPr>
                <w:rFonts w:ascii="仿宋_GB2312" w:eastAsia="仿宋_GB2312" w:hAnsi="仿宋_GB2312" w:cs="仿宋_GB2312" w:hint="eastAsia"/>
                <w:b/>
                <w:kern w:val="2"/>
                <w:sz w:val="28"/>
                <w:szCs w:val="28"/>
                <w:lang w:eastAsia="zh-CN"/>
              </w:rPr>
              <w:t>内        容</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合同名称</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国家税务总局</w:t>
            </w:r>
            <w:r>
              <w:rPr>
                <w:rFonts w:ascii="仿宋_GB2312" w:eastAsia="仿宋_GB2312" w:hAnsi="仿宋_GB2312" w:cs="仿宋_GB2312" w:hint="eastAsia"/>
                <w:bCs/>
                <w:kern w:val="2"/>
                <w:lang w:eastAsia="zh-CN"/>
              </w:rPr>
              <w:t>XXX</w:t>
            </w:r>
            <w:r>
              <w:rPr>
                <w:rFonts w:ascii="仿宋_GB2312" w:eastAsia="仿宋_GB2312" w:hAnsi="仿宋_GB2312" w:cs="仿宋_GB2312" w:hint="eastAsia"/>
                <w:bCs/>
                <w:kern w:val="2"/>
                <w:lang w:eastAsia="zh-CN"/>
              </w:rPr>
              <w:t>税务局2026年食材采购项目</w:t>
            </w:r>
            <w:r>
              <w:rPr>
                <w:rFonts w:ascii="仿宋_GB2312" w:eastAsia="仿宋_GB2312" w:hAnsi="仿宋_GB2312" w:cs="仿宋_GB2312" w:hint="eastAsia"/>
                <w:bCs/>
                <w:kern w:val="2"/>
                <w:lang w:eastAsia="zh-CN"/>
              </w:rPr>
              <w:t>合同</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2</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合同编号</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3</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合同类型</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left"/>
              <w:rPr>
                <w:rFonts w:ascii="仿宋_GB2312" w:eastAsia="仿宋_GB2312" w:hAnsi="仿宋_GB2312" w:cs="仿宋_GB2312" w:hint="eastAsia"/>
                <w:b/>
                <w:bCs/>
                <w:kern w:val="2"/>
                <w:sz w:val="28"/>
                <w:szCs w:val="28"/>
                <w:lang w:eastAsia="zh-CN"/>
              </w:rPr>
            </w:pPr>
            <w:r>
              <w:rPr>
                <w:rFonts w:ascii="仿宋_GB2312" w:eastAsia="仿宋_GB2312" w:hAnsi="仿宋_GB2312" w:cs="仿宋_GB2312" w:hint="eastAsia"/>
                <w:kern w:val="2"/>
                <w:lang w:eastAsia="zh-CN"/>
              </w:rPr>
              <w:t>专门面向中小企业预留合同</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4</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定价方式</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bCs/>
                <w:kern w:val="2"/>
                <w:lang w:eastAsia="zh-CN"/>
              </w:rPr>
              <w:t>固定</w:t>
            </w:r>
            <w:r>
              <w:rPr>
                <w:rFonts w:ascii="仿宋_GB2312" w:eastAsia="仿宋_GB2312" w:hAnsi="仿宋_GB2312" w:cs="仿宋_GB2312" w:hint="eastAsia"/>
                <w:bCs/>
                <w:kern w:val="2"/>
                <w:lang w:eastAsia="zh-CN"/>
              </w:rPr>
              <w:t>结算率</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809"/>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5</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项目类别</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7" w:lineRule="auto"/>
              <w:jc w:val="both"/>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bCs/>
                <w:kern w:val="2"/>
                <w:lang w:eastAsia="zh-CN"/>
              </w:rPr>
              <w:t xml:space="preserve">□ 信息化项目      </w:t>
            </w:r>
            <w:r>
              <w:rPr>
                <w:rFonts w:ascii="Wingdings 2" w:eastAsia="仿宋_GB2312" w:hAnsi="Wingdings 2" w:cs="仿宋_GB2312"/>
                <w:bCs/>
                <w:kern w:val="2"/>
                <w:lang w:eastAsia="zh-CN"/>
              </w:rPr>
              <w:sym w:font="Wingdings 2" w:char="F052"/>
            </w:r>
            <w:r>
              <w:rPr>
                <w:rFonts w:ascii="仿宋_GB2312" w:eastAsia="仿宋_GB2312" w:hAnsi="仿宋_GB2312" w:cs="仿宋_GB2312" w:hint="eastAsia"/>
                <w:bCs/>
                <w:kern w:val="2"/>
                <w:lang w:eastAsia="zh-CN"/>
              </w:rPr>
              <w:t>非信息化项目</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val="restart"/>
            <w:tcBorders>
              <w:top w:val="single" w:sz="4" w:space="0" w:color="auto"/>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6</w:t>
            </w:r>
          </w:p>
        </w:tc>
        <w:tc>
          <w:tcPr>
            <w:tcW w:w="1920" w:type="dxa"/>
            <w:gridSpan w:val="2"/>
            <w:tcBorders>
              <w:top w:val="single" w:sz="4"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甲方名称</w:t>
            </w:r>
          </w:p>
        </w:tc>
        <w:tc>
          <w:tcPr>
            <w:tcW w:w="6388" w:type="dxa"/>
            <w:tcBorders>
              <w:top w:val="single" w:sz="4" w:space="0" w:color="auto"/>
              <w:left w:val="single" w:sz="6" w:space="0" w:color="auto"/>
              <w:bottom w:val="single" w:sz="6"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bCs/>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1250"/>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甲方地址</w:t>
            </w:r>
          </w:p>
        </w:tc>
        <w:tc>
          <w:tcPr>
            <w:tcW w:w="6388" w:type="dxa"/>
            <w:tcBorders>
              <w:top w:val="single" w:sz="6" w:space="0" w:color="auto"/>
              <w:left w:val="single" w:sz="6" w:space="0" w:color="auto"/>
              <w:bottom w:val="single" w:sz="6" w:space="0" w:color="auto"/>
              <w:right w:val="single" w:sz="4" w:space="0" w:color="auto"/>
            </w:tcBorders>
            <w:vAlign w:val="center"/>
          </w:tcPr>
          <w:p>
            <w:pPr>
              <w:keepNext w:val="0"/>
              <w:keepLines w:val="0"/>
              <w:widowControl w:val="0"/>
              <w:suppressLineNumbers w:val="0"/>
              <w:spacing w:before="0" w:beforeAutospacing="0" w:after="0" w:afterAutospacing="0" w:line="259" w:lineRule="auto"/>
              <w:ind w:left="0" w:right="0"/>
              <w:jc w:val="both"/>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val="460"/>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val="restart"/>
            <w:tcBorders>
              <w:top w:val="single" w:sz="6" w:space="0" w:color="auto"/>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甲方相关部门</w:t>
            </w:r>
          </w:p>
        </w:tc>
        <w:tc>
          <w:tcPr>
            <w:tcW w:w="1376" w:type="dxa"/>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甲方采购部门/甲方验收牵头部门</w:t>
            </w:r>
          </w:p>
        </w:tc>
        <w:tc>
          <w:tcPr>
            <w:tcW w:w="6388" w:type="dxa"/>
            <w:tcBorders>
              <w:top w:val="single" w:sz="6" w:space="0" w:color="auto"/>
              <w:left w:val="single" w:sz="6" w:space="0" w:color="auto"/>
              <w:bottom w:val="single" w:sz="6"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p>
        </w:tc>
        <w:tc>
          <w:tcPr>
            <w:tcW w:w="1376" w:type="dxa"/>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联系人</w:t>
            </w:r>
          </w:p>
        </w:tc>
        <w:tc>
          <w:tcPr>
            <w:tcW w:w="6388" w:type="dxa"/>
            <w:tcBorders>
              <w:top w:val="single" w:sz="6" w:space="0" w:color="auto"/>
              <w:left w:val="single" w:sz="6" w:space="0" w:color="auto"/>
              <w:bottom w:val="single" w:sz="6"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联系电话</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2643"/>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甲方需求部门/甲方验收牵头部门</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联系人</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544" w:type="dxa"/>
            <w:vMerge/>
            <w:tcBorders>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联系电话</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仿宋_GB2312" w:eastAsia="仿宋_GB2312" w:hAnsi="仿宋_GB2312" w:cs="仿宋_GB2312" w:hint="eastAsia"/>
                <w:kern w:val="2"/>
                <w:sz w:val="28"/>
                <w:szCs w:val="36"/>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896"/>
        </w:trPr>
        <w:tc>
          <w:tcPr>
            <w:tcW w:w="520" w:type="dxa"/>
            <w:vMerge w:val="restart"/>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7</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乙方名称</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1145"/>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乙方企业性质</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2"/>
                <w:szCs w:val="28"/>
                <w:lang w:eastAsia="zh-CN"/>
              </w:rPr>
            </w:pPr>
            <w:r>
              <w:rPr>
                <w:rFonts w:ascii="仿宋_GB2312" w:eastAsia="仿宋_GB2312" w:hAnsi="仿宋_GB2312" w:cs="仿宋_GB2312" w:hint="eastAsia"/>
                <w:kern w:val="2"/>
                <w:sz w:val="22"/>
                <w:szCs w:val="28"/>
                <w:lang w:eastAsia="zh-CN"/>
              </w:rPr>
              <w:t xml:space="preserve">□ 中型企业     □ 小型企业            □ 微型企业    </w:t>
            </w:r>
          </w:p>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2"/>
                <w:szCs w:val="28"/>
                <w:lang w:eastAsia="zh-CN"/>
              </w:rPr>
            </w:pPr>
            <w:r>
              <w:rPr>
                <w:rFonts w:ascii="仿宋_GB2312" w:eastAsia="仿宋_GB2312" w:hAnsi="仿宋_GB2312" w:cs="仿宋_GB2312" w:hint="eastAsia"/>
                <w:kern w:val="2"/>
                <w:sz w:val="22"/>
                <w:szCs w:val="28"/>
                <w:lang w:eastAsia="zh-CN"/>
              </w:rPr>
              <w:t xml:space="preserve">□ 监狱企业     □ 残疾人福利性单位    </w:t>
            </w:r>
            <w:r>
              <w:rPr>
                <w:rFonts w:ascii="Wingdings 2" w:eastAsia="仿宋_GB2312" w:hAnsi="Wingdings 2" w:cs="仿宋_GB2312"/>
                <w:kern w:val="2"/>
                <w:sz w:val="22"/>
                <w:szCs w:val="28"/>
                <w:lang w:eastAsia="zh-CN"/>
              </w:rPr>
              <w:sym w:font="Wingdings 2" w:char="F0A3"/>
            </w:r>
            <w:r>
              <w:rPr>
                <w:rFonts w:ascii="仿宋_GB2312" w:eastAsia="仿宋_GB2312" w:hAnsi="仿宋_GB2312" w:cs="仿宋_GB2312" w:hint="eastAsia"/>
                <w:kern w:val="2"/>
                <w:sz w:val="22"/>
                <w:szCs w:val="28"/>
                <w:lang w:eastAsia="zh-CN"/>
              </w:rPr>
              <w:t xml:space="preserve"> 其他</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乙方地址</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乙方联系人</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联系电话</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传真</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val="73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8</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合同金额</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本合同按照结算率进行支付，结算率为＿。</w:t>
            </w:r>
          </w:p>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kern w:val="2"/>
                <w:lang w:eastAsia="zh-CN"/>
              </w:rPr>
            </w:pPr>
            <w:r>
              <w:rPr>
                <w:rFonts w:ascii="仿宋_GB2312" w:eastAsia="仿宋_GB2312" w:hAnsi="仿宋_GB2312" w:cs="仿宋_GB2312" w:hint="eastAsia"/>
                <w:bCs/>
                <w:kern w:val="2"/>
                <w:lang w:eastAsia="zh-CN"/>
              </w:rPr>
              <w:t>实际结算价格＝市场询价价格×该类产品的固定价格调整系数×结算率。</w:t>
            </w:r>
          </w:p>
        </w:tc>
      </w:tr>
      <w:tr>
        <w:tblPrEx>
          <w:tblW w:w="8841" w:type="dxa"/>
          <w:tblInd w:w="96" w:type="dxa"/>
          <w:tblLayout w:type="fixed"/>
          <w:tblCellMar>
            <w:top w:w="0" w:type="dxa"/>
            <w:left w:w="108" w:type="dxa"/>
            <w:bottom w:w="0" w:type="dxa"/>
            <w:right w:w="108" w:type="dxa"/>
          </w:tblCellMar>
        </w:tblPrEx>
        <w:trPr>
          <w:gridAfter w:val="1"/>
          <w:wAfter w:w="13" w:type="dxa"/>
          <w:trHeight w:val="1318"/>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9</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服务内容</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仿宋_GB2312" w:eastAsia="仿宋_GB2312" w:hAnsi="仿宋_GB2312" w:cs="仿宋_GB2312" w:hint="eastAsia"/>
                <w:kern w:val="2"/>
                <w:lang w:eastAsia="zh-CN"/>
              </w:rPr>
            </w:pPr>
            <w:r>
              <w:rPr>
                <w:rFonts w:ascii="仿宋_GB2312" w:eastAsia="仿宋_GB2312" w:hAnsi="仿宋_GB2312" w:cs="仿宋_GB2312" w:hint="eastAsia"/>
                <w:szCs w:val="22"/>
                <w:lang w:eastAsia="zh-CN"/>
              </w:rPr>
              <w:t>本项目采购国家税务总局</w:t>
            </w:r>
            <w:r>
              <w:rPr>
                <w:rFonts w:ascii="仿宋_GB2312" w:eastAsia="仿宋_GB2312" w:hAnsi="仿宋_GB2312" w:cs="仿宋_GB2312" w:hint="eastAsia"/>
                <w:bCs/>
                <w:kern w:val="2"/>
                <w:lang w:eastAsia="zh-CN"/>
              </w:rPr>
              <w:t>XXX税务局</w:t>
            </w:r>
            <w:r>
              <w:rPr>
                <w:rFonts w:ascii="仿宋_GB2312" w:eastAsia="仿宋_GB2312" w:hAnsi="仿宋_GB2312" w:cs="仿宋_GB2312" w:hint="eastAsia"/>
                <w:szCs w:val="22"/>
                <w:lang w:eastAsia="zh-CN"/>
              </w:rPr>
              <w:t>食堂所需食材，含相应配送服务。采购食堂食材按实际采购量进行结算，总结算金额不超过采购预算。</w:t>
            </w:r>
          </w:p>
        </w:tc>
      </w:tr>
      <w:tr>
        <w:tblPrEx>
          <w:tblW w:w="8841" w:type="dxa"/>
          <w:tblInd w:w="96" w:type="dxa"/>
          <w:tblLayout w:type="fixed"/>
          <w:tblCellMar>
            <w:top w:w="0" w:type="dxa"/>
            <w:left w:w="108" w:type="dxa"/>
            <w:bottom w:w="0" w:type="dxa"/>
            <w:right w:w="108" w:type="dxa"/>
          </w:tblCellMar>
        </w:tblPrEx>
        <w:trPr>
          <w:gridAfter w:val="1"/>
          <w:wAfter w:w="13" w:type="dxa"/>
          <w:trHeight w:val="9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10</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合同付款</w:t>
            </w:r>
          </w:p>
        </w:tc>
        <w:tc>
          <w:tcPr>
            <w:tcW w:w="6388" w:type="dxa"/>
            <w:tcBorders>
              <w:top w:val="single" w:sz="4" w:space="0" w:color="auto"/>
              <w:left w:val="single" w:sz="4" w:space="0" w:color="auto"/>
              <w:bottom w:val="single" w:sz="4" w:space="0" w:color="auto"/>
              <w:right w:val="single" w:sz="4" w:space="0" w:color="auto"/>
            </w:tcBorders>
            <w:vAlign w:val="center"/>
          </w:tcPr>
          <w:p>
            <w:pPr>
              <w:keepNext w:val="0"/>
              <w:keepLines w:val="0"/>
              <w:widowControl w:val="0"/>
              <w:numPr>
                <w:ilvl w:val="0"/>
                <w:numId w:val="0"/>
              </w:numPr>
              <w:suppressLineNumbers w:val="0"/>
              <w:tabs>
                <w:tab w:val="left" w:pos="709"/>
                <w:tab w:val="left" w:pos="840"/>
              </w:tabs>
              <w:adjustRightInd w:val="0"/>
              <w:snapToGrid w:val="0"/>
              <w:spacing w:before="0" w:beforeAutospacing="0" w:after="0" w:afterAutospacing="0" w:line="240" w:lineRule="auto"/>
              <w:ind w:left="0" w:right="0" w:firstLine="0"/>
              <w:jc w:val="left"/>
              <w:textAlignment w:val="baseline"/>
              <w:rPr>
                <w:rFonts w:ascii="仿宋_GB2312" w:eastAsia="仿宋_GB2312" w:hAnsi="仿宋_GB2312" w:cs="仿宋_GB2312" w:hint="eastAsia"/>
                <w:lang w:eastAsia="zh-CN"/>
              </w:rPr>
            </w:pPr>
            <w:r>
              <w:rPr>
                <w:rFonts w:ascii="仿宋_GB2312" w:eastAsia="仿宋_GB2312" w:hAnsi="仿宋_GB2312" w:cs="仿宋_GB2312" w:hint="eastAsia"/>
                <w:lang w:eastAsia="zh-CN"/>
              </w:rPr>
              <w:t>合同以人民币结算，付款方式：</w:t>
            </w:r>
          </w:p>
          <w:p>
            <w:pPr>
              <w:widowControl w:val="0"/>
              <w:numPr>
                <w:ilvl w:val="0"/>
                <w:numId w:val="0"/>
              </w:numPr>
              <w:tabs>
                <w:tab w:val="left" w:pos="709"/>
                <w:tab w:val="left" w:pos="840"/>
              </w:tabs>
              <w:adjustRightInd w:val="0"/>
              <w:snapToGrid w:val="0"/>
              <w:spacing w:before="0" w:beforeAutospacing="0" w:after="0" w:afterAutospacing="0" w:line="259" w:lineRule="auto"/>
              <w:ind w:left="0" w:firstLine="0"/>
              <w:jc w:val="left"/>
              <w:textAlignment w:val="auto"/>
              <w:rPr>
                <w:rFonts w:ascii="仿宋_GB2312" w:eastAsia="仿宋_GB2312" w:hAnsi="仿宋_GB2312" w:cs="仿宋_GB2312" w:hint="eastAsia"/>
                <w:lang w:eastAsia="zh-CN"/>
              </w:rPr>
            </w:pPr>
            <w:r>
              <w:rPr>
                <w:rFonts w:ascii="仿宋_GB2312" w:eastAsia="仿宋_GB2312" w:hAnsi="仿宋_GB2312" w:cs="仿宋_GB2312" w:hint="eastAsia"/>
                <w:lang w:eastAsia="zh-CN"/>
              </w:rPr>
              <w:t>每月5日前中标供应商按照原始验收单据主动与采购人核对上一个月的货款。双方核对账目无误后，中标供应商于每月10日前向采购人提供付款材料。满足合同约定支付条件的，采购人自收到发票后10个工作日内支付给中标供应商。</w:t>
            </w:r>
          </w:p>
        </w:tc>
      </w:tr>
      <w:tr>
        <w:tblPrEx>
          <w:tblW w:w="8841" w:type="dxa"/>
          <w:tblInd w:w="96" w:type="dxa"/>
          <w:tblLayout w:type="fixed"/>
          <w:tblCellMar>
            <w:top w:w="0" w:type="dxa"/>
            <w:left w:w="108" w:type="dxa"/>
            <w:bottom w:w="0" w:type="dxa"/>
            <w:right w:w="108" w:type="dxa"/>
          </w:tblCellMar>
        </w:tblPrEx>
        <w:trPr>
          <w:trHeight w:val="2531"/>
        </w:trPr>
        <w:tc>
          <w:tcPr>
            <w:tcW w:w="5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11</w:t>
            </w:r>
          </w:p>
        </w:tc>
        <w:tc>
          <w:tcPr>
            <w:tcW w:w="1920"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履约</w:t>
            </w:r>
            <w:r>
              <w:rPr>
                <w:rFonts w:ascii="仿宋_GB2312" w:eastAsia="仿宋_GB2312" w:hAnsi="仿宋_GB2312" w:cs="仿宋_GB2312" w:hint="eastAsia"/>
                <w:kern w:val="2"/>
                <w:sz w:val="28"/>
                <w:szCs w:val="28"/>
                <w:lang w:eastAsia="zh-CN"/>
              </w:rPr>
              <w:t>保证</w:t>
            </w:r>
            <w:r>
              <w:rPr>
                <w:rFonts w:ascii="仿宋_GB2312" w:eastAsia="仿宋_GB2312" w:hAnsi="仿宋_GB2312" w:cs="仿宋_GB2312" w:hint="eastAsia"/>
                <w:kern w:val="2"/>
                <w:sz w:val="28"/>
                <w:szCs w:val="28"/>
                <w:lang w:eastAsia="zh-CN"/>
              </w:rPr>
              <w:t>金及返还</w:t>
            </w:r>
          </w:p>
        </w:tc>
        <w:tc>
          <w:tcPr>
            <w:tcW w:w="6401"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Wingdings 2" w:eastAsia="仿宋_GB2312" w:hAnsi="Wingdings 2" w:cs="仿宋_GB2312"/>
                <w:bCs/>
                <w:kern w:val="2"/>
                <w:lang w:eastAsia="zh-CN"/>
              </w:rPr>
              <w:sym w:font="Wingdings 2" w:char="F052"/>
            </w:r>
            <w:r>
              <w:rPr>
                <w:rFonts w:ascii="仿宋_GB2312" w:eastAsia="仿宋_GB2312" w:hAnsi="仿宋_GB2312" w:cs="仿宋_GB2312" w:hint="eastAsia"/>
                <w:bCs/>
                <w:kern w:val="2"/>
                <w:lang w:eastAsia="zh-CN"/>
              </w:rPr>
              <w:t>本项目不要求提供履约保证金。</w:t>
            </w:r>
          </w:p>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Wingdings 2" w:eastAsia="仿宋_GB2312" w:hAnsi="Wingdings 2" w:cs="仿宋_GB2312"/>
                <w:bCs/>
                <w:kern w:val="2"/>
                <w:lang w:eastAsia="zh-CN"/>
              </w:rPr>
              <w:sym w:font="Wingdings 2" w:char="F0A3"/>
            </w:r>
            <w:r>
              <w:rPr>
                <w:rFonts w:ascii="仿宋_GB2312" w:eastAsia="仿宋_GB2312" w:hAnsi="仿宋_GB2312" w:cs="仿宋_GB2312" w:hint="eastAsia"/>
                <w:bCs/>
                <w:kern w:val="2"/>
                <w:lang w:eastAsia="zh-CN"/>
              </w:rPr>
              <w:t>本项目要求提供履约保证金。履约保证金为合同总金额   %，即人民币        元整（¥    ），乙方应在合同签订之日起30日内提交甲方。提交方式为银行电汇、金融机构或担保机构出具的保函。在合同履行期满，扣除应扣除的款项（如有）且双方无争议后，无息返还。</w:t>
            </w:r>
          </w:p>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办理返还履约保证金时，乙方应提供履约保证金返还申请（格式另附）、合同关键页复印件、合同约定的其他资料。涉及验收的，应同时提交甲方需求部门       出具的项目终验意见或质量保障期（服务期）满验收意见。</w:t>
            </w:r>
          </w:p>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bCs/>
                <w:kern w:val="2"/>
                <w:lang w:eastAsia="zh-CN"/>
              </w:rPr>
              <w:t>满足履约保证金返还条件的，甲方在收到返还相关信息等合同约定资料后，进行核实。对核实结果无异议的，自完成核实之日起30日内，以电汇方式返还履约保证金或退回保函。</w:t>
            </w:r>
          </w:p>
        </w:tc>
      </w:tr>
      <w:tr>
        <w:tblPrEx>
          <w:tblW w:w="8841" w:type="dxa"/>
          <w:tblInd w:w="96" w:type="dxa"/>
          <w:tblLayout w:type="fixed"/>
          <w:tblCellMar>
            <w:top w:w="0" w:type="dxa"/>
            <w:left w:w="108" w:type="dxa"/>
            <w:bottom w:w="0" w:type="dxa"/>
            <w:right w:w="108" w:type="dxa"/>
          </w:tblCellMar>
        </w:tblPrEx>
        <w:trPr>
          <w:gridAfter w:val="1"/>
          <w:wAfter w:w="13" w:type="dxa"/>
          <w:trHeight w:val="471"/>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12</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36"/>
                <w:lang w:eastAsia="zh-CN"/>
              </w:rPr>
              <w:t>合同履行期限</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XXXX年X月X日至XXXX年X月X日</w:t>
            </w:r>
          </w:p>
        </w:tc>
      </w:tr>
      <w:tr>
        <w:tblPrEx>
          <w:tblW w:w="8841" w:type="dxa"/>
          <w:tblInd w:w="96" w:type="dxa"/>
          <w:tblLayout w:type="fixed"/>
          <w:tblCellMar>
            <w:top w:w="0" w:type="dxa"/>
            <w:left w:w="108" w:type="dxa"/>
            <w:bottom w:w="0" w:type="dxa"/>
            <w:right w:w="108" w:type="dxa"/>
          </w:tblCellMar>
        </w:tblPrEx>
        <w:trPr>
          <w:gridAfter w:val="1"/>
          <w:wAfter w:w="13" w:type="dxa"/>
          <w:trHeight w:val="443"/>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13</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val="en" w:eastAsia="zh-CN"/>
              </w:rPr>
            </w:pPr>
            <w:r>
              <w:rPr>
                <w:rFonts w:ascii="仿宋_GB2312" w:eastAsia="仿宋_GB2312" w:hAnsi="仿宋_GB2312" w:cs="仿宋_GB2312" w:hint="eastAsia"/>
                <w:kern w:val="2"/>
                <w:sz w:val="28"/>
                <w:szCs w:val="36"/>
                <w:lang w:eastAsia="zh-CN"/>
              </w:rPr>
              <w:t>服务期</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XXXX年X月X日至XXXX年X月X日</w:t>
            </w:r>
          </w:p>
        </w:tc>
      </w:tr>
      <w:tr>
        <w:tblPrEx>
          <w:tblW w:w="8841" w:type="dxa"/>
          <w:tblInd w:w="96" w:type="dxa"/>
          <w:tblLayout w:type="fixed"/>
          <w:tblCellMar>
            <w:top w:w="0" w:type="dxa"/>
            <w:left w:w="108" w:type="dxa"/>
            <w:bottom w:w="0" w:type="dxa"/>
            <w:right w:w="108" w:type="dxa"/>
          </w:tblCellMar>
        </w:tblPrEx>
        <w:trPr>
          <w:gridAfter w:val="1"/>
          <w:wAfter w:w="13" w:type="dxa"/>
          <w:trHeight w:val="45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14</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36"/>
                <w:lang w:eastAsia="zh-CN"/>
              </w:rPr>
            </w:pPr>
            <w:r>
              <w:rPr>
                <w:rFonts w:ascii="仿宋_GB2312" w:eastAsia="仿宋_GB2312" w:hAnsi="仿宋_GB2312" w:cs="仿宋_GB2312" w:hint="eastAsia"/>
                <w:kern w:val="2"/>
                <w:sz w:val="28"/>
                <w:szCs w:val="36"/>
                <w:lang w:eastAsia="zh-CN"/>
              </w:rPr>
              <w:t>合同履约地点</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国家税务总局XXX税务局指定地点</w:t>
            </w:r>
          </w:p>
        </w:tc>
      </w:tr>
      <w:tr>
        <w:tblPrEx>
          <w:tblW w:w="8841" w:type="dxa"/>
          <w:tblInd w:w="96" w:type="dxa"/>
          <w:tblLayout w:type="fixed"/>
          <w:tblCellMar>
            <w:top w:w="0" w:type="dxa"/>
            <w:left w:w="108" w:type="dxa"/>
            <w:bottom w:w="0" w:type="dxa"/>
            <w:right w:w="108" w:type="dxa"/>
          </w:tblCellMar>
        </w:tblPrEx>
        <w:trPr>
          <w:gridAfter w:val="1"/>
          <w:wAfter w:w="13" w:type="dxa"/>
          <w:trHeight w:val="45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kern w:val="2"/>
                <w:sz w:val="28"/>
                <w:szCs w:val="28"/>
                <w:lang w:eastAsia="zh-CN"/>
              </w:rPr>
              <w:t>15</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仿宋_GB2312" w:eastAsia="仿宋_GB2312" w:hAnsi="仿宋_GB2312" w:cs="仿宋_GB2312" w:hint="eastAsia"/>
                <w:kern w:val="2"/>
                <w:sz w:val="28"/>
                <w:szCs w:val="36"/>
                <w:lang w:eastAsia="zh-CN"/>
              </w:rPr>
            </w:pPr>
            <w:r>
              <w:rPr>
                <w:rFonts w:ascii="仿宋_GB2312" w:eastAsia="仿宋_GB2312" w:hAnsi="仿宋_GB2312" w:cs="仿宋_GB2312" w:hint="eastAsia"/>
                <w:kern w:val="2"/>
                <w:sz w:val="28"/>
                <w:szCs w:val="36"/>
                <w:lang w:eastAsia="zh-CN"/>
              </w:rPr>
              <w:t>合同纠纷解决方式</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bCs/>
                <w:kern w:val="2"/>
                <w:lang w:eastAsia="zh-CN"/>
              </w:rPr>
            </w:pPr>
            <w:r>
              <w:rPr>
                <w:rFonts w:ascii="仿宋_GB2312" w:eastAsia="仿宋_GB2312" w:hAnsi="仿宋_GB2312" w:cs="仿宋_GB2312" w:hint="eastAsia"/>
                <w:bCs/>
                <w:kern w:val="2"/>
                <w:lang w:eastAsia="zh-CN"/>
              </w:rPr>
              <w:t>双方可协商解决，协调解决不成，则通过以下途径解决纠纷：</w:t>
            </w:r>
          </w:p>
          <w:p>
            <w:pPr>
              <w:widowControl w:val="0"/>
              <w:tabs>
                <w:tab w:val="left" w:pos="2160"/>
              </w:tabs>
              <w:topLinePunct/>
              <w:autoSpaceDE w:val="0"/>
              <w:autoSpaceDN w:val="0"/>
              <w:adjustRightInd w:val="0"/>
              <w:snapToGrid w:val="0"/>
              <w:spacing w:before="0" w:beforeAutospacing="0" w:after="0" w:afterAutospacing="0" w:line="259" w:lineRule="auto"/>
              <w:jc w:val="both"/>
              <w:rPr>
                <w:rFonts w:ascii="仿宋_GB2312" w:eastAsia="仿宋_GB2312" w:hAnsi="仿宋_GB2312" w:cs="仿宋_GB2312" w:hint="eastAsia"/>
                <w:kern w:val="2"/>
                <w:sz w:val="28"/>
                <w:szCs w:val="28"/>
                <w:lang w:eastAsia="zh-CN"/>
              </w:rPr>
            </w:pPr>
            <w:r>
              <w:rPr>
                <w:rFonts w:ascii="仿宋_GB2312" w:eastAsia="仿宋_GB2312" w:hAnsi="仿宋_GB2312" w:cs="仿宋_GB2312" w:hint="eastAsia"/>
                <w:bCs/>
                <w:kern w:val="2"/>
                <w:lang w:eastAsia="zh-CN"/>
              </w:rPr>
              <w:t>向甲方住所地有管辖权的人民法院提起诉讼。</w:t>
            </w:r>
          </w:p>
        </w:tc>
      </w:tr>
    </w:tbl>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sz w:val="28"/>
          <w:lang w:eastAsia="zh-CN"/>
        </w:rPr>
      </w:pPr>
    </w:p>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sz w:val="28"/>
          <w:lang w:eastAsia="zh-CN"/>
        </w:rPr>
      </w:pPr>
    </w:p>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lang w:eastAsia="zh-CN"/>
        </w:rPr>
      </w:pPr>
      <w:r>
        <w:rPr>
          <w:rFonts w:ascii="宋体" w:eastAsia="宋体" w:hAnsi="宋体" w:cs="宋体" w:hint="eastAsia"/>
          <w:b/>
          <w:kern w:val="2"/>
          <w:sz w:val="28"/>
          <w:lang w:eastAsia="zh-CN"/>
        </w:rPr>
        <w:br w:type="page"/>
      </w:r>
    </w:p>
    <w:p>
      <w:pPr>
        <w:widowControl w:val="0"/>
        <w:tabs>
          <w:tab w:val="left" w:pos="0"/>
        </w:tabs>
        <w:topLinePunct/>
        <w:autoSpaceDE w:val="0"/>
        <w:autoSpaceDN w:val="0"/>
        <w:snapToGrid w:val="0"/>
        <w:spacing w:before="0" w:beforeAutospacing="0" w:after="0" w:afterAutospacing="0" w:line="360" w:lineRule="auto"/>
        <w:jc w:val="center"/>
        <w:outlineLvl w:val="1"/>
        <w:rPr>
          <w:rFonts w:ascii="宋体" w:eastAsia="宋体" w:hAnsi="宋体" w:cs="宋体" w:hint="eastAsia"/>
          <w:b/>
          <w:kern w:val="2"/>
          <w:lang w:eastAsia="zh-CN"/>
        </w:rPr>
      </w:pPr>
      <w:r>
        <w:rPr>
          <w:rFonts w:ascii="宋体" w:eastAsia="宋体" w:hAnsi="宋体" w:cs="宋体" w:hint="eastAsia"/>
          <w:b/>
          <w:kern w:val="2"/>
          <w:lang w:eastAsia="zh-CN"/>
        </w:rPr>
        <w:t xml:space="preserve">一   合  同 </w:t>
      </w:r>
    </w:p>
    <w:p>
      <w:pPr>
        <w:widowControl w:val="0"/>
        <w:tabs>
          <w:tab w:val="left" w:pos="540"/>
        </w:tabs>
        <w:topLinePunct/>
        <w:autoSpaceDE w:val="0"/>
        <w:autoSpaceDN w:val="0"/>
        <w:snapToGrid w:val="0"/>
        <w:spacing w:before="0" w:beforeAutospacing="0" w:after="0" w:afterAutospacing="0" w:line="360" w:lineRule="auto"/>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国家税务总局</w:t>
      </w:r>
      <w:r>
        <w:rPr>
          <w:rFonts w:ascii="宋体" w:eastAsia="宋体" w:hAnsi="宋体" w:cs="宋体" w:hint="eastAsia"/>
          <w:kern w:val="2"/>
          <w:lang w:eastAsia="zh-CN"/>
        </w:rPr>
        <w:t>XXX税务局</w:t>
      </w:r>
      <w:r>
        <w:rPr>
          <w:rFonts w:ascii="宋体" w:eastAsia="宋体" w:hAnsi="宋体" w:cs="宋体" w:hint="eastAsia"/>
          <w:kern w:val="2"/>
          <w:lang w:eastAsia="zh-CN"/>
        </w:rPr>
        <w:t>（以下简称“甲方”）通过</w:t>
      </w:r>
      <w:r>
        <w:rPr>
          <w:rFonts w:ascii="宋体" w:eastAsia="宋体" w:hAnsi="宋体" w:cs="宋体" w:hint="eastAsia"/>
          <w:kern w:val="2"/>
          <w:u w:val="single"/>
          <w:lang w:eastAsia="zh-CN"/>
        </w:rPr>
        <w:t>公开招标</w:t>
      </w:r>
      <w:r>
        <w:rPr>
          <w:rFonts w:ascii="宋体" w:eastAsia="宋体" w:hAnsi="宋体" w:cs="宋体" w:hint="eastAsia"/>
          <w:kern w:val="2"/>
          <w:lang w:eastAsia="zh-CN"/>
        </w:rPr>
        <w:t>采购方式，确定______公司（以下简称“乙方”）为“国家税务总局</w:t>
      </w:r>
      <w:r>
        <w:rPr>
          <w:rFonts w:ascii="宋体" w:eastAsia="宋体" w:hAnsi="宋体" w:cs="宋体" w:hint="eastAsia"/>
          <w:kern w:val="2"/>
          <w:lang w:eastAsia="zh-CN"/>
        </w:rPr>
        <w:t>XXX税务局2026年食材采购项目</w:t>
      </w:r>
      <w:r>
        <w:rPr>
          <w:rFonts w:ascii="宋体" w:eastAsia="宋体" w:hAnsi="宋体" w:cs="宋体" w:hint="eastAsia"/>
          <w:kern w:val="2"/>
          <w:lang w:eastAsia="zh-CN"/>
        </w:rPr>
        <w:t>”中标（成交）供应商。甲乙双方同意按照该项目招标（采购）文件约定的内容，签署《   合同书》（合同编号：    ，以下简称“合同”)。</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 合同文件</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本合同所附下列文件是构成本合同不可分割的部分：</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（1）合同通用条款；</w:t>
      </w:r>
    </w:p>
    <w:p>
      <w:pPr>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420" w:firstLineChars="200"/>
        <w:jc w:val="left"/>
        <w:textAlignment w:val="auto"/>
        <w:rPr>
          <w:rFonts w:ascii="Calibri" w:eastAsia="宋体" w:hAnsi="Calibri"/>
          <w:kern w:val="2"/>
          <w:sz w:val="21"/>
          <w:lang w:eastAsia="zh-CN"/>
        </w:rPr>
      </w:pPr>
      <w:r>
        <w:rPr>
          <w:rFonts w:ascii="宋体" w:eastAsia="宋体" w:hAnsi="宋体" w:cs="宋体" w:hint="eastAsia"/>
          <w:kern w:val="2"/>
          <w:lang w:eastAsia="zh-CN"/>
        </w:rPr>
        <w:t>（2）报价表（总报价表）；</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（3）招标（采购）文件（另附）；</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（4）投标（响应）文件（另附）。</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2. 合同范围和条件</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本合同的范围和条件应与上述合同文件的规定相一致。</w:t>
      </w:r>
    </w:p>
    <w:p>
      <w:pPr>
        <w:widowControl w:val="0"/>
        <w:tabs>
          <w:tab w:val="left" w:pos="700"/>
        </w:tabs>
        <w:topLinePunct/>
        <w:autoSpaceDE w:val="0"/>
        <w:autoSpaceDN w:val="0"/>
        <w:snapToGrid w:val="0"/>
        <w:spacing w:before="0" w:beforeAutospacing="0" w:after="0" w:afterAutospacing="0" w:line="360" w:lineRule="auto"/>
        <w:ind w:firstLine="412" w:firstLineChars="196"/>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3. 合同金额</w:t>
      </w:r>
    </w:p>
    <w:p>
      <w:pPr>
        <w:widowControl w:val="0"/>
        <w:tabs>
          <w:tab w:val="left" w:pos="700"/>
        </w:tabs>
        <w:topLinePunct/>
        <w:autoSpaceDE w:val="0"/>
        <w:autoSpaceDN w:val="0"/>
        <w:snapToGrid w:val="0"/>
        <w:spacing w:before="0" w:beforeAutospacing="0" w:after="0" w:afterAutospacing="0" w:line="360" w:lineRule="auto"/>
        <w:ind w:firstLine="514" w:firstLineChars="245"/>
        <w:jc w:val="both"/>
        <w:rPr>
          <w:rFonts w:ascii="宋体" w:eastAsia="宋体" w:hAnsi="宋体" w:cs="宋体" w:hint="eastAsia"/>
          <w:kern w:val="2"/>
          <w:lang w:eastAsia="zh-CN"/>
        </w:rPr>
      </w:pPr>
      <w:r>
        <w:rPr>
          <w:rFonts w:ascii="宋体" w:eastAsia="宋体" w:hAnsi="宋体" w:cs="宋体" w:hint="eastAsia"/>
          <w:kern w:val="2"/>
          <w:lang w:eastAsia="zh-CN"/>
        </w:rPr>
        <w:t>本合同按照结算率进行支付，结算率为＿。</w:t>
      </w:r>
    </w:p>
    <w:p>
      <w:pPr>
        <w:widowControl w:val="0"/>
        <w:tabs>
          <w:tab w:val="left" w:pos="700"/>
        </w:tabs>
        <w:topLinePunct/>
        <w:autoSpaceDE w:val="0"/>
        <w:autoSpaceDN w:val="0"/>
        <w:snapToGrid w:val="0"/>
        <w:spacing w:before="0" w:beforeAutospacing="0" w:after="0" w:afterAutospacing="0" w:line="360" w:lineRule="auto"/>
        <w:ind w:firstLine="514" w:firstLineChars="245"/>
        <w:jc w:val="both"/>
        <w:rPr>
          <w:rFonts w:ascii="宋体" w:eastAsia="宋体" w:hAnsi="宋体" w:cs="宋体" w:hint="eastAsia"/>
          <w:kern w:val="2"/>
          <w:lang w:eastAsia="zh-CN"/>
        </w:rPr>
      </w:pPr>
      <w:r>
        <w:rPr>
          <w:rFonts w:ascii="宋体" w:eastAsia="宋体" w:hAnsi="宋体" w:cs="宋体" w:hint="eastAsia"/>
          <w:kern w:val="2"/>
          <w:lang w:eastAsia="zh-CN"/>
        </w:rPr>
        <w:t>实际结算价格＝市场询价价格×该类产品的固定价格调整系数×结算率。</w:t>
      </w:r>
    </w:p>
    <w:p>
      <w:pPr>
        <w:widowControl w:val="0"/>
        <w:tabs>
          <w:tab w:val="left" w:pos="700"/>
        </w:tabs>
        <w:topLinePunct/>
        <w:autoSpaceDE w:val="0"/>
        <w:autoSpaceDN w:val="0"/>
        <w:snapToGrid w:val="0"/>
        <w:spacing w:before="0" w:beforeAutospacing="0" w:after="0" w:afterAutospacing="0" w:line="360" w:lineRule="auto"/>
        <w:ind w:firstLine="514" w:firstLineChars="245"/>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4.付款条件</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合同以人民币结算，付款方式：</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每月5日前中标供应商按照原始验收单据主动与采购人核对上一个月的货款。双方核对账目无误后，中标供应商于每月10日前向采购人提供付款材料。满足合同约定支付条件的，采购人自收到发票后10个工作日内支付给中标供应商。办理付款时，乙方应提供等额合法发票、付款申请、合同、中标或成交通知书、合同约定的其他资料。涉及验收的，应同时提交甲方实施部门出具的项目验收书。因乙方怠于开具发票、开具发票无法通过甲方核验、开具发票不符合甲方要求，或出现其他无法通过验收情形的，甲方有权拒绝支付相应合同价款直至乙方依约提供发票或其他验收材料，由此导致的甲方逾期付款不属于违反合同约定，无需承担任何责任。</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5</w:t>
      </w:r>
      <w:r>
        <w:rPr>
          <w:rFonts w:ascii="宋体" w:eastAsia="宋体" w:hAnsi="宋体" w:cs="宋体" w:hint="eastAsia"/>
          <w:b/>
          <w:kern w:val="2"/>
          <w:lang w:eastAsia="zh-CN"/>
        </w:rPr>
        <w:t>.合同签订及生效</w:t>
      </w:r>
    </w:p>
    <w:p>
      <w:pPr>
        <w:widowControl w:val="0"/>
        <w:tabs>
          <w:tab w:val="left" w:pos="700"/>
        </w:tabs>
        <w:suppressAutoHyphens/>
        <w:topLinePunct/>
        <w:autoSpaceDE w:val="0"/>
        <w:autoSpaceDN w:val="0"/>
        <w:bidi w:val="0"/>
        <w:spacing w:before="0" w:beforeAutospacing="0" w:after="0" w:afterAutospacing="0" w:line="460" w:lineRule="exact"/>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本合同一式肆份，甲方执贰份，乙方执贰份，各份正本具有同等法律效力。在甲乙双方法定代表人或授权代表签字并加盖公章后生效。</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highlight w:val="magenta"/>
          <w:u w:val="single"/>
          <w:lang w:eastAsia="zh-CN"/>
        </w:rPr>
      </w:pP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480" w:lineRule="auto"/>
        <w:ind w:left="360"/>
        <w:jc w:val="both"/>
        <w:rPr>
          <w:rFonts w:ascii="宋体" w:eastAsia="宋体" w:hAnsi="宋体" w:cs="宋体" w:hint="eastAsia"/>
          <w:kern w:val="2"/>
          <w:lang w:eastAsia="zh-CN"/>
        </w:rPr>
      </w:pPr>
      <w:r>
        <w:rPr>
          <w:rFonts w:ascii="宋体" w:eastAsia="宋体" w:hAnsi="宋体" w:cs="宋体" w:hint="eastAsia"/>
          <w:kern w:val="2"/>
          <w:lang w:eastAsia="zh-CN"/>
        </w:rPr>
        <w:t>甲方：国家税务总局</w:t>
      </w:r>
      <w:r>
        <w:rPr>
          <w:rFonts w:ascii="宋体" w:eastAsia="宋体" w:hAnsi="宋体" w:cs="宋体" w:hint="eastAsia"/>
          <w:kern w:val="2"/>
          <w:lang w:eastAsia="zh-CN"/>
        </w:rPr>
        <w:t>XXX税务局</w:t>
      </w:r>
      <w:r>
        <w:rPr>
          <w:rFonts w:ascii="宋体" w:eastAsia="宋体" w:hAnsi="宋体" w:cs="宋体" w:hint="eastAsia"/>
          <w:kern w:val="2"/>
          <w:lang w:eastAsia="zh-CN"/>
        </w:rPr>
        <w:tab/>
      </w:r>
      <w:r>
        <w:rPr>
          <w:rFonts w:ascii="宋体" w:eastAsia="宋体" w:hAnsi="宋体" w:cs="宋体" w:hint="eastAsia"/>
          <w:kern w:val="2"/>
          <w:lang w:eastAsia="zh-CN"/>
        </w:rPr>
        <w:t xml:space="preserve">      乙方：</w:t>
      </w:r>
    </w:p>
    <w:p>
      <w:pPr>
        <w:widowControl w:val="0"/>
        <w:tabs>
          <w:tab w:val="left" w:pos="700"/>
        </w:tabs>
        <w:topLinePunct/>
        <w:autoSpaceDE w:val="0"/>
        <w:autoSpaceDN w:val="0"/>
        <w:snapToGrid w:val="0"/>
        <w:spacing w:before="0" w:beforeAutospacing="0" w:after="0" w:afterAutospacing="0" w:line="480" w:lineRule="auto"/>
        <w:ind w:left="360"/>
        <w:jc w:val="both"/>
        <w:rPr>
          <w:rFonts w:ascii="宋体" w:eastAsia="宋体" w:hAnsi="宋体" w:cs="宋体"/>
          <w:kern w:val="2"/>
          <w:sz w:val="21"/>
          <w:lang w:eastAsia="zh-CN"/>
        </w:rPr>
      </w:pPr>
      <w:r>
        <w:rPr>
          <w:rFonts w:ascii="宋体" w:eastAsia="宋体" w:hAnsi="宋体" w:cs="宋体" w:hint="eastAsia"/>
          <w:kern w:val="2"/>
          <w:lang w:eastAsia="zh-CN"/>
        </w:rPr>
        <w:t xml:space="preserve">盖章：                                盖章： </w:t>
      </w:r>
    </w:p>
    <w:p>
      <w:pPr>
        <w:widowControl w:val="0"/>
        <w:tabs>
          <w:tab w:val="left" w:pos="700"/>
        </w:tabs>
        <w:topLinePunct/>
        <w:autoSpaceDE w:val="0"/>
        <w:autoSpaceDN w:val="0"/>
        <w:snapToGrid w:val="0"/>
        <w:spacing w:before="0" w:beforeAutospacing="0" w:after="0" w:afterAutospacing="0" w:line="480" w:lineRule="auto"/>
        <w:ind w:left="360"/>
        <w:jc w:val="both"/>
        <w:rPr>
          <w:rFonts w:ascii="宋体" w:eastAsia="宋体" w:hAnsi="宋体" w:cs="宋体"/>
          <w:kern w:val="2"/>
          <w:sz w:val="21"/>
          <w:lang w:eastAsia="zh-CN"/>
        </w:rPr>
      </w:pPr>
      <w:r>
        <w:rPr>
          <w:rFonts w:ascii="宋体" w:eastAsia="宋体" w:hAnsi="宋体" w:cs="宋体" w:hint="eastAsia"/>
          <w:kern w:val="2"/>
          <w:lang w:eastAsia="zh-CN"/>
        </w:rPr>
        <w:t>法定代表人或授权代表人：              法定代表人或授权代表人：</w:t>
      </w:r>
    </w:p>
    <w:p>
      <w:pPr>
        <w:widowControl w:val="0"/>
        <w:tabs>
          <w:tab w:val="left" w:pos="700"/>
        </w:tabs>
        <w:topLinePunct/>
        <w:autoSpaceDE w:val="0"/>
        <w:autoSpaceDN w:val="0"/>
        <w:snapToGrid w:val="0"/>
        <w:spacing w:before="0" w:beforeAutospacing="0" w:after="0" w:afterAutospacing="0" w:line="480" w:lineRule="auto"/>
        <w:ind w:left="360"/>
        <w:jc w:val="both"/>
        <w:rPr>
          <w:rFonts w:ascii="宋体" w:eastAsia="宋体" w:hAnsi="宋体" w:cs="宋体"/>
          <w:kern w:val="2"/>
          <w:sz w:val="21"/>
          <w:lang w:eastAsia="zh-CN"/>
        </w:rPr>
      </w:pPr>
      <w:r>
        <w:rPr>
          <w:rFonts w:ascii="宋体" w:eastAsia="宋体" w:hAnsi="宋体" w:cs="宋体" w:hint="eastAsia"/>
          <w:kern w:val="2"/>
          <w:lang w:eastAsia="zh-CN"/>
        </w:rPr>
        <w:t>日期：    年    月    日              日期：     年   月   日</w:t>
      </w:r>
    </w:p>
    <w:p>
      <w:pPr>
        <w:widowControl w:val="0"/>
        <w:topLinePunct/>
        <w:autoSpaceDE w:val="0"/>
        <w:autoSpaceDN w:val="0"/>
        <w:snapToGrid w:val="0"/>
        <w:spacing w:before="0" w:beforeAutospacing="0" w:after="0" w:afterAutospacing="0" w:line="360" w:lineRule="auto"/>
        <w:jc w:val="center"/>
        <w:outlineLvl w:val="1"/>
        <w:rPr>
          <w:rFonts w:ascii="宋体" w:eastAsia="宋体" w:hAnsi="宋体" w:cs="宋体" w:hint="eastAsia"/>
          <w:b/>
          <w:kern w:val="2"/>
          <w:lang w:eastAsia="zh-CN"/>
        </w:rPr>
      </w:pPr>
      <w:r>
        <w:rPr>
          <w:rFonts w:ascii="宋体" w:eastAsia="宋体" w:hAnsi="宋体" w:cs="宋体" w:hint="eastAsia"/>
          <w:b/>
          <w:kern w:val="2"/>
          <w:lang w:eastAsia="zh-CN"/>
        </w:rPr>
        <w:br w:type="page"/>
      </w:r>
      <w:r>
        <w:rPr>
          <w:rFonts w:ascii="宋体" w:eastAsia="宋体" w:hAnsi="宋体" w:cs="宋体" w:hint="eastAsia"/>
          <w:b/>
          <w:kern w:val="2"/>
          <w:lang w:eastAsia="zh-CN"/>
        </w:rPr>
        <w:t>二   合 同 通 用 条 款</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 定义</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本合同下列术语应解释为：</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1.1“甲方”是指</w:t>
      </w:r>
      <w:r>
        <w:rPr>
          <w:rFonts w:ascii="宋体" w:eastAsia="宋体" w:hAnsi="宋体" w:cs="宋体" w:hint="eastAsia"/>
          <w:kern w:val="2"/>
          <w:lang w:eastAsia="zh-CN"/>
        </w:rPr>
        <w:t>国家税务总局</w:t>
      </w:r>
      <w:r>
        <w:rPr>
          <w:rFonts w:ascii="宋体" w:eastAsia="宋体" w:hAnsi="宋体" w:cs="宋体" w:hint="eastAsia"/>
          <w:kern w:val="2"/>
          <w:lang w:eastAsia="zh-CN"/>
        </w:rPr>
        <w:t>XXX税务局</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1.1.1“甲方采购部门”见“合同条款前附表”第6项“甲方采购部门”。</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1.1.2“甲方需求部门（或验收牵头部门）”见“合同条款前附表”第6项“甲方需求部门（或验收牵头部门）”。</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1.2“乙方”见“合同条款前附表”第7项“乙方名称”。</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 “合同”系指甲乙双方签订的、合同格式中载明的甲乙双方所达成的协议，包括所有的附件、附录和上述文件所提到的构成合同的所有文件。</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1.4 “天”除非特别指出，“天”均为自然天。</w:t>
      </w:r>
    </w:p>
    <w:p>
      <w:pPr>
        <w:widowControl w:val="0"/>
        <w:topLinePunct/>
        <w:autoSpaceDE w:val="0"/>
        <w:autoSpaceDN w:val="0"/>
        <w:snapToGrid w:val="0"/>
        <w:spacing w:before="0" w:beforeAutospacing="0" w:after="0" w:afterAutospacing="0" w:line="360" w:lineRule="auto"/>
        <w:ind w:left="48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2. 标准</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2.1 乙方为甲方交付或提供的服务应符合招标（采购）文件所述的标准，如果没有提及适用标准，则应符合相应的国家标准。这些标准必须是有关机构发布的最新版本的标准。</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sz w:val="21"/>
          <w:lang w:eastAsia="zh-CN"/>
        </w:rPr>
      </w:pPr>
      <w:r>
        <w:rPr>
          <w:rFonts w:ascii="宋体" w:eastAsia="宋体" w:hAnsi="宋体" w:cs="宋体" w:hint="eastAsia"/>
          <w:kern w:val="2"/>
          <w:lang w:eastAsia="zh-CN"/>
        </w:rPr>
        <w:t>2.2 除非技术要求中另有规定，计量单位均采用中华人民共和国法定计量单位。</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3. 服务</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3.1 本项目的“服务”见</w:t>
      </w:r>
      <w:r>
        <w:rPr>
          <w:rFonts w:ascii="宋体" w:eastAsia="宋体" w:hAnsi="宋体" w:cs="宋体" w:hint="eastAsia"/>
          <w:kern w:val="2"/>
          <w:lang w:eastAsia="zh-CN"/>
        </w:rPr>
        <w:t>“</w:t>
      </w:r>
      <w:r>
        <w:rPr>
          <w:rFonts w:ascii="宋体" w:eastAsia="宋体" w:hAnsi="宋体" w:cs="宋体" w:hint="eastAsia"/>
          <w:kern w:val="2"/>
          <w:lang w:eastAsia="zh-CN"/>
        </w:rPr>
        <w:t>合同条款前附表”第9项“服务内容”。具体要求详见采购文件项目采购需求</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3.3 乙方应保证通过执行合同中全部方案后，可以取得本合同约定的结果，达到本合同约定的预期目标。对任何情况下出现的问题，应在甲方要求的限定期限内尽快提出解决方案。</w:t>
      </w:r>
    </w:p>
    <w:p>
      <w:pPr>
        <w:widowControl w:val="0"/>
        <w:tabs>
          <w:tab w:val="left" w:pos="0"/>
          <w:tab w:val="left" w:pos="54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3.5 除合同条款另行规定外，伴随服务的费用已全部含在合同总金额中，不单独进行支付。</w:t>
      </w:r>
    </w:p>
    <w:p>
      <w:pPr>
        <w:widowControl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4. 知识产权</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4.1 乙方应保证所提供的服务免受第三方提出侵犯其知识产权（专利权、商标权、软件著作权、版权等）</w:t>
      </w:r>
      <w:r>
        <w:rPr>
          <w:rFonts w:ascii="宋体" w:eastAsia="宋体" w:hAnsi="宋体" w:hint="eastAsia"/>
          <w:kern w:val="2"/>
          <w:lang w:eastAsia="zh-CN"/>
        </w:rPr>
        <w:t>、所有权、担保物权等事宜</w:t>
      </w:r>
      <w:r>
        <w:rPr>
          <w:rFonts w:ascii="宋体" w:eastAsia="宋体" w:hAnsi="宋体" w:hint="eastAsia"/>
          <w:kern w:val="2"/>
          <w:lang w:eastAsia="zh-CN"/>
        </w:rPr>
        <w:t>的起诉。如果甲方在使用乙方货物或货物的任何一部分过程中，第三方提出货物侵犯其专利权、工业设计权、使用权等知识产权</w:t>
      </w:r>
      <w:r>
        <w:rPr>
          <w:rFonts w:ascii="宋体" w:eastAsia="宋体" w:hAnsi="宋体" w:hint="eastAsia"/>
          <w:kern w:val="2"/>
          <w:lang w:eastAsia="zh-CN"/>
        </w:rPr>
        <w:t>、所有权、担保物权等事宜</w:t>
      </w:r>
      <w:r>
        <w:rPr>
          <w:rFonts w:ascii="宋体" w:eastAsia="宋体" w:hAnsi="宋体" w:hint="eastAsia"/>
          <w:kern w:val="2"/>
          <w:lang w:eastAsia="zh-CN"/>
        </w:rPr>
        <w:t>的，乙方应当修正以避免侵权。如果甲方在使用乙方货物或货物的任何一部分过程中，第三方指控侵犯其专利权、工业设计权、使用权等知识产权</w:t>
      </w:r>
      <w:r>
        <w:rPr>
          <w:rFonts w:ascii="宋体" w:eastAsia="宋体" w:hAnsi="宋体" w:hint="eastAsia"/>
          <w:kern w:val="2"/>
          <w:lang w:eastAsia="zh-CN"/>
        </w:rPr>
        <w:t>、所有权、担保物权等事宜</w:t>
      </w:r>
      <w:r>
        <w:rPr>
          <w:rFonts w:ascii="宋体" w:eastAsia="宋体" w:hAnsi="宋体" w:hint="eastAsia"/>
          <w:kern w:val="2"/>
          <w:lang w:eastAsia="zh-CN"/>
        </w:rPr>
        <w:t>的，乙方应自费为甲方答辩，并支付法院最终判决的甲方应支付第三方的一切费用、赔偿甲方由此遭受的损失。</w:t>
      </w:r>
    </w:p>
    <w:p>
      <w:pPr>
        <w:widowControl w:val="0"/>
        <w:tabs>
          <w:tab w:val="left" w:pos="0"/>
          <w:tab w:val="left" w:pos="540"/>
        </w:tabs>
        <w:topLinePunct/>
        <w:autoSpaceDE w:val="0"/>
        <w:autoSpaceDN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tabs>
          <w:tab w:val="left" w:pos="0"/>
          <w:tab w:val="left" w:pos="540"/>
        </w:tabs>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kern w:val="2"/>
          <w:lang w:eastAsia="zh-CN"/>
        </w:rPr>
        <w:t>4.3 乙方不得利用</w:t>
      </w:r>
      <w:r>
        <w:rPr>
          <w:rFonts w:ascii="宋体" w:eastAsia="宋体" w:hAnsi="宋体" w:cs="宋体" w:hint="eastAsia"/>
          <w:bCs/>
          <w:kern w:val="2"/>
          <w:lang w:eastAsia="zh-CN"/>
        </w:rPr>
        <w:t>本项目实施过程中</w:t>
      </w:r>
      <w:r>
        <w:rPr>
          <w:rFonts w:ascii="宋体" w:eastAsia="宋体" w:hAnsi="宋体" w:cs="宋体" w:hint="eastAsia"/>
          <w:kern w:val="2"/>
          <w:lang w:eastAsia="zh-CN"/>
        </w:rPr>
        <w:t>所产生的成果（包括发明、发现、可运行系统、源代码及相关技术资料、文档等），另行自行开发本合同业务范围内供纳税人缴费人使用的软件或产品，不得利用开发便利变相收费或搭车收费。</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5. 保密条款</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5.1 甲乙双方应对在本合同签订或履行过程中所接触的对方信息，包括但不限于知识产权、技术资料、技术诀窍、内部管理及其他相关信息，负有保密义务。</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5.2 乙方在使用甲方为乙方及其工作人员提供的</w:t>
      </w:r>
      <w:r>
        <w:rPr>
          <w:rFonts w:ascii="宋体" w:eastAsia="宋体" w:hAnsi="宋体" w:cs="宋体" w:hint="eastAsia"/>
          <w:kern w:val="2"/>
          <w:lang w:eastAsia="zh-CN"/>
        </w:rPr>
        <w:t>全部信息（包括但不限于：</w:t>
      </w:r>
      <w:r>
        <w:rPr>
          <w:rFonts w:ascii="宋体" w:eastAsia="宋体" w:hAnsi="宋体" w:cs="宋体" w:hint="eastAsia"/>
          <w:kern w:val="2"/>
          <w:lang w:eastAsia="zh-CN"/>
        </w:rPr>
        <w:t>数据、程序、用户名、口令、资料及甲方相关的业务和技术文档，包括税收政策、方案设计细节、程序文件、数据结构，以及相关业务系统的软硬件、文档、测试和测试产生的数据等）时，应遵循以下规定：</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 应以审慎态度避免泄漏、公开或传播甲方的信息；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 在开发过程中对数据的处理方式应事先得到甲方的许可；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 未经甲方书面许可，不得对有关信息进行修改、补充、复制；</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（4） 未经甲方书面许可，不得将信息以任何方式（如E-mail）携带出甲方场所；</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 xml:space="preserve">（5） 未经甲方书面许可，不得将信息透露给任何其他人； </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（6） 严禁在提交的软件产品中设置远程维护接口和后门程序；</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（7） 不得进行系统软硬件设备的远程维护；</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 甲方以书面形式提出的其他保密措施。</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5.3 保密期限不受合同有效期的限制，在合同有效期结束后，信息接受方仍应承担保密义务，直至该等信息成为公开信息。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5.4 甲乙双方如出现泄密行为，泄密方应承担相关的法律责任，包括但不限于对由此给对方造成的经济损失进行赔偿。</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6.项目管理</w:t>
      </w:r>
    </w:p>
    <w:p>
      <w:pPr>
        <w:widowControl w:val="0"/>
        <w:adjustRightInd w:val="0"/>
        <w:snapToGrid w:val="0"/>
        <w:spacing w:before="0" w:beforeAutospacing="0" w:after="0" w:afterAutospacing="0" w:line="360" w:lineRule="auto"/>
        <w:jc w:val="both"/>
        <w:rPr>
          <w:rFonts w:ascii="宋体" w:eastAsia="宋体" w:hAnsi="宋体" w:cs="宋体" w:hint="eastAsia"/>
          <w:kern w:val="2"/>
          <w:lang w:eastAsia="zh-CN"/>
        </w:rPr>
      </w:pPr>
      <w:r>
        <w:rPr>
          <w:rFonts w:ascii="宋体" w:eastAsia="宋体" w:hAnsi="宋体" w:cs="宋体" w:hint="eastAsia"/>
          <w:kern w:val="2"/>
          <w:lang w:eastAsia="zh-CN"/>
        </w:rPr>
        <w:t xml:space="preserve">    6.1 乙方应按照甲方项目整编归档内容、整理标准质量、移交时间等档案管理要求，对项目相关文件进行收集、整理、归档并移交。</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6.2 乙方应按甲方要求，配合做好</w:t>
      </w:r>
      <w:r>
        <w:rPr>
          <w:rFonts w:ascii="宋体" w:eastAsia="宋体" w:hAnsi="宋体" w:cs="宋体" w:hint="eastAsia"/>
          <w:kern w:val="2"/>
          <w:lang w:eastAsia="zh-CN"/>
        </w:rPr>
        <w:t>日常管理、食品安全、</w:t>
      </w:r>
      <w:r>
        <w:rPr>
          <w:rFonts w:ascii="宋体" w:eastAsia="宋体" w:hAnsi="宋体" w:cs="宋体" w:hint="eastAsia"/>
          <w:kern w:val="2"/>
          <w:lang w:eastAsia="zh-CN"/>
        </w:rPr>
        <w:t>政务信息系统安全检查、评测、审计、工程监理等监督管理工作及</w:t>
      </w:r>
      <w:r>
        <w:rPr>
          <w:rFonts w:ascii="宋体" w:eastAsia="宋体" w:hAnsi="宋体" w:cs="宋体"/>
          <w:kern w:val="2"/>
          <w:lang w:val="en" w:eastAsia="zh-CN"/>
        </w:rPr>
        <w:t>系统间数据交互和衔接</w:t>
      </w:r>
      <w:r>
        <w:rPr>
          <w:rFonts w:ascii="宋体" w:eastAsia="宋体" w:hAnsi="宋体" w:cs="宋体" w:hint="eastAsia"/>
          <w:kern w:val="2"/>
          <w:lang w:eastAsia="zh-CN"/>
        </w:rPr>
        <w:t>工作，如实、完整提供政务信息系统建设、运营、维护和政务数据安全管理相关情况，不得拒绝、隐匿、瞒报。</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b/>
          <w:kern w:val="2"/>
          <w:lang w:val="en" w:eastAsia="zh-CN"/>
        </w:rPr>
        <w:t>7</w:t>
      </w:r>
      <w:r>
        <w:rPr>
          <w:rFonts w:ascii="宋体" w:eastAsia="宋体" w:hAnsi="宋体" w:cs="宋体" w:hint="eastAsia"/>
          <w:b/>
          <w:kern w:val="2"/>
          <w:lang w:eastAsia="zh-CN"/>
        </w:rPr>
        <w:t>. 履约验收</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kern w:val="2"/>
          <w:lang w:val="en" w:eastAsia="zh-CN"/>
        </w:rPr>
        <w:t>7</w:t>
      </w:r>
      <w:r>
        <w:rPr>
          <w:rFonts w:ascii="宋体" w:eastAsia="宋体" w:hAnsi="宋体" w:cs="宋体" w:hint="eastAsia"/>
          <w:kern w:val="2"/>
          <w:lang w:eastAsia="zh-CN"/>
        </w:rPr>
        <w:t>.1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kern w:val="2"/>
          <w:lang w:val="en" w:eastAsia="zh-CN"/>
        </w:rPr>
        <w:t>7</w:t>
      </w:r>
      <w:r>
        <w:rPr>
          <w:rFonts w:ascii="宋体" w:eastAsia="宋体" w:hAnsi="宋体" w:cs="宋体" w:hint="eastAsia"/>
          <w:kern w:val="2"/>
          <w:lang w:eastAsia="zh-CN"/>
        </w:rPr>
        <w:t>.2 具体履约验收要求及验收方案详见招标（采购）文件。</w:t>
      </w:r>
    </w:p>
    <w:p>
      <w:pPr>
        <w:widowControl w:val="0"/>
        <w:spacing w:before="0" w:beforeAutospacing="0" w:after="0" w:afterAutospacing="0" w:line="259" w:lineRule="auto"/>
        <w:jc w:val="both"/>
        <w:rPr>
          <w:rFonts w:eastAsia="宋体"/>
          <w:kern w:val="2"/>
          <w:sz w:val="21"/>
          <w:lang w:eastAsia="zh-CN"/>
        </w:rPr>
      </w:pPr>
    </w:p>
    <w:p>
      <w:pPr>
        <w:widowControl w:val="0"/>
        <w:numPr>
          <w:ilvl w:val="0"/>
          <w:numId w:val="24"/>
        </w:numPr>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履约保证金（本项目不涉及此条款）</w:t>
      </w:r>
    </w:p>
    <w:p>
      <w:pPr>
        <w:widowControl w:val="0"/>
        <w:topLinePunct/>
        <w:autoSpaceDE w:val="0"/>
        <w:autoSpaceDN w:val="0"/>
        <w:snapToGrid w:val="0"/>
        <w:spacing w:before="0" w:beforeAutospacing="0" w:after="0" w:afterAutospacing="0" w:line="360" w:lineRule="auto"/>
        <w:ind w:firstLine="420" w:firstLineChars="200"/>
        <w:jc w:val="both"/>
        <w:outlineLvl w:val="2"/>
        <w:rPr>
          <w:rFonts w:ascii="宋体" w:eastAsia="宋体" w:hAnsi="宋体" w:cs="宋体" w:hint="eastAsia"/>
          <w:kern w:val="2"/>
          <w:lang w:eastAsia="zh-CN"/>
        </w:rPr>
      </w:pPr>
      <w:r>
        <w:rPr>
          <w:rFonts w:ascii="宋体" w:eastAsia="宋体" w:hAnsi="宋体" w:cs="宋体" w:hint="eastAsia"/>
          <w:kern w:val="2"/>
          <w:lang w:eastAsia="zh-CN"/>
        </w:rPr>
        <w:t>8.1 需提交履约保证金的项目，乙方应按照“合同条款前附表”第11项“履约保证金及返还”提交履约保证金。</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8.2 履约保证金的金额可用于补偿甲方因乙方不能完成其合同义务而蒙受的损失。</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8.4 乙方不履行合同、或者履行合同义务不符合约定使得合同目的不能实现，履约保证金不予退还，并应按合同约定支付违约金、赔偿金等。</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8.5 履约保证金在合同履行期满后，扣除相应款项（如有）且双方无争议后，凭返还申请等资料一次性无息返还，详见“合同条款前附表”第11项“履约保证金及返还”。</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9．履约延误</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9.1 乙方应按照本合同的规定提供服务。</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r>
        <w:rPr>
          <w:rFonts w:ascii="宋体" w:eastAsia="宋体" w:hAnsi="宋体" w:cs="宋体" w:hint="eastAsia"/>
          <w:kern w:val="2"/>
          <w:lang w:eastAsia="zh-CN"/>
        </w:rPr>
        <w:t>一切必要合理的费用</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9.4 除不可抗力和根据合同规定延期取得甲方同意而不收取误期违约金之外，乙方延误工期，将由甲方按合同规定收取误期违约金。</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10 违约责任</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10</w:t>
      </w:r>
      <w:r>
        <w:rPr>
          <w:rFonts w:ascii="宋体" w:eastAsia="宋体" w:hAnsi="宋体"/>
          <w:kern w:val="2"/>
          <w:lang w:eastAsia="zh-CN"/>
        </w:rPr>
        <w:t>.1</w:t>
      </w:r>
      <w:r>
        <w:rPr>
          <w:rFonts w:ascii="宋体" w:eastAsia="宋体" w:hAnsi="宋体" w:hint="eastAsia"/>
          <w:kern w:val="2"/>
          <w:lang w:eastAsia="zh-CN"/>
        </w:rPr>
        <w:t xml:space="preserve"> 除采购文件、本合同另有约定外，乙方</w:t>
      </w:r>
      <w:r>
        <w:rPr>
          <w:rFonts w:ascii="宋体" w:eastAsia="宋体" w:hAnsi="宋体"/>
          <w:kern w:val="2"/>
          <w:lang w:eastAsia="zh-CN"/>
        </w:rPr>
        <w:t>不履行合同义务或者履行合同义务不符合</w:t>
      </w:r>
      <w:r>
        <w:rPr>
          <w:rFonts w:ascii="宋体" w:eastAsia="宋体" w:hAnsi="宋体" w:hint="eastAsia"/>
          <w:kern w:val="2"/>
          <w:lang w:eastAsia="zh-CN"/>
        </w:rPr>
        <w:t>合同</w:t>
      </w:r>
      <w:r>
        <w:rPr>
          <w:rFonts w:ascii="宋体" w:eastAsia="宋体" w:hAnsi="宋体"/>
          <w:kern w:val="2"/>
          <w:lang w:eastAsia="zh-CN"/>
        </w:rPr>
        <w:t>约定的，</w:t>
      </w:r>
      <w:r>
        <w:rPr>
          <w:rFonts w:ascii="宋体" w:eastAsia="宋体" w:hAnsi="宋体" w:cs="宋体" w:hint="eastAsia"/>
          <w:kern w:val="2"/>
          <w:lang w:eastAsia="zh-CN"/>
        </w:rPr>
        <w:t>按每违反一次从应付款项中扣除合同总金额的百分之一（1%）作为违约金；此外，</w:t>
      </w:r>
      <w:r>
        <w:rPr>
          <w:rFonts w:ascii="宋体" w:eastAsia="宋体" w:hAnsi="宋体"/>
          <w:kern w:val="2"/>
          <w:lang w:eastAsia="zh-CN"/>
        </w:rPr>
        <w:t>应当承担继续履行、采取补救措施</w:t>
      </w:r>
      <w:r>
        <w:rPr>
          <w:rFonts w:ascii="宋体" w:eastAsia="宋体" w:hAnsi="宋体" w:hint="eastAsia"/>
          <w:kern w:val="2"/>
          <w:lang w:eastAsia="zh-CN"/>
        </w:rPr>
        <w:t>或者</w:t>
      </w:r>
      <w:r>
        <w:rPr>
          <w:rFonts w:ascii="宋体" w:eastAsia="宋体" w:hAnsi="宋体"/>
          <w:kern w:val="2"/>
          <w:lang w:eastAsia="zh-CN"/>
        </w:rPr>
        <w:t>赔偿损失等违约责任。</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乙方支付的上述违约金、赔偿金等不足以弥补甲方损失的，应继续承担赔偿责任。本合同约定的损失，包括但不限于：直接损失、调查取证费、诉讼费、律师费等。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10</w:t>
      </w:r>
      <w:r>
        <w:rPr>
          <w:rFonts w:ascii="宋体" w:eastAsia="宋体" w:hAnsi="宋体"/>
          <w:kern w:val="2"/>
          <w:lang w:eastAsia="zh-CN"/>
        </w:rPr>
        <w:t>.2</w:t>
      </w:r>
      <w:r>
        <w:rPr>
          <w:rFonts w:ascii="宋体" w:eastAsia="宋体" w:hAnsi="宋体" w:hint="eastAsia"/>
          <w:kern w:val="2"/>
          <w:lang w:eastAsia="zh-CN"/>
        </w:rPr>
        <w:t xml:space="preserve"> 乙方没有按照时限要求提供服务，且在甲方指定的延长期限内没有</w:t>
      </w:r>
      <w:r>
        <w:rPr>
          <w:rFonts w:ascii="宋体" w:eastAsia="宋体" w:hAnsi="宋体"/>
          <w:kern w:val="2"/>
          <w:lang w:eastAsia="zh-CN"/>
        </w:rPr>
        <w:t>采取补救措施</w:t>
      </w:r>
      <w:r>
        <w:rPr>
          <w:rFonts w:ascii="宋体" w:eastAsia="宋体" w:hAnsi="宋体" w:hint="eastAsia"/>
          <w:kern w:val="2"/>
          <w:lang w:eastAsia="zh-CN"/>
        </w:rPr>
        <w:t>，甲方有权自行采取其他方式进行补救，乙方除按合同第9条约定向甲方支付误期违约金外，另外甲方所发生的一切费用和甲方损失，甲方有权从应付的乙方的合同款项中扣除，不足扣除的乙方应另行支付。</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10</w:t>
      </w:r>
      <w:r>
        <w:rPr>
          <w:rFonts w:ascii="宋体" w:eastAsia="宋体" w:hAnsi="宋体"/>
          <w:kern w:val="2"/>
          <w:lang w:eastAsia="zh-CN"/>
        </w:rPr>
        <w:t>.</w:t>
      </w:r>
      <w:r>
        <w:rPr>
          <w:rFonts w:ascii="宋体" w:eastAsia="宋体" w:hAnsi="宋体" w:hint="eastAsia"/>
          <w:kern w:val="2"/>
          <w:lang w:eastAsia="zh-CN"/>
        </w:rPr>
        <w:t>3</w:t>
      </w:r>
      <w:r>
        <w:rPr>
          <w:rFonts w:ascii="宋体" w:eastAsia="宋体" w:hAnsi="宋体"/>
          <w:kern w:val="2"/>
          <w:lang w:eastAsia="zh-CN"/>
        </w:rPr>
        <w:t xml:space="preserve"> </w:t>
      </w:r>
      <w:r>
        <w:rPr>
          <w:rFonts w:ascii="宋体" w:eastAsia="宋体" w:hAnsi="宋体" w:hint="eastAsia"/>
          <w:kern w:val="2"/>
          <w:lang w:eastAsia="zh-CN"/>
        </w:rPr>
        <w:t>除应支付甲方违约金等外，甲方有权根据合同或有关部门出具的检验证书向乙方提出索赔。</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10.4</w:t>
      </w:r>
      <w:r>
        <w:rPr>
          <w:rFonts w:ascii="宋体" w:eastAsia="宋体" w:hAnsi="宋体"/>
          <w:kern w:val="2"/>
          <w:lang w:eastAsia="zh-CN"/>
        </w:rPr>
        <w:t xml:space="preserve"> </w:t>
      </w:r>
      <w:r>
        <w:rPr>
          <w:rFonts w:ascii="宋体" w:eastAsia="宋体" w:hAnsi="宋体" w:hint="eastAsia"/>
          <w:kern w:val="2"/>
          <w:lang w:eastAsia="zh-CN"/>
        </w:rPr>
        <w:t>如果乙方对差异负有责任而甲方提出索赔，乙方同意按照下列方式解决索赔事宜：</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如果在甲方发出索赔通知后</w:t>
      </w:r>
      <w:r>
        <w:rPr>
          <w:rFonts w:ascii="宋体" w:eastAsia="宋体" w:hAnsi="宋体"/>
          <w:kern w:val="2"/>
          <w:lang w:eastAsia="zh-CN"/>
        </w:rPr>
        <w:t>5</w:t>
      </w:r>
      <w:r>
        <w:rPr>
          <w:rFonts w:ascii="宋体" w:eastAsia="宋体" w:hAnsi="宋体" w:hint="eastAsia"/>
          <w:kern w:val="2"/>
          <w:lang w:eastAsia="zh-CN"/>
        </w:rPr>
        <w:t>个工作日内，乙方未作书面答复，上述索赔应视为已被乙方接受。如乙方未能在甲方发出索赔通知后</w:t>
      </w:r>
      <w:r>
        <w:rPr>
          <w:rFonts w:ascii="宋体" w:eastAsia="宋体" w:hAnsi="宋体"/>
          <w:kern w:val="2"/>
          <w:lang w:eastAsia="zh-CN"/>
        </w:rPr>
        <w:t>5</w:t>
      </w:r>
      <w:r>
        <w:rPr>
          <w:rFonts w:ascii="宋体" w:eastAsia="宋体" w:hAnsi="宋体" w:hint="eastAsia"/>
          <w:kern w:val="2"/>
          <w:lang w:eastAsia="zh-CN"/>
        </w:rPr>
        <w:t>个工作日内或甲方同意的延长期限内着手解决索赔事宜，甲方有权从应付乙方的合同款项中扣除索赔金额。</w:t>
      </w:r>
    </w:p>
    <w:p>
      <w:pPr>
        <w:widowControl w:val="0"/>
        <w:tabs>
          <w:tab w:val="left" w:pos="0"/>
          <w:tab w:val="left" w:pos="540"/>
        </w:tabs>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10.5 乙方利用</w:t>
      </w:r>
      <w:r>
        <w:rPr>
          <w:rFonts w:ascii="宋体" w:eastAsia="宋体" w:hAnsi="宋体" w:cs="宋体" w:hint="eastAsia"/>
          <w:bCs/>
          <w:kern w:val="2"/>
          <w:lang w:eastAsia="zh-CN"/>
        </w:rPr>
        <w:t>本项目实施过程中</w:t>
      </w:r>
      <w:r>
        <w:rPr>
          <w:rFonts w:ascii="宋体" w:eastAsia="宋体" w:hAnsi="宋体" w:cs="宋体" w:hint="eastAsia"/>
          <w:kern w:val="2"/>
          <w:lang w:eastAsia="zh-CN"/>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widowControl w:val="0"/>
        <w:tabs>
          <w:tab w:val="left" w:pos="0"/>
          <w:tab w:val="left" w:pos="540"/>
        </w:tabs>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对于影响恶劣的严重违法失信行为，推送财政部纳入政府采购严重违法失信行为记录名单。</w:t>
      </w:r>
    </w:p>
    <w:p>
      <w:pPr>
        <w:widowControl w:val="0"/>
        <w:adjustRightInd w:val="0"/>
        <w:snapToGrid w:val="0"/>
        <w:spacing w:before="0" w:beforeAutospacing="0" w:after="0" w:afterAutospacing="0" w:line="360" w:lineRule="auto"/>
        <w:ind w:firstLine="540"/>
        <w:jc w:val="both"/>
        <w:rPr>
          <w:rFonts w:ascii="宋体" w:eastAsia="宋体" w:hAnsi="宋体" w:cs="宋体"/>
          <w:kern w:val="2"/>
          <w:sz w:val="21"/>
          <w:lang w:eastAsia="zh-CN"/>
        </w:rPr>
      </w:pPr>
      <w:r>
        <w:rPr>
          <w:rFonts w:ascii="宋体" w:eastAsia="宋体" w:hAnsi="宋体" w:cs="宋体" w:hint="eastAsia"/>
          <w:kern w:val="2"/>
          <w:lang w:eastAsia="zh-CN"/>
        </w:rPr>
        <w:t>10.6 乙方在</w:t>
      </w:r>
      <w:r>
        <w:rPr>
          <w:rFonts w:ascii="宋体" w:eastAsia="宋体" w:hAnsi="宋体" w:cs="宋体" w:hint="eastAsia"/>
          <w:bCs/>
          <w:kern w:val="2"/>
          <w:lang w:eastAsia="zh-CN"/>
        </w:rPr>
        <w:t>本项目实施过程中</w:t>
      </w:r>
      <w:r>
        <w:rPr>
          <w:rFonts w:ascii="宋体" w:eastAsia="宋体" w:hAnsi="宋体" w:cs="宋体" w:hint="eastAsia"/>
          <w:kern w:val="2"/>
          <w:lang w:eastAsia="zh-CN"/>
        </w:rPr>
        <w:t>发生违反食品安全、网络安全规定或其他负面行为，造成甲方及不特定第三方人身财产损害、数据失窃或丢失、敏感信息泄露、主要业务系统瘫痪等不良后果的，自甲方通报之日起三年内，税务系统各单位可以拒绝乙方参与税务系统政府采购活动。</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 信息化服务商聘用离职税务人员的风险控制</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10.7.1 信息化服务商是指为税务总局、各省（自治区、直辖市和计划单列市）税务局提供信息化项目承建、运维、咨询、监理服务或参加相关采购活动的单位或个人。</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10.7.2乙方应建立防止违法违规聘用离职税务人员的风险控制制度。如乙方未建立上述风险控制制度，甲方有权要求乙方限期纠正。</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10.7.3本合同履行期间，乙方不得聘用3年内离职的原从事过税收信息化及相关信息系统业务条线的税务人员。原从事过，是指离职前3年内从事过税收信息化工作及相关信息系统业务条线工作。如果乙方有前述违约行为，甲方有权要求乙方承担下列违约责任：</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10.7.3.1要求乙方限期改正并从应付款项中扣除合同总金额的百分之一（1%）作为违约金；</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10.7.3.2自甲方</w:t>
      </w:r>
      <w:r>
        <w:rPr>
          <w:rFonts w:ascii="宋体" w:eastAsia="宋体" w:hAnsi="宋体" w:cs="宋体" w:hint="eastAsia"/>
          <w:kern w:val="2"/>
          <w:lang w:eastAsia="zh-CN"/>
        </w:rPr>
        <w:t>通报</w:t>
      </w:r>
      <w:r>
        <w:rPr>
          <w:rFonts w:ascii="宋体" w:eastAsia="宋体" w:hAnsi="宋体" w:cs="宋体" w:hint="eastAsia"/>
          <w:bCs/>
          <w:kern w:val="2"/>
          <w:lang w:eastAsia="zh-CN"/>
        </w:rPr>
        <w:t>之日起三年内，所聘税务人员原单位及下属单位可以拒绝乙方参与信息化项目政府采购活动。</w:t>
      </w:r>
    </w:p>
    <w:p>
      <w:pPr>
        <w:widowControl w:val="0"/>
        <w:adjustRightInd w:val="0"/>
        <w:snapToGrid w:val="0"/>
        <w:spacing w:before="0" w:beforeAutospacing="0" w:after="0" w:afterAutospacing="0" w:line="360" w:lineRule="auto"/>
        <w:ind w:firstLine="540"/>
        <w:jc w:val="both"/>
        <w:rPr>
          <w:rFonts w:ascii="宋体" w:eastAsia="宋体" w:hAnsi="宋体" w:cs="宋体"/>
          <w:kern w:val="2"/>
          <w:sz w:val="21"/>
          <w:lang w:eastAsia="zh-CN"/>
        </w:rPr>
      </w:pPr>
      <w:r>
        <w:rPr>
          <w:rFonts w:ascii="宋体" w:eastAsia="宋体" w:hAnsi="宋体" w:cs="宋体" w:hint="eastAsia"/>
          <w:kern w:val="2"/>
          <w:lang w:eastAsia="zh-CN"/>
        </w:rPr>
        <w:t>10.8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10.9 甲方认定乙方在本合同履行期间存在失信行为的，自甲方</w:t>
      </w:r>
      <w:r>
        <w:rPr>
          <w:rFonts w:ascii="宋体" w:eastAsia="宋体" w:hAnsi="宋体" w:cs="宋体" w:hint="eastAsia"/>
          <w:kern w:val="2"/>
          <w:lang w:eastAsia="zh-CN"/>
        </w:rPr>
        <w:t>做出认定并通报</w:t>
      </w:r>
      <w:r>
        <w:rPr>
          <w:rFonts w:ascii="宋体" w:eastAsia="宋体" w:hAnsi="宋体" w:cs="宋体" w:hint="eastAsia"/>
          <w:bCs/>
          <w:kern w:val="2"/>
          <w:lang w:eastAsia="zh-CN"/>
        </w:rPr>
        <w:t>之日起三年内，税务系统各单位可以拒绝乙方参与信息化项目政府采购活动。</w:t>
      </w:r>
    </w:p>
    <w:p>
      <w:pPr>
        <w:widowControl w:val="0"/>
        <w:adjustRightInd w:val="0"/>
        <w:snapToGrid w:val="0"/>
        <w:spacing w:before="0" w:beforeAutospacing="0" w:after="0" w:afterAutospacing="0" w:line="360" w:lineRule="auto"/>
        <w:ind w:firstLine="540"/>
        <w:jc w:val="both"/>
        <w:rPr>
          <w:rFonts w:ascii="宋体" w:eastAsia="宋体" w:hAnsi="宋体" w:cs="宋体"/>
          <w:bCs/>
          <w:kern w:val="2"/>
          <w:sz w:val="21"/>
          <w:lang w:eastAsia="zh-CN"/>
        </w:rPr>
      </w:pPr>
      <w:r>
        <w:rPr>
          <w:rFonts w:ascii="宋体" w:eastAsia="宋体" w:hAnsi="宋体" w:cs="宋体" w:hint="eastAsia"/>
          <w:bCs/>
          <w:kern w:val="2"/>
          <w:lang w:eastAsia="zh-CN"/>
        </w:rPr>
        <w:t>10.10 对于本协议未约定的、招标（采购）文件（技术部分）中约定的违约处理条款，按招标（采购）文件（技术部分）相关约定执行；对本协议与招标（采购）文件（技术部分）约定不同的违约处理条款，以本协议约定为准。</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11. 不可抗力及其他</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11</w:t>
      </w:r>
      <w:r>
        <w:rPr>
          <w:rFonts w:ascii="宋体" w:eastAsia="宋体" w:hAnsi="宋体"/>
          <w:kern w:val="2"/>
          <w:lang w:eastAsia="zh-CN"/>
        </w:rPr>
        <w:t xml:space="preserve">.1 </w:t>
      </w:r>
      <w:r>
        <w:rPr>
          <w:rFonts w:ascii="宋体" w:eastAsia="宋体" w:hAnsi="宋体" w:hint="eastAsia"/>
          <w:kern w:val="2"/>
          <w:lang w:eastAsia="zh-CN"/>
        </w:rPr>
        <w:t>如果乙方因不可抗力而导致合同实施延误或不能履行合同义务，不应承担误期赔偿或终止合同的责任。</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11</w:t>
      </w:r>
      <w:r>
        <w:rPr>
          <w:rFonts w:ascii="宋体" w:eastAsia="宋体" w:hAnsi="宋体"/>
          <w:kern w:val="2"/>
          <w:lang w:eastAsia="zh-CN"/>
        </w:rPr>
        <w:t>.2</w:t>
      </w:r>
      <w:r>
        <w:rPr>
          <w:rFonts w:ascii="宋体" w:eastAsia="宋体" w:hAnsi="宋体" w:hint="eastAsia"/>
          <w:kern w:val="2"/>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hint="eastAsia"/>
          <w:kern w:val="2"/>
          <w:lang w:eastAsia="zh-CN"/>
        </w:rPr>
        <w:t>11</w:t>
      </w:r>
      <w:r>
        <w:rPr>
          <w:rFonts w:ascii="宋体" w:eastAsia="宋体" w:hAnsi="宋体"/>
          <w:kern w:val="2"/>
          <w:lang w:eastAsia="zh-CN"/>
        </w:rPr>
        <w:t>.3</w:t>
      </w:r>
      <w:r>
        <w:rPr>
          <w:rFonts w:ascii="宋体" w:eastAsia="宋体" w:hAnsi="宋体" w:hint="eastAsia"/>
          <w:kern w:val="2"/>
          <w:lang w:eastAsia="zh-CN"/>
        </w:rPr>
        <w:t xml:space="preserve"> 在不可抗力事件发生后，当事方应及时将不可抗力情况通知合同对方，在不可抗力事件结束后</w:t>
      </w:r>
      <w:r>
        <w:rPr>
          <w:rFonts w:ascii="宋体" w:eastAsia="宋体" w:hAnsi="宋体"/>
          <w:kern w:val="2"/>
          <w:lang w:eastAsia="zh-CN"/>
        </w:rPr>
        <w:t>3</w:t>
      </w:r>
      <w:r>
        <w:rPr>
          <w:rFonts w:ascii="宋体" w:eastAsia="宋体" w:hAnsi="宋体" w:hint="eastAsia"/>
          <w:kern w:val="2"/>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r>
        <w:rPr>
          <w:rFonts w:ascii="宋体" w:eastAsia="宋体" w:hAnsi="宋体" w:cs="宋体" w:hint="eastAsia"/>
          <w:bCs/>
          <w:kern w:val="2"/>
          <w:lang w:eastAsia="zh-CN"/>
        </w:rPr>
        <w:t>11.</w:t>
      </w:r>
      <w:r>
        <w:rPr>
          <w:rFonts w:ascii="宋体" w:eastAsia="宋体" w:hAnsi="宋体" w:cs="宋体"/>
          <w:bCs/>
          <w:kern w:val="2"/>
          <w:lang w:eastAsia="zh-CN"/>
        </w:rPr>
        <w:t>4</w:t>
      </w:r>
      <w:r>
        <w:rPr>
          <w:rFonts w:ascii="宋体" w:eastAsia="宋体" w:hAnsi="宋体" w:cs="宋体" w:hint="eastAsia"/>
          <w:bCs/>
          <w:kern w:val="2"/>
          <w:lang w:eastAsia="zh-CN"/>
        </w:rPr>
        <w:t xml:space="preserve"> 如因</w:t>
      </w:r>
      <w:r>
        <w:rPr>
          <w:rFonts w:ascii="宋体" w:eastAsia="宋体" w:hAnsi="宋体" w:cs="宋体" w:hint="eastAsia"/>
          <w:kern w:val="2"/>
          <w:lang w:eastAsia="zh-CN"/>
        </w:rPr>
        <w:t>国家政策变化、技术实施所需的客观环境发生变化、重大技术变化、国家调减预算、</w:t>
      </w:r>
      <w:r>
        <w:rPr>
          <w:rFonts w:ascii="宋体" w:eastAsia="宋体" w:hAnsi="宋体" w:hint="eastAsia"/>
          <w:kern w:val="2"/>
          <w:lang w:eastAsia="zh-CN"/>
        </w:rPr>
        <w:t>乙方在执行合同的过程中发生对履行合同有直接影响的重大事故或变故、</w:t>
      </w:r>
      <w:r>
        <w:rPr>
          <w:rFonts w:ascii="宋体" w:eastAsia="宋体" w:hAnsi="宋体" w:cs="宋体" w:hint="eastAsia"/>
          <w:kern w:val="2"/>
          <w:lang w:eastAsia="zh-CN"/>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12. 争端的解决</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.1 </w:t>
      </w:r>
      <w:r>
        <w:rPr>
          <w:rFonts w:ascii="宋体" w:eastAsia="宋体" w:hAnsi="宋体" w:cs="宋体" w:hint="eastAsia"/>
          <w:bCs/>
          <w:kern w:val="2"/>
          <w:lang w:eastAsia="zh-CN"/>
        </w:rPr>
        <w:t>甲乙双方可通过友好协商，解决在执行本合同中所发生的或与本合同有关的一切争端。如从协商开始</w:t>
      </w:r>
      <w:r>
        <w:rPr>
          <w:rFonts w:ascii="宋体" w:eastAsia="宋体" w:hAnsi="宋体" w:cs="宋体"/>
          <w:bCs/>
          <w:kern w:val="2"/>
          <w:lang w:eastAsia="zh-CN"/>
        </w:rPr>
        <w:t>30</w:t>
      </w:r>
      <w:r>
        <w:rPr>
          <w:rFonts w:ascii="宋体" w:eastAsia="宋体" w:hAnsi="宋体" w:cs="宋体" w:hint="eastAsia"/>
          <w:bCs/>
          <w:kern w:val="2"/>
          <w:lang w:eastAsia="zh-CN"/>
        </w:rPr>
        <w:t>天内仍不能解决，则任意一方可提请诉讼。</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.2</w:t>
      </w:r>
      <w:r>
        <w:rPr>
          <w:rFonts w:ascii="宋体" w:eastAsia="宋体" w:hAnsi="宋体" w:cs="宋体" w:hint="eastAsia"/>
          <w:bCs/>
          <w:kern w:val="2"/>
          <w:lang w:eastAsia="zh-CN"/>
        </w:rPr>
        <w:t xml:space="preserve"> 诉讼应由合同任意一方向甲方住所地有管辖权的人民法院提起。</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.3 </w:t>
      </w:r>
      <w:r>
        <w:rPr>
          <w:rFonts w:ascii="宋体" w:eastAsia="宋体" w:hAnsi="宋体" w:cs="宋体" w:hint="eastAsia"/>
          <w:bCs/>
          <w:kern w:val="2"/>
          <w:lang w:eastAsia="zh-CN"/>
        </w:rPr>
        <w:t>法院判决应为最终裁决，对双方均具有约束力。</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.4 </w:t>
      </w:r>
      <w:r>
        <w:rPr>
          <w:rFonts w:ascii="宋体" w:eastAsia="宋体" w:hAnsi="宋体" w:cs="宋体" w:hint="eastAsia"/>
          <w:bCs/>
          <w:kern w:val="2"/>
          <w:lang w:eastAsia="zh-CN"/>
        </w:rPr>
        <w:t>诉讼费除司法机关另有裁决外应由败诉方负担。</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.5 </w:t>
      </w:r>
      <w:r>
        <w:rPr>
          <w:rFonts w:ascii="宋体" w:eastAsia="宋体" w:hAnsi="宋体" w:cs="宋体" w:hint="eastAsia"/>
          <w:bCs/>
          <w:kern w:val="2"/>
          <w:lang w:eastAsia="zh-CN"/>
        </w:rPr>
        <w:t>在争议解决期间，除正在进行诉讼部分外，本合同的其它部分应继续执行。</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13. 违约解除合同</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 xml:space="preserve">.1 </w:t>
      </w:r>
      <w:r>
        <w:rPr>
          <w:rFonts w:ascii="宋体" w:eastAsia="宋体" w:hAnsi="宋体" w:hint="eastAsia"/>
          <w:kern w:val="2"/>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hint="eastAsia"/>
          <w:kern w:val="2"/>
          <w:lang w:eastAsia="zh-CN"/>
        </w:rPr>
        <w:t>13.1.1 乙方不履行合同义务或者履行合同义务不符合合同约定，累计达2次的；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2 如果乙方未能在合同规定的期限或甲方同意延长的期限内提供服务，迟延累计达20日的；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3 因乙方人员自身技术能力、经验不足等问题造成甲方发生重大紧急故障，带来重大影响和损失的；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4 乙方对重大紧急故障、食品安全隐患没有及时响应，或不能在规定时间内解决处理故障、恢复食堂服务正常运行、解决相关食品安全问题的；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5 不能满足本项目技术需求的管理要求和规范，且经2次整改无明显改进的；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13.1.6 在合同服务期内，同一个应用系统在升级完善、运行维护支持服务过程中，出现5次经甲乙双方确认的用户投诉的；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13.1.8 乙方在本项目实施过程中发生违反食品卫生安全规定行为造成不良后果的；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13.1.9 乙方拒不修复或更换有缺陷的、损坏的货物的；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13.1.10 乙方提供的服务侵犯甲方、第三方知识产权等合法权益的；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13.1.11 乙方提供的服务造成甲方或第三方经济损失而拒不赔偿的；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13.1.12 乙方转让其应履行的合同义务，或未经甲方同意采取分包方式履行合同的；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13.1.13 乙方对日常管理、食品安全、政务信息系统建设、运营、维护项目的主体和关键部分采取转包、分包方式履行合同的；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13.1.14 乙方不配合日常管理、食品安全、政务信息系统安全检查、评测、审计、工程监理及</w:t>
      </w:r>
      <w:r>
        <w:rPr>
          <w:rFonts w:ascii="宋体" w:eastAsia="宋体" w:hAnsi="宋体" w:cs="宋体"/>
          <w:kern w:val="2"/>
          <w:lang w:eastAsia="zh-CN"/>
        </w:rPr>
        <w:t>系统间数据交互和衔接</w:t>
      </w:r>
      <w:r>
        <w:rPr>
          <w:rFonts w:ascii="宋体" w:eastAsia="宋体" w:hAnsi="宋体" w:cs="宋体" w:hint="eastAsia"/>
          <w:kern w:val="2"/>
          <w:lang w:eastAsia="zh-CN"/>
        </w:rPr>
        <w:t>等工作，不如实、完整提供日常管理、食品安全、政务信息系统建设、运营、维护和政务数据安全管理相关情况的；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13.1.15 乙方违反协议10.7.2的规定，且未按甲方要求在限期内改正或者拒不改正的；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13.1.16 乙方违反协议10.7.3的规定，且未按甲方要求在限期内改正或拒不改正或拒不支付违约金的；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Calibri" w:eastAsia="宋体" w:hAnsi="Calibri"/>
          <w:kern w:val="2"/>
          <w:sz w:val="21"/>
          <w:lang w:eastAsia="zh-CN"/>
        </w:rPr>
      </w:pPr>
      <w:r>
        <w:rPr>
          <w:rFonts w:ascii="宋体" w:eastAsia="宋体" w:hAnsi="宋体" w:cs="宋体" w:hint="eastAsia"/>
          <w:kern w:val="2"/>
          <w:lang w:eastAsia="zh-CN"/>
        </w:rPr>
        <w:t>13.1.17 乙方在本合同履行过程中存在“围猎”税务人员行为的。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kern w:val="2"/>
          <w:sz w:val="21"/>
          <w:lang w:eastAsia="zh-CN"/>
        </w:rPr>
      </w:pPr>
      <w:r>
        <w:rPr>
          <w:rFonts w:ascii="宋体" w:eastAsia="宋体" w:hAnsi="宋体" w:cs="宋体" w:hint="eastAsia"/>
          <w:kern w:val="2"/>
          <w:lang w:eastAsia="zh-CN"/>
        </w:rPr>
        <w:t>13.1.18 乙方有其他严重违约行为的。</w:t>
      </w:r>
    </w:p>
    <w:p>
      <w:pPr>
        <w:widowControl w:val="0"/>
        <w:adjustRightInd w:val="0"/>
        <w:snapToGrid w:val="0"/>
        <w:spacing w:before="0" w:beforeAutospacing="0" w:after="0" w:afterAutospacing="0" w:line="360" w:lineRule="auto"/>
        <w:ind w:firstLine="441" w:firstLineChars="210"/>
        <w:jc w:val="both"/>
        <w:rPr>
          <w:rFonts w:ascii="宋体" w:eastAsia="宋体" w:hAnsi="宋体"/>
          <w:kern w:val="2"/>
          <w:sz w:val="21"/>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 xml:space="preserve">.2 </w:t>
      </w:r>
      <w:r>
        <w:rPr>
          <w:rFonts w:ascii="宋体" w:eastAsia="宋体" w:hAnsi="宋体" w:hint="eastAsia"/>
          <w:kern w:val="2"/>
          <w:lang w:eastAsia="zh-CN"/>
        </w:rPr>
        <w:t>如果甲方根据上述第</w:t>
      </w: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napToGrid w:val="0"/>
        <w:spacing w:before="0" w:beforeAutospacing="0" w:after="0" w:afterAutospacing="0" w:line="360" w:lineRule="auto"/>
        <w:ind w:firstLine="54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14. 破产终止合同</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4</w:t>
      </w:r>
      <w:r>
        <w:rPr>
          <w:rFonts w:ascii="宋体" w:eastAsia="宋体" w:hAnsi="宋体"/>
          <w:kern w:val="2"/>
          <w:lang w:eastAsia="zh-CN"/>
        </w:rPr>
        <w:t xml:space="preserve">.1 </w:t>
      </w:r>
      <w:r>
        <w:rPr>
          <w:rFonts w:ascii="宋体" w:eastAsia="宋体" w:hAnsi="宋体" w:hint="eastAsia"/>
          <w:kern w:val="2"/>
          <w:lang w:eastAsia="zh-CN"/>
        </w:rPr>
        <w:t>如果乙方破产或无清偿能力，甲方可在任何时候以书面形式通知乙方终止合同而不给乙方补偿。</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14.2 该终止合同将不损害或影响甲方已经采取或将要采取的任何行动或补救措施的权利。</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15. 合同修改或变更</w:t>
      </w:r>
    </w:p>
    <w:p>
      <w:pPr>
        <w:widowControl w:val="0"/>
        <w:snapToGrid w:val="0"/>
        <w:spacing w:before="0" w:beforeAutospacing="0" w:after="0" w:afterAutospacing="0" w:line="360" w:lineRule="auto"/>
        <w:ind w:firstLine="482"/>
        <w:jc w:val="both"/>
        <w:rPr>
          <w:rFonts w:ascii="宋体" w:eastAsia="宋体" w:hAnsi="宋体" w:cs="宋体" w:hint="eastAsia"/>
          <w:kern w:val="2"/>
          <w:lang w:eastAsia="zh-CN"/>
        </w:rPr>
      </w:pPr>
      <w:r>
        <w:rPr>
          <w:rFonts w:ascii="宋体" w:eastAsia="宋体" w:hAnsi="宋体" w:cs="宋体" w:hint="eastAsia"/>
          <w:kern w:val="2"/>
          <w:lang w:eastAsia="zh-CN"/>
        </w:rPr>
        <w:t>15.1 合同如有未尽事宜，须经甲乙双方共同协商，做出补充约定，并签订书面补充合同或变更协议。补充合同或变更协议作为本合同的一部分，与本合同具有同等效力。</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r>
        <w:rPr>
          <w:rFonts w:ascii="宋体" w:eastAsia="宋体" w:hAnsi="宋体" w:cs="宋体" w:hint="eastAsia"/>
          <w:kern w:val="2"/>
          <w:lang w:eastAsia="zh-CN"/>
        </w:rPr>
        <w:t>15.2 除了双方签署书面修改或变更协议，并成为本合同不可分割的一部分的情况之外，本合同的条款不得有任何变化或修改。</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15.3 由于甲方项目统一规划等原因导致本项目停止部分服务的，甲方将与乙方协商处理。</w:t>
      </w:r>
    </w:p>
    <w:p>
      <w:pPr>
        <w:widowControl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16. 转让和分包</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6</w:t>
      </w:r>
      <w:r>
        <w:rPr>
          <w:rFonts w:ascii="宋体" w:eastAsia="宋体" w:hAnsi="宋体"/>
          <w:kern w:val="2"/>
          <w:lang w:eastAsia="zh-CN"/>
        </w:rPr>
        <w:t>.1</w:t>
      </w:r>
      <w:r>
        <w:rPr>
          <w:rFonts w:ascii="宋体" w:eastAsia="宋体" w:hAnsi="宋体" w:hint="eastAsia"/>
          <w:kern w:val="2"/>
          <w:lang w:eastAsia="zh-CN"/>
        </w:rPr>
        <w:t xml:space="preserve"> 乙方不得部分转让或全部转让其应履行的合同义务。</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hint="eastAsia"/>
          <w:kern w:val="2"/>
          <w:lang w:eastAsia="zh-CN"/>
        </w:rPr>
        <w:t xml:space="preserve">16.2 </w:t>
      </w:r>
      <w:r>
        <w:rPr>
          <w:rFonts w:ascii="宋体" w:eastAsia="宋体" w:hAnsi="宋体" w:cs="宋体" w:hint="eastAsia"/>
          <w:kern w:val="2"/>
          <w:lang w:eastAsia="zh-CN"/>
        </w:rPr>
        <w:t>未经甲方同意，乙方不得采取分包方式履行合同。经甲方同意分包履行合同的，乙方就采购项目及分包项目向甲方负责，分包供应商就分包项目承担责任。</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6</w:t>
      </w:r>
      <w:r>
        <w:rPr>
          <w:rFonts w:ascii="宋体" w:eastAsia="宋体" w:hAnsi="宋体" w:cs="宋体"/>
          <w:kern w:val="2"/>
          <w:lang w:val="en" w:eastAsia="zh-CN"/>
        </w:rPr>
        <w:t xml:space="preserve">.3 </w:t>
      </w:r>
      <w:r>
        <w:rPr>
          <w:rFonts w:ascii="宋体" w:eastAsia="宋体" w:hAnsi="宋体" w:cs="宋体" w:hint="eastAsia"/>
          <w:kern w:val="2"/>
          <w:lang w:val="en" w:eastAsia="zh-CN"/>
        </w:rPr>
        <w:t>乙方不得对政务信息系统建设、运营、维护项目的主体和关键部分采取分包方式履行合同。</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17. 合同语言</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7</w:t>
      </w:r>
      <w:r>
        <w:rPr>
          <w:rFonts w:ascii="宋体" w:eastAsia="宋体" w:hAnsi="宋体" w:cs="宋体"/>
          <w:kern w:val="2"/>
          <w:lang w:val="en" w:eastAsia="zh-CN"/>
        </w:rPr>
        <w:t xml:space="preserve">.1 </w:t>
      </w:r>
      <w:r>
        <w:rPr>
          <w:rFonts w:ascii="宋体" w:eastAsia="宋体" w:hAnsi="宋体" w:cs="宋体" w:hint="eastAsia"/>
          <w:kern w:val="2"/>
          <w:lang w:val="en" w:eastAsia="zh-CN"/>
        </w:rPr>
        <w:t>本合同语言为中文。</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7</w:t>
      </w:r>
      <w:r>
        <w:rPr>
          <w:rFonts w:ascii="宋体" w:eastAsia="宋体" w:hAnsi="宋体" w:cs="宋体"/>
          <w:kern w:val="2"/>
          <w:lang w:val="en" w:eastAsia="zh-CN"/>
        </w:rPr>
        <w:t xml:space="preserve">.2 </w:t>
      </w:r>
      <w:r>
        <w:rPr>
          <w:rFonts w:ascii="宋体" w:eastAsia="宋体" w:hAnsi="宋体" w:cs="宋体" w:hint="eastAsia"/>
          <w:kern w:val="2"/>
          <w:lang w:val="en" w:eastAsia="zh-CN"/>
        </w:rPr>
        <w:t>双方交换的与合同有关的信件和其他文件应用合同语言书写。</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18. 适用法律</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18.1 本合同按照中华人民共和国现行法律进行解释。</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18.2 本合同的履行、违约责任和解决争议的方法等适用《中华人民共和国民法典（合同编）》。</w:t>
      </w:r>
    </w:p>
    <w:p>
      <w:pPr>
        <w:widowControl w:val="0"/>
        <w:snapToGrid w:val="0"/>
        <w:spacing w:before="0" w:beforeAutospacing="0" w:after="0" w:afterAutospacing="0" w:line="360" w:lineRule="auto"/>
        <w:ind w:firstLine="482"/>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19. 税费</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19.1 乙方应依法缴纳的合同货物及服务相关税费，均已包含于合同总金额中，甲方不再另行支付。</w:t>
      </w:r>
    </w:p>
    <w:p>
      <w:pPr>
        <w:widowControl w:val="0"/>
        <w:tabs>
          <w:tab w:val="left" w:pos="700"/>
        </w:tabs>
        <w:snapToGrid w:val="0"/>
        <w:spacing w:before="0" w:beforeAutospacing="0" w:after="0" w:afterAutospacing="0" w:line="360" w:lineRule="auto"/>
        <w:jc w:val="both"/>
        <w:rPr>
          <w:rFonts w:ascii="宋体" w:eastAsia="宋体" w:hAnsi="宋体" w:cs="宋体" w:hint="eastAsia"/>
          <w:b/>
          <w:kern w:val="2"/>
          <w:lang w:eastAsia="zh-CN"/>
        </w:rPr>
      </w:pPr>
    </w:p>
    <w:p>
      <w:pPr>
        <w:widowControl w:val="0"/>
        <w:numPr>
          <w:ilvl w:val="0"/>
          <w:numId w:val="8"/>
        </w:numPr>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合同生效</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20.1</w:t>
      </w:r>
      <w:r>
        <w:rPr>
          <w:rFonts w:ascii="宋体" w:eastAsia="宋体" w:hAnsi="宋体" w:cs="宋体" w:hint="eastAsia"/>
          <w:kern w:val="2"/>
          <w:lang w:eastAsia="zh-CN"/>
        </w:rPr>
        <w:t>本合同一式肆份，甲方执贰份，乙方执贰份，各份正本具有同等法律效力。在甲乙双方法定代表人或授权代表签字并加盖公章后生效。</w:t>
      </w:r>
    </w:p>
    <w:p>
      <w:pPr>
        <w:widowControl w:val="0"/>
        <w:topLinePunct/>
        <w:autoSpaceDE w:val="0"/>
        <w:autoSpaceDN w:val="0"/>
        <w:adjustRightInd w:val="0"/>
        <w:snapToGrid w:val="0"/>
        <w:spacing w:before="0" w:beforeAutospacing="0" w:after="0" w:afterAutospacing="0" w:line="360" w:lineRule="auto"/>
        <w:ind w:firstLine="420" w:firstLineChars="200"/>
        <w:jc w:val="left"/>
        <w:rPr>
          <w:rFonts w:ascii="宋体" w:eastAsia="宋体" w:hAnsi="宋体" w:cs="宋体" w:hint="eastAsia"/>
          <w:b/>
          <w:kern w:val="2"/>
          <w:sz w:val="21"/>
          <w:lang w:eastAsia="zh-CN"/>
        </w:rPr>
      </w:pPr>
      <w:r>
        <w:rPr>
          <w:rFonts w:ascii="宋体" w:eastAsia="宋体" w:hAnsi="宋体" w:cs="宋体" w:hint="eastAsia"/>
          <w:b/>
          <w:kern w:val="2"/>
          <w:lang w:eastAsia="zh-CN"/>
        </w:rPr>
        <w:t>21. 通知送达</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21.2任何一方变更地址、联系人、联系电话或电子邮箱的，应当及时向另一方通知变更事项，未及时通知的，另一方按原信息送达的通知视为有效送达。</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21.3通知与送达信息如下：</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甲方的收件地址为：</w:t>
      </w:r>
      <w:r>
        <w:rPr>
          <w:rFonts w:ascii="宋体" w:eastAsia="宋体" w:hAnsi="宋体" w:cs="宋体" w:hint="eastAsia"/>
          <w:kern w:val="2"/>
          <w:lang w:eastAsia="zh-CN"/>
        </w:rPr>
        <w:t>吉林省XXX</w:t>
      </w:r>
      <w:r>
        <w:rPr>
          <w:rFonts w:ascii="宋体" w:eastAsia="宋体" w:hAnsi="宋体" w:cs="宋体" w:hint="eastAsia"/>
          <w:kern w:val="2"/>
          <w:lang w:eastAsia="zh-CN"/>
        </w:rPr>
        <w:t xml:space="preserve">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联系人：      ；联系电话：  ；电子邮箱：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bCs/>
          <w:kern w:val="2"/>
          <w:lang w:eastAsia="zh-CN"/>
        </w:rPr>
        <w:t>乙方</w:t>
      </w:r>
      <w:r>
        <w:rPr>
          <w:rFonts w:ascii="宋体" w:eastAsia="宋体" w:hAnsi="宋体" w:cs="宋体" w:hint="eastAsia"/>
          <w:kern w:val="2"/>
          <w:lang w:eastAsia="zh-CN"/>
        </w:rPr>
        <w:t>的收件地址为：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联系人：      ；联系电话：  ；电子邮箱：              。</w:t>
      </w:r>
    </w:p>
    <w:p>
      <w:pPr>
        <w:widowControl w:val="0"/>
        <w:adjustRightInd w:val="0"/>
        <w:spacing w:before="0" w:beforeAutospacing="0" w:after="0" w:afterAutospacing="0" w:line="360" w:lineRule="atLeast"/>
        <w:jc w:val="center"/>
        <w:textAlignment w:val="baseline"/>
        <w:rPr>
          <w:rFonts w:ascii="宋体" w:eastAsia="宋体" w:hAnsi="Courier New" w:hint="eastAsia"/>
          <w:b/>
          <w:bCs/>
          <w:kern w:val="44"/>
          <w:sz w:val="36"/>
          <w:szCs w:val="36"/>
          <w:lang w:eastAsia="zh-CN"/>
        </w:rPr>
      </w:pPr>
      <w:bookmarkEnd w:id="62"/>
    </w:p>
    <w:p w14:paraId="75956D96">
      <w:pPr>
        <w:rPr>
          <w:rStyle w:val="1Char"/>
          <w:rFonts w:hint="eastAsia"/>
          <w:highlight w:val="none"/>
          <w:lang w:val="en-US" w:eastAsia="zh-CN"/>
        </w:rPr>
      </w:pPr>
      <w:r>
        <w:rPr>
          <w:rStyle w:val="1Char"/>
          <w:rFonts w:hint="eastAsia"/>
          <w:highlight w:val="none"/>
          <w:lang w:val="en-US" w:eastAsia="zh-CN"/>
        </w:rPr>
        <w:br w:type="page"/>
      </w:r>
    </w:p>
    <w:p w14:paraId="2E0943D2">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ascii="Times New Roman" w:eastAsia="宋体" w:hAnsi="Times New Roman" w:cs="Times New Roman" w:hint="eastAsia"/>
          <w:b/>
          <w:bCs/>
          <w:color w:val="auto"/>
          <w:kern w:val="44"/>
          <w:sz w:val="36"/>
          <w:szCs w:val="36"/>
          <w:highlight w:val="none"/>
          <w:lang w:val="en-US" w:eastAsia="zh-CN" w:bidi="ar-SA"/>
        </w:rPr>
      </w:pPr>
      <w:bookmarkStart w:id="63" w:name="_Toc219631499"/>
      <w:bookmarkStart w:id="64" w:name="_Toc960604221"/>
      <w:bookmarkStart w:id="65" w:name="_Toc525052848"/>
      <w:bookmarkStart w:id="66" w:name="_Toc163178877"/>
      <w:bookmarkStart w:id="67" w:name="_Toc81784984"/>
      <w:bookmarkStart w:id="68" w:name="_Toc457214350"/>
      <w:bookmarkStart w:id="69" w:name="_Toc16607152"/>
      <w:bookmarkStart w:id="70" w:name="_Toc38030151"/>
      <w:bookmarkStart w:id="71" w:name="_Toc256000004"/>
      <w:r>
        <w:rPr>
          <w:rStyle w:val="1Char"/>
          <w:rFonts w:hint="eastAsia"/>
          <w:color w:val="auto"/>
          <w:highlight w:val="none"/>
          <w:lang w:val="en-US" w:eastAsia="zh-CN"/>
        </w:rPr>
        <w:t>第五章　投标文件格式</w:t>
      </w:r>
      <w:bookmarkEnd w:id="71"/>
      <w:bookmarkEnd w:id="63"/>
      <w:bookmarkEnd w:id="64"/>
      <w:bookmarkEnd w:id="65"/>
      <w:bookmarkEnd w:id="66"/>
      <w:bookmarkEnd w:id="67"/>
      <w:bookmarkEnd w:id="68"/>
      <w:bookmarkEnd w:id="69"/>
      <w:bookmarkEnd w:id="70"/>
    </w:p>
    <w:p w14:paraId="6312904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投标人必须按下列文本格式，如实提供具有法律效力的资格证明文件</w:t>
      </w:r>
      <w:r>
        <w:rPr>
          <w:rFonts w:ascii="宋体" w:hAnsi="宋体" w:cs="宋体" w:hint="eastAsia"/>
          <w:strike w:val="0"/>
          <w:dstrike w:val="0"/>
          <w:color w:val="auto"/>
          <w:sz w:val="24"/>
          <w:lang w:eastAsia="zh-CN"/>
        </w:rPr>
        <w:t>和真实有效的其他文件资料</w:t>
      </w:r>
      <w:r>
        <w:rPr>
          <w:rFonts w:ascii="宋体" w:hAnsi="宋体" w:cs="宋体" w:hint="eastAsia"/>
          <w:color w:val="auto"/>
          <w:sz w:val="24"/>
        </w:rPr>
        <w:t>，任何不按下列文本格式提供或有实质性变更将由投标人承担风险。</w:t>
      </w:r>
    </w:p>
    <w:p w14:paraId="07FE1172">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1.投标人应严格按照本章规定填写和提交全部格式文件以及其他有关资料，混乱的编排导致</w:t>
      </w:r>
      <w:r>
        <w:rPr>
          <w:rFonts w:ascii="宋体" w:hAnsi="宋体" w:cs="宋体" w:hint="eastAsia"/>
          <w:color w:val="auto"/>
          <w:sz w:val="24"/>
          <w:lang w:eastAsia="zh-CN"/>
        </w:rPr>
        <w:t>投标</w:t>
      </w:r>
      <w:r>
        <w:rPr>
          <w:rFonts w:ascii="宋体" w:hAnsi="宋体" w:cs="宋体" w:hint="eastAsia"/>
          <w:color w:val="auto"/>
          <w:sz w:val="24"/>
        </w:rPr>
        <w:t>文件被误读</w:t>
      </w:r>
      <w:r>
        <w:rPr>
          <w:rFonts w:ascii="宋体" w:hAnsi="宋体" w:cs="宋体" w:hint="eastAsia"/>
          <w:strike w:val="0"/>
          <w:dstrike w:val="0"/>
          <w:color w:val="auto"/>
          <w:sz w:val="24"/>
        </w:rPr>
        <w:t>或查找不到</w:t>
      </w:r>
      <w:r>
        <w:rPr>
          <w:rFonts w:ascii="宋体" w:hAnsi="宋体" w:cs="宋体" w:hint="eastAsia"/>
          <w:color w:val="auto"/>
          <w:sz w:val="24"/>
        </w:rPr>
        <w:t>，后果由投标人承担。</w:t>
      </w:r>
    </w:p>
    <w:p w14:paraId="48620609">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2.所附表格中要求回答的全部问题和信息都必须正面回答。</w:t>
      </w:r>
    </w:p>
    <w:p w14:paraId="6B860C05">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3.资格声明文件的签字人应保证全部声明和问题的回答是真实的和准确的。</w:t>
      </w:r>
    </w:p>
    <w:p w14:paraId="3FC030D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4.评标委员会将应用投标人提交的资料并根据自己的判断，决定投标人履行合同的合格性及能力。</w:t>
      </w:r>
    </w:p>
    <w:p w14:paraId="6839167C">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5.全部文件应按投标人须知中规定的语言提交。</w:t>
      </w:r>
    </w:p>
    <w:p w14:paraId="405D82DA">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6.以下格式文件为要求填写内容的固定格式，投标人不得擅自修改格式，其他未提供格式的文件和资料由</w:t>
      </w:r>
      <w:r>
        <w:rPr>
          <w:rFonts w:ascii="宋体" w:hAnsi="宋体" w:cs="宋体" w:hint="eastAsia"/>
          <w:color w:val="auto"/>
          <w:sz w:val="24"/>
          <w:lang w:eastAsia="zh-CN"/>
        </w:rPr>
        <w:t>投标人</w:t>
      </w:r>
      <w:r>
        <w:rPr>
          <w:rFonts w:ascii="宋体" w:hAnsi="宋体" w:cs="宋体" w:hint="eastAsia"/>
          <w:color w:val="auto"/>
          <w:sz w:val="24"/>
        </w:rPr>
        <w:t>自行设计编制格式填写。</w:t>
      </w:r>
    </w:p>
    <w:p w14:paraId="3293B963">
      <w:pPr>
        <w:adjustRightInd w:val="0"/>
        <w:snapToGrid w:val="0"/>
        <w:spacing w:before="62" w:beforeLines="20" w:after="4" w:line="360" w:lineRule="auto"/>
        <w:ind w:firstLine="420" w:firstLineChars="200"/>
        <w:jc w:val="center"/>
        <w:rPr>
          <w:b/>
          <w:bCs/>
          <w:color w:val="auto"/>
          <w:highlight w:val="none"/>
        </w:rPr>
      </w:pPr>
    </w:p>
    <w:p w14:paraId="3770E9CE">
      <w:pPr>
        <w:ind w:firstLine="420" w:firstLineChars="200"/>
        <w:jc w:val="center"/>
        <w:rPr>
          <w:b/>
          <w:bCs/>
          <w:color w:val="auto"/>
          <w:highlight w:val="none"/>
        </w:rPr>
      </w:pPr>
    </w:p>
    <w:p w14:paraId="22A5E4C8">
      <w:pPr>
        <w:ind w:firstLine="420" w:firstLineChars="200"/>
        <w:jc w:val="center"/>
        <w:rPr>
          <w:b/>
          <w:bCs/>
          <w:color w:val="auto"/>
          <w:highlight w:val="none"/>
        </w:rPr>
      </w:pPr>
    </w:p>
    <w:p w14:paraId="743FCA4E">
      <w:pPr>
        <w:rPr>
          <w:b/>
          <w:bCs/>
          <w:color w:val="auto"/>
          <w:highlight w:val="none"/>
        </w:rPr>
      </w:pPr>
    </w:p>
    <w:p w14:paraId="31C8B6D2">
      <w:pPr>
        <w:adjustRightInd w:val="0"/>
        <w:snapToGrid w:val="0"/>
        <w:spacing w:after="0" w:line="360" w:lineRule="auto"/>
        <w:jc w:val="both"/>
        <w:rPr>
          <w:rFonts w:hint="eastAsia"/>
          <w:b/>
          <w:bCs/>
          <w:color w:val="auto"/>
          <w:highlight w:val="none"/>
        </w:rPr>
      </w:pPr>
      <w:r>
        <w:rPr>
          <w:rFonts w:hint="eastAsia"/>
          <w:b/>
          <w:bCs/>
          <w:color w:val="auto"/>
          <w:highlight w:val="none"/>
        </w:rPr>
        <w:br w:type="page"/>
      </w:r>
    </w:p>
    <w:p w14:paraId="312C120A">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auto"/>
          <w:sz w:val="36"/>
          <w:szCs w:val="36"/>
        </w:rPr>
        <w:t>投标文件商务部分文件格式</w:t>
      </w:r>
    </w:p>
    <w:p>
      <w:pPr>
        <w:snapToGrid w:val="0"/>
        <w:spacing w:before="0" w:beforeAutospacing="0" w:after="0" w:afterAutospacing="0" w:line="360" w:lineRule="auto"/>
        <w:jc w:val="center"/>
        <w:rPr>
          <w:rFonts w:ascii="宋体" w:hAnsi="宋体" w:cs="宋体"/>
          <w:b/>
          <w:bCs/>
          <w:sz w:val="36"/>
          <w:szCs w:val="36"/>
        </w:rPr>
      </w:pPr>
      <w:bookmarkStart w:id="72" w:name="投标文件格式_zxzbsw_TBWJGS"/>
      <w:r>
        <w:rPr>
          <w:rFonts w:ascii="宋体" w:hAnsi="宋体" w:cs="宋体" w:hint="eastAsia"/>
          <w:b/>
          <w:bCs/>
          <w:sz w:val="36"/>
          <w:szCs w:val="36"/>
        </w:rPr>
        <w:t xml:space="preserve">格式1 </w:t>
      </w:r>
      <w:r>
        <w:rPr>
          <w:rFonts w:ascii="宋体" w:hAnsi="宋体" w:cs="宋体" w:hint="eastAsia"/>
          <w:b/>
          <w:bCs/>
          <w:sz w:val="36"/>
          <w:szCs w:val="36"/>
        </w:rPr>
        <w:t>参加本次政府采购活动前三年内在经营活动中</w:t>
      </w:r>
    </w:p>
    <w:p>
      <w:pPr>
        <w:snapToGrid w:val="0"/>
        <w:spacing w:before="0" w:beforeAutospacing="0" w:after="0" w:afterAutospacing="0" w:line="360" w:lineRule="auto"/>
        <w:jc w:val="center"/>
        <w:rPr>
          <w:rFonts w:ascii="宋体" w:hAnsi="宋体" w:cs="宋体"/>
          <w:b/>
          <w:bCs/>
          <w:sz w:val="36"/>
          <w:szCs w:val="36"/>
        </w:rPr>
      </w:pPr>
      <w:r>
        <w:rPr>
          <w:rFonts w:ascii="宋体" w:hAnsi="宋体" w:cs="宋体" w:hint="eastAsia"/>
          <w:b/>
          <w:bCs/>
          <w:sz w:val="36"/>
          <w:szCs w:val="36"/>
        </w:rPr>
        <w:t>没有重大违法记录的书面声明</w:t>
      </w:r>
    </w:p>
    <w:p>
      <w:pPr>
        <w:pStyle w:val="PlainText"/>
        <w:topLinePunct/>
        <w:autoSpaceDE w:val="0"/>
        <w:autoSpaceDN w:val="0"/>
        <w:snapToGrid w:val="0"/>
        <w:spacing w:before="0" w:beforeAutospacing="0" w:after="0" w:afterAutospacing="0" w:line="360" w:lineRule="auto"/>
        <w:jc w:val="center"/>
        <w:rPr>
          <w:rFonts w:hAnsi="宋体" w:cs="宋体"/>
          <w:b/>
          <w:w w:val="150"/>
          <w:sz w:val="24"/>
        </w:rPr>
      </w:pPr>
    </w:p>
    <w:p>
      <w:pPr>
        <w:pStyle w:val="PlainText"/>
        <w:snapToGrid w:val="0"/>
        <w:spacing w:before="0" w:beforeAutospacing="0" w:after="0" w:afterAutospacing="0" w:line="360" w:lineRule="auto"/>
        <w:rPr>
          <w:rFonts w:hAnsi="宋体" w:cs="宋体"/>
          <w:sz w:val="24"/>
          <w:szCs w:val="24"/>
        </w:rPr>
      </w:pPr>
      <w:r>
        <w:rPr>
          <w:rFonts w:hAnsi="宋体" w:cs="宋体" w:hint="eastAsia"/>
          <w:sz w:val="24"/>
          <w:szCs w:val="24"/>
        </w:rPr>
        <w:t>致________（采购人）：</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我单位在参加本次采购活动前三年内在经营活动中没有《政府采购法》第二十二条第一款第（五）项所称重大违法记录，包括：</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我单位未因经营活动中的违法行为受到刑事处罚或者责令停产停业、吊销许可证或者执照、较大数额罚款等行政处罚。</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特此声明！</w:t>
      </w: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cs="MingLiU_HKSCS"/>
        </w:rPr>
      </w:pPr>
    </w:p>
    <w:p>
      <w:pPr>
        <w:snapToGrid w:val="0"/>
        <w:spacing w:before="0" w:beforeAutospacing="0" w:after="0" w:afterAutospacing="0" w:line="360" w:lineRule="auto"/>
        <w:ind w:firstLine="4080" w:firstLineChars="1700"/>
        <w:rPr>
          <w:rFonts w:hAnsi="宋体" w:cs="宋体"/>
        </w:rPr>
      </w:pPr>
      <w:r>
        <w:rPr>
          <w:rFonts w:hAnsi="宋体" w:cs="宋体" w:hint="eastAsia"/>
          <w:sz w:val="24"/>
        </w:rPr>
        <w:t>单位名称（电子签章</w:t>
      </w:r>
      <w:r>
        <w:rPr>
          <w:rFonts w:hAnsi="宋体" w:cs="宋体" w:hint="eastAsia"/>
          <w:sz w:val="24"/>
          <w:lang w:eastAsia="zh-CN"/>
        </w:rPr>
        <w:t>）</w:t>
      </w:r>
      <w:r>
        <w:rPr>
          <w:rFonts w:hAnsi="宋体" w:cs="宋体" w:hint="eastAsia"/>
          <w:sz w:val="24"/>
        </w:rPr>
        <w:t>：</w:t>
      </w:r>
    </w:p>
    <w:p>
      <w:pPr>
        <w:snapToGrid w:val="0"/>
        <w:spacing w:before="0" w:beforeAutospacing="0" w:after="0" w:afterAutospacing="0" w:line="360" w:lineRule="auto"/>
        <w:ind w:firstLine="6000" w:firstLineChars="2500"/>
        <w:rPr>
          <w:rFonts w:hAnsi="宋体" w:cs="宋体"/>
        </w:rPr>
      </w:pPr>
      <w:r>
        <w:rPr>
          <w:rFonts w:hAnsi="宋体" w:cs="宋体" w:hint="eastAsia"/>
          <w:sz w:val="24"/>
        </w:rPr>
        <w:t>日期：</w:t>
      </w:r>
    </w:p>
    <w:p>
      <w:pPr>
        <w:spacing w:before="0" w:beforeAutospacing="0" w:after="0" w:afterAutospacing="0"/>
        <w:rPr>
          <w:rFonts w:hint="eastAsia"/>
        </w:rPr>
      </w:pPr>
    </w:p>
    <w:p w:rsidR="00A77B3E">
      <w:pPr>
        <w:spacing w:before="0" w:beforeAutospacing="0" w:after="0" w:afterAutospacing="0" w:line="360" w:lineRule="auto"/>
        <w:jc w:val="center"/>
        <w:rPr>
          <w:rFonts w:ascii="宋体" w:eastAsia="宋体" w:hAnsi="宋体" w:cs="宋体"/>
          <w:b/>
          <w:sz w:val="36"/>
        </w:rPr>
      </w:pPr>
      <w:r>
        <w:br w:type="page"/>
      </w:r>
      <w:r>
        <w:rPr>
          <w:rFonts w:ascii="宋体" w:eastAsia="宋体" w:hAnsi="宋体" w:cs="宋体"/>
          <w:b/>
          <w:sz w:val="36"/>
        </w:rPr>
        <w:t xml:space="preserve">格式2 </w:t>
      </w:r>
      <w:r>
        <w:rPr>
          <w:rFonts w:ascii="宋体" w:eastAsia="宋体" w:hAnsi="宋体" w:cs="宋体"/>
          <w:b/>
          <w:sz w:val="36"/>
        </w:rPr>
        <w:t>投标报价表</w:t>
      </w:r>
    </w:p>
    <w:p w:rsidR="00A77B3E">
      <w:pPr>
        <w:spacing w:before="0" w:beforeAutospacing="0" w:after="0" w:afterAutospacing="0" w:line="360" w:lineRule="auto"/>
        <w:jc w:val="center"/>
        <w:rPr>
          <w:rFonts w:ascii="宋体" w:eastAsia="宋体" w:hAnsi="宋体" w:cs="宋体"/>
          <w:b/>
        </w:rPr>
      </w:pPr>
    </w:p>
    <w:p w:rsidR="00A77B3E">
      <w:pPr>
        <w:spacing w:before="0" w:beforeAutospacing="0" w:after="0" w:afterAutospacing="0" w:line="360" w:lineRule="auto"/>
        <w:jc w:val="center"/>
        <w:rPr>
          <w:rFonts w:ascii="宋体" w:eastAsia="宋体" w:hAnsi="宋体" w:cs="宋体"/>
          <w:b/>
          <w:sz w:val="28"/>
        </w:rPr>
      </w:pPr>
      <w:r>
        <w:rPr>
          <w:rFonts w:ascii="宋体" w:eastAsia="宋体" w:hAnsi="宋体" w:cs="宋体"/>
          <w:b/>
          <w:sz w:val="28"/>
        </w:rPr>
        <w:t>1.开标一览表（总报价表）</w:t>
      </w:r>
    </w:p>
    <w:p w:rsidR="00A77B3E">
      <w:pPr>
        <w:spacing w:before="0" w:beforeAutospacing="0" w:after="0" w:afterAutospacing="0" w:line="360" w:lineRule="auto"/>
        <w:jc w:val="right"/>
        <w:rPr>
          <w:rFonts w:ascii="宋体" w:eastAsia="宋体" w:hAnsi="宋体" w:cs="宋体"/>
          <w:b w:val="0"/>
          <w:sz w:val="21"/>
        </w:rPr>
      </w:pPr>
      <w:r>
        <w:rPr>
          <w:rFonts w:ascii="宋体" w:eastAsia="宋体" w:hAnsi="宋体" w:cs="宋体"/>
          <w:b w:val="0"/>
          <w:sz w:val="21"/>
        </w:rPr>
        <w:t>价格单位：人民币元</w:t>
      </w:r>
    </w:p>
    <w:tbl>
      <w:tblPr>
        <w:tblStyle w:val="TableNorm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
      <w:tblGrid>
        <w:gridCol w:w="661"/>
        <w:gridCol w:w="4516"/>
        <w:gridCol w:w="1130"/>
        <w:gridCol w:w="661"/>
        <w:gridCol w:w="2058"/>
      </w:tblGrid>
      <w:tr>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序号</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内容</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结算率%</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数量</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sz w:val="24"/>
              </w:rPr>
              <w:t>小计(结算率×数量)</w:t>
            </w:r>
          </w:p>
        </w:tc>
      </w:tr>
      <w:tr>
        <w:tblPrEx>
          <w:tblW w:w="5000" w:type="pct"/>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1</w:t>
            </w:r>
          </w:p>
        </w:tc>
        <w:tc>
          <w:tcPr/>
          <w:p w:rsidR="00A77B3E">
            <w:pPr>
              <w:spacing w:before="0" w:beforeAutospacing="0" w:after="0" w:afterAutospacing="0" w:line="360" w:lineRule="auto"/>
              <w:jc w:val="left"/>
              <w:rPr>
                <w:rFonts w:ascii="宋体" w:eastAsia="宋体" w:hAnsi="宋体" w:cs="宋体"/>
                <w:b w:val="0"/>
              </w:rPr>
            </w:pPr>
            <w:r>
              <w:rPr>
                <w:rFonts w:ascii="宋体" w:eastAsia="宋体" w:hAnsi="宋体" w:cs="宋体"/>
                <w:b w:val="0"/>
                <w:sz w:val="24"/>
              </w:rPr>
              <w:t>国家税务总局吉林市税务局2026年食材采购项目</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w:t>
            </w:r>
          </w:p>
        </w:tc>
        <w:tc>
          <w:tcPr/>
          <w:p w:rsidR="00A77B3E">
            <w:pPr>
              <w:spacing w:before="0" w:beforeAutospacing="0" w:after="0" w:afterAutospacing="0" w:line="360" w:lineRule="auto"/>
              <w:jc w:val="right"/>
              <w:rPr>
                <w:rFonts w:ascii="宋体" w:eastAsia="宋体" w:hAnsi="宋体" w:cs="宋体"/>
                <w:b w:val="0"/>
              </w:rPr>
            </w:pPr>
            <w:r>
              <w:rPr>
                <w:rFonts w:ascii="宋体" w:eastAsia="宋体" w:hAnsi="宋体" w:cs="宋体"/>
                <w:b w:val="0"/>
                <w:sz w:val="24"/>
              </w:rPr>
              <w:t>1</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报价合计（小写）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供应商填报后自动计算</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报价合计（大写）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供应商填报后自动生成中文</w:t>
            </w:r>
          </w:p>
        </w:tc>
      </w:tr>
    </w:tbl>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r>
        <w:rPr>
          <w:rFonts w:ascii="宋体" w:eastAsia="宋体" w:hAnsi="宋体" w:cs="宋体"/>
          <w:b w:val="0"/>
          <w:sz w:val="21"/>
        </w:rPr>
        <w:t>特别说明：</w:t>
      </w:r>
    </w:p>
    <w:p w:rsidR="00A77B3E">
      <w:pPr>
        <w:spacing w:before="0" w:beforeAutospacing="0" w:after="0" w:afterAutospacing="0" w:line="360" w:lineRule="auto"/>
        <w:ind w:firstLine="420"/>
        <w:jc w:val="left"/>
        <w:rPr>
          <w:rFonts w:ascii="宋体" w:eastAsia="宋体" w:hAnsi="宋体" w:cs="宋体"/>
          <w:b w:val="0"/>
          <w:sz w:val="21"/>
        </w:rPr>
      </w:pPr>
      <w:r>
        <w:rPr>
          <w:rFonts w:ascii="宋体" w:eastAsia="宋体" w:hAnsi="宋体" w:cs="宋体"/>
          <w:b w:val="0"/>
          <w:sz w:val="21"/>
        </w:rPr>
        <w:t>供应商按照结算率（以百分数表示，小数点后保留两位）进行报价，例如：结算率填写95%即代表95折，结算率填写80%即代表8折。</w:t>
      </w:r>
    </w:p>
    <w:p w:rsidR="00A77B3E">
      <w:pPr>
        <w:spacing w:before="0" w:beforeAutospacing="0" w:after="0" w:afterAutospacing="0" w:line="360" w:lineRule="auto"/>
        <w:ind w:firstLine="420"/>
        <w:jc w:val="left"/>
        <w:rPr>
          <w:rFonts w:ascii="宋体" w:eastAsia="宋体" w:hAnsi="宋体" w:cs="宋体"/>
          <w:b w:val="0"/>
          <w:sz w:val="21"/>
        </w:rPr>
      </w:pP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sz w:val="24"/>
        </w:rPr>
        <w:t>供应商名称（电子签章）：</w:t>
      </w: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sz w:val="24"/>
        </w:rPr>
        <w:t>日期：</w:t>
      </w: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0"/>
        <w:jc w:val="left"/>
        <w:rPr>
          <w:rFonts w:ascii="宋体" w:eastAsia="宋体" w:hAnsi="宋体" w:cs="宋体"/>
          <w:b w:val="0"/>
        </w:rPr>
      </w:pPr>
    </w:p>
    <w:p>
      <w:pPr>
        <w:adjustRightInd w:val="0"/>
        <w:snapToGrid w:val="0"/>
        <w:spacing w:before="0" w:beforeAutospacing="0" w:after="0" w:afterAutospacing="0" w:line="360" w:lineRule="auto"/>
        <w:jc w:val="center"/>
        <w:rPr>
          <w:rFonts w:ascii="宋体" w:hAnsi="宋体" w:cs="宋体"/>
        </w:rPr>
      </w:pPr>
      <w:r w:rsidR="00A77B3E">
        <w:br w:type="page"/>
      </w:r>
      <w:r>
        <w:rPr>
          <w:rFonts w:ascii="宋体" w:hAnsi="宋体" w:cs="宋体"/>
          <w:b/>
          <w:bCs/>
          <w:sz w:val="36"/>
          <w:szCs w:val="36"/>
        </w:rPr>
        <w:t xml:space="preserve">格式3 </w:t>
      </w:r>
      <w:r>
        <w:rPr>
          <w:rFonts w:ascii="宋体" w:hAnsi="宋体" w:cs="宋体"/>
          <w:b/>
          <w:bCs/>
          <w:sz w:val="36"/>
          <w:szCs w:val="36"/>
        </w:rPr>
        <w:t>法定代表人授权委托书</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sz w:val="24"/>
        </w:rPr>
        <w:t>本授权书声明：注册于___________ （投标人住址）的___________  （投标人名称）法定代表人 _______（姓名、职务）代表本公司授权_______（被授权投标代表姓名、职务）为本公司的合法投标代表，就贵方组织的《</w:t>
      </w:r>
      <w:r>
        <w:rPr>
          <w:rFonts w:ascii="宋体" w:hAnsi="宋体" w:cs="宋体" w:hint="eastAsia"/>
          <w:sz w:val="24"/>
          <w:u w:val="single"/>
        </w:rPr>
        <w:t xml:space="preserve">          项目</w:t>
      </w:r>
      <w:r>
        <w:rPr>
          <w:rFonts w:ascii="宋体" w:hAnsi="宋体" w:cs="宋体" w:hint="eastAsia"/>
          <w:sz w:val="24"/>
        </w:rPr>
        <w:t>》（项目编号：）投标、合同的执行，以本公司名义处理一切与之有关的事务。</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sz w:val="24"/>
        </w:rPr>
        <w:t>本授权书于______年______月_____日生效，特此声明。</w:t>
      </w:r>
    </w:p>
    <w:p>
      <w:pPr>
        <w:pStyle w:val="PlainText"/>
        <w:adjustRightInd w:val="0"/>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被授权投标代表无转委托权。</w:t>
      </w:r>
    </w:p>
    <w:tbl>
      <w:tblPr>
        <w:tblStyle w:val="TableNormal"/>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4323"/>
        <w:gridCol w:w="4323"/>
      </w:tblGrid>
      <w:tr>
        <w:tblPrEx>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2329"/>
        </w:trPr>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rPr>
              <w:t>法定代表人身份证复印件</w:t>
            </w: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tc>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rPr>
              <w:t>被授权投标代表身份证复印件</w:t>
            </w:r>
          </w:p>
        </w:tc>
      </w:tr>
    </w:tbl>
    <w:p>
      <w:pPr>
        <w:tabs>
          <w:tab w:val="left" w:pos="1230"/>
        </w:tabs>
        <w:topLinePunct/>
        <w:autoSpaceDE w:val="0"/>
        <w:autoSpaceDN w:val="0"/>
        <w:adjustRightInd w:val="0"/>
        <w:snapToGrid w:val="0"/>
        <w:spacing w:before="0" w:beforeAutospacing="0" w:after="0" w:afterAutospacing="0" w:line="360" w:lineRule="auto"/>
        <w:rPr>
          <w:rFonts w:ascii="宋体" w:hAnsi="宋体" w:cs="宋体"/>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sz w:val="24"/>
        </w:rPr>
        <w:t>投标人名称（公章）：________________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sz w:val="24"/>
        </w:rPr>
        <w:t>法定代表人（签字或签章）：________________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sz w:val="24"/>
        </w:rPr>
        <w:t>被授权投标代表（签字）：________________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sz w:val="24"/>
        </w:rPr>
        <w:t>被授权投标代表联系电话：____________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sz w:val="24"/>
        </w:rPr>
        <w:t>日期：____________</w:t>
      </w:r>
    </w:p>
    <w:p>
      <w:pPr>
        <w:topLinePunct/>
        <w:autoSpaceDE w:val="0"/>
        <w:autoSpaceDN w:val="0"/>
        <w:adjustRightInd w:val="0"/>
        <w:snapToGrid w:val="0"/>
        <w:spacing w:before="0" w:beforeAutospacing="0" w:after="0" w:afterAutospacing="0" w:line="360" w:lineRule="auto"/>
        <w:jc w:val="left"/>
        <w:rPr>
          <w:rFonts w:ascii="宋体" w:hAnsi="宋体" w:cs="宋体"/>
          <w:i/>
          <w:iCs/>
        </w:rPr>
      </w:pPr>
      <w:r>
        <w:rPr>
          <w:rFonts w:ascii="宋体" w:hAnsi="宋体" w:cs="宋体" w:hint="eastAsia"/>
        </w:rPr>
        <w:t>特别说明:</w:t>
      </w:r>
    </w:p>
    <w:p>
      <w:pPr>
        <w:tabs>
          <w:tab w:val="left" w:pos="312"/>
        </w:tabs>
        <w:topLinePunct/>
        <w:autoSpaceDE w:val="0"/>
        <w:autoSpaceDN w:val="0"/>
        <w:adjustRightInd w:val="0"/>
        <w:snapToGrid w:val="0"/>
        <w:spacing w:before="0" w:beforeAutospacing="0" w:after="0" w:afterAutospacing="0" w:line="360" w:lineRule="auto"/>
        <w:ind w:firstLine="420" w:firstLineChars="200"/>
        <w:rPr>
          <w:rFonts w:ascii="宋体" w:hAnsi="宋体" w:cs="宋体"/>
        </w:rPr>
      </w:pPr>
      <w:r>
        <w:rPr>
          <w:rFonts w:ascii="宋体" w:hAnsi="宋体" w:cs="宋体" w:hint="eastAsia"/>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spacing w:before="0" w:beforeAutospacing="0" w:after="0" w:afterAutospacing="0"/>
        <w:ind w:firstLine="420" w:firstLineChars="200"/>
      </w:pPr>
      <w:r>
        <w:rPr>
          <w:rFonts w:ascii="宋体" w:hAnsi="宋体" w:cs="宋体" w:hint="eastAsia"/>
        </w:rPr>
        <w:t>2.</w:t>
      </w:r>
      <w:r>
        <w:rPr>
          <w:rFonts w:ascii="宋体" w:hAnsi="宋体" w:cs="宋体" w:hint="eastAsia"/>
          <w:b/>
          <w:bCs/>
        </w:rPr>
        <w:t>投标人如由法定代表人作为投标代表参与投标活动的，仅须提供法定代表人身份证复印件。</w:t>
      </w:r>
    </w:p>
    <w:p>
      <w:pPr>
        <w:spacing w:before="0" w:beforeAutospacing="0" w:after="0" w:afterAutospacing="0"/>
      </w:pPr>
    </w:p>
    <w:p w14:paraId="10BE0835">
      <w:pPr>
        <w:topLinePunct/>
        <w:autoSpaceDE w:val="0"/>
        <w:autoSpaceDN w:val="0"/>
        <w:adjustRightInd w:val="0"/>
        <w:snapToGrid w:val="0"/>
        <w:spacing w:before="0" w:beforeAutospacing="0" w:after="0" w:afterAutospacing="0" w:line="360" w:lineRule="auto"/>
        <w:jc w:val="center"/>
        <w:rPr>
          <w:rFonts w:hAnsi="宋体" w:cs="宋体"/>
          <w:color w:val="auto"/>
        </w:rPr>
      </w:pPr>
      <w:r w:rsidR="00A77B3E">
        <w:br w:type="page"/>
      </w:r>
      <w:r>
        <w:rPr>
          <w:rFonts w:ascii="宋体" w:hAnsi="宋体" w:cs="宋体" w:hint="eastAsia"/>
          <w:b/>
          <w:bCs/>
          <w:color w:val="auto"/>
          <w:sz w:val="36"/>
          <w:szCs w:val="36"/>
        </w:rPr>
        <w:t xml:space="preserve">格式4 </w:t>
      </w:r>
      <w:r>
        <w:rPr>
          <w:rFonts w:ascii="宋体" w:hAnsi="宋体" w:cs="宋体" w:hint="eastAsia"/>
          <w:b/>
          <w:bCs/>
          <w:color w:val="auto"/>
          <w:sz w:val="36"/>
          <w:szCs w:val="36"/>
        </w:rPr>
        <w:t>投标函</w:t>
      </w:r>
    </w:p>
    <w:p w14:paraId="3D90C960">
      <w:pPr>
        <w:pStyle w:val="PlainText"/>
        <w:topLinePunct/>
        <w:autoSpaceDE w:val="0"/>
        <w:autoSpaceDN w:val="0"/>
        <w:adjustRightInd w:val="0"/>
        <w:snapToGrid w:val="0"/>
        <w:spacing w:before="0" w:beforeAutospacing="0" w:after="0" w:afterAutospacing="0" w:line="360" w:lineRule="auto"/>
        <w:rPr>
          <w:rFonts w:hAnsi="宋体" w:cs="宋体" w:hint="eastAsia"/>
          <w:color w:val="auto"/>
          <w:sz w:val="24"/>
        </w:rPr>
      </w:pPr>
    </w:p>
    <w:p w14:paraId="26AA33B5">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0" w:firstLineChars="0"/>
        <w:textAlignment w:val="auto"/>
        <w:rPr>
          <w:rFonts w:hAnsi="宋体" w:hint="eastAsia"/>
          <w:color w:val="auto"/>
          <w:sz w:val="24"/>
        </w:rPr>
      </w:pPr>
      <w:r>
        <w:rPr>
          <w:rFonts w:hAnsi="宋体" w:cs="宋体" w:hint="eastAsia"/>
          <w:color w:val="auto"/>
          <w:sz w:val="24"/>
        </w:rPr>
        <w:t>致：</w:t>
      </w:r>
      <w:r>
        <w:rPr>
          <w:rFonts w:hAnsi="宋体" w:hint="eastAsia"/>
          <w:color w:val="auto"/>
          <w:sz w:val="24"/>
          <w:u w:val="single"/>
        </w:rPr>
        <w:t xml:space="preserve">        </w:t>
      </w:r>
      <w:r>
        <w:rPr>
          <w:rFonts w:hAnsi="宋体" w:hint="eastAsia"/>
          <w:color w:val="auto"/>
          <w:sz w:val="24"/>
          <w:lang w:eastAsia="zh-CN"/>
        </w:rPr>
        <w:t>（采购人名称）</w:t>
      </w:r>
    </w:p>
    <w:p w14:paraId="5AA7A858">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480" w:firstLineChars="200"/>
        <w:textAlignment w:val="auto"/>
        <w:rPr>
          <w:rFonts w:hAnsi="宋体" w:cs="宋体"/>
          <w:color w:val="auto"/>
          <w:sz w:val="24"/>
        </w:rPr>
      </w:pPr>
      <w:r>
        <w:rPr>
          <w:rFonts w:hAnsi="宋体" w:cs="宋体" w:hint="eastAsia"/>
          <w:color w:val="auto"/>
          <w:sz w:val="24"/>
        </w:rPr>
        <w:t>根据______（项目名称）（项目编号：______）的招标公告，______（姓名、职务）代表投标人______（投标人名称、地址）参加项目招标的有关活动。据此函，作如下承诺：</w:t>
      </w:r>
    </w:p>
    <w:p w14:paraId="64B00D9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1.同意在本项目招标文件中</w:t>
      </w:r>
      <w:r>
        <w:rPr>
          <w:rFonts w:cs="宋体" w:hint="eastAsia"/>
          <w:color w:val="auto"/>
          <w:sz w:val="24"/>
        </w:rPr>
        <w:t>规定的开标日起</w:t>
      </w:r>
      <w:r>
        <w:rPr>
          <w:rFonts w:cs="宋体" w:hint="eastAsia"/>
          <w:color w:val="auto"/>
          <w:sz w:val="24"/>
          <w:u w:val="single"/>
        </w:rPr>
        <w:t>120天</w:t>
      </w:r>
      <w:r>
        <w:rPr>
          <w:rFonts w:cs="宋体" w:hint="eastAsia"/>
          <w:color w:val="auto"/>
          <w:sz w:val="24"/>
        </w:rPr>
        <w:t>遵守本投标文件中的承诺，且在期满之前均具有约束力。</w:t>
      </w:r>
    </w:p>
    <w:p w14:paraId="66F9B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2.具备政府采购相关法律法规规定的参加政府采购活动的供应商应当具备的条件：</w:t>
      </w:r>
    </w:p>
    <w:p w14:paraId="0E42E51A">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（1）具有独立承担民事责任的能力；</w:t>
      </w:r>
    </w:p>
    <w:p w14:paraId="36FAC50B">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（2）具有良好的商业信誉和健全的财务会计制度；</w:t>
      </w:r>
    </w:p>
    <w:p w14:paraId="4DCBDE0F">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（3）具有履行合同所必需的设备和专业技术能力；</w:t>
      </w:r>
    </w:p>
    <w:p w14:paraId="78B9095C">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（4）有依法缴纳税收和社会保障资金的良好记录；</w:t>
      </w:r>
    </w:p>
    <w:p w14:paraId="28BC0F62">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（5）参加此项采购活动前三年内，在经营活动中没有重大违法记录。</w:t>
      </w:r>
    </w:p>
    <w:p w14:paraId="75006DB3">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 xml:space="preserve">（6）法律、行政法规规定的其他条件。 </w:t>
      </w:r>
    </w:p>
    <w:p w14:paraId="693357D4">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3.具备本项目招标文件中规定的其他要求和资质条件。</w:t>
      </w:r>
    </w:p>
    <w:p w14:paraId="5AD88F19">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4.提供投标人须知规定的全部投标文件。</w:t>
      </w:r>
    </w:p>
    <w:p w14:paraId="7E146EE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5.已详细审阅全部招标文件（包括招标文件澄清函），理解投标人须知的所有条款。</w:t>
      </w:r>
    </w:p>
    <w:p w14:paraId="71881CD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6.完全理解贵方“最低报价不能作为中标的保证”的规定。</w:t>
      </w:r>
    </w:p>
    <w:p w14:paraId="00416EB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7.接受招标文件中全部合同条款，且无任何异议；保证忠实地执行双方所签订的合同，并承担合同规定的责任和义务。</w:t>
      </w:r>
    </w:p>
    <w:p w14:paraId="7483099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8.完全满足和响应招标文件中的各项商务和技术要求，若有偏差，已在投标文件中明确说明。</w:t>
      </w:r>
    </w:p>
    <w:p w14:paraId="7353085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9.愿意提供任何与投标有关的数据、情况和技术资料等。若贵方需要，愿意提供一切证明材料。</w:t>
      </w:r>
    </w:p>
    <w:p w14:paraId="44746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10.我方已详细审核全部投标文件、参考资料及有关附件，确认无误。</w:t>
      </w:r>
    </w:p>
    <w:p w14:paraId="05E4DAEF">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hint="eastAsia"/>
          <w:color w:val="auto"/>
          <w:sz w:val="24"/>
        </w:rPr>
      </w:pPr>
      <w:r>
        <w:rPr>
          <w:rFonts w:cs="宋体" w:hint="eastAsia"/>
          <w:color w:val="auto"/>
          <w:sz w:val="24"/>
        </w:rPr>
        <w:t>11.对本次招标内容及与本项目有关的知识产权、技术资料、商业秘密及相关信息保密。</w:t>
      </w:r>
    </w:p>
    <w:p w14:paraId="3235C639">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eastAsia"/>
          <w:color w:val="auto"/>
        </w:rPr>
      </w:pPr>
      <w:r>
        <w:rPr>
          <w:rFonts w:ascii="宋体" w:eastAsia="宋体" w:hAnsi="宋体" w:cs="宋体" w:hint="eastAsia"/>
          <w:color w:val="auto"/>
          <w:sz w:val="24"/>
        </w:rPr>
        <w:t>12.</w:t>
      </w:r>
      <w:r>
        <w:rPr>
          <w:rFonts w:ascii="宋体" w:eastAsia="宋体" w:hAnsi="宋体" w:cs="宋体" w:hint="eastAsia"/>
          <w:color w:val="auto"/>
          <w:sz w:val="24"/>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14:paraId="428BCEEE">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default"/>
          <w:color w:val="auto"/>
        </w:rPr>
      </w:pPr>
      <w:r>
        <w:rPr>
          <w:rFonts w:ascii="宋体" w:eastAsia="宋体" w:hAnsi="宋体" w:cs="宋体" w:hint="default"/>
          <w:color w:val="auto"/>
          <w:sz w:val="24"/>
        </w:rPr>
        <w:t>13.</w:t>
      </w:r>
      <w:r>
        <w:rPr>
          <w:rFonts w:ascii="宋体" w:eastAsia="宋体" w:hAnsi="宋体" w:cs="宋体" w:hint="eastAsia"/>
          <w:color w:val="auto"/>
          <w:sz w:val="24"/>
        </w:rPr>
        <w:t>已知悉并承诺遵守</w:t>
      </w:r>
      <w:r>
        <w:rPr>
          <w:rFonts w:ascii="宋体" w:eastAsia="宋体" w:hAnsi="宋体" w:cs="宋体" w:hint="default"/>
          <w:color w:val="auto"/>
          <w:sz w:val="24"/>
        </w:rPr>
        <w:t>采购文件中关于供应链安全管理的全部要求。</w:t>
      </w:r>
    </w:p>
    <w:p w14:paraId="3FAB7D96">
      <w:pPr>
        <w:pStyle w:val="NormalWeb"/>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right="0" w:firstLine="480" w:leftChars="0" w:firstLineChars="200"/>
        <w:jc w:val="both"/>
        <w:rPr>
          <w:rFonts w:cs="宋体"/>
          <w:color w:val="auto"/>
        </w:rPr>
      </w:pPr>
      <w:r>
        <w:rPr>
          <w:rFonts w:ascii="宋体" w:eastAsia="宋体" w:hAnsi="宋体" w:cs="宋体" w:hint="eastAsia"/>
          <w:kern w:val="0"/>
          <w:sz w:val="24"/>
          <w:szCs w:val="24"/>
          <w:lang w:val="en-US" w:eastAsia="zh-CN" w:bidi="ar"/>
        </w:rPr>
        <w:t>14.我方提交的投标文件真实有效，承诺公平参与市场竞争，不存在围标串标行为。</w:t>
      </w:r>
    </w:p>
    <w:p w14:paraId="50FD978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099C4935">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3955DA0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投标人名称（公章）：____________</w:t>
      </w:r>
    </w:p>
    <w:p w14:paraId="2429FCC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法定代表人（签字或签章）/被授权投标代表（签字）：____________</w:t>
      </w:r>
    </w:p>
    <w:p w14:paraId="6C33FEE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投标人地址：____________</w:t>
      </w:r>
    </w:p>
    <w:p w14:paraId="27EFB58F">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邮编：____________</w:t>
      </w:r>
    </w:p>
    <w:p w14:paraId="25094EC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电话：____________</w:t>
      </w:r>
    </w:p>
    <w:p w14:paraId="1ED2112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传真：____________</w:t>
      </w:r>
    </w:p>
    <w:p w14:paraId="7375AF4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left="480"/>
        <w:rPr>
          <w:rFonts w:cs="宋体"/>
          <w:color w:val="auto"/>
        </w:rPr>
      </w:pPr>
      <w:r>
        <w:rPr>
          <w:rFonts w:cs="宋体" w:hint="eastAsia"/>
          <w:color w:val="auto"/>
          <w:sz w:val="24"/>
        </w:rPr>
        <w:t xml:space="preserve">日  期：____________          </w:t>
      </w:r>
    </w:p>
    <w:p w14:paraId="04B546CB">
      <w:pPr>
        <w:tabs>
          <w:tab w:val="left" w:pos="1230"/>
        </w:tabs>
        <w:topLinePunct/>
        <w:autoSpaceDE w:val="0"/>
        <w:autoSpaceDN w:val="0"/>
        <w:snapToGrid w:val="0"/>
        <w:spacing w:before="0" w:beforeAutospacing="0" w:after="0" w:afterAutospacing="0" w:line="400" w:lineRule="exact"/>
        <w:ind w:left="360"/>
        <w:rPr>
          <w:rFonts w:ascii="宋体" w:hAnsi="宋体" w:cs="宋体"/>
          <w:color w:val="auto"/>
        </w:rPr>
      </w:pPr>
    </w:p>
    <w:p w14:paraId="6F6CB208">
      <w:pPr>
        <w:spacing w:before="0" w:beforeAutospacing="0" w:after="0" w:afterAutospacing="0"/>
        <w:ind w:firstLine="420" w:firstLineChars="200"/>
        <w:rPr>
          <w:rFonts w:eastAsia="Times New Roman" w:hAnsi="宋体" w:cs="宋体"/>
          <w:color w:val="auto"/>
        </w:rPr>
      </w:pPr>
    </w:p>
    <w:p w14:paraId="4523D070">
      <w:pPr>
        <w:adjustRightInd w:val="0"/>
        <w:snapToGrid w:val="0"/>
        <w:spacing w:before="0" w:beforeAutospacing="0" w:after="0" w:afterAutospacing="0" w:line="360" w:lineRule="auto"/>
        <w:ind w:firstLine="0" w:firstLineChars="0"/>
        <w:jc w:val="both"/>
        <w:rPr>
          <w:rFonts w:ascii="宋体" w:hAnsi="宋体" w:cs="宋体" w:hint="eastAsia"/>
          <w:color w:val="auto"/>
        </w:rPr>
      </w:pPr>
      <w:r>
        <w:rPr>
          <w:rFonts w:ascii="宋体" w:hAnsi="宋体" w:cs="宋体" w:hint="eastAsia"/>
          <w:color w:val="auto"/>
        </w:rPr>
        <w:t>特别说明：</w:t>
      </w:r>
    </w:p>
    <w:p w14:paraId="5A5DB399">
      <w:pPr>
        <w:adjustRightInd w:val="0"/>
        <w:snapToGrid w:val="0"/>
        <w:spacing w:before="0" w:beforeAutospacing="0" w:after="0" w:afterAutospacing="0" w:line="360" w:lineRule="auto"/>
        <w:ind w:firstLine="420" w:firstLineChars="200"/>
        <w:jc w:val="left"/>
        <w:rPr>
          <w:rFonts w:ascii="宋体" w:hAnsi="宋体" w:cs="宋体" w:hint="eastAsia"/>
          <w:color w:val="auto"/>
          <w:szCs w:val="21"/>
          <w:highlight w:val="none"/>
        </w:rPr>
      </w:pPr>
      <w:r>
        <w:rPr>
          <w:rFonts w:ascii="宋体" w:hAnsi="宋体" w:cs="宋体" w:hint="eastAsia"/>
          <w:b w:val="0"/>
          <w:bCs w:val="0"/>
          <w:color w:val="auto"/>
          <w:sz w:val="21"/>
          <w:szCs w:val="21"/>
          <w:highlight w:val="none"/>
          <w:lang w:eastAsia="zh-CN"/>
        </w:rPr>
        <w:t>投标人</w:t>
      </w:r>
      <w:r>
        <w:rPr>
          <w:rFonts w:ascii="宋体" w:hAnsi="宋体" w:cs="宋体" w:hint="eastAsia"/>
          <w:color w:val="auto"/>
          <w:sz w:val="21"/>
          <w:szCs w:val="21"/>
          <w:highlight w:val="none"/>
        </w:rPr>
        <w:t>应当按</w:t>
      </w:r>
      <w:r>
        <w:rPr>
          <w:rFonts w:ascii="宋体" w:hAnsi="宋体" w:cs="宋体" w:hint="eastAsia"/>
          <w:color w:val="auto"/>
          <w:sz w:val="21"/>
          <w:szCs w:val="21"/>
          <w:highlight w:val="none"/>
          <w:lang w:eastAsia="zh-CN"/>
        </w:rPr>
        <w:t>上述</w:t>
      </w:r>
      <w:r>
        <w:rPr>
          <w:rFonts w:ascii="宋体" w:hAnsi="宋体" w:cs="宋体" w:hint="eastAsia"/>
          <w:color w:val="auto"/>
          <w:sz w:val="21"/>
          <w:szCs w:val="21"/>
          <w:highlight w:val="none"/>
        </w:rPr>
        <w:t>格式要求加盖与投标人名称全称一致的标准公章，并签署法定代表人或</w:t>
      </w:r>
      <w:r>
        <w:rPr>
          <w:rFonts w:ascii="宋体" w:hAnsi="宋体" w:cs="宋体" w:hint="eastAsia"/>
          <w:b w:val="0"/>
          <w:bCs/>
          <w:color w:val="auto"/>
          <w:sz w:val="21"/>
          <w:szCs w:val="21"/>
          <w:highlight w:val="none"/>
        </w:rPr>
        <w:t>被授权投标代表</w:t>
      </w:r>
      <w:r>
        <w:rPr>
          <w:rFonts w:ascii="宋体" w:hAnsi="宋体" w:cs="宋体" w:hint="eastAsia"/>
          <w:color w:val="auto"/>
          <w:sz w:val="21"/>
          <w:szCs w:val="21"/>
          <w:highlight w:val="none"/>
        </w:rPr>
        <w:t>的全名或加盖名章</w:t>
      </w:r>
      <w:r>
        <w:rPr>
          <w:rFonts w:ascii="宋体" w:hAnsi="宋体" w:cs="宋体" w:hint="eastAsia"/>
          <w:color w:val="auto"/>
          <w:sz w:val="21"/>
          <w:szCs w:val="21"/>
          <w:highlight w:val="none"/>
          <w:lang w:eastAsia="zh-CN"/>
        </w:rPr>
        <w:t>之后，上传扫描件。</w:t>
      </w:r>
    </w:p>
    <w:p w14:paraId="2D9A3F9F">
      <w:pPr>
        <w:adjustRightInd w:val="0"/>
        <w:snapToGrid w:val="0"/>
        <w:spacing w:before="0" w:beforeAutospacing="0" w:after="0" w:afterAutospacing="0" w:line="360" w:lineRule="auto"/>
        <w:ind w:firstLine="420" w:firstLineChars="200"/>
        <w:jc w:val="left"/>
      </w:pPr>
    </w:p>
    <w:p>
      <w:pPr>
        <w:spacing w:before="0" w:beforeAutospacing="0" w:after="0" w:afterAutospacing="0" w:line="360" w:lineRule="auto"/>
        <w:jc w:val="center"/>
        <w:rPr>
          <w:rFonts w:ascii="宋体" w:hAnsi="宋体" w:cs="宋体"/>
          <w:b/>
          <w:bCs/>
          <w:color w:val="auto"/>
          <w:sz w:val="36"/>
          <w:szCs w:val="36"/>
        </w:rPr>
      </w:pPr>
      <w:r w:rsidR="00A77B3E">
        <w:br w:type="page"/>
      </w:r>
      <w:r>
        <w:rPr>
          <w:rFonts w:ascii="宋体" w:hAnsi="宋体" w:cs="宋体" w:hint="eastAsia"/>
          <w:b/>
          <w:bCs/>
          <w:color w:val="auto"/>
          <w:sz w:val="36"/>
          <w:szCs w:val="36"/>
        </w:rPr>
        <w:t xml:space="preserve">格式5 </w:t>
      </w:r>
      <w:r>
        <w:rPr>
          <w:rFonts w:ascii="宋体" w:hAnsi="宋体" w:cs="宋体" w:hint="eastAsia"/>
          <w:b/>
          <w:bCs/>
          <w:color w:val="auto"/>
          <w:sz w:val="36"/>
          <w:szCs w:val="36"/>
        </w:rPr>
        <w:t>商务条款偏离表</w:t>
      </w:r>
    </w:p>
    <w:p>
      <w:pPr>
        <w:topLinePunct/>
        <w:autoSpaceDE w:val="0"/>
        <w:autoSpaceDN w:val="0"/>
        <w:spacing w:before="0" w:beforeAutospacing="0" w:after="0" w:afterAutospacing="0" w:line="460" w:lineRule="exact"/>
        <w:jc w:val="center"/>
        <w:rPr>
          <w:rFonts w:ascii="宋体" w:hAnsi="宋体" w:cs="宋体"/>
          <w:color w:val="auto"/>
        </w:rPr>
      </w:pPr>
    </w:p>
    <w:tbl>
      <w:tblPr>
        <w:tblStyle w:val="TableNormal"/>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1075"/>
        <w:gridCol w:w="1999"/>
        <w:gridCol w:w="1575"/>
        <w:gridCol w:w="1575"/>
        <w:gridCol w:w="1749"/>
        <w:gridCol w:w="546"/>
      </w:tblGrid>
      <w:tr>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199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投标文件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偏离</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（无/正/负）</w:t>
            </w:r>
          </w:p>
        </w:tc>
        <w:tc>
          <w:tcPr>
            <w:tcW w:w="546"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说明</w:t>
            </w: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3</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4</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rPr>
              <w:t>……</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bl>
    <w:p>
      <w:pPr>
        <w:tabs>
          <w:tab w:val="left" w:pos="1230"/>
        </w:tabs>
        <w:topLinePunct/>
        <w:autoSpaceDE w:val="0"/>
        <w:autoSpaceDN w:val="0"/>
        <w:spacing w:before="0" w:beforeAutospacing="0" w:after="0" w:afterAutospacing="0" w:line="360" w:lineRule="auto"/>
        <w:rPr>
          <w:rFonts w:ascii="宋体" w:hAnsi="宋体" w:cs="宋体" w:hint="eastAsia"/>
          <w:color w:val="auto"/>
          <w:szCs w:val="21"/>
        </w:rPr>
      </w:pPr>
    </w:p>
    <w:p>
      <w:pPr>
        <w:tabs>
          <w:tab w:val="left" w:pos="1230"/>
        </w:tabs>
        <w:topLinePunct/>
        <w:autoSpaceDE w:val="0"/>
        <w:autoSpaceDN w:val="0"/>
        <w:spacing w:before="0" w:beforeAutospacing="0" w:after="0" w:afterAutospacing="0" w:line="360" w:lineRule="auto"/>
        <w:rPr>
          <w:rFonts w:ascii="宋体" w:hAnsi="宋体" w:cs="宋体"/>
          <w:color w:val="auto"/>
          <w:szCs w:val="21"/>
        </w:rPr>
      </w:pPr>
      <w:r>
        <w:rPr>
          <w:rFonts w:ascii="宋体" w:hAnsi="宋体" w:cs="宋体" w:hint="eastAsia"/>
          <w:color w:val="auto"/>
          <w:szCs w:val="21"/>
        </w:rPr>
        <w:t>特别说明：</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auto"/>
          <w:szCs w:val="21"/>
        </w:rPr>
        <w:t>1.商务条款无需条对条应答，如无偏离，请在此表中填写</w:t>
      </w:r>
      <w:r>
        <w:rPr>
          <w:rFonts w:ascii="宋体" w:hAnsi="宋体" w:cs="宋体" w:hint="eastAsia"/>
          <w:color w:val="auto"/>
          <w:szCs w:val="21"/>
        </w:rPr>
        <w:t>“</w:t>
      </w:r>
      <w:r>
        <w:rPr>
          <w:rFonts w:ascii="宋体" w:hAnsi="宋体" w:cs="宋体" w:hint="eastAsia"/>
          <w:color w:val="auto"/>
          <w:szCs w:val="21"/>
        </w:rPr>
        <w:t>无偏离</w:t>
      </w:r>
      <w:r>
        <w:rPr>
          <w:rFonts w:ascii="宋体" w:hAnsi="宋体" w:cs="宋体" w:hint="eastAsia"/>
          <w:color w:val="auto"/>
          <w:szCs w:val="21"/>
        </w:rPr>
        <w:t>”</w:t>
      </w:r>
      <w:r>
        <w:rPr>
          <w:rFonts w:ascii="宋体" w:hAnsi="宋体" w:cs="宋体" w:hint="eastAsia"/>
          <w:color w:val="auto"/>
          <w:szCs w:val="21"/>
        </w:rPr>
        <w:t>；如有偏离，请在此表中应答为</w:t>
      </w:r>
      <w:r>
        <w:rPr>
          <w:rFonts w:ascii="宋体" w:hAnsi="宋体" w:cs="宋体" w:hint="eastAsia"/>
          <w:color w:val="auto"/>
          <w:szCs w:val="21"/>
        </w:rPr>
        <w:t>“</w:t>
      </w:r>
      <w:r>
        <w:rPr>
          <w:rFonts w:ascii="宋体" w:hAnsi="宋体" w:cs="宋体" w:hint="eastAsia"/>
          <w:color w:val="auto"/>
          <w:szCs w:val="21"/>
        </w:rPr>
        <w:t>正</w:t>
      </w:r>
      <w:r>
        <w:rPr>
          <w:rFonts w:ascii="宋体" w:hAnsi="宋体" w:cs="宋体"/>
          <w:color w:val="auto"/>
          <w:szCs w:val="21"/>
        </w:rPr>
        <w:t>/负偏离”并说明偏离情况。</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bCs/>
          <w:color w:val="auto"/>
          <w:szCs w:val="21"/>
          <w:highlight w:val="non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hint="eastAsia"/>
          <w:bCs/>
          <w:color w:val="auto"/>
          <w:szCs w:val="21"/>
          <w:highlight w:val="none"/>
          <w:lang w:val="en-US" w:eastAsia="zh-CN"/>
        </w:rPr>
        <w:t>3</w:t>
      </w:r>
      <w:r>
        <w:rPr>
          <w:rFonts w:ascii="宋体" w:hAnsi="宋体" w:cs="宋体"/>
          <w:bCs/>
          <w:color w:val="auto"/>
          <w:szCs w:val="21"/>
          <w:highlight w:val="none"/>
        </w:rPr>
        <w:t>.本表可扩展。</w:t>
      </w:r>
    </w:p>
    <w:p>
      <w:pPr>
        <w:topLinePunct/>
        <w:autoSpaceDE w:val="0"/>
        <w:autoSpaceDN w:val="0"/>
        <w:spacing w:before="0" w:beforeAutospacing="0" w:after="0" w:afterAutospacing="0" w:line="500" w:lineRule="exact"/>
        <w:rPr>
          <w:rFonts w:hAnsi="宋体"/>
          <w:color w:val="auto"/>
        </w:rPr>
      </w:pPr>
    </w:p>
    <w:p>
      <w:pPr>
        <w:tabs>
          <w:tab w:val="left" w:pos="1230"/>
        </w:tabs>
        <w:topLinePunct/>
        <w:autoSpaceDE w:val="0"/>
        <w:autoSpaceDN w:val="0"/>
        <w:spacing w:before="0" w:beforeAutospacing="0" w:after="0" w:afterAutospacing="0" w:line="480" w:lineRule="auto"/>
        <w:ind w:firstLine="480" w:firstLineChars="200"/>
        <w:rPr>
          <w:rFonts w:ascii="宋体" w:hAnsi="宋体" w:cs="宋体"/>
          <w:color w:val="auto"/>
        </w:rPr>
      </w:pPr>
      <w:r>
        <w:rPr>
          <w:rFonts w:ascii="宋体" w:hAnsi="宋体" w:cs="宋体" w:hint="eastAsia"/>
          <w:color w:val="auto"/>
          <w:sz w:val="24"/>
        </w:rPr>
        <w:t>投标人名称（电子签章）：</w:t>
      </w:r>
    </w:p>
    <w:p>
      <w:pPr>
        <w:spacing w:before="0" w:beforeAutospacing="0" w:after="0" w:afterAutospacing="0" w:line="480" w:lineRule="auto"/>
        <w:ind w:firstLine="480" w:firstLineChars="200"/>
        <w:rPr>
          <w:rFonts w:hAnsi="宋体" w:cs="宋体"/>
          <w:color w:val="auto"/>
          <w:u w:val="single"/>
        </w:rPr>
      </w:pPr>
      <w:r>
        <w:rPr>
          <w:rFonts w:hAnsi="宋体" w:cs="宋体" w:hint="eastAsia"/>
          <w:color w:val="auto"/>
          <w:sz w:val="24"/>
        </w:rPr>
        <w:t>日期：</w:t>
      </w:r>
    </w:p>
    <w:p>
      <w:pPr>
        <w:spacing w:before="0" w:beforeAutospacing="0" w:after="0" w:afterAutospacing="0"/>
      </w:pPr>
    </w:p>
    <w:p>
      <w:pPr>
        <w:snapToGrid w:val="0"/>
        <w:spacing w:before="0" w:beforeAutospacing="0" w:after="0" w:afterAutospacing="0" w:line="360" w:lineRule="auto"/>
        <w:jc w:val="center"/>
        <w:rPr>
          <w:rFonts w:ascii="宋体" w:hAnsi="宋体"/>
          <w:b/>
          <w:bCs/>
          <w:sz w:val="36"/>
          <w:szCs w:val="36"/>
        </w:rPr>
      </w:pPr>
      <w:r w:rsidR="00A77B3E">
        <w:br w:type="page"/>
      </w:r>
      <w:r>
        <w:rPr>
          <w:rFonts w:ascii="宋体" w:hAnsi="宋体" w:hint="eastAsia"/>
          <w:b/>
          <w:bCs/>
          <w:sz w:val="36"/>
          <w:szCs w:val="36"/>
        </w:rPr>
        <w:t xml:space="preserve">格式6 </w:t>
      </w:r>
      <w:r>
        <w:rPr>
          <w:rFonts w:ascii="宋体" w:hAnsi="宋体" w:hint="eastAsia"/>
          <w:b/>
          <w:bCs/>
          <w:sz w:val="36"/>
          <w:szCs w:val="36"/>
        </w:rPr>
        <w:t>中小企业声明函（服务）</w:t>
      </w:r>
    </w:p>
    <w:p>
      <w:pPr>
        <w:widowControl/>
        <w:autoSpaceDE w:val="0"/>
        <w:spacing w:before="0" w:beforeAutospacing="0" w:after="0" w:afterAutospacing="0" w:line="360" w:lineRule="auto"/>
        <w:ind w:firstLine="480" w:firstLineChars="200"/>
        <w:jc w:val="left"/>
        <w:rPr>
          <w:rFonts w:ascii="宋体" w:hAnsi="宋体"/>
          <w:kern w:val="0"/>
        </w:rPr>
      </w:pPr>
      <w:r>
        <w:rPr>
          <w:rFonts w:ascii="宋体" w:hAnsi="宋体" w:hint="eastAsia"/>
          <w:kern w:val="0"/>
          <w:sz w:val="24"/>
        </w:rPr>
        <w:t xml:space="preserve">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本公司（联合体）郑重声明，根据《政府采购促进中小企业发展管理办法》（财库﹝2020﹞46 号）的规定，本公司（联合体）参加</w:t>
      </w:r>
      <w:r>
        <w:rPr>
          <w:rFonts w:hAnsi="宋体" w:hint="eastAsia"/>
          <w:i/>
          <w:iCs/>
          <w:sz w:val="24"/>
          <w:szCs w:val="24"/>
          <w:u w:val="single"/>
        </w:rPr>
        <w:t>（单位名称）</w:t>
      </w:r>
      <w:r>
        <w:rPr>
          <w:rFonts w:hAnsi="宋体" w:hint="eastAsia"/>
          <w:sz w:val="24"/>
          <w:szCs w:val="24"/>
        </w:rPr>
        <w:t>的</w:t>
      </w:r>
      <w:r>
        <w:rPr>
          <w:rFonts w:hAnsi="宋体" w:hint="eastAsia"/>
          <w:i/>
          <w:iCs/>
          <w:sz w:val="24"/>
          <w:szCs w:val="24"/>
          <w:u w:val="single"/>
        </w:rPr>
        <w:t>（项目名称）</w:t>
      </w:r>
      <w:r>
        <w:rPr>
          <w:rFonts w:hAnsi="宋体" w:hint="eastAsia"/>
          <w:sz w:val="24"/>
          <w:szCs w:val="24"/>
        </w:rPr>
        <w:t>采购活动，服务全部由符合政策要求的中小企业承接。相关企业（含联合体中的中小企业、签订分包意向协议的中小企业）的具体情况如下：</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1.</w:t>
      </w:r>
      <w:r>
        <w:rPr>
          <w:rFonts w:hAnsi="宋体" w:hint="eastAsia"/>
          <w:i/>
          <w:iCs/>
          <w:sz w:val="24"/>
          <w:szCs w:val="24"/>
          <w:u w:val="single"/>
        </w:rPr>
        <w:t xml:space="preserve"> （标的名称）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2.</w:t>
      </w:r>
      <w:r>
        <w:rPr>
          <w:rFonts w:hAnsi="宋体" w:hint="eastAsia"/>
          <w:i/>
          <w:iCs/>
          <w:sz w:val="24"/>
          <w:szCs w:val="24"/>
          <w:u w:val="single"/>
        </w:rPr>
        <w:t xml:space="preserve"> （标的名称）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以上企业，不属于大企业的分支机构，不存在控股股东为大企业的情形，也不存在与大企业的负责人为同一人的情形。</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本企业对上述声明内容的真实性负责。如有虚假，将依法承担相应责任。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pPr>
        <w:pStyle w:val="PlainText"/>
        <w:snapToGrid w:val="0"/>
        <w:spacing w:before="0" w:beforeAutospacing="0" w:after="0" w:afterAutospacing="0" w:line="360" w:lineRule="auto"/>
        <w:ind w:firstLine="4560" w:firstLineChars="1900"/>
        <w:rPr>
          <w:rFonts w:hAnsi="宋体"/>
          <w:sz w:val="24"/>
          <w:szCs w:val="24"/>
        </w:rPr>
      </w:pPr>
      <w:r>
        <w:rPr>
          <w:rFonts w:hAnsi="宋体" w:hint="eastAsia"/>
          <w:sz w:val="24"/>
          <w:szCs w:val="24"/>
        </w:rPr>
        <w:t xml:space="preserve">企业名称（电子签章）： </w:t>
      </w:r>
    </w:p>
    <w:p>
      <w:pPr>
        <w:pStyle w:val="PlainText"/>
        <w:snapToGrid w:val="0"/>
        <w:spacing w:before="0" w:beforeAutospacing="0" w:after="0" w:afterAutospacing="0" w:line="360" w:lineRule="auto"/>
        <w:ind w:firstLine="4560" w:firstLineChars="1900"/>
        <w:rPr>
          <w:rFonts w:hAnsi="宋体"/>
          <w:sz w:val="24"/>
          <w:szCs w:val="24"/>
        </w:rPr>
      </w:pPr>
      <w:r>
        <w:rPr>
          <w:rFonts w:hAnsi="宋体" w:hint="eastAsia"/>
          <w:sz w:val="24"/>
          <w:szCs w:val="24"/>
        </w:rPr>
        <w:t>日 期：</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pPr>
        <w:widowControl/>
        <w:autoSpaceDE w:val="0"/>
        <w:spacing w:before="0" w:beforeAutospacing="0" w:after="0" w:afterAutospacing="0"/>
        <w:rPr>
          <w:szCs w:val="21"/>
        </w:rPr>
      </w:pPr>
      <w:r>
        <w:rPr>
          <w:rFonts w:ascii="仿宋" w:eastAsia="仿宋" w:hAnsi="仿宋" w:hint="eastAsia"/>
          <w:kern w:val="0"/>
          <w:sz w:val="31"/>
          <w:szCs w:val="31"/>
          <w:u w:val="single"/>
        </w:rPr>
        <w:t xml:space="preserve">                    </w:t>
      </w:r>
      <w:r>
        <w:rPr>
          <w:rFonts w:ascii="仿宋" w:eastAsia="仿宋" w:hAnsi="仿宋" w:hint="eastAsia"/>
          <w:kern w:val="0"/>
          <w:sz w:val="31"/>
          <w:szCs w:val="31"/>
        </w:rPr>
        <w:t xml:space="preserve"> </w:t>
      </w:r>
    </w:p>
    <w:p>
      <w:pPr>
        <w:widowControl/>
        <w:autoSpaceDE w:val="0"/>
        <w:spacing w:before="0" w:beforeAutospacing="0" w:after="0" w:afterAutospacing="0"/>
        <w:jc w:val="left"/>
      </w:pPr>
      <w:r>
        <w:rPr>
          <w:kern w:val="0"/>
          <w:sz w:val="11"/>
          <w:szCs w:val="11"/>
        </w:rPr>
        <w:t xml:space="preserve">1 </w:t>
      </w:r>
      <w:r>
        <w:rPr>
          <w:rFonts w:ascii="宋体" w:hAnsi="宋体" w:hint="eastAsia"/>
          <w:kern w:val="0"/>
          <w:sz w:val="18"/>
          <w:szCs w:val="18"/>
        </w:rPr>
        <w:t>从业人员、营业收入、资产总额填报上一年度数据，无上一年度数据的新成立企业可不填报。</w:t>
      </w:r>
    </w:p>
    <w:p w14:paraId="6F894903">
      <w:pPr>
        <w:pStyle w:val="PlainText"/>
        <w:topLinePunct/>
        <w:autoSpaceDE w:val="0"/>
        <w:autoSpaceDN w:val="0"/>
        <w:spacing w:before="0" w:beforeAutospacing="0" w:after="0" w:afterAutospacing="0" w:line="460" w:lineRule="exact"/>
        <w:jc w:val="center"/>
        <w:rPr>
          <w:rFonts w:hAnsi="宋体" w:cs="宋体"/>
          <w:b/>
          <w:bCs/>
          <w:color w:val="auto"/>
          <w:sz w:val="36"/>
          <w:szCs w:val="36"/>
        </w:rPr>
      </w:pPr>
      <w:r w:rsidR="00A77B3E">
        <w:rPr>
          <w:rFonts w:ascii="Times New Roman" w:eastAsia="Times New Roman" w:hAnsi="Times New Roman"/>
          <w:sz w:val="24"/>
          <w:szCs w:val="24"/>
          <w:lang w:eastAsia="en-US"/>
        </w:rPr>
        <w:br w:type="page"/>
      </w:r>
      <w:r>
        <w:rPr>
          <w:rFonts w:hAnsi="宋体" w:cs="宋体" w:hint="eastAsia"/>
          <w:b/>
          <w:bCs/>
          <w:color w:val="auto"/>
          <w:sz w:val="36"/>
          <w:szCs w:val="36"/>
        </w:rPr>
        <w:t xml:space="preserve">格式7 </w:t>
      </w:r>
      <w:r>
        <w:rPr>
          <w:rFonts w:hAnsi="宋体" w:cs="宋体" w:hint="eastAsia"/>
          <w:b/>
          <w:bCs/>
          <w:color w:val="auto"/>
          <w:sz w:val="36"/>
          <w:szCs w:val="36"/>
        </w:rPr>
        <w:t>残疾人福利性单位声明函</w:t>
      </w:r>
    </w:p>
    <w:p w14:paraId="52040FDA">
      <w:pPr>
        <w:spacing w:before="0" w:beforeAutospacing="0" w:after="0" w:afterAutospacing="0" w:line="588" w:lineRule="exact"/>
        <w:rPr>
          <w:rFonts w:ascii="宋体" w:hAnsi="宋体" w:cs="宋体"/>
          <w:b/>
          <w:color w:val="auto"/>
          <w:spacing w:val="6"/>
          <w:sz w:val="30"/>
          <w:szCs w:val="30"/>
        </w:rPr>
      </w:pPr>
    </w:p>
    <w:p w14:paraId="1571D837">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auto"/>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46E8289">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auto"/>
          <w:spacing w:val="6"/>
          <w:sz w:val="24"/>
        </w:rPr>
        <w:t>本单位对上述声明的真实性负责。如有虚假，将依法承担相应责任。</w:t>
      </w:r>
    </w:p>
    <w:p w14:paraId="154E40F9">
      <w:pPr>
        <w:spacing w:before="0" w:beforeAutospacing="0" w:after="0" w:afterAutospacing="0" w:line="588" w:lineRule="exact"/>
        <w:ind w:firstLine="420" w:firstLineChars="200"/>
        <w:rPr>
          <w:rFonts w:ascii="宋体" w:hAnsi="宋体"/>
          <w:color w:val="auto"/>
          <w:spacing w:val="6"/>
        </w:rPr>
      </w:pPr>
    </w:p>
    <w:p w14:paraId="5AEC319B">
      <w:pPr>
        <w:spacing w:before="0" w:beforeAutospacing="0" w:after="0" w:afterAutospacing="0" w:line="588" w:lineRule="exact"/>
        <w:ind w:firstLine="420" w:firstLineChars="200"/>
        <w:rPr>
          <w:rFonts w:ascii="宋体" w:hAnsi="宋体"/>
          <w:color w:val="auto"/>
          <w:spacing w:val="6"/>
        </w:rPr>
      </w:pPr>
    </w:p>
    <w:p w14:paraId="3B744120">
      <w:pPr>
        <w:spacing w:before="0" w:beforeAutospacing="0" w:after="0" w:afterAutospacing="0" w:line="588" w:lineRule="exact"/>
        <w:ind w:firstLine="3480" w:firstLineChars="1450"/>
        <w:rPr>
          <w:rFonts w:ascii="宋体" w:hAnsi="宋体"/>
          <w:color w:val="auto"/>
          <w:spacing w:val="6"/>
        </w:rPr>
      </w:pPr>
      <w:r>
        <w:rPr>
          <w:rFonts w:ascii="宋体" w:hAnsi="宋体" w:hint="eastAsia"/>
          <w:color w:val="auto"/>
          <w:spacing w:val="6"/>
          <w:sz w:val="24"/>
        </w:rPr>
        <w:t>单位名称（</w:t>
      </w:r>
      <w:r>
        <w:rPr>
          <w:rFonts w:hAnsi="宋体" w:cs="宋体" w:hint="eastAsia"/>
          <w:color w:val="auto"/>
          <w:sz w:val="24"/>
        </w:rPr>
        <w:t>电子签章</w:t>
      </w:r>
      <w:r>
        <w:rPr>
          <w:rFonts w:ascii="宋体" w:hAnsi="宋体" w:hint="eastAsia"/>
          <w:color w:val="auto"/>
          <w:spacing w:val="6"/>
          <w:sz w:val="24"/>
        </w:rPr>
        <w:t>）：</w:t>
      </w:r>
    </w:p>
    <w:p w14:paraId="5E3801BC">
      <w:pPr>
        <w:spacing w:before="0" w:beforeAutospacing="0" w:after="0" w:afterAutospacing="0" w:line="588" w:lineRule="exact"/>
        <w:ind w:firstLine="3600" w:firstLineChars="1500"/>
        <w:rPr>
          <w:rFonts w:ascii="宋体" w:hAnsi="宋体"/>
          <w:color w:val="auto"/>
          <w:spacing w:val="6"/>
        </w:rPr>
      </w:pPr>
      <w:r>
        <w:rPr>
          <w:rFonts w:ascii="宋体" w:hAnsi="宋体" w:hint="eastAsia"/>
          <w:color w:val="auto"/>
          <w:spacing w:val="6"/>
          <w:sz w:val="24"/>
        </w:rPr>
        <w:t>日期：</w:t>
      </w:r>
    </w:p>
    <w:p w14:paraId="5BCE478B">
      <w:pPr>
        <w:spacing w:before="0" w:beforeAutospacing="0" w:after="0" w:afterAutospacing="0"/>
      </w:pPr>
      <w:r>
        <w:rPr>
          <w:rFonts w:ascii="宋体" w:hAnsi="宋体" w:hint="eastAsia"/>
          <w:color w:val="auto"/>
          <w:spacing w:val="6"/>
          <w:sz w:val="24"/>
        </w:rPr>
        <w:t>：</w:t>
      </w:r>
    </w:p>
    <w:p>
      <w:pPr>
        <w:pStyle w:val="1"/>
        <w:numPr>
          <w:ilvl w:val="0"/>
          <w:numId w:val="0"/>
        </w:numPr>
        <w:tabs>
          <w:tab w:val="left" w:pos="420"/>
          <w:tab w:val="clear" w:pos="900"/>
        </w:tabs>
        <w:snapToGrid w:val="0"/>
        <w:spacing w:before="0" w:beforeAutospacing="0" w:after="0" w:afterAutospacing="0" w:line="460" w:lineRule="atLeast"/>
        <w:ind w:left="0" w:firstLine="0"/>
        <w:jc w:val="center"/>
        <w:rPr>
          <w:rFonts w:cs="宋体"/>
          <w:color w:val="auto"/>
        </w:rPr>
      </w:pPr>
      <w:r w:rsidR="00A77B3E">
        <w:rPr>
          <w:rFonts w:ascii="Times New Roman" w:eastAsia="Times New Roman" w:hAnsi="Times New Roman"/>
          <w:sz w:val="24"/>
          <w:szCs w:val="24"/>
          <w:lang w:eastAsia="en-US"/>
        </w:rPr>
        <w:br w:type="page"/>
      </w:r>
      <w:r>
        <w:rPr>
          <w:rFonts w:cs="宋体" w:hint="eastAsia"/>
          <w:b/>
          <w:bCs/>
          <w:color w:val="auto"/>
          <w:kern w:val="44"/>
          <w:sz w:val="36"/>
          <w:szCs w:val="36"/>
        </w:rPr>
        <w:t xml:space="preserve">格式8 </w:t>
      </w:r>
      <w:r>
        <w:rPr>
          <w:rFonts w:cs="宋体" w:hint="eastAsia"/>
          <w:b/>
          <w:bCs/>
          <w:color w:val="auto"/>
          <w:kern w:val="44"/>
          <w:sz w:val="36"/>
          <w:szCs w:val="36"/>
        </w:rPr>
        <w:t>成功案例一览表</w:t>
      </w:r>
    </w:p>
    <w:tbl>
      <w:tblPr>
        <w:tblStyle w:val="TableNormal"/>
        <w:tblpPr w:leftFromText="180" w:rightFromText="180" w:vertAnchor="text" w:horzAnchor="page" w:tblpX="1886" w:tblpY="185"/>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90"/>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名称</w:t>
            </w: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甲方</w:t>
            </w:r>
          </w:p>
        </w:tc>
        <w:tc>
          <w:tcPr>
            <w:tcW w:w="707"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合同时间</w:t>
            </w: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金额</w:t>
            </w: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内容</w:t>
            </w: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联系人</w:t>
            </w: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系电话</w:t>
            </w: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备注</w:t>
            </w: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3</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4</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5</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rPr>
              <w:t>……</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bl>
    <w:p>
      <w:pPr>
        <w:spacing w:before="0" w:beforeAutospacing="0" w:after="0" w:afterAutospacing="0" w:line="300" w:lineRule="exact"/>
        <w:rPr>
          <w:rFonts w:ascii="宋体" w:hAnsi="宋体" w:cs="宋体"/>
          <w:color w:val="auto"/>
        </w:rPr>
      </w:pPr>
    </w:p>
    <w:p>
      <w:pPr>
        <w:adjustRightInd w:val="0"/>
        <w:snapToGrid w:val="0"/>
        <w:spacing w:before="0" w:beforeAutospacing="0" w:after="0" w:afterAutospacing="0" w:line="360" w:lineRule="auto"/>
        <w:rPr>
          <w:rFonts w:ascii="宋体" w:hAnsi="宋体" w:cs="宋体"/>
          <w:color w:val="auto"/>
        </w:rPr>
      </w:pPr>
      <w:r>
        <w:rPr>
          <w:rFonts w:ascii="宋体" w:hAnsi="宋体" w:cs="宋体" w:hint="eastAsia"/>
          <w:color w:val="auto"/>
        </w:rPr>
        <w:t>特别说明：</w:t>
      </w:r>
    </w:p>
    <w:p>
      <w:pPr>
        <w:numPr>
          <w:ilvl w:val="0"/>
          <w:numId w:val="23"/>
        </w:numPr>
        <w:tabs>
          <w:tab w:val="left" w:pos="640"/>
        </w:tabs>
        <w:adjustRightInd w:val="0"/>
        <w:snapToGrid w:val="0"/>
        <w:spacing w:before="0" w:beforeAutospacing="0" w:after="0" w:afterAutospacing="0" w:line="360" w:lineRule="auto"/>
        <w:ind w:firstLine="420" w:firstLineChars="200"/>
        <w:rPr>
          <w:rFonts w:ascii="宋体" w:hAnsi="宋体" w:cs="宋体"/>
          <w:color w:val="auto"/>
          <w:szCs w:val="21"/>
        </w:rPr>
      </w:pPr>
      <w:r>
        <w:rPr>
          <w:rFonts w:ascii="宋体" w:hAnsi="宋体" w:cs="宋体" w:hint="eastAsia"/>
          <w:color w:val="auto"/>
          <w:szCs w:val="21"/>
        </w:rPr>
        <w:t>有效案例为202</w:t>
      </w:r>
      <w:r>
        <w:rPr>
          <w:rFonts w:ascii="宋体" w:hAnsi="宋体" w:cs="宋体" w:hint="eastAsia"/>
          <w:color w:val="auto"/>
          <w:szCs w:val="21"/>
          <w:lang w:val="en-US" w:eastAsia="zh-CN"/>
        </w:rPr>
        <w:t>3</w:t>
      </w:r>
      <w:r>
        <w:rPr>
          <w:rFonts w:ascii="宋体" w:hAnsi="宋体" w:cs="宋体" w:hint="eastAsia"/>
          <w:color w:val="auto"/>
          <w:szCs w:val="21"/>
        </w:rPr>
        <w:t>年1月1日以来（以合同签订日期为准），供应商独立承担的肉类、蔬菜类、主副食类等食材供应项目案例</w:t>
      </w:r>
      <w:r>
        <w:rPr>
          <w:rFonts w:ascii="宋体" w:hAnsi="宋体" w:cs="宋体" w:hint="eastAsia"/>
          <w:color w:val="auto"/>
          <w:szCs w:val="21"/>
          <w:highlight w:val="none"/>
          <w:lang w:val="en-US" w:eastAsia="zh-CN"/>
        </w:rPr>
        <w:t>。</w:t>
      </w:r>
    </w:p>
    <w:p>
      <w:pPr>
        <w:widowControl/>
        <w:tabs>
          <w:tab w:val="left" w:pos="0"/>
          <w:tab w:val="left" w:pos="420"/>
        </w:tabs>
        <w:adjustRightInd w:val="0"/>
        <w:snapToGrid w:val="0"/>
        <w:spacing w:before="0" w:beforeAutospacing="0" w:after="0" w:afterAutospacing="0" w:line="360" w:lineRule="auto"/>
        <w:ind w:firstLine="420" w:firstLineChars="200"/>
        <w:jc w:val="left"/>
        <w:rPr>
          <w:rFonts w:ascii="宋体" w:hAnsi="宋体" w:cs="宋体"/>
          <w:color w:val="auto"/>
          <w:szCs w:val="21"/>
        </w:rPr>
      </w:pPr>
      <w:r>
        <w:rPr>
          <w:rFonts w:ascii="宋体" w:hAnsi="宋体" w:cs="宋体" w:hint="eastAsia"/>
          <w:color w:val="auto"/>
          <w:szCs w:val="21"/>
          <w:lang w:val="en-US" w:eastAsia="zh-CN"/>
        </w:rPr>
        <w:t>2.</w:t>
      </w:r>
      <w:r>
        <w:rPr>
          <w:rFonts w:ascii="宋体" w:hAnsi="宋体" w:cs="宋体" w:hint="eastAsia"/>
          <w:color w:val="auto"/>
          <w:szCs w:val="21"/>
        </w:rPr>
        <w:t>应提供</w:t>
      </w:r>
      <w:r>
        <w:rPr>
          <w:rFonts w:ascii="宋体" w:hAnsi="宋体" w:cs="宋体" w:hint="eastAsia"/>
          <w:b/>
          <w:bCs/>
          <w:color w:val="auto"/>
          <w:szCs w:val="21"/>
        </w:rPr>
        <w:t>合同扫描件。</w:t>
      </w:r>
      <w:r>
        <w:rPr>
          <w:rFonts w:ascii="宋体" w:hAnsi="宋体" w:cs="宋体" w:hint="eastAsia"/>
          <w:color w:val="auto"/>
          <w:szCs w:val="21"/>
        </w:rPr>
        <w:t>合同扫描件应能清晰体现合同甲乙双方、合同时间、合同金额、合同主要内容等</w:t>
      </w:r>
      <w:r>
        <w:rPr>
          <w:rFonts w:ascii="宋体" w:hAnsi="宋体" w:cs="宋体" w:hint="eastAsia"/>
          <w:color w:val="auto"/>
          <w:szCs w:val="21"/>
          <w:lang w:eastAsia="zh-CN"/>
        </w:rPr>
        <w:t>。</w:t>
      </w:r>
      <w:r>
        <w:rPr>
          <w:rFonts w:ascii="宋体" w:hAnsi="宋体" w:cs="宋体" w:hint="eastAsia"/>
          <w:color w:val="auto"/>
          <w:szCs w:val="21"/>
        </w:rPr>
        <w:t>并提供对方联系人及联系方式，否则不能获得相应分值。</w:t>
      </w:r>
    </w:p>
    <w:p>
      <w:pPr>
        <w:snapToGrid w:val="0"/>
        <w:spacing w:before="0" w:beforeAutospacing="0" w:after="0" w:afterAutospacing="0" w:line="360" w:lineRule="auto"/>
        <w:jc w:val="center"/>
        <w:rPr>
          <w:rFonts w:ascii="宋体" w:hAnsi="宋体" w:cs="宋体"/>
          <w:b/>
          <w:bCs/>
          <w:sz w:val="36"/>
          <w:szCs w:val="36"/>
        </w:rPr>
      </w:pPr>
      <w:bookmarkEnd w:id="72"/>
    </w:p>
    <w:p w14:paraId="7945DD7C">
      <w:pPr>
        <w:rPr>
          <w:rFonts w:ascii="宋体" w:hAnsi="宋体" w:cs="宋体"/>
          <w:b w:val="0"/>
          <w:bCs w:val="0"/>
          <w:color w:val="auto"/>
          <w:sz w:val="24"/>
          <w:szCs w:val="24"/>
          <w:highlight w:val="none"/>
        </w:rPr>
      </w:pPr>
      <w:r>
        <w:rPr>
          <w:rFonts w:ascii="宋体" w:hAnsi="宋体" w:cs="宋体"/>
          <w:b w:val="0"/>
          <w:bCs w:val="0"/>
          <w:color w:val="auto"/>
          <w:sz w:val="24"/>
          <w:szCs w:val="24"/>
          <w:highlight w:val="none"/>
        </w:rPr>
        <w:br w:type="page"/>
      </w:r>
    </w:p>
    <w:p w14:paraId="16A07611">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auto"/>
          <w:sz w:val="36"/>
          <w:szCs w:val="36"/>
        </w:rPr>
        <w:t>投标文件技术部分文件格式</w:t>
      </w:r>
    </w:p>
    <w:p w14:paraId="0410518E">
      <w:pPr>
        <w:spacing w:before="0" w:beforeAutospacing="0" w:after="0" w:afterAutospacing="0"/>
        <w:jc w:val="center"/>
        <w:rPr>
          <w:rFonts w:ascii="宋体" w:hAnsi="宋体" w:cs="宋体"/>
          <w:b/>
          <w:bCs/>
          <w:color w:val="auto"/>
          <w:sz w:val="36"/>
          <w:szCs w:val="36"/>
        </w:rPr>
      </w:pPr>
      <w:bookmarkStart w:id="73" w:name="投标文件格式_zxzbjs_TBWJGS"/>
      <w:r>
        <w:rPr>
          <w:rFonts w:ascii="宋体" w:hAnsi="宋体" w:cs="宋体" w:hint="eastAsia"/>
          <w:b/>
          <w:bCs/>
          <w:color w:val="auto"/>
          <w:sz w:val="36"/>
          <w:szCs w:val="36"/>
        </w:rPr>
        <w:t xml:space="preserve">格式9 </w:t>
      </w:r>
      <w:r>
        <w:rPr>
          <w:rFonts w:ascii="宋体" w:hAnsi="宋体" w:cs="宋体" w:hint="eastAsia"/>
          <w:b/>
          <w:bCs/>
          <w:color w:val="auto"/>
          <w:sz w:val="36"/>
          <w:szCs w:val="36"/>
        </w:rPr>
        <w:t>技术条款偏离表</w:t>
      </w:r>
    </w:p>
    <w:tbl>
      <w:tblPr>
        <w:tblStyle w:val="TableNormal"/>
        <w:tblpPr w:leftFromText="180" w:rightFromText="180" w:vertAnchor="text" w:horzAnchor="page" w:tblpX="1435" w:tblpY="293"/>
        <w:tblOverlap w:val="never"/>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54499">
        <w:tblPrEx>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Ex>
        <w:trPr>
          <w:trHeight w:val="567"/>
        </w:trPr>
        <w:tc>
          <w:tcPr>
            <w:tcW w:w="753" w:type="dxa"/>
            <w:noWrap w:val="0"/>
            <w:vAlign w:val="center"/>
          </w:tcPr>
          <w:p w14:paraId="3A6D889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1229" w:type="dxa"/>
            <w:noWrap w:val="0"/>
            <w:vAlign w:val="top"/>
          </w:tcPr>
          <w:p w14:paraId="5E5F2E2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14:paraId="6106EFA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技术部分序号</w:t>
            </w:r>
          </w:p>
        </w:tc>
        <w:tc>
          <w:tcPr>
            <w:tcW w:w="1401" w:type="dxa"/>
            <w:noWrap w:val="0"/>
            <w:vAlign w:val="center"/>
          </w:tcPr>
          <w:p w14:paraId="51C661A7">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lang w:bidi="ar"/>
              </w:rPr>
            </w:pPr>
            <w:r>
              <w:rPr>
                <w:rFonts w:ascii="宋体" w:eastAsia="宋体" w:hAnsi="宋体" w:cs="宋体" w:hint="eastAsia"/>
                <w:b/>
                <w:kern w:val="2"/>
                <w:sz w:val="24"/>
                <w:szCs w:val="24"/>
                <w:lang w:val="en-US" w:eastAsia="zh-CN" w:bidi="ar"/>
              </w:rPr>
              <w:t>重要性</w:t>
            </w:r>
          </w:p>
          <w:p w14:paraId="7E6E6A00">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color w:val="auto"/>
              </w:rPr>
            </w:pPr>
            <w:r>
              <w:rPr>
                <w:rFonts w:ascii="宋体" w:eastAsia="宋体" w:hAnsi="宋体" w:cs="宋体" w:hint="eastAsia"/>
                <w:b/>
                <w:kern w:val="2"/>
                <w:sz w:val="24"/>
                <w:szCs w:val="24"/>
                <w:lang w:val="en-US" w:eastAsia="zh-CN" w:bidi="ar"/>
              </w:rPr>
              <w:t>（</w:t>
            </w:r>
            <w:r>
              <w:rPr>
                <w:rFonts w:ascii="宋体" w:eastAsia="宋体" w:hAnsi="宋体" w:cs="宋体" w:hint="eastAsia"/>
                <w:kern w:val="2"/>
                <w:sz w:val="21"/>
                <w:szCs w:val="21"/>
                <w:lang w:val="en-US" w:eastAsia="zh-CN" w:bidi="ar"/>
              </w:rPr>
              <w:t>★#△</w:t>
            </w:r>
            <w:r>
              <w:rPr>
                <w:rFonts w:ascii="宋体" w:eastAsia="宋体" w:hAnsi="宋体" w:cs="宋体" w:hint="eastAsia"/>
                <w:b/>
                <w:kern w:val="2"/>
                <w:sz w:val="24"/>
                <w:szCs w:val="24"/>
                <w:lang w:val="en-US" w:eastAsia="zh-CN" w:bidi="ar"/>
              </w:rPr>
              <w:t>）</w:t>
            </w:r>
          </w:p>
        </w:tc>
        <w:tc>
          <w:tcPr>
            <w:tcW w:w="2031" w:type="dxa"/>
            <w:noWrap w:val="0"/>
            <w:vAlign w:val="center"/>
          </w:tcPr>
          <w:p w14:paraId="5A9BF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14:paraId="091A3DA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技术部分内容要求</w:t>
            </w:r>
          </w:p>
        </w:tc>
        <w:tc>
          <w:tcPr>
            <w:tcW w:w="1366" w:type="dxa"/>
            <w:noWrap w:val="0"/>
            <w:vAlign w:val="center"/>
          </w:tcPr>
          <w:p w14:paraId="786DD3D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投标文件</w:t>
            </w:r>
          </w:p>
          <w:p w14:paraId="44EA66C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应答情况</w:t>
            </w:r>
          </w:p>
        </w:tc>
        <w:tc>
          <w:tcPr>
            <w:tcW w:w="1695" w:type="dxa"/>
            <w:noWrap w:val="0"/>
            <w:vAlign w:val="center"/>
          </w:tcPr>
          <w:p w14:paraId="26D16D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eastAsia"/>
                <w:b/>
                <w:color w:val="auto"/>
              </w:rPr>
            </w:pPr>
            <w:r>
              <w:rPr>
                <w:rFonts w:ascii="宋体" w:hAnsi="宋体" w:cs="宋体" w:hint="eastAsia"/>
                <w:b/>
                <w:color w:val="auto"/>
                <w:sz w:val="24"/>
              </w:rPr>
              <w:t>偏离</w:t>
            </w:r>
          </w:p>
          <w:p w14:paraId="1B7FB9B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（无/正/负）</w:t>
            </w:r>
          </w:p>
        </w:tc>
        <w:tc>
          <w:tcPr>
            <w:tcW w:w="518" w:type="dxa"/>
            <w:noWrap w:val="0"/>
            <w:vAlign w:val="center"/>
          </w:tcPr>
          <w:p w14:paraId="3772303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备注</w:t>
            </w:r>
          </w:p>
        </w:tc>
      </w:tr>
      <w:tr w14:paraId="3512F2E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BAE3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1229" w:type="dxa"/>
            <w:noWrap w:val="0"/>
            <w:vAlign w:val="center"/>
          </w:tcPr>
          <w:p w14:paraId="3CF16B1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990A7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432CA04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46444E57">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3DB79EED">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981D21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5F09CD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7001D9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1229" w:type="dxa"/>
            <w:noWrap w:val="0"/>
            <w:vAlign w:val="center"/>
          </w:tcPr>
          <w:p w14:paraId="26CA135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2B1DE2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057D3718">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7F0B106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23F3618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FF201D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6C11603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0B7DE51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3</w:t>
            </w:r>
          </w:p>
        </w:tc>
        <w:tc>
          <w:tcPr>
            <w:tcW w:w="1229" w:type="dxa"/>
            <w:noWrap w:val="0"/>
            <w:vAlign w:val="center"/>
          </w:tcPr>
          <w:p w14:paraId="15A38FE6">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62115483">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7141775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205A32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D76CE2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6B7817F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8E6CC20">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28761FE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4</w:t>
            </w:r>
          </w:p>
        </w:tc>
        <w:tc>
          <w:tcPr>
            <w:tcW w:w="1229" w:type="dxa"/>
            <w:noWrap w:val="0"/>
            <w:vAlign w:val="center"/>
          </w:tcPr>
          <w:p w14:paraId="2BB4F70A">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2F0BF9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64CE99C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54257B4F">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9E6891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E001C9A">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2F7E39F1">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416759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5</w:t>
            </w:r>
          </w:p>
        </w:tc>
        <w:tc>
          <w:tcPr>
            <w:tcW w:w="1229" w:type="dxa"/>
            <w:noWrap w:val="0"/>
            <w:vAlign w:val="center"/>
          </w:tcPr>
          <w:p w14:paraId="65FBF4B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457BC5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B02E99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16488FE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723B0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3484A46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4026A74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58F94B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w:t>
            </w:r>
          </w:p>
        </w:tc>
        <w:tc>
          <w:tcPr>
            <w:tcW w:w="1229" w:type="dxa"/>
            <w:noWrap w:val="0"/>
            <w:vAlign w:val="center"/>
          </w:tcPr>
          <w:p w14:paraId="229870A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62755F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0DB5A9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42D5EDE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70DDBE6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A23253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bl>
    <w:p w14:paraId="7C453964">
      <w:pPr>
        <w:adjustRightInd w:val="0"/>
        <w:snapToGrid w:val="0"/>
        <w:spacing w:before="0" w:beforeAutospacing="0" w:after="0" w:afterAutospacing="0" w:line="360" w:lineRule="auto"/>
        <w:ind w:firstLine="420" w:firstLineChars="200"/>
        <w:rPr>
          <w:rFonts w:ascii="宋体" w:hAnsi="宋体" w:cs="宋体" w:hint="eastAsia"/>
          <w:color w:val="auto"/>
        </w:rPr>
      </w:pPr>
    </w:p>
    <w:p w14:paraId="5420C3BF">
      <w:pPr>
        <w:keepNext w:val="0"/>
        <w:keepLines w:val="0"/>
        <w:pageBreakBefore w:val="0"/>
        <w:widowControl w:val="0"/>
        <w:kinsoku/>
        <w:wordWrap/>
        <w:overflowPunct/>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p>
    <w:p w14:paraId="69D82F5D">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auto"/>
          <w:sz w:val="21"/>
          <w:szCs w:val="21"/>
        </w:rPr>
        <w:t>特别说明：</w:t>
      </w:r>
    </w:p>
    <w:p w14:paraId="0B745848">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highlight w:val="none"/>
        </w:rPr>
        <w:t>1.按照《招标文件-技术部分》内容要求，一一对应填写。如果对《招标文件-技术部分》内</w:t>
      </w:r>
      <w:r>
        <w:rPr>
          <w:rFonts w:ascii="宋体" w:hAnsi="宋体" w:cs="宋体" w:hint="eastAsia"/>
          <w:color w:val="auto"/>
          <w:sz w:val="21"/>
          <w:szCs w:val="21"/>
        </w:rPr>
        <w:t>容不做一一响应，而将“投标文件应答情况”简单笼统描述为“无偏离”，则视为无效应答。</w:t>
      </w:r>
    </w:p>
    <w:p w14:paraId="27AA54FB">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rPr>
        <w:t>2.《招标文件-技术部分》内容须条对条应答，不得遗漏。如无偏离，请在此表中填写“无偏离”。如有偏离，请在此表中应答为“正/负偏离”并说明偏离情况</w:t>
      </w:r>
      <w:r>
        <w:rPr>
          <w:rFonts w:ascii="宋体" w:hAnsi="宋体" w:cs="宋体" w:hint="eastAsia"/>
          <w:color w:val="auto"/>
          <w:sz w:val="21"/>
          <w:szCs w:val="21"/>
          <w:lang w:eastAsia="zh-CN"/>
        </w:rPr>
        <w:t>。</w:t>
      </w:r>
    </w:p>
    <w:p w14:paraId="0993C362">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rPr>
        <w:t>3.如《招标文件-技术部分》中有标注★号的，则为实质性要求，必须满足，如应答为“负偏离”</w:t>
      </w:r>
      <w:r>
        <w:rPr>
          <w:rFonts w:ascii="宋体" w:hAnsi="宋体" w:cs="宋体" w:hint="eastAsia"/>
          <w:color w:val="auto"/>
          <w:sz w:val="21"/>
          <w:szCs w:val="21"/>
          <w:lang w:eastAsia="zh-CN"/>
        </w:rPr>
        <w:t>或未应答</w:t>
      </w:r>
      <w:r>
        <w:rPr>
          <w:rFonts w:ascii="宋体" w:hAnsi="宋体" w:cs="宋体" w:hint="eastAsia"/>
          <w:color w:val="auto"/>
          <w:sz w:val="21"/>
          <w:szCs w:val="21"/>
        </w:rPr>
        <w:t>，将导致投标无效。</w:t>
      </w:r>
    </w:p>
    <w:p w14:paraId="7FAAAF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ascii="宋体" w:hAnsi="宋体" w:cs="宋体" w:hint="eastAsia"/>
          <w:color w:val="auto"/>
          <w:sz w:val="21"/>
          <w:szCs w:val="21"/>
        </w:rPr>
        <w:t>4.</w:t>
      </w:r>
      <w:r>
        <w:rPr>
          <w:rFonts w:ascii="宋体" w:eastAsia="宋体" w:hAnsi="宋体" w:cs="宋体" w:hint="eastAsia"/>
          <w:kern w:val="2"/>
          <w:sz w:val="21"/>
          <w:szCs w:val="21"/>
          <w:lang w:val="en-US" w:eastAsia="zh-CN" w:bidi="ar"/>
        </w:rPr>
        <w:t>如《</w:t>
      </w:r>
      <w:r>
        <w:rPr>
          <w:rFonts w:ascii="宋体" w:hAnsi="宋体" w:cs="宋体" w:hint="default"/>
          <w:kern w:val="2"/>
          <w:sz w:val="21"/>
          <w:szCs w:val="21"/>
          <w:lang w:eastAsia="zh-CN" w:bidi="ar"/>
        </w:rPr>
        <w:t>招标</w:t>
      </w:r>
      <w:r>
        <w:rPr>
          <w:rFonts w:ascii="宋体" w:eastAsia="宋体" w:hAnsi="宋体" w:cs="宋体" w:hint="eastAsia"/>
          <w:kern w:val="2"/>
          <w:sz w:val="21"/>
          <w:szCs w:val="21"/>
          <w:lang w:val="en-US" w:eastAsia="zh-CN" w:bidi="ar"/>
        </w:rPr>
        <w:t>文件-技术部分》中有标注“#”为重要指标</w:t>
      </w:r>
      <w:r>
        <w:rPr>
          <w:rFonts w:ascii="宋体" w:hAnsi="宋体" w:cs="宋体" w:hint="eastAsia"/>
          <w:kern w:val="2"/>
          <w:sz w:val="21"/>
          <w:szCs w:val="21"/>
          <w:lang w:val="en-US" w:eastAsia="zh-CN" w:bidi="ar"/>
        </w:rPr>
        <w:t>项</w:t>
      </w:r>
      <w:r>
        <w:rPr>
          <w:rFonts w:ascii="宋体" w:eastAsia="宋体" w:hAnsi="宋体" w:cs="宋体" w:hint="eastAsia"/>
          <w:kern w:val="2"/>
          <w:sz w:val="21"/>
          <w:szCs w:val="21"/>
          <w:lang w:val="en-US" w:eastAsia="zh-CN" w:bidi="ar"/>
        </w:rPr>
        <w:t>、标注“△”为一般指标项，接受供应商应答为“负偏离”；如供应商应答为</w:t>
      </w:r>
      <w:r>
        <w:rPr>
          <w:rFonts w:ascii="宋体" w:eastAsia="宋体" w:hAnsi="宋体" w:cs="宋体" w:hint="eastAsia"/>
          <w:b w:val="0"/>
          <w:kern w:val="2"/>
          <w:sz w:val="21"/>
          <w:szCs w:val="21"/>
          <w:lang w:val="en-US" w:eastAsia="zh-CN" w:bidi="ar"/>
        </w:rPr>
        <w:t>“无偏离”或“正偏离”，</w:t>
      </w:r>
      <w:r>
        <w:rPr>
          <w:rFonts w:ascii="宋体" w:eastAsia="宋体" w:hAnsi="宋体" w:cs="宋体" w:hint="eastAsia"/>
          <w:kern w:val="2"/>
          <w:sz w:val="21"/>
          <w:szCs w:val="21"/>
          <w:lang w:val="en-US" w:eastAsia="zh-CN" w:bidi="ar"/>
        </w:rPr>
        <w:t>将根据评审标准在评审时</w:t>
      </w:r>
      <w:r>
        <w:rPr>
          <w:rFonts w:ascii="宋体" w:hAnsi="宋体" w:cs="宋体" w:hint="eastAsia"/>
          <w:kern w:val="2"/>
          <w:sz w:val="21"/>
          <w:szCs w:val="21"/>
          <w:lang w:val="en-US" w:eastAsia="zh-CN" w:bidi="ar"/>
        </w:rPr>
        <w:t>获得相应分值</w:t>
      </w:r>
      <w:r>
        <w:rPr>
          <w:rFonts w:ascii="宋体" w:eastAsia="宋体" w:hAnsi="宋体" w:cs="宋体" w:hint="eastAsia"/>
          <w:kern w:val="2"/>
          <w:sz w:val="21"/>
          <w:szCs w:val="21"/>
          <w:lang w:val="en-US" w:eastAsia="zh-CN" w:bidi="ar"/>
        </w:rPr>
        <w:t>。</w:t>
      </w:r>
    </w:p>
    <w:p w14:paraId="1B76E103">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hAnsi="宋体" w:cs="宋体"/>
          <w:color w:val="auto"/>
        </w:rPr>
      </w:pPr>
    </w:p>
    <w:p w14:paraId="55EEB5FB">
      <w:pPr>
        <w:pStyle w:val="NormalIndent1"/>
        <w:spacing w:before="0" w:beforeAutospacing="0" w:after="0" w:afterAutospacing="0"/>
        <w:rPr>
          <w:color w:val="auto"/>
        </w:rPr>
      </w:pPr>
    </w:p>
    <w:p w14:paraId="3C53CAEE">
      <w:pPr>
        <w:adjustRightInd w:val="0"/>
        <w:snapToGrid w:val="0"/>
        <w:spacing w:before="0" w:beforeAutospacing="0" w:after="0" w:afterAutospacing="0" w:line="360" w:lineRule="auto"/>
        <w:ind w:firstLine="480" w:firstLineChars="200"/>
        <w:rPr>
          <w:rFonts w:hAnsi="宋体" w:cs="宋体"/>
          <w:color w:val="auto"/>
        </w:rPr>
      </w:pPr>
      <w:r>
        <w:rPr>
          <w:rFonts w:hAnsi="宋体" w:cs="宋体" w:hint="eastAsia"/>
          <w:color w:val="auto"/>
          <w:sz w:val="24"/>
        </w:rPr>
        <w:t>投标人名称（电子签章）：</w:t>
      </w:r>
    </w:p>
    <w:p w14:paraId="27014444">
      <w:pPr>
        <w:adjustRightInd w:val="0"/>
        <w:snapToGrid w:val="0"/>
        <w:spacing w:before="0" w:beforeAutospacing="0" w:after="0" w:afterAutospacing="0" w:line="360" w:lineRule="auto"/>
        <w:ind w:firstLine="480" w:firstLineChars="200"/>
        <w:rPr>
          <w:rFonts w:hint="eastAsia"/>
        </w:rPr>
      </w:pPr>
      <w:r>
        <w:rPr>
          <w:rFonts w:hAnsi="宋体" w:cs="宋体" w:hint="eastAsia"/>
          <w:color w:val="auto"/>
          <w:sz w:val="24"/>
        </w:rPr>
        <w:t>日期：</w:t>
      </w:r>
    </w:p>
    <w:p w14:paraId="2CF8597E">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br w:type="page"/>
      </w:r>
      <w:r>
        <w:rPr>
          <w:rFonts w:ascii="宋体" w:hAnsi="宋体" w:cs="宋体" w:hint="eastAsia"/>
          <w:b/>
          <w:bCs/>
          <w:color w:val="auto"/>
          <w:sz w:val="36"/>
          <w:szCs w:val="36"/>
        </w:rPr>
        <w:t xml:space="preserve">格式10 </w:t>
      </w:r>
      <w:r>
        <w:rPr>
          <w:rFonts w:ascii="宋体" w:hAnsi="宋体" w:cs="宋体" w:hint="eastAsia"/>
          <w:b/>
          <w:bCs/>
          <w:color w:val="auto"/>
          <w:sz w:val="36"/>
          <w:szCs w:val="36"/>
        </w:rPr>
        <w:t>技术力量一览表</w:t>
      </w:r>
    </w:p>
    <w:tbl>
      <w:tblPr>
        <w:tblStyle w:val="TableNormal"/>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1920541">
        <w:tblPrEx>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759"/>
        </w:trPr>
        <w:tc>
          <w:tcPr>
            <w:tcW w:w="800" w:type="dxa"/>
            <w:tcBorders>
              <w:top w:val="single" w:sz="4" w:space="0" w:color="auto"/>
              <w:left w:val="single" w:sz="4" w:space="0" w:color="auto"/>
              <w:bottom w:val="single" w:sz="4" w:space="0" w:color="auto"/>
              <w:right w:val="single" w:sz="4" w:space="0" w:color="auto"/>
            </w:tcBorders>
            <w:noWrap w:val="0"/>
            <w:vAlign w:val="center"/>
          </w:tcPr>
          <w:p w14:paraId="0BE6009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序号</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46FA09F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姓 名</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76B861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技术</w:t>
            </w:r>
          </w:p>
          <w:p w14:paraId="40F9E2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职称</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291338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人员</w:t>
            </w:r>
          </w:p>
          <w:p w14:paraId="05E284E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级别</w:t>
            </w:r>
          </w:p>
        </w:tc>
        <w:tc>
          <w:tcPr>
            <w:tcW w:w="1291" w:type="dxa"/>
            <w:tcBorders>
              <w:top w:val="single" w:sz="4" w:space="0" w:color="auto"/>
              <w:left w:val="single" w:sz="4" w:space="0" w:color="auto"/>
              <w:bottom w:val="single" w:sz="4" w:space="0" w:color="auto"/>
              <w:right w:val="single" w:sz="4" w:space="0" w:color="auto"/>
            </w:tcBorders>
            <w:noWrap w:val="0"/>
            <w:vAlign w:val="center"/>
          </w:tcPr>
          <w:p w14:paraId="5F4760F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相关工作经验年限</w:t>
            </w:r>
          </w:p>
        </w:tc>
        <w:tc>
          <w:tcPr>
            <w:tcW w:w="1400" w:type="dxa"/>
            <w:tcBorders>
              <w:top w:val="single" w:sz="4" w:space="0" w:color="auto"/>
              <w:left w:val="single" w:sz="4" w:space="0" w:color="auto"/>
              <w:bottom w:val="single" w:sz="4" w:space="0" w:color="auto"/>
              <w:right w:val="single" w:sz="4" w:space="0" w:color="auto"/>
            </w:tcBorders>
            <w:noWrap w:val="0"/>
            <w:vAlign w:val="center"/>
          </w:tcPr>
          <w:p w14:paraId="72F67F2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本项目中担任职务</w:t>
            </w:r>
          </w:p>
        </w:tc>
        <w:tc>
          <w:tcPr>
            <w:tcW w:w="1188" w:type="dxa"/>
            <w:tcBorders>
              <w:top w:val="single" w:sz="4" w:space="0" w:color="auto"/>
              <w:left w:val="single" w:sz="4" w:space="0" w:color="auto"/>
              <w:bottom w:val="single" w:sz="4" w:space="0" w:color="auto"/>
              <w:right w:val="single" w:sz="4" w:space="0" w:color="auto"/>
            </w:tcBorders>
            <w:noWrap w:val="0"/>
            <w:vAlign w:val="center"/>
          </w:tcPr>
          <w:p w14:paraId="0BE2D63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认证情况</w:t>
            </w:r>
          </w:p>
        </w:tc>
        <w:tc>
          <w:tcPr>
            <w:tcW w:w="750" w:type="dxa"/>
            <w:tcBorders>
              <w:top w:val="single" w:sz="4" w:space="0" w:color="auto"/>
              <w:left w:val="single" w:sz="4" w:space="0" w:color="auto"/>
              <w:bottom w:val="single" w:sz="4" w:space="0" w:color="auto"/>
              <w:right w:val="single" w:sz="4" w:space="0" w:color="auto"/>
            </w:tcBorders>
            <w:noWrap w:val="0"/>
            <w:vAlign w:val="center"/>
          </w:tcPr>
          <w:p w14:paraId="1EBD314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是否驻场</w:t>
            </w:r>
          </w:p>
        </w:tc>
        <w:tc>
          <w:tcPr>
            <w:tcW w:w="821" w:type="dxa"/>
            <w:tcBorders>
              <w:top w:val="single" w:sz="4" w:space="0" w:color="auto"/>
              <w:left w:val="single" w:sz="4" w:space="0" w:color="auto"/>
              <w:bottom w:val="single" w:sz="4" w:space="0" w:color="auto"/>
              <w:right w:val="single" w:sz="4" w:space="0" w:color="auto"/>
            </w:tcBorders>
            <w:noWrap w:val="0"/>
            <w:vAlign w:val="center"/>
          </w:tcPr>
          <w:p w14:paraId="1ECFB75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是否专职</w:t>
            </w:r>
          </w:p>
        </w:tc>
      </w:tr>
      <w:tr w14:paraId="7100FB64">
        <w:tblPrEx>
          <w:tblW w:w="0" w:type="auto"/>
          <w:tblInd w:w="-383" w:type="dxa"/>
          <w:tblLayout w:type="fixed"/>
          <w:tblCellMar>
            <w:top w:w="0" w:type="dxa"/>
            <w:left w:w="108" w:type="dxa"/>
            <w:bottom w:w="0" w:type="dxa"/>
            <w:right w:w="108" w:type="dxa"/>
          </w:tblCellMar>
        </w:tblPrEx>
        <w:trPr>
          <w:trHeight w:val="90"/>
        </w:trPr>
        <w:tc>
          <w:tcPr>
            <w:tcW w:w="800" w:type="dxa"/>
            <w:tcBorders>
              <w:top w:val="single" w:sz="4" w:space="0" w:color="auto"/>
              <w:left w:val="single" w:sz="4" w:space="0" w:color="auto"/>
              <w:bottom w:val="single" w:sz="4" w:space="0" w:color="auto"/>
              <w:right w:val="single" w:sz="4" w:space="0" w:color="auto"/>
            </w:tcBorders>
            <w:noWrap w:val="0"/>
            <w:vAlign w:val="center"/>
          </w:tcPr>
          <w:p w14:paraId="777E482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sz w:val="24"/>
                <w:highlight w:val="none"/>
              </w:rPr>
              <w:t>1</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3B1AB0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B9AC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31FF9CC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3EE157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262F228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7968213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62D2C2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5AA79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03CE8515">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9AA27D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sz w:val="24"/>
                <w:highlight w:val="none"/>
              </w:rPr>
              <w:t>2</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5499A1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76362D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6F1714D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708CAE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649EAFA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62BDF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543B488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02F2B0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34B5AE1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D31385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val="en-US" w:eastAsia="zh-CN"/>
              </w:rPr>
              <w:t>3</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707FEE6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F3B3E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69EEB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031251C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068CC21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1978B1A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7B45E7A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64D5430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5955E0F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172A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highlight w:val="none"/>
              </w:rPr>
              <w:t>……</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0A5460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0F6A4F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2FCF861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14C2C6F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397CDA2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270E201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3C8D807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355A0E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bl>
    <w:p w14:paraId="460D0D84">
      <w:pPr>
        <w:pStyle w:val="NormalIndent1"/>
        <w:spacing w:before="0" w:beforeAutospacing="0" w:after="0" w:afterAutospacing="0"/>
        <w:rPr>
          <w:rFonts w:ascii="宋体" w:hAnsi="宋体" w:cs="宋体" w:hint="eastAsia"/>
          <w:b/>
          <w:bCs/>
          <w:color w:val="auto"/>
          <w:sz w:val="36"/>
          <w:szCs w:val="36"/>
        </w:rPr>
      </w:pPr>
    </w:p>
    <w:p w14:paraId="27F00BC3">
      <w:pPr>
        <w:keepNext w:val="0"/>
        <w:keepLines w:val="0"/>
        <w:pageBreakBefore w:val="0"/>
        <w:widowControl w:val="0"/>
        <w:kinsoku/>
        <w:wordWrap/>
        <w:overflowPunct/>
        <w:bidi w:val="0"/>
        <w:adjustRightInd/>
        <w:snapToGrid/>
        <w:spacing w:before="0" w:beforeAutospacing="0" w:after="0" w:afterAutospacing="0" w:line="240" w:lineRule="auto"/>
        <w:textAlignment w:val="auto"/>
        <w:rPr>
          <w:rFonts w:ascii="宋体" w:hAnsi="宋体" w:cs="宋体"/>
          <w:color w:val="auto"/>
          <w:szCs w:val="21"/>
        </w:rPr>
      </w:pPr>
      <w:r>
        <w:rPr>
          <w:rFonts w:ascii="宋体" w:hAnsi="宋体" w:cs="宋体"/>
          <w:color w:val="auto"/>
        </w:rPr>
        <w:t>特别说明：</w:t>
      </w:r>
    </w:p>
    <w:p w14:paraId="6163CF53">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ind w:firstLine="420" w:firstLineChars="200"/>
        <w:jc w:val="left"/>
        <w:textAlignment w:val="auto"/>
        <w:rPr>
          <w:rFonts w:ascii="宋体" w:hAnsi="宋体" w:cs="宋体"/>
          <w:color w:val="auto"/>
          <w:szCs w:val="21"/>
          <w:shd w:val="clear" w:color="auto" w:fill="FFFF00"/>
        </w:rPr>
      </w:pPr>
      <w:r>
        <w:rPr>
          <w:rFonts w:ascii="宋体" w:hAnsi="宋体" w:cs="宋体" w:hint="eastAsia"/>
          <w:color w:val="auto"/>
          <w:szCs w:val="21"/>
        </w:rPr>
        <w:t>投标人须按照上述格式填写投入本项目所有人员的相关信息。</w:t>
      </w:r>
    </w:p>
    <w:p w14:paraId="37977B79">
      <w:pPr>
        <w:spacing w:before="0" w:beforeAutospacing="0" w:after="0" w:afterAutospacing="0"/>
        <w:rPr>
          <w:rFonts w:hint="eastAsia"/>
        </w:rPr>
      </w:pPr>
    </w:p>
    <w:p w14:paraId="5CA0A5E0">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br w:type="page"/>
      </w:r>
      <w:r>
        <w:rPr>
          <w:rFonts w:ascii="宋体" w:hAnsi="宋体" w:cs="宋体" w:hint="eastAsia"/>
          <w:b/>
          <w:bCs/>
          <w:color w:val="auto"/>
          <w:sz w:val="36"/>
          <w:szCs w:val="36"/>
        </w:rPr>
        <w:t xml:space="preserve">格式11 </w:t>
      </w:r>
      <w:r>
        <w:rPr>
          <w:rFonts w:ascii="宋体" w:hAnsi="宋体" w:cs="宋体" w:hint="eastAsia"/>
          <w:b/>
          <w:bCs/>
          <w:color w:val="auto"/>
          <w:sz w:val="36"/>
          <w:szCs w:val="36"/>
        </w:rPr>
        <w:t>技术人员简历表</w:t>
      </w:r>
    </w:p>
    <w:tbl>
      <w:tblPr>
        <w:tblStyle w:val="TableNorm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63"/>
        <w:gridCol w:w="1714"/>
        <w:gridCol w:w="1506"/>
        <w:gridCol w:w="1385"/>
        <w:gridCol w:w="1615"/>
        <w:gridCol w:w="1445"/>
      </w:tblGrid>
      <w:tr w14:paraId="2F17D504">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0D92B9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姓   名</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4B68CBC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5F9CAE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性    别</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052B44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3C31E6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出生日期</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EA690D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78F3C35E">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5A7F20E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学   历</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6BFF961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63C0A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毕业学校</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4CE7A45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49BD272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技术职称</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028B46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0AF0253">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2DC9A96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公司职务</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254F478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74FCBDB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任职时间</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843FA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7DDC09C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本项目任职</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61DBC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64659459">
        <w:tblPrEx>
          <w:tblW w:w="0" w:type="auto"/>
          <w:tblInd w:w="0" w:type="dxa"/>
          <w:tblLayout w:type="fixed"/>
          <w:tblCellMar>
            <w:top w:w="0" w:type="dxa"/>
            <w:left w:w="108" w:type="dxa"/>
            <w:bottom w:w="0" w:type="dxa"/>
            <w:right w:w="108" w:type="dxa"/>
          </w:tblCellMar>
        </w:tblPrEx>
        <w:trPr>
          <w:trHeight w:val="463"/>
        </w:trPr>
        <w:tc>
          <w:tcPr>
            <w:tcW w:w="1263" w:type="dxa"/>
            <w:tcBorders>
              <w:top w:val="single" w:sz="4" w:space="0" w:color="auto"/>
              <w:left w:val="single" w:sz="4" w:space="0" w:color="auto"/>
              <w:bottom w:val="single" w:sz="4" w:space="0" w:color="auto"/>
              <w:right w:val="single" w:sz="4" w:space="0" w:color="auto"/>
            </w:tcBorders>
            <w:noWrap w:val="0"/>
            <w:vAlign w:val="center"/>
          </w:tcPr>
          <w:p w14:paraId="43603C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eastAsia="zh-CN"/>
              </w:rPr>
              <w:t>人员级别</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1064E7E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3CD841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eastAsia="zh-CN"/>
              </w:rPr>
              <w:t>认证证书</w:t>
            </w:r>
          </w:p>
        </w:tc>
        <w:tc>
          <w:tcPr>
            <w:tcW w:w="4445" w:type="dxa"/>
            <w:gridSpan w:val="3"/>
            <w:tcBorders>
              <w:top w:val="single" w:sz="4" w:space="0" w:color="auto"/>
              <w:left w:val="single" w:sz="4" w:space="0" w:color="auto"/>
              <w:bottom w:val="single" w:sz="4" w:space="0" w:color="auto"/>
              <w:right w:val="single" w:sz="4" w:space="0" w:color="auto"/>
            </w:tcBorders>
            <w:noWrap w:val="0"/>
            <w:vAlign w:val="center"/>
          </w:tcPr>
          <w:p w14:paraId="2F8F54C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A6CBA77">
        <w:tblPrEx>
          <w:tblW w:w="0" w:type="auto"/>
          <w:tblInd w:w="0" w:type="dxa"/>
          <w:tblLayout w:type="fixed"/>
          <w:tblCellMar>
            <w:top w:w="0" w:type="dxa"/>
            <w:left w:w="108" w:type="dxa"/>
            <w:bottom w:w="0" w:type="dxa"/>
            <w:right w:w="108" w:type="dxa"/>
          </w:tblCellMar>
        </w:tblPrEx>
        <w:trPr>
          <w:trHeight w:val="5944"/>
        </w:trPr>
        <w:tc>
          <w:tcPr>
            <w:tcW w:w="8928" w:type="dxa"/>
            <w:gridSpan w:val="6"/>
            <w:tcBorders>
              <w:top w:val="single" w:sz="4" w:space="0" w:color="auto"/>
              <w:left w:val="single" w:sz="4" w:space="0" w:color="auto"/>
              <w:bottom w:val="single" w:sz="4" w:space="0" w:color="auto"/>
              <w:right w:val="single" w:sz="4" w:space="0" w:color="auto"/>
            </w:tcBorders>
            <w:noWrap w:val="0"/>
            <w:vAlign w:val="top"/>
          </w:tcPr>
          <w:p w14:paraId="1250D43F">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ascii="宋体" w:hAnsi="宋体" w:cs="宋体" w:hint="eastAsia"/>
                <w:color w:val="auto"/>
                <w:highlight w:val="none"/>
              </w:rPr>
            </w:pPr>
            <w:r>
              <w:rPr>
                <w:rFonts w:ascii="宋体" w:hAnsi="宋体" w:cs="宋体" w:hint="eastAsia"/>
                <w:color w:val="auto"/>
                <w:highlight w:val="none"/>
              </w:rPr>
              <w:t>工作简历及主要业绩</w:t>
            </w:r>
          </w:p>
          <w:p w14:paraId="7A02EFE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ascii="宋体" w:hAnsi="宋体" w:cs="宋体" w:hint="eastAsia"/>
                <w:color w:val="auto"/>
                <w:highlight w:val="none"/>
              </w:rPr>
            </w:pPr>
          </w:p>
        </w:tc>
      </w:tr>
    </w:tbl>
    <w:p w14:paraId="7A92539A">
      <w:pPr>
        <w:topLinePunct/>
        <w:autoSpaceDE w:val="0"/>
        <w:autoSpaceDN w:val="0"/>
        <w:spacing w:before="0" w:beforeAutospacing="0" w:after="0" w:afterAutospacing="0" w:line="460" w:lineRule="exact"/>
        <w:rPr>
          <w:rFonts w:ascii="宋体" w:hAnsi="宋体" w:cs="宋体" w:hint="eastAsia"/>
          <w:color w:val="auto"/>
          <w:szCs w:val="21"/>
        </w:rPr>
      </w:pPr>
    </w:p>
    <w:p w14:paraId="2F3F5709">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color w:val="auto"/>
          <w:szCs w:val="21"/>
        </w:rPr>
      </w:pPr>
    </w:p>
    <w:p w14:paraId="22744AD7">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color w:val="auto"/>
          <w:szCs w:val="21"/>
          <w:highlight w:val="none"/>
        </w:rPr>
      </w:pPr>
      <w:r>
        <w:rPr>
          <w:rFonts w:ascii="宋体" w:hAnsi="宋体" w:cs="宋体" w:hint="eastAsia"/>
          <w:color w:val="auto"/>
          <w:szCs w:val="21"/>
          <w:highlight w:val="none"/>
        </w:rPr>
        <w:t>特别说明：</w:t>
      </w:r>
    </w:p>
    <w:p w14:paraId="793C525A">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ind w:firstLine="420" w:firstLineChars="200"/>
        <w:textAlignment w:val="auto"/>
        <w:rPr>
          <w:rFonts w:ascii="宋体" w:hAnsi="宋体" w:cs="宋体" w:hint="eastAsia"/>
          <w:szCs w:val="21"/>
        </w:rPr>
      </w:pPr>
      <w:r>
        <w:rPr>
          <w:rFonts w:ascii="宋体" w:hAnsi="宋体" w:cs="宋体" w:hint="eastAsia"/>
          <w:color w:val="auto"/>
          <w:szCs w:val="21"/>
          <w:highlight w:val="none"/>
          <w:lang w:val="en-US" w:eastAsia="zh-CN"/>
        </w:rPr>
        <w:t>1.</w:t>
      </w:r>
      <w:r>
        <w:rPr>
          <w:rFonts w:ascii="宋体" w:hAnsi="宋体" w:cs="宋体" w:hint="eastAsia"/>
          <w:color w:val="auto"/>
          <w:szCs w:val="21"/>
          <w:highlight w:val="none"/>
        </w:rPr>
        <w:t>投标人应提供投入本项目所有人员的简历。</w:t>
      </w:r>
      <w:r>
        <w:rPr>
          <w:rFonts w:ascii="宋体" w:hAnsi="宋体" w:cs="宋体" w:hint="default"/>
          <w:color w:val="auto"/>
          <w:szCs w:val="21"/>
          <w:highlight w:val="none"/>
        </w:rPr>
        <w:t xml:space="preserve">                                        </w:t>
      </w:r>
    </w:p>
    <w:p w14:paraId="64AEC081">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szCs w:val="21"/>
        </w:rPr>
      </w:pPr>
      <w:r>
        <w:rPr>
          <w:rFonts w:ascii="宋体" w:hAnsi="宋体" w:cs="宋体" w:hint="default"/>
          <w:color w:val="auto"/>
          <w:szCs w:val="21"/>
          <w:highlight w:val="none"/>
        </w:rPr>
        <w:t xml:space="preserve">    2.</w:t>
      </w:r>
      <w:r>
        <w:rPr>
          <w:rFonts w:ascii="宋体" w:eastAsia="宋体" w:hAnsi="宋体" w:cs="宋体" w:hint="eastAsia"/>
          <w:kern w:val="2"/>
          <w:sz w:val="21"/>
          <w:szCs w:val="21"/>
          <w:lang w:val="en-US" w:eastAsia="zh-CN" w:bidi="ar"/>
        </w:rPr>
        <w:t>如果有职称及认证证书要求的，需提供职称及认证证书复印件；如有管理或工作经验要求的，</w:t>
      </w:r>
      <w:r>
        <w:rPr>
          <w:rFonts w:ascii="宋体" w:eastAsia="宋体" w:hAnsi="宋体" w:cs="宋体" w:hint="eastAsia"/>
          <w:b w:val="0"/>
          <w:kern w:val="2"/>
          <w:sz w:val="21"/>
          <w:szCs w:val="21"/>
          <w:lang w:val="en-US" w:eastAsia="zh-CN" w:bidi="ar"/>
        </w:rPr>
        <w:t>需提供能证明该人员</w:t>
      </w:r>
      <w:r>
        <w:rPr>
          <w:rFonts w:ascii="宋体" w:hAnsi="宋体" w:cs="宋体" w:hint="eastAsia"/>
          <w:b w:val="0"/>
          <w:kern w:val="2"/>
          <w:sz w:val="21"/>
          <w:szCs w:val="21"/>
          <w:lang w:val="en-US" w:eastAsia="zh-CN" w:bidi="ar"/>
        </w:rPr>
        <w:t>管理或</w:t>
      </w:r>
      <w:r>
        <w:rPr>
          <w:rFonts w:ascii="宋体" w:eastAsia="宋体" w:hAnsi="宋体" w:cs="宋体" w:hint="eastAsia"/>
          <w:b w:val="0"/>
          <w:kern w:val="2"/>
          <w:sz w:val="21"/>
          <w:szCs w:val="21"/>
          <w:lang w:val="en-US" w:eastAsia="zh-CN" w:bidi="ar"/>
        </w:rPr>
        <w:t>工作经验的合同及对应的投标文件/响应文件复印件</w:t>
      </w:r>
      <w:r>
        <w:rPr>
          <w:rFonts w:ascii="宋体" w:hAnsi="宋体" w:cs="宋体" w:hint="eastAsia"/>
          <w:b w:val="0"/>
          <w:kern w:val="2"/>
          <w:sz w:val="21"/>
          <w:szCs w:val="21"/>
          <w:lang w:val="en-US" w:eastAsia="zh-CN" w:bidi="ar"/>
        </w:rPr>
        <w:t>，</w:t>
      </w:r>
      <w:r>
        <w:rPr>
          <w:rFonts w:ascii="宋体" w:eastAsia="宋体" w:hAnsi="宋体" w:cs="宋体" w:hint="eastAsia"/>
          <w:b w:val="0"/>
          <w:kern w:val="2"/>
          <w:sz w:val="21"/>
          <w:szCs w:val="21"/>
          <w:lang w:val="en-US" w:eastAsia="zh-CN" w:bidi="ar"/>
        </w:rPr>
        <w:t>或合同复印件及甲方开具的用户证明等相关材料</w:t>
      </w:r>
      <w:r>
        <w:rPr>
          <w:rFonts w:ascii="宋体" w:eastAsia="宋体" w:hAnsi="宋体" w:cs="宋体" w:hint="eastAsia"/>
          <w:kern w:val="2"/>
          <w:sz w:val="21"/>
          <w:szCs w:val="21"/>
          <w:lang w:val="en-US" w:eastAsia="zh-CN" w:bidi="ar"/>
        </w:rPr>
        <w:t>。</w:t>
      </w:r>
    </w:p>
    <w:p>
      <w:pPr>
        <w:spacing w:before="0" w:beforeAutospacing="0" w:after="0" w:afterAutospacing="0"/>
        <w:jc w:val="center"/>
        <w:rPr>
          <w:rFonts w:ascii="宋体" w:hAnsi="宋体" w:cs="宋体"/>
          <w:b/>
          <w:bCs/>
          <w:color w:val="auto"/>
          <w:sz w:val="36"/>
          <w:szCs w:val="36"/>
        </w:rPr>
      </w:pPr>
      <w:bookmarkEnd w:id="73"/>
    </w:p>
    <w:sectPr>
      <w:footerReference w:type="default" r:id="rId7"/>
      <w:footerReference w:type="first" r:id="rId8"/>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DejaVu Sans"/>
    <w:panose1 w:val="02020603050405020304"/>
    <w:charset w:val="CC"/>
    <w:family w:val="roman"/>
    <w:pitch w:val="variable"/>
    <w:sig w:usb0="E0002EFF" w:usb1="C000785B" w:usb2="00000009" w:usb3="00000000" w:csb0="400001FF" w:csb1="FFFF0000"/>
  </w:font>
  <w:font w:name="宋体">
    <w:altName w:val="方正书宋_GBK"/>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variable"/>
    <w:sig w:usb0="E0002EFF" w:usb1="C000785B"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variable"/>
    <w:sig w:usb0="00000000" w:usb1="00000000" w:usb2="00000000" w:usb3="00000000" w:csb0="80000000" w:csb1="00000000"/>
  </w:font>
  <w:font w:name="Calibri">
    <w:altName w:val="DejaVu Sans"/>
    <w:panose1 w:val="020F0502020204030204"/>
    <w:charset w:val="00"/>
    <w:family w:val="swiss"/>
    <w:pitch w:val="default"/>
    <w:sig w:usb0="E4002EFF" w:usb1="C000247B" w:usb2="00000009" w:usb3="00000000" w:csb0="200001FF" w:csb1="00000000"/>
  </w:font>
  <w:font w:name="Verdana">
    <w:altName w:val="DejaVu Sans"/>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gLiU_HKSCS">
    <w:altName w:val="PMingLiU-ExtB"/>
    <w:panose1 w:val="02020500000000000000"/>
    <w:charset w:val="00"/>
    <w:family w:val="roman"/>
    <w:pitch w:val="default"/>
    <w:sig w:usb0="00000000" w:usb1="00000000" w:usb2="00000016" w:usb3="00000000" w:csb0="00100001" w:csb1="00000000"/>
  </w:font>
  <w:font w:name="Liberation Sans">
    <w:altName w:val="思源宋体"/>
    <w:panose1 w:val="00000000000000000000"/>
    <w:charset w:val="00"/>
    <w:family w:val="swiss"/>
    <w:pitch w:val="default"/>
    <w:sig w:usb0="00000000" w:usb1="00000000" w:usb2="00000000" w:usb3="00000000" w:csb0="00040001" w:csb1="00000000"/>
  </w:font>
  <w:font w:name="Noto Sans CJK SC Regular">
    <w:altName w:val="Noto Sans CJK HK"/>
    <w:panose1 w:val="020B0500000000000000"/>
    <w:charset w:val="00"/>
    <w:family w:val="auto"/>
    <w:pitch w:val="default"/>
    <w:sig w:usb0="30000003" w:usb1="2BDF3C10" w:usb2="00000016" w:usb3="00000000" w:csb0="602E0107"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Wingdings 2">
    <w:altName w:val="Wingdings"/>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43CF7EA7"/>
  <w:p w14:paraId="651B3F8E"/>
  <w:p w14:paraId="5A1F47E3"/>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59D224B3"/>
  <w:p>
    <w:pPr>
      <w:jc w:val="center"/>
    </w:pPr>
    <w:r>
      <w:fldChar w:fldCharType="begin"/>
    </w:r>
    <w:r>
      <w:instrText xml:space="preserve"> PAGE </w:instrText>
    </w:r>
    <w:r>
      <w:fldChar w:fldCharType="separate"/>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382C7FBC"/>
  <w:p>
    <w:pPr>
      <w:jc w:val="center"/>
    </w:pPr>
    <w:r>
      <w:fldChar w:fldCharType="begin"/>
    </w:r>
    <w:r>
      <w:instrText xml:space="preserve"> PAGE </w:instrText>
    </w:r>
    <w:r>
      <w:fldChar w:fldCharType="separate"/>
    </w:r>
    <w:r>
      <w:t>45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77850D1C">
    <w:pPr>
      <w:pStyle w:val="Foo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xmlns:wps="http://schemas.microsoft.com/office/word/2010/wordprocessingShape">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Foote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26" o:spid="_x0000_s2049" type="#_x0000_t202" style="width:2in;height:2in;margin-top:0;margin-left:0;mso-height-relative:page;mso-position-horizontal:center;mso-position-horizontal-relative:margin;mso-width-relative:page;mso-wrap-style:none;position:absolute;z-index:251659264" coordsize="21600,21600" filled="f" stroked="f">
              <o:lock v:ext="edit" aspectratio="f"/>
              <v:textbox style="mso-fit-shape-to-text:t" inset="0,0,0,0">
                <w:txbxContent>
                  <w:p w14:paraId="3B009C78">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8D8DD8D8"/>
    <w:multiLevelType w:val="singleLevel"/>
    <w:tmpl w:val="8D8DD8D8"/>
    <w:lvl w:ilvl="0">
      <w:start w:val="8"/>
      <w:numFmt w:val="decimal"/>
      <w:suff w:val="space"/>
      <w:lvlText w:val="%1."/>
      <w:lvlJc w:val="left"/>
    </w:lvl>
  </w:abstractNum>
  <w:abstractNum w:abstractNumId="1">
    <w:nsid w:val="B99A5ED4"/>
    <w:multiLevelType w:val="singleLevel"/>
    <w:tmpl w:val="B99A5ED4"/>
    <w:lvl w:ilvl="0">
      <w:start w:val="1"/>
      <w:numFmt w:val="decimal"/>
      <w:lvlText w:val="%1."/>
      <w:lvlJc w:val="left"/>
      <w:pPr>
        <w:tabs>
          <w:tab w:val="left" w:pos="312"/>
        </w:tabs>
      </w:pPr>
    </w:lvl>
  </w:abstractNum>
  <w:abstractNum w:abstractNumId="2">
    <w:nsid w:val="E09C2330"/>
    <w:multiLevelType w:val="singleLevel"/>
    <w:tmpl w:val="E09C2330"/>
    <w:lvl w:ilvl="0">
      <w:start w:val="20"/>
      <w:numFmt w:val="decimal"/>
      <w:suff w:val="space"/>
      <w:lvlText w:val="%1."/>
      <w:lvlJc w:val="left"/>
    </w:lvl>
  </w:abstractNum>
  <w:abstractNum w:abstractNumId="3">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4">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nsid w:val="04F84C26"/>
    <w:multiLevelType w:val="singleLevel"/>
    <w:tmpl w:val="B99A5ED4"/>
    <w:lvl w:ilvl="0">
      <w:start w:val="1"/>
      <w:numFmt w:val="decimal"/>
      <w:lvlText w:val="%1."/>
      <w:lvlJc w:val="left"/>
      <w:pPr>
        <w:tabs>
          <w:tab w:val="left" w:pos="312"/>
        </w:tabs>
      </w:pPr>
    </w:lvl>
  </w:abstractNum>
  <w:abstractNum w:abstractNumId="8">
    <w:nsid w:val="0F5C89F1"/>
    <w:multiLevelType w:val="singleLevel"/>
    <w:tmpl w:val="8D8DD8D8"/>
    <w:lvl w:ilvl="0">
      <w:start w:val="8"/>
      <w:numFmt w:val="decimal"/>
      <w:suff w:val="space"/>
      <w:lvlText w:val="%1."/>
      <w:lvlJc w:val="left"/>
    </w:lvl>
  </w:abstractNum>
  <w:abstractNum w:abstractNumId="9">
    <w:nsid w:val="16165CA4"/>
    <w:multiLevelType w:val="singleLevel"/>
    <w:tmpl w:val="B99A5ED4"/>
    <w:lvl w:ilvl="0">
      <w:start w:val="1"/>
      <w:numFmt w:val="decimal"/>
      <w:lvlText w:val="%1."/>
      <w:lvlJc w:val="left"/>
      <w:pPr>
        <w:tabs>
          <w:tab w:val="left" w:pos="312"/>
        </w:tabs>
      </w:pPr>
    </w:lvl>
  </w:abstractNum>
  <w:abstractNum w:abstractNumId="10">
    <w:nsid w:val="162B3BD4"/>
    <w:multiLevelType w:val="singleLevel"/>
    <w:tmpl w:val="8D8DD8D8"/>
    <w:lvl w:ilvl="0">
      <w:start w:val="8"/>
      <w:numFmt w:val="decimal"/>
      <w:suff w:val="space"/>
      <w:lvlText w:val="%1."/>
      <w:lvlJc w:val="left"/>
    </w:lvl>
  </w:abstractNum>
  <w:abstractNum w:abstractNumId="11">
    <w:nsid w:val="175B900C"/>
    <w:multiLevelType w:val="singleLevel"/>
    <w:tmpl w:val="B99A5ED4"/>
    <w:lvl w:ilvl="0">
      <w:start w:val="1"/>
      <w:numFmt w:val="decimal"/>
      <w:lvlText w:val="%1."/>
      <w:lvlJc w:val="left"/>
      <w:pPr>
        <w:tabs>
          <w:tab w:val="left" w:pos="312"/>
        </w:tabs>
      </w:pPr>
    </w:lvl>
  </w:abstractNum>
  <w:abstractNum w:abstractNumId="12">
    <w:nsid w:val="1BC1BBB3"/>
    <w:multiLevelType w:val="singleLevel"/>
    <w:tmpl w:val="B99A5ED4"/>
    <w:lvl w:ilvl="0">
      <w:start w:val="1"/>
      <w:numFmt w:val="decimal"/>
      <w:lvlText w:val="%1."/>
      <w:lvlJc w:val="left"/>
      <w:pPr>
        <w:tabs>
          <w:tab w:val="left" w:pos="312"/>
        </w:tabs>
      </w:pPr>
    </w:lvl>
  </w:abstractNum>
  <w:abstractNum w:abstractNumId="13">
    <w:nsid w:val="2CAE64A1"/>
    <w:multiLevelType w:val="singleLevel"/>
    <w:tmpl w:val="8D8DD8D8"/>
    <w:lvl w:ilvl="0">
      <w:start w:val="8"/>
      <w:numFmt w:val="decimal"/>
      <w:suff w:val="space"/>
      <w:lvlText w:val="%1."/>
      <w:lvlJc w:val="left"/>
    </w:lvl>
  </w:abstractNum>
  <w:abstractNum w:abstractNumId="14">
    <w:nsid w:val="2F54DDAE"/>
    <w:multiLevelType w:val="singleLevel"/>
    <w:tmpl w:val="B99A5ED4"/>
    <w:lvl w:ilvl="0">
      <w:start w:val="1"/>
      <w:numFmt w:val="decimal"/>
      <w:lvlText w:val="%1."/>
      <w:lvlJc w:val="left"/>
      <w:pPr>
        <w:tabs>
          <w:tab w:val="left" w:pos="312"/>
        </w:tabs>
      </w:pPr>
    </w:lvl>
  </w:abstractNum>
  <w:abstractNum w:abstractNumId="15">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abstractNum w:abstractNumId="16">
    <w:nsid w:val="426F089D"/>
    <w:multiLevelType w:val="singleLevel"/>
    <w:tmpl w:val="8D8DD8D8"/>
    <w:lvl w:ilvl="0">
      <w:start w:val="8"/>
      <w:numFmt w:val="decimal"/>
      <w:suff w:val="space"/>
      <w:lvlText w:val="%1."/>
      <w:lvlJc w:val="left"/>
    </w:lvl>
  </w:abstractNum>
  <w:abstractNum w:abstractNumId="17">
    <w:nsid w:val="4A0AC17E"/>
    <w:multiLevelType w:val="singleLevel"/>
    <w:tmpl w:val="B99A5ED4"/>
    <w:lvl w:ilvl="0">
      <w:start w:val="1"/>
      <w:numFmt w:val="decimal"/>
      <w:lvlText w:val="%1."/>
      <w:lvlJc w:val="left"/>
      <w:pPr>
        <w:tabs>
          <w:tab w:val="left" w:pos="312"/>
        </w:tabs>
      </w:pPr>
    </w:lvl>
  </w:abstractNum>
  <w:abstractNum w:abstractNumId="18">
    <w:nsid w:val="4A5D583F"/>
    <w:multiLevelType w:val="singleLevel"/>
    <w:tmpl w:val="8D8DD8D8"/>
    <w:lvl w:ilvl="0">
      <w:start w:val="8"/>
      <w:numFmt w:val="decimal"/>
      <w:suff w:val="space"/>
      <w:lvlText w:val="%1."/>
      <w:lvlJc w:val="left"/>
    </w:lvl>
  </w:abstractNum>
  <w:abstractNum w:abstractNumId="19">
    <w:nsid w:val="4ED88647"/>
    <w:multiLevelType w:val="singleLevel"/>
    <w:tmpl w:val="8D8DD8D8"/>
    <w:lvl w:ilvl="0">
      <w:start w:val="8"/>
      <w:numFmt w:val="decimal"/>
      <w:suff w:val="space"/>
      <w:lvlText w:val="%1."/>
      <w:lvlJc w:val="left"/>
    </w:lvl>
  </w:abstractNum>
  <w:abstractNum w:abstractNumId="20">
    <w:nsid w:val="5FDE1859"/>
    <w:multiLevelType w:val="singleLevel"/>
    <w:tmpl w:val="8D8DD8D8"/>
    <w:lvl w:ilvl="0">
      <w:start w:val="8"/>
      <w:numFmt w:val="decimal"/>
      <w:suff w:val="space"/>
      <w:lvlText w:val="%1."/>
      <w:lvlJc w:val="left"/>
    </w:lvl>
  </w:abstractNum>
  <w:abstractNum w:abstractNumId="21">
    <w:nsid w:val="6F573F2E"/>
    <w:multiLevelType w:val="singleLevel"/>
    <w:tmpl w:val="8D8DD8D8"/>
    <w:lvl w:ilvl="0">
      <w:start w:val="8"/>
      <w:numFmt w:val="decimal"/>
      <w:suff w:val="space"/>
      <w:lvlText w:val="%1."/>
      <w:lvlJc w:val="left"/>
    </w:lvl>
  </w:abstractNum>
  <w:abstractNum w:abstractNumId="22">
    <w:nsid w:val="70E27D93"/>
    <w:multiLevelType w:val="singleLevel"/>
    <w:tmpl w:val="B99A5ED4"/>
    <w:lvl w:ilvl="0">
      <w:start w:val="1"/>
      <w:numFmt w:val="decimal"/>
      <w:lvlText w:val="%1."/>
      <w:lvlJc w:val="left"/>
      <w:pPr>
        <w:tabs>
          <w:tab w:val="left" w:pos="312"/>
        </w:tabs>
      </w:pPr>
    </w:lvl>
  </w:abstractNum>
  <w:abstractNum w:abstractNumId="23">
    <w:nsid w:val="743D12B4"/>
    <w:multiLevelType w:val="singleLevel"/>
    <w:tmpl w:val="B99A5ED4"/>
    <w:lvl w:ilvl="0">
      <w:start w:val="1"/>
      <w:numFmt w:val="decimal"/>
      <w:lvlText w:val="%1."/>
      <w:lvlJc w:val="left"/>
      <w:pPr>
        <w:tabs>
          <w:tab w:val="left" w:pos="312"/>
        </w:tabs>
      </w:pPr>
    </w:lvl>
  </w:abstractNum>
  <w:num w:numId="1">
    <w:abstractNumId w:val="6"/>
  </w:num>
  <w:num w:numId="2">
    <w:abstractNumId w:val="3"/>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5"/>
  </w:num>
  <w:num w:numId="6">
    <w:abstractNumId w:val="1"/>
  </w:num>
  <w:num w:numId="7">
    <w:abstractNumId w:val="0"/>
  </w:num>
  <w:num w:numId="8">
    <w:abstractNumId w:val="2"/>
  </w:num>
  <w:num w:numId="9">
    <w:abstractNumId w:val="17"/>
  </w:num>
  <w:num w:numId="10">
    <w:abstractNumId w:val="18"/>
  </w:num>
  <w:num w:numId="11">
    <w:abstractNumId w:val="14"/>
  </w:num>
  <w:num w:numId="12">
    <w:abstractNumId w:val="10"/>
  </w:num>
  <w:num w:numId="13">
    <w:abstractNumId w:val="23"/>
  </w:num>
  <w:num w:numId="14">
    <w:abstractNumId w:val="16"/>
  </w:num>
  <w:num w:numId="15">
    <w:abstractNumId w:val="11"/>
  </w:num>
  <w:num w:numId="16">
    <w:abstractNumId w:val="13"/>
  </w:num>
  <w:num w:numId="17">
    <w:abstractNumId w:val="7"/>
  </w:num>
  <w:num w:numId="18">
    <w:abstractNumId w:val="8"/>
  </w:num>
  <w:num w:numId="19">
    <w:abstractNumId w:val="22"/>
  </w:num>
  <w:num w:numId="20">
    <w:abstractNumId w:val="20"/>
  </w:num>
  <w:num w:numId="21">
    <w:abstractNumId w:val="12"/>
  </w:num>
  <w:num w:numId="22">
    <w:abstractNumId w:val="19"/>
  </w:num>
  <w:num w:numId="23">
    <w:abstractNumId w:val="9"/>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420"/>
  <w:drawingGridVerticalSpacing w:val="156"/>
  <w:doNotShadeFormData/>
  <w:noPunctuationKerning/>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w:docVars>
    <w:docVar w:name="commondata" w:val="eyJoZGlkIjoiMzk3NGY3YjE1ODRiZWMwNDJmMTBmZmVkMjZiMWE2NjIifQ=="/>
  </w:docVar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en-US" w:bidi="ar-SA"/>
      </w:rPr>
    </w:rPrDefault>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semiHidden="0" w:uiPriority="0" w:unhideWhenUsed="0"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semiHidden="0" w:uiPriority="0" w:unhideWhenUsed="0" w:qFormat="1"/>
    <w:lsdException w:name="annotation subject" w:semiHidden="0" w:uiPriority="0" w:unhideWhenUsed="0"/>
    <w:lsdException w:name="Table Simple 1" w:semiHidden="0" w:uiPriority="0" w:unhideWhenUsed="0"/>
    <w:lsdException w:name="Table Simple 2" w:semiHidden="0" w:uiPriority="0" w:unhideWhenUsed="0"/>
    <w:lsdException w:name="Table Simple 3" w:semiHidden="0" w:uiPriority="0" w:unhideWhenUsed="0"/>
    <w:lsdException w:name="Table Classic 1" w:semiHidden="0" w:uiPriority="0" w:unhideWhenUsed="0"/>
    <w:lsdException w:name="Table Classic 2" w:semiHidden="0" w:uiPriority="0" w:unhideWhenUsed="0"/>
    <w:lsdException w:name="Table Classic 3" w:semiHidden="0" w:uiPriority="0" w:unhideWhenUsed="0"/>
    <w:lsdException w:name="Table Classic 4" w:semiHidden="0" w:uiPriority="0" w:unhideWhenUsed="0"/>
    <w:lsdException w:name="Table Colorful 1" w:semiHidden="0" w:uiPriority="0" w:unhideWhenUsed="0"/>
    <w:lsdException w:name="Table Colorful 2" w:semiHidden="0" w:uiPriority="0" w:unhideWhenUsed="0"/>
    <w:lsdException w:name="Table Colorful 3" w:semiHidden="0" w:uiPriority="0" w:unhideWhenUsed="0"/>
    <w:lsdException w:name="Table Columns 1" w:semiHidden="0" w:uiPriority="0" w:unhideWhenUsed="0"/>
    <w:lsdException w:name="Table Columns 2" w:semiHidden="0" w:uiPriority="0" w:unhideWhenUsed="0"/>
    <w:lsdException w:name="Table Columns 3" w:semiHidden="0" w:uiPriority="0" w:unhideWhenUsed="0"/>
    <w:lsdException w:name="Table Columns 4" w:semiHidden="0" w:uiPriority="0" w:unhideWhenUsed="0"/>
    <w:lsdException w:name="Table Columns 5" w:semiHidden="0" w:uiPriority="0" w:unhideWhenUsed="0"/>
    <w:lsdException w:name="Table Grid 1" w:semiHidden="0" w:uiPriority="0" w:unhideWhenUsed="0"/>
    <w:lsdException w:name="Table Grid 2" w:semiHidden="0" w:uiPriority="0" w:unhideWhenUsed="0"/>
    <w:lsdException w:name="Table Grid 3" w:semiHidden="0" w:uiPriority="0" w:unhideWhenUsed="0"/>
    <w:lsdException w:name="Table Grid 4" w:semiHidden="0" w:uiPriority="0" w:unhideWhenUsed="0"/>
    <w:lsdException w:name="Table Grid 5" w:semiHidden="0" w:uiPriority="0" w:unhideWhenUsed="0"/>
    <w:lsdException w:name="Table Grid 6" w:semiHidden="0" w:uiPriority="0" w:unhideWhenUsed="0"/>
    <w:lsdException w:name="Table Grid 7" w:semiHidden="0" w:uiPriority="0" w:unhideWhenUsed="0"/>
    <w:lsdException w:name="Table Grid 8" w:semiHidden="0" w:uiPriority="0" w:unhideWhenUsed="0"/>
    <w:lsdException w:name="Table List 1" w:semiHidden="0" w:uiPriority="0" w:unhideWhenUsed="0"/>
    <w:lsdException w:name="Table List 2" w:semiHidden="0" w:uiPriority="0" w:unhideWhenUsed="0"/>
    <w:lsdException w:name="Table List 3" w:semiHidden="0" w:uiPriority="0" w:unhideWhenUsed="0"/>
    <w:lsdException w:name="Table List 4" w:semiHidden="0" w:uiPriority="0" w:unhideWhenUsed="0"/>
    <w:lsdException w:name="Table List 5" w:semiHidden="0" w:uiPriority="0" w:unhideWhenUsed="0"/>
    <w:lsdException w:name="Table List 6" w:semiHidden="0" w:uiPriority="0" w:unhideWhenUsed="0"/>
    <w:lsdException w:name="Table List 7" w:semiHidden="0" w:uiPriority="0" w:unhideWhenUsed="0"/>
    <w:lsdException w:name="Table List 8" w:semiHidden="0" w:uiPriority="0" w:unhideWhenUsed="0"/>
    <w:lsdException w:name="Table 3D effects 1" w:semiHidden="0" w:uiPriority="0" w:unhideWhenUsed="0"/>
    <w:lsdException w:name="Table 3D effects 2" w:semiHidden="0" w:uiPriority="0" w:unhideWhenUsed="0"/>
    <w:lsdException w:name="Table 3D effects 3" w:semiHidden="0" w:uiPriority="0" w:unhideWhenUsed="0"/>
    <w:lsdException w:name="Table Contemporary" w:semiHidden="0" w:uiPriority="0" w:unhideWhenUsed="0"/>
    <w:lsdException w:name="Table Elegant" w:semiHidden="0" w:uiPriority="0" w:unhideWhenUsed="0"/>
    <w:lsdException w:name="Table Professional" w:semiHidden="0" w:uiPriority="0" w:unhideWhenUsed="0"/>
    <w:lsdException w:name="Table Subtle 1" w:semiHidden="0" w:uiPriority="0" w:unhideWhenUsed="0"/>
    <w:lsdException w:name="Table Subtle 2" w:semiHidden="0" w:uiPriority="0" w:unhideWhenUsed="0"/>
    <w:lsdException w:name="Table Web 1" w:semiHidden="0" w:uiPriority="0" w:unhideWhenUsed="0"/>
    <w:lsdException w:name="Table Web 2" w:semiHidden="0" w:uiPriority="0" w:unhideWhenUsed="0"/>
    <w:lsdException w:name="Table Web 3" w:semiHidden="0" w:uiPriority="0" w:unhideWhenUsed="0"/>
    <w:lsdException w:name="Balloon Text" w:semiHidden="0" w:uiPriority="0" w:unhideWhenUsed="0" w:qFormat="1"/>
    <w:lsdException w:name="Table Grid" w:semiHidden="0" w:uiPriority="0" w:unhideWhenUsed="0"/>
    <w:lsdException w:name="Table Theme"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NormalIndent1"/>
    <w:autoRedefine/>
    <w:qFormat/>
    <w:pPr>
      <w:widowControl w:val="0"/>
      <w:spacing w:after="160" w:line="259" w:lineRule="auto"/>
      <w:jc w:val="both"/>
    </w:pPr>
    <w:rPr>
      <w:rFonts w:ascii="Times New Roman" w:eastAsia="宋体" w:hAnsi="Times New Roman" w:cs="Times New Roman"/>
      <w:kern w:val="2"/>
      <w:sz w:val="21"/>
      <w:szCs w:val="24"/>
      <w:lang w:val="en-US" w:eastAsia="zh-CN" w:bidi="ar-SA"/>
    </w:rPr>
  </w:style>
  <w:style w:type="paragraph" w:styleId="Heading1">
    <w:name w:val="heading 1"/>
    <w:basedOn w:val="Normal"/>
    <w:next w:val="Normal"/>
    <w:link w:val="1Char"/>
    <w:qFormat/>
    <w:pPr>
      <w:keepNext/>
      <w:keepLines/>
      <w:widowControl w:val="0"/>
      <w:spacing w:before="340" w:after="330" w:line="576" w:lineRule="auto"/>
      <w:ind w:left="0" w:right="0"/>
      <w:jc w:val="both"/>
      <w:outlineLvl w:val="0"/>
    </w:pPr>
    <w:rPr>
      <w:rFonts w:ascii="Times New Roman" w:eastAsia="宋体" w:hAnsi="Times New Roman" w:cs="Times New Roman"/>
      <w:b/>
      <w:bCs/>
      <w:kern w:val="44"/>
      <w:sz w:val="44"/>
      <w:szCs w:val="44"/>
      <w:lang w:val="en-US" w:eastAsia="zh-CN" w:bidi="ar-SA"/>
    </w:rPr>
  </w:style>
  <w:style w:type="paragraph" w:styleId="Heading2">
    <w:name w:val="heading 2"/>
    <w:basedOn w:val="Heading1"/>
    <w:next w:val="Heading3"/>
    <w:link w:val="2Char1"/>
    <w:qFormat/>
    <w:pPr>
      <w:keepNext/>
      <w:keepLines/>
      <w:widowControl w:val="0"/>
      <w:numPr>
        <w:ilvl w:val="1"/>
        <w:numId w:val="1"/>
      </w:numPr>
      <w:tabs>
        <w:tab w:val="left" w:pos="2400"/>
      </w:tabs>
      <w:spacing w:before="260" w:afterLines="50" w:line="416" w:lineRule="auto"/>
      <w:jc w:val="both"/>
      <w:outlineLvl w:val="1"/>
    </w:pPr>
    <w:rPr>
      <w:rFonts w:ascii="Arial" w:eastAsia="黑体" w:hAnsi="Arial" w:cs="Calibri"/>
      <w:sz w:val="32"/>
      <w:szCs w:val="32"/>
      <w:lang w:val="en-US" w:eastAsia="zh-CN" w:bidi="ar-SA"/>
    </w:rPr>
  </w:style>
  <w:style w:type="paragraph" w:styleId="Heading3">
    <w:name w:val="heading 3"/>
    <w:basedOn w:val="Normal"/>
    <w:next w:val="Normal"/>
    <w:link w:val="3Char"/>
    <w:autoRedefine/>
    <w:qFormat/>
    <w:pPr>
      <w:keepNext/>
      <w:keepLines/>
      <w:tabs>
        <w:tab w:val="left" w:pos="0"/>
      </w:tabs>
      <w:spacing w:before="260" w:after="260" w:line="415" w:lineRule="auto"/>
      <w:outlineLvl w:val="2"/>
    </w:pPr>
    <w:rPr>
      <w:rFonts w:ascii="Times New Roman" w:eastAsia="宋体" w:hAnsi="Times New Roman" w:cs="Times New Roman"/>
      <w:b/>
      <w:sz w:val="32"/>
      <w:szCs w:val="32"/>
    </w:rPr>
  </w:style>
  <w:style w:type="paragraph" w:styleId="Heading4">
    <w:name w:val="heading 4"/>
    <w:basedOn w:val="Normal"/>
    <w:next w:val="Normal"/>
    <w:link w:val="4Char"/>
    <w:autoRedefine/>
    <w:qFormat/>
    <w:pPr>
      <w:keepNext/>
      <w:autoSpaceDE w:val="0"/>
      <w:autoSpaceDN w:val="0"/>
      <w:adjustRightInd w:val="0"/>
      <w:jc w:val="left"/>
      <w:outlineLvl w:val="3"/>
    </w:pPr>
    <w:rPr>
      <w:rFonts w:ascii="宋体" w:eastAsia="宋体" w:hAnsi="宋体" w:cs="Times New Roman"/>
      <w:color w:val="0000FF"/>
      <w:kern w:val="0"/>
      <w:sz w:val="28"/>
      <w:szCs w:val="20"/>
    </w:rPr>
  </w:style>
  <w:style w:type="paragraph" w:styleId="Heading5">
    <w:name w:val="heading 5"/>
    <w:basedOn w:val="Normal"/>
    <w:next w:val="Normal"/>
    <w:link w:val="5Char"/>
    <w:autoRedefine/>
    <w:qFormat/>
    <w:pPr>
      <w:keepNext/>
      <w:keepLines/>
      <w:tabs>
        <w:tab w:val="left" w:pos="1008"/>
      </w:tabs>
      <w:spacing w:before="280" w:after="290" w:line="374" w:lineRule="auto"/>
      <w:ind w:left="1008" w:hanging="1008"/>
      <w:outlineLvl w:val="4"/>
    </w:pPr>
    <w:rPr>
      <w:rFonts w:ascii="Verdana" w:eastAsia="宋体" w:hAnsi="Verdana" w:cs="Times New Roman"/>
      <w:b/>
      <w:bCs/>
      <w:sz w:val="28"/>
      <w:szCs w:val="28"/>
    </w:rPr>
  </w:style>
  <w:style w:type="paragraph" w:styleId="Heading6">
    <w:name w:val="heading 6"/>
    <w:basedOn w:val="Normal"/>
    <w:next w:val="Normal"/>
    <w:link w:val="6Char"/>
    <w:autoRedefine/>
    <w:qFormat/>
    <w:pPr>
      <w:keepNext/>
      <w:keepLines/>
      <w:tabs>
        <w:tab w:val="left" w:pos="1152"/>
      </w:tabs>
      <w:spacing w:before="240" w:after="64" w:line="319" w:lineRule="auto"/>
      <w:ind w:left="1152" w:hanging="1152"/>
      <w:outlineLvl w:val="5"/>
    </w:pPr>
    <w:rPr>
      <w:rFonts w:ascii="Arial" w:eastAsia="黑体" w:hAnsi="Arial" w:cs="Times New Roman"/>
      <w:b/>
      <w:bCs/>
      <w:sz w:val="24"/>
    </w:rPr>
  </w:style>
  <w:style w:type="paragraph" w:styleId="Heading7">
    <w:name w:val="heading 7"/>
    <w:basedOn w:val="Normal"/>
    <w:next w:val="Normal"/>
    <w:link w:val="7Char"/>
    <w:qFormat/>
    <w:pPr>
      <w:keepNext/>
      <w:keepLines/>
      <w:tabs>
        <w:tab w:val="left" w:pos="1296"/>
      </w:tabs>
      <w:spacing w:before="240" w:after="64" w:line="319" w:lineRule="auto"/>
      <w:ind w:left="1296" w:hanging="1296"/>
      <w:outlineLvl w:val="6"/>
    </w:pPr>
    <w:rPr>
      <w:rFonts w:ascii="Times New Roman" w:eastAsia="宋体" w:hAnsi="Times New Roman" w:cs="Times New Roman"/>
      <w:b/>
      <w:bCs/>
      <w:sz w:val="24"/>
    </w:rPr>
  </w:style>
  <w:style w:type="paragraph" w:styleId="Heading8">
    <w:name w:val="heading 8"/>
    <w:basedOn w:val="Normal"/>
    <w:next w:val="Normal"/>
    <w:link w:val="8Char"/>
    <w:qFormat/>
    <w:pPr>
      <w:keepNext/>
      <w:keepLines/>
      <w:tabs>
        <w:tab w:val="left" w:pos="1440"/>
      </w:tabs>
      <w:spacing w:before="240" w:after="64" w:line="319" w:lineRule="auto"/>
      <w:ind w:left="1440" w:hanging="1440"/>
      <w:outlineLvl w:val="7"/>
    </w:pPr>
    <w:rPr>
      <w:rFonts w:ascii="Arial" w:eastAsia="黑体" w:hAnsi="Arial" w:cs="Times New Roman"/>
      <w:sz w:val="24"/>
    </w:rPr>
  </w:style>
  <w:style w:type="paragraph" w:styleId="Heading9">
    <w:name w:val="heading 9"/>
    <w:basedOn w:val="Normal"/>
    <w:next w:val="Normal"/>
    <w:link w:val="9Char"/>
    <w:autoRedefine/>
    <w:qFormat/>
    <w:pPr>
      <w:keepNext/>
      <w:keepLines/>
      <w:tabs>
        <w:tab w:val="left" w:pos="1584"/>
      </w:tabs>
      <w:spacing w:before="240" w:after="64" w:line="319" w:lineRule="auto"/>
      <w:ind w:left="1584" w:hanging="1584"/>
      <w:outlineLvl w:val="8"/>
    </w:pPr>
    <w:rPr>
      <w:rFonts w:ascii="Arial" w:eastAsia="黑体" w:hAnsi="Arial" w:cs="Times New Roman"/>
      <w:szCs w:val="21"/>
    </w:rPr>
  </w:style>
  <w:style w:type="character" w:default="1" w:styleId="DefaultParagraphFont">
    <w:name w:val="Default Paragraph Font"/>
    <w:qFormat/>
    <w:rPr>
      <w:rFonts w:ascii="Times New Roman" w:eastAsia="宋体" w:hAnsi="Times New Roman" w:cs="Times New Roman"/>
    </w:rPr>
  </w:style>
  <w:style w:type="table" w:default="1" w:styleId="TableNormal">
    <w:name w:val="Normal Table"/>
    <w:qFormat/>
    <w:tblPr>
      <w:tblCellMar>
        <w:top w:w="0" w:type="dxa"/>
        <w:left w:w="108" w:type="dxa"/>
        <w:bottom w:w="0" w:type="dxa"/>
        <w:right w:w="108" w:type="dxa"/>
      </w:tblCellMar>
    </w:tblPr>
  </w:style>
  <w:style w:type="paragraph" w:customStyle="1" w:styleId="NormalIndent1">
    <w:name w:val="Normal Indent1"/>
    <w:autoRedefine/>
    <w:qFormat/>
    <w:pPr>
      <w:spacing w:after="160" w:afterLines="50" w:line="360" w:lineRule="auto"/>
      <w:ind w:firstLine="420" w:firstLineChars="200"/>
    </w:pPr>
    <w:rPr>
      <w:rFonts w:ascii="Times New Roman" w:eastAsia="宋体" w:hAnsi="Times New Roman" w:cs="Times New Roman"/>
      <w:lang w:val="en-US" w:eastAsia="zh-CN" w:bidi="ar-SA"/>
    </w:rPr>
  </w:style>
  <w:style w:type="paragraph" w:styleId="ListNumber2">
    <w:name w:val="List Number 2"/>
    <w:basedOn w:val="Normal"/>
    <w:autoRedefine/>
    <w:qFormat/>
    <w:pPr>
      <w:numPr>
        <w:ilvl w:val="0"/>
        <w:numId w:val="2"/>
      </w:numPr>
    </w:pPr>
  </w:style>
  <w:style w:type="paragraph" w:styleId="DocumentMap">
    <w:name w:val="Document Map"/>
    <w:basedOn w:val="Normal"/>
    <w:link w:val="Char"/>
    <w:autoRedefine/>
    <w:qFormat/>
    <w:pPr>
      <w:shd w:val="clear" w:color="auto" w:fill="000080"/>
    </w:pPr>
    <w:rPr>
      <w:rFonts w:ascii="Times New Roman" w:eastAsia="宋体" w:hAnsi="Times New Roman" w:cs="Times New Roman"/>
      <w:kern w:val="0"/>
      <w:sz w:val="20"/>
      <w:shd w:val="clear" w:color="auto" w:fill="000080"/>
    </w:rPr>
  </w:style>
  <w:style w:type="paragraph" w:styleId="CommentText">
    <w:name w:val="annotation text"/>
    <w:basedOn w:val="Normal"/>
    <w:qFormat/>
    <w:pPr>
      <w:jc w:val="left"/>
    </w:pPr>
    <w:rPr>
      <w:rFonts w:ascii="Times New Roman" w:eastAsia="宋体" w:hAnsi="Times New Roman" w:cs="Times New Roman"/>
    </w:rPr>
  </w:style>
  <w:style w:type="paragraph" w:styleId="BodyText3">
    <w:name w:val="Body Text 3"/>
    <w:basedOn w:val="Normal"/>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BodyText">
    <w:name w:val="Body Text"/>
    <w:basedOn w:val="Normal"/>
    <w:link w:val="Char0"/>
    <w:autoRedefine/>
    <w:qFormat/>
    <w:pPr>
      <w:widowControl w:val="0"/>
      <w:spacing w:before="0" w:after="120"/>
      <w:ind w:left="0" w:right="0"/>
      <w:jc w:val="both"/>
    </w:pPr>
    <w:rPr>
      <w:rFonts w:ascii="Times New Roman" w:eastAsia="宋体" w:hAnsi="Times New Roman" w:cs="Times New Roman"/>
      <w:kern w:val="2"/>
      <w:sz w:val="21"/>
      <w:szCs w:val="24"/>
      <w:lang w:val="en-US" w:eastAsia="zh-CN" w:bidi="ar-SA"/>
    </w:rPr>
  </w:style>
  <w:style w:type="paragraph" w:styleId="BodyTextIndent">
    <w:name w:val="Body Text Indent"/>
    <w:basedOn w:val="Normal"/>
    <w:link w:val="Char1"/>
    <w:qFormat/>
    <w:pPr>
      <w:ind w:firstLine="360"/>
    </w:pPr>
    <w:rPr>
      <w:rFonts w:ascii="Times New Roman" w:eastAsia="宋体" w:hAnsi="Times New Roman" w:cs="Times New Roman"/>
      <w:kern w:val="0"/>
      <w:sz w:val="20"/>
      <w:szCs w:val="20"/>
    </w:rPr>
  </w:style>
  <w:style w:type="paragraph" w:styleId="PlainText">
    <w:name w:val="Plain Text"/>
    <w:basedOn w:val="Normal"/>
    <w:link w:val="Char2"/>
    <w:autoRedefine/>
    <w:qFormat/>
    <w:pPr>
      <w:widowControl w:val="0"/>
      <w:spacing w:after="0"/>
      <w:jc w:val="both"/>
    </w:pPr>
    <w:rPr>
      <w:rFonts w:ascii="宋体" w:eastAsia="宋体" w:hAnsi="Courier New" w:cs="Times New Roman"/>
      <w:kern w:val="0"/>
      <w:sz w:val="20"/>
      <w:szCs w:val="21"/>
      <w:lang w:bidi="ar-SA"/>
    </w:rPr>
  </w:style>
  <w:style w:type="paragraph" w:styleId="Date">
    <w:name w:val="Date"/>
    <w:basedOn w:val="Normal"/>
    <w:next w:val="Normal"/>
    <w:link w:val="Char3"/>
    <w:qFormat/>
    <w:pPr>
      <w:ind w:left="100" w:leftChars="2500"/>
    </w:pPr>
    <w:rPr>
      <w:rFonts w:ascii="Times New Roman" w:eastAsia="宋体" w:hAnsi="Times New Roman" w:cs="Times New Roman"/>
      <w:kern w:val="0"/>
      <w:sz w:val="20"/>
    </w:rPr>
  </w:style>
  <w:style w:type="paragraph" w:styleId="BodyTextIndent2">
    <w:name w:val="Body Text Indent 2"/>
    <w:basedOn w:val="Normal"/>
    <w:link w:val="2Char"/>
    <w:qFormat/>
    <w:pPr>
      <w:ind w:firstLine="630"/>
    </w:pPr>
    <w:rPr>
      <w:rFonts w:ascii="宋体" w:eastAsia="宋体" w:hAnsi="Times New Roman" w:cs="Times New Roman"/>
      <w:kern w:val="0"/>
      <w:sz w:val="28"/>
      <w:szCs w:val="20"/>
    </w:rPr>
  </w:style>
  <w:style w:type="paragraph" w:styleId="BalloonText">
    <w:name w:val="Balloon Text"/>
    <w:basedOn w:val="Normal"/>
    <w:link w:val="Char4"/>
    <w:qFormat/>
    <w:rPr>
      <w:rFonts w:ascii="Times New Roman" w:eastAsia="宋体" w:hAnsi="Times New Roman" w:cs="Times New Roman"/>
      <w:kern w:val="0"/>
      <w:sz w:val="18"/>
      <w:szCs w:val="18"/>
    </w:rPr>
  </w:style>
  <w:style w:type="paragraph" w:styleId="Footer">
    <w:name w:val="footer"/>
    <w:basedOn w:val="Normal"/>
    <w:link w:val="Char5"/>
    <w:autoRedefine/>
    <w:qFormat/>
    <w:pPr>
      <w:widowControl w:val="0"/>
      <w:tabs>
        <w:tab w:val="center" w:pos="4140"/>
        <w:tab w:val="right" w:pos="8300"/>
      </w:tabs>
      <w:snapToGrid w:val="0"/>
      <w:spacing w:after="0"/>
      <w:jc w:val="left"/>
    </w:pPr>
    <w:rPr>
      <w:rFonts w:ascii="Times New Roman" w:eastAsia="宋体" w:hAnsi="Times New Roman" w:cs="Times New Roman"/>
      <w:kern w:val="0"/>
      <w:sz w:val="18"/>
      <w:szCs w:val="24"/>
      <w:lang w:bidi="ar-SA"/>
    </w:rPr>
  </w:style>
  <w:style w:type="paragraph" w:styleId="Header">
    <w:name w:val="header"/>
    <w:basedOn w:val="Normal"/>
    <w:link w:val="Char6"/>
    <w:qFormat/>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rPr>
  </w:style>
  <w:style w:type="paragraph" w:styleId="TOC1">
    <w:name w:val="toc 1"/>
    <w:basedOn w:val="Normal"/>
    <w:next w:val="Normal"/>
    <w:autoRedefine/>
    <w:qFormat/>
    <w:pPr>
      <w:widowControl w:val="0"/>
      <w:spacing w:before="120" w:after="120"/>
      <w:ind w:left="0" w:right="0"/>
      <w:jc w:val="left"/>
    </w:pPr>
    <w:rPr>
      <w:rFonts w:ascii="Times New Roman" w:eastAsia="宋体" w:hAnsi="Times New Roman" w:cs="Times New Roman"/>
      <w:b/>
      <w:bCs/>
      <w:caps/>
      <w:kern w:val="2"/>
      <w:sz w:val="20"/>
      <w:szCs w:val="20"/>
      <w:lang w:val="en-US" w:eastAsia="zh-CN" w:bidi="ar-SA"/>
    </w:rPr>
  </w:style>
  <w:style w:type="paragraph" w:styleId="BodyTextIndent3">
    <w:name w:val="Body Text Indent 3"/>
    <w:basedOn w:val="Normal"/>
    <w:link w:val="3Char0"/>
    <w:qFormat/>
    <w:pPr>
      <w:spacing w:line="360" w:lineRule="auto"/>
      <w:ind w:firstLine="480" w:firstLineChars="200"/>
      <w:jc w:val="left"/>
    </w:pPr>
    <w:rPr>
      <w:rFonts w:ascii="Times New Roman" w:eastAsia="宋体" w:hAnsi="Times New Roman" w:cs="Times New Roman"/>
      <w:kern w:val="0"/>
      <w:sz w:val="24"/>
      <w:szCs w:val="20"/>
    </w:rPr>
  </w:style>
  <w:style w:type="paragraph" w:styleId="BodyText2">
    <w:name w:val="Body Text 2"/>
    <w:basedOn w:val="Normal"/>
    <w:link w:val="2Char0"/>
    <w:autoRedefine/>
    <w:qFormat/>
    <w:rPr>
      <w:rFonts w:ascii="仿宋_GB2312" w:eastAsia="仿宋_GB2312" w:hAnsi="Times New Roman" w:cs="Times New Roman"/>
      <w:kern w:val="0"/>
      <w:sz w:val="28"/>
      <w:szCs w:val="20"/>
    </w:rPr>
  </w:style>
  <w:style w:type="paragraph" w:styleId="NormalWeb">
    <w:name w:val="Normal (Web)"/>
    <w:basedOn w:val="Normal"/>
    <w:autoRedefine/>
    <w:qFormat/>
    <w:pPr>
      <w:spacing w:before="100" w:beforeAutospacing="1" w:after="100" w:afterAutospacing="1"/>
      <w:ind w:left="0" w:right="0"/>
      <w:jc w:val="left"/>
    </w:pPr>
    <w:rPr>
      <w:kern w:val="0"/>
      <w:sz w:val="24"/>
      <w:lang w:val="en-US" w:eastAsia="zh-CN" w:bidi="ar"/>
    </w:rPr>
  </w:style>
  <w:style w:type="paragraph" w:styleId="Title">
    <w:name w:val="Title"/>
    <w:basedOn w:val="Normal"/>
    <w:link w:val="Char7"/>
    <w:qFormat/>
    <w:pPr>
      <w:spacing w:before="240" w:after="60"/>
      <w:jc w:val="center"/>
      <w:outlineLvl w:val="0"/>
    </w:pPr>
    <w:rPr>
      <w:rFonts w:ascii="Cambria" w:eastAsia="宋体" w:hAnsi="Cambria" w:cs="Times New Roman"/>
      <w:b/>
      <w:bCs/>
      <w:kern w:val="0"/>
      <w:sz w:val="32"/>
      <w:szCs w:val="32"/>
    </w:rPr>
  </w:style>
  <w:style w:type="paragraph" w:styleId="BodyTextFirstIndent">
    <w:name w:val="Body Text First Indent"/>
    <w:basedOn w:val="BodyText"/>
    <w:link w:val="Char8"/>
    <w:autoRedefine/>
    <w:qFormat/>
    <w:pPr>
      <w:ind w:firstLine="420" w:firstLineChars="100"/>
    </w:pPr>
    <w:rPr>
      <w:rFonts w:ascii="Times New Roman" w:eastAsia="宋体" w:hAnsi="Times New Roman" w:cs="Times New Roman"/>
      <w:kern w:val="0"/>
      <w:sz w:val="20"/>
    </w:rPr>
  </w:style>
  <w:style w:type="character" w:styleId="Strong">
    <w:name w:val="Strong"/>
    <w:qFormat/>
    <w:rPr>
      <w:rFonts w:ascii="Times New Roman" w:eastAsia="宋体" w:hAnsi="Times New Roman" w:cs="Times New Roman"/>
      <w:b/>
    </w:rPr>
  </w:style>
  <w:style w:type="character" w:styleId="PageNumber">
    <w:name w:val="page number"/>
    <w:autoRedefine/>
    <w:qFormat/>
    <w:rPr>
      <w:rFonts w:ascii="Times New Roman" w:eastAsia="宋体" w:hAnsi="Times New Roman" w:cs="Times New Roman"/>
    </w:rPr>
  </w:style>
  <w:style w:type="character" w:styleId="FollowedHyperlink">
    <w:name w:val="FollowedHyperlink"/>
    <w:autoRedefine/>
    <w:qFormat/>
    <w:rPr>
      <w:rFonts w:ascii="微软雅黑" w:eastAsia="微软雅黑" w:hAnsi="微软雅黑" w:cs="微软雅黑" w:hint="eastAsia"/>
      <w:color w:val="02396F"/>
      <w:u w:val="single"/>
    </w:rPr>
  </w:style>
  <w:style w:type="character" w:styleId="Hyperlink">
    <w:name w:val="Hyperlink"/>
    <w:qFormat/>
    <w:rPr>
      <w:rFonts w:ascii="Times New Roman" w:eastAsia="宋体" w:hAnsi="Times New Roman" w:cs="Times New Roman"/>
      <w:color w:val="0000FF"/>
      <w:u w:val="single"/>
    </w:rPr>
  </w:style>
  <w:style w:type="paragraph" w:customStyle="1" w:styleId="Style3">
    <w:name w:val="_Style 3"/>
    <w:basedOn w:val="Heading1"/>
    <w:next w:val="Normal"/>
    <w:qFormat/>
    <w:pPr>
      <w:widowControl/>
      <w:numPr>
        <w:ilvl w:val="0"/>
        <w:numId w:val="0"/>
      </w:numPr>
      <w:tabs>
        <w:tab w:val="left" w:pos="0"/>
      </w:tabs>
      <w:spacing w:before="240" w:line="259" w:lineRule="auto"/>
      <w:jc w:val="left"/>
      <w:outlineLvl w:val="9"/>
    </w:pPr>
    <w:rPr>
      <w:rFonts w:ascii="Calibri Light" w:eastAsia="宋体" w:hAnsi="Calibri Light" w:cs="Times New Roman"/>
      <w:b w:val="0"/>
      <w:color w:val="2E74B5"/>
      <w:sz w:val="32"/>
      <w:szCs w:val="32"/>
    </w:rPr>
  </w:style>
  <w:style w:type="character" w:customStyle="1" w:styleId="1Char">
    <w:name w:val="标题 1 Char"/>
    <w:link w:val="Heading1"/>
    <w:qFormat/>
    <w:rPr>
      <w:rFonts w:ascii="Times New Roman" w:eastAsia="宋体" w:hAnsi="Times New Roman" w:cs="Times New Roman"/>
      <w:b/>
      <w:bCs/>
      <w:kern w:val="44"/>
      <w:sz w:val="44"/>
      <w:szCs w:val="44"/>
      <w:lang w:val="en-US" w:eastAsia="zh-CN" w:bidi="ar-SA"/>
    </w:rPr>
  </w:style>
  <w:style w:type="character" w:customStyle="1" w:styleId="3Char">
    <w:name w:val="标题 3 Char"/>
    <w:link w:val="Heading3"/>
    <w:qFormat/>
    <w:rPr>
      <w:rFonts w:ascii="Times New Roman" w:eastAsia="宋体" w:hAnsi="Times New Roman" w:cs="Times New Roman"/>
      <w:b/>
      <w:bCs/>
      <w:kern w:val="2"/>
      <w:sz w:val="32"/>
      <w:szCs w:val="32"/>
      <w:lang w:val="en-US" w:eastAsia="zh-CN" w:bidi="ar-SA"/>
    </w:rPr>
  </w:style>
  <w:style w:type="character" w:customStyle="1" w:styleId="4Char">
    <w:name w:val="标题 4 Char"/>
    <w:link w:val="Heading4"/>
    <w:autoRedefine/>
    <w:qFormat/>
    <w:rPr>
      <w:rFonts w:ascii="宋体" w:eastAsia="宋体" w:hAnsi="宋体" w:cs="Times New Roman"/>
      <w:color w:val="0000FF"/>
      <w:sz w:val="28"/>
      <w:lang w:val="en-US" w:eastAsia="zh-CN" w:bidi="ar-SA"/>
    </w:rPr>
  </w:style>
  <w:style w:type="character" w:customStyle="1" w:styleId="5Char">
    <w:name w:val="标题 5 Char"/>
    <w:link w:val="Heading5"/>
    <w:autoRedefine/>
    <w:qFormat/>
    <w:rPr>
      <w:rFonts w:ascii="Verdana" w:eastAsia="宋体" w:hAnsi="Verdana" w:cs="Times New Roman"/>
      <w:b/>
      <w:bCs/>
      <w:kern w:val="2"/>
      <w:sz w:val="28"/>
      <w:szCs w:val="28"/>
      <w:lang w:val="en-US" w:eastAsia="zh-CN" w:bidi="ar-SA"/>
    </w:rPr>
  </w:style>
  <w:style w:type="character" w:customStyle="1" w:styleId="6Char">
    <w:name w:val="标题 6 Char"/>
    <w:link w:val="Heading6"/>
    <w:autoRedefine/>
    <w:qFormat/>
    <w:rPr>
      <w:rFonts w:ascii="Arial" w:eastAsia="黑体" w:hAnsi="Arial" w:cs="Times New Roman"/>
      <w:b/>
      <w:bCs/>
      <w:kern w:val="2"/>
      <w:sz w:val="24"/>
      <w:szCs w:val="24"/>
      <w:lang w:val="en-US" w:eastAsia="zh-CN" w:bidi="ar-SA"/>
    </w:rPr>
  </w:style>
  <w:style w:type="character" w:customStyle="1" w:styleId="7Char">
    <w:name w:val="标题 7 Char"/>
    <w:link w:val="Heading7"/>
    <w:autoRedefine/>
    <w:qFormat/>
    <w:rPr>
      <w:rFonts w:ascii="Times New Roman" w:eastAsia="宋体" w:hAnsi="Times New Roman" w:cs="Times New Roman"/>
      <w:b/>
      <w:bCs/>
      <w:kern w:val="2"/>
      <w:sz w:val="24"/>
      <w:szCs w:val="24"/>
      <w:lang w:val="en-US" w:eastAsia="zh-CN" w:bidi="ar-SA"/>
    </w:rPr>
  </w:style>
  <w:style w:type="character" w:customStyle="1" w:styleId="8Char">
    <w:name w:val="标题 8 Char"/>
    <w:link w:val="Heading8"/>
    <w:autoRedefine/>
    <w:qFormat/>
    <w:rPr>
      <w:rFonts w:ascii="Arial" w:eastAsia="黑体" w:hAnsi="Arial" w:cs="Times New Roman"/>
      <w:kern w:val="2"/>
      <w:sz w:val="24"/>
      <w:szCs w:val="24"/>
      <w:lang w:val="en-US" w:eastAsia="zh-CN" w:bidi="ar-SA"/>
    </w:rPr>
  </w:style>
  <w:style w:type="character" w:customStyle="1" w:styleId="9Char">
    <w:name w:val="标题 9 Char"/>
    <w:link w:val="Heading9"/>
    <w:qFormat/>
    <w:rPr>
      <w:rFonts w:ascii="Arial" w:eastAsia="黑体" w:hAnsi="Arial" w:cs="Times New Roman"/>
      <w:kern w:val="2"/>
      <w:sz w:val="21"/>
      <w:szCs w:val="21"/>
      <w:lang w:val="en-US" w:eastAsia="zh-CN" w:bidi="ar-SA"/>
    </w:rPr>
  </w:style>
  <w:style w:type="character" w:customStyle="1" w:styleId="Char">
    <w:name w:val="文档结构图 Char"/>
    <w:link w:val="DocumentMap"/>
    <w:qFormat/>
    <w:rPr>
      <w:rFonts w:ascii="Times New Roman" w:eastAsia="宋体" w:hAnsi="Times New Roman" w:cs="Times New Roman"/>
      <w:szCs w:val="24"/>
      <w:shd w:val="clear" w:color="auto" w:fill="000080"/>
      <w:lang w:bidi="ar-SA"/>
    </w:rPr>
  </w:style>
  <w:style w:type="character" w:customStyle="1" w:styleId="Char0">
    <w:name w:val="正文文本 Char"/>
    <w:link w:val="BodyText"/>
    <w:autoRedefine/>
    <w:qFormat/>
    <w:rPr>
      <w:rFonts w:ascii="Times New Roman" w:eastAsia="宋体" w:hAnsi="Times New Roman" w:cs="Times New Roman"/>
      <w:kern w:val="2"/>
      <w:sz w:val="21"/>
      <w:szCs w:val="24"/>
      <w:lang w:val="en-US" w:eastAsia="zh-CN" w:bidi="ar-SA"/>
    </w:rPr>
  </w:style>
  <w:style w:type="character" w:customStyle="1" w:styleId="Char1">
    <w:name w:val="正文文本缩进 Char"/>
    <w:link w:val="BodyTextIndent"/>
    <w:autoRedefine/>
    <w:qFormat/>
    <w:rPr>
      <w:rFonts w:ascii="Times New Roman" w:eastAsia="宋体" w:hAnsi="Times New Roman" w:cs="Times New Roman"/>
      <w:lang w:bidi="ar-SA"/>
    </w:rPr>
  </w:style>
  <w:style w:type="character" w:customStyle="1" w:styleId="Char2">
    <w:name w:val="纯文本 Char"/>
    <w:link w:val="PlainText"/>
    <w:qFormat/>
    <w:rPr>
      <w:rFonts w:ascii="宋体" w:eastAsia="宋体" w:hAnsi="Courier New" w:cs="Times New Roman"/>
      <w:szCs w:val="21"/>
      <w:lang w:bidi="ar-SA"/>
    </w:rPr>
  </w:style>
  <w:style w:type="character" w:customStyle="1" w:styleId="Char3">
    <w:name w:val="日期 Char"/>
    <w:link w:val="Date"/>
    <w:qFormat/>
    <w:rPr>
      <w:rFonts w:ascii="Times New Roman" w:eastAsia="宋体" w:hAnsi="Times New Roman" w:cs="Times New Roman"/>
      <w:szCs w:val="24"/>
      <w:lang w:bidi="ar-SA"/>
    </w:rPr>
  </w:style>
  <w:style w:type="character" w:customStyle="1" w:styleId="2Char">
    <w:name w:val="正文文本缩进 2 Char"/>
    <w:link w:val="BodyTextIndent2"/>
    <w:autoRedefine/>
    <w:qFormat/>
    <w:rPr>
      <w:rFonts w:ascii="宋体" w:eastAsia="宋体" w:hAnsi="Times New Roman" w:cs="Times New Roman"/>
      <w:sz w:val="28"/>
      <w:lang w:bidi="ar-SA"/>
    </w:rPr>
  </w:style>
  <w:style w:type="character" w:customStyle="1" w:styleId="Char4">
    <w:name w:val="批注框文本 Char"/>
    <w:link w:val="BalloonText"/>
    <w:qFormat/>
    <w:rPr>
      <w:rFonts w:ascii="Times New Roman" w:eastAsia="宋体" w:hAnsi="Times New Roman" w:cs="Times New Roman"/>
      <w:sz w:val="18"/>
      <w:szCs w:val="18"/>
      <w:lang w:bidi="ar-SA"/>
    </w:rPr>
  </w:style>
  <w:style w:type="character" w:customStyle="1" w:styleId="Char5">
    <w:name w:val="页脚 Char"/>
    <w:link w:val="Footer"/>
    <w:qFormat/>
    <w:rPr>
      <w:rFonts w:ascii="Times New Roman" w:eastAsia="宋体" w:hAnsi="Times New Roman" w:cs="Times New Roman"/>
      <w:sz w:val="18"/>
      <w:szCs w:val="24"/>
      <w:lang w:bidi="ar-SA"/>
    </w:rPr>
  </w:style>
  <w:style w:type="character" w:customStyle="1" w:styleId="Char6">
    <w:name w:val="页眉 Char"/>
    <w:link w:val="Header"/>
    <w:autoRedefine/>
    <w:qFormat/>
    <w:rPr>
      <w:rFonts w:ascii="Times New Roman" w:eastAsia="宋体" w:hAnsi="Times New Roman" w:cs="Times New Roman"/>
      <w:sz w:val="18"/>
      <w:szCs w:val="18"/>
      <w:lang w:bidi="ar-SA"/>
    </w:rPr>
  </w:style>
  <w:style w:type="character" w:customStyle="1" w:styleId="3Char0">
    <w:name w:val="正文文本缩进 3 Char"/>
    <w:link w:val="BodyTextIndent3"/>
    <w:autoRedefine/>
    <w:qFormat/>
    <w:rPr>
      <w:rFonts w:ascii="Times New Roman" w:eastAsia="宋体" w:hAnsi="Times New Roman" w:cs="Times New Roman"/>
      <w:sz w:val="24"/>
      <w:lang w:bidi="ar-SA"/>
    </w:rPr>
  </w:style>
  <w:style w:type="character" w:customStyle="1" w:styleId="2Char0">
    <w:name w:val="正文文本 2 Char"/>
    <w:link w:val="BodyText2"/>
    <w:autoRedefine/>
    <w:qFormat/>
    <w:rPr>
      <w:rFonts w:ascii="仿宋_GB2312" w:eastAsia="仿宋_GB2312" w:hAnsi="Times New Roman" w:cs="Times New Roman"/>
      <w:sz w:val="28"/>
      <w:lang w:bidi="ar-SA"/>
    </w:rPr>
  </w:style>
  <w:style w:type="character" w:customStyle="1" w:styleId="Char7">
    <w:name w:val="标题 Char"/>
    <w:link w:val="Title"/>
    <w:autoRedefine/>
    <w:qFormat/>
    <w:rPr>
      <w:rFonts w:ascii="Cambria" w:eastAsia="宋体" w:hAnsi="Cambria" w:cs="Times New Roman"/>
      <w:b/>
      <w:bCs/>
      <w:sz w:val="32"/>
      <w:szCs w:val="32"/>
      <w:lang w:bidi="ar-SA"/>
    </w:rPr>
  </w:style>
  <w:style w:type="character" w:customStyle="1" w:styleId="Char8">
    <w:name w:val="正文首行缩进 Char"/>
    <w:link w:val="BodyTextFirstIndent"/>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Normal"/>
    <w:link w:val="StyleBlackChar"/>
    <w:autoRedefine/>
    <w:qFormat/>
    <w:pPr>
      <w:autoSpaceDE w:val="0"/>
      <w:autoSpaceDN w:val="0"/>
      <w:adjustRightInd w:val="0"/>
      <w:spacing w:line="360" w:lineRule="auto"/>
      <w:jc w:val="left"/>
    </w:pPr>
    <w:rPr>
      <w:rFonts w:ascii="宋体" w:eastAsia="宋体" w:hAnsi="宋体" w:cs="Times New Roman"/>
      <w:color w:val="000000"/>
      <w:kern w:val="0"/>
      <w:sz w:val="24"/>
      <w:szCs w:val="20"/>
    </w:rPr>
  </w:style>
  <w:style w:type="character" w:customStyle="1" w:styleId="gjfg">
    <w:name w:val="gjfg"/>
    <w:basedOn w:val="DefaultParagraphFont"/>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9">
    <w:name w:val="正文文字 Char"/>
    <w:link w:val="a"/>
    <w:autoRedefine/>
    <w:qFormat/>
    <w:rPr>
      <w:rFonts w:ascii="Times New Roman" w:eastAsia="宋体" w:hAnsi="Times New Roman" w:cs="Times New Roman"/>
      <w:sz w:val="24"/>
      <w:szCs w:val="24"/>
      <w:lang w:bidi="ar-SA"/>
    </w:rPr>
  </w:style>
  <w:style w:type="paragraph" w:customStyle="1" w:styleId="a">
    <w:name w:val="正文文字"/>
    <w:basedOn w:val="Normal"/>
    <w:link w:val="Char9"/>
    <w:autoRedefine/>
    <w:qFormat/>
    <w:pPr>
      <w:spacing w:before="60" w:after="60" w:line="360" w:lineRule="auto"/>
      <w:ind w:firstLine="200" w:firstLineChars="200"/>
      <w:jc w:val="left"/>
    </w:pPr>
    <w:rPr>
      <w:rFonts w:ascii="Times New Roman" w:eastAsia="宋体" w:hAnsi="Times New Roman" w:cs="Times New Roman"/>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ilvl w:val="0"/>
        <w:numId w:val="3"/>
      </w:numPr>
      <w:tabs>
        <w:tab w:val="left" w:pos="0"/>
      </w:tabs>
      <w:snapToGrid w:val="0"/>
      <w:spacing w:after="160" w:line="240" w:lineRule="atLeast"/>
      <w:ind w:left="0" w:firstLine="0"/>
    </w:pPr>
    <w:rPr>
      <w:rFonts w:ascii="宋体" w:eastAsia="Times New Roman" w:hAnsi="宋体" w:cs="Times New Roman"/>
      <w:bCs/>
      <w:color w:val="000000"/>
      <w:sz w:val="24"/>
      <w:szCs w:val="32"/>
      <w:lang w:val="en-US" w:eastAsia="zh-CN" w:bidi="ar-SA"/>
    </w:rPr>
  </w:style>
  <w:style w:type="character" w:customStyle="1" w:styleId="Char10">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11">
    <w:name w:val="文档正文 Char"/>
    <w:link w:val="a0"/>
    <w:qFormat/>
    <w:rPr>
      <w:rFonts w:ascii="长城仿宋" w:eastAsia="宋体" w:hAnsi="Times New Roman" w:cs="Times New Roman"/>
      <w:sz w:val="24"/>
      <w:lang w:bidi="ar-SA"/>
    </w:rPr>
  </w:style>
  <w:style w:type="paragraph" w:customStyle="1" w:styleId="a0">
    <w:name w:val="文档正文"/>
    <w:basedOn w:val="Normal"/>
    <w:link w:val="Char11"/>
    <w:autoRedefine/>
    <w:qFormat/>
    <w:pPr>
      <w:adjustRightInd w:val="0"/>
      <w:spacing w:line="480" w:lineRule="atLeast"/>
      <w:ind w:firstLine="567"/>
    </w:pPr>
    <w:rPr>
      <w:rFonts w:ascii="长城仿宋" w:eastAsia="宋体" w:hAnsi="Times New Roman" w:cs="Times New Roman"/>
      <w:kern w:val="0"/>
      <w:sz w:val="24"/>
      <w:szCs w:val="20"/>
    </w:rPr>
  </w:style>
  <w:style w:type="paragraph" w:customStyle="1" w:styleId="Char12">
    <w:name w:val="Char"/>
    <w:basedOn w:val="Normal"/>
    <w:qFormat/>
    <w:rPr>
      <w:rFonts w:ascii="Tahoma" w:eastAsia="宋体" w:hAnsi="Tahoma" w:cs="Times New Roman"/>
      <w:sz w:val="24"/>
      <w:szCs w:val="20"/>
    </w:rPr>
  </w:style>
  <w:style w:type="paragraph" w:customStyle="1" w:styleId="CharCharChar">
    <w:name w:val=" Char Char Char"/>
    <w:basedOn w:val="Normal"/>
    <w:qFormat/>
    <w:rPr>
      <w:rFonts w:ascii="Tahoma" w:eastAsia="宋体" w:hAnsi="Tahoma" w:cs="Times New Roman"/>
      <w:sz w:val="24"/>
      <w:szCs w:val="20"/>
    </w:rPr>
  </w:style>
  <w:style w:type="paragraph" w:customStyle="1" w:styleId="a1">
    <w:name w:val="正文（绿盟科技）"/>
    <w:autoRedefine/>
    <w:qFormat/>
    <w:pPr>
      <w:spacing w:after="160" w:line="300" w:lineRule="auto"/>
    </w:pPr>
    <w:rPr>
      <w:rFonts w:ascii="Arial" w:eastAsia="宋体" w:hAnsi="Arial" w:cs="黑体"/>
      <w:sz w:val="21"/>
      <w:szCs w:val="21"/>
      <w:lang w:val="en-US" w:eastAsia="zh-CN" w:bidi="ar-SA"/>
    </w:rPr>
  </w:style>
  <w:style w:type="paragraph" w:customStyle="1" w:styleId="1">
    <w:name w:val="样式1"/>
    <w:basedOn w:val="Normal"/>
    <w:autoRedefine/>
    <w:qFormat/>
    <w:pPr>
      <w:numPr>
        <w:ilvl w:val="0"/>
        <w:numId w:val="4"/>
      </w:numPr>
      <w:adjustRightInd w:val="0"/>
    </w:pPr>
    <w:rPr>
      <w:rFonts w:ascii="宋体" w:eastAsia="宋体" w:hAnsi="宋体" w:cs="Times New Roman"/>
      <w:kern w:val="0"/>
      <w:szCs w:val="20"/>
    </w:rPr>
  </w:style>
  <w:style w:type="paragraph" w:customStyle="1" w:styleId="5">
    <w:name w:val="标题 5（有编号）（绿盟科技）"/>
    <w:basedOn w:val="Normal"/>
    <w:next w:val="a1"/>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2">
    <w:name w:val="正常"/>
    <w:basedOn w:val="a3"/>
    <w:autoRedefine/>
    <w:qFormat/>
    <w:rPr>
      <w:sz w:val="24"/>
    </w:rPr>
  </w:style>
  <w:style w:type="paragraph" w:customStyle="1" w:styleId="a3">
    <w:name w:val="小正常"/>
    <w:basedOn w:val="Normal"/>
    <w:qFormat/>
    <w:rPr>
      <w:rFonts w:cs="Times New Roman"/>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ListParagraph">
    <w:name w:val="List Paragraph"/>
    <w:basedOn w:val="Normal"/>
    <w:uiPriority w:val="34"/>
    <w:qFormat/>
    <w:pPr>
      <w:ind w:firstLine="420"/>
    </w:pPr>
    <w:rPr>
      <w:kern w:val="0"/>
      <w:szCs w:val="21"/>
    </w:rPr>
  </w:style>
  <w:style w:type="paragraph" w:customStyle="1" w:styleId="10">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Normal"/>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Char1">
    <w:name w:val="标题 2 Char"/>
    <w:link w:val="Heading2"/>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er" Target="footer4.xml" /><Relationship Id="rId9" Type="http://schemas.openxmlformats.org/officeDocument/2006/relationships/theme" Target="theme/theme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Pages>45</Pages>
  <Words>6414</Words>
  <Characters>6747</Characters>
  <Application>Microsoft Office Word</Application>
  <DocSecurity>0</DocSecurity>
  <Lines>217</Lines>
  <Paragraphs>61</Paragraphs>
  <ScaleCrop>false</ScaleCrop>
  <Company>China</Company>
  <LinksUpToDate>false</LinksUpToDate>
  <CharactersWithSpaces>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王韩宝</cp:lastModifiedBy>
  <cp:revision>0</cp:revision>
  <cp:lastPrinted>2020-10-14T19:19:00Z</cp:lastPrinted>
  <dcterms:created xsi:type="dcterms:W3CDTF">2020-04-23T23:26:00Z</dcterms:created>
  <dcterms:modified xsi:type="dcterms:W3CDTF">2025-03-17T01:52:07Z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