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left"/>
        <w:rPr>
          <w:rFonts w:hAnsi="SimSun"/>
          <w:b/>
          <w:sz w:val="96"/>
          <w:szCs w:val="96"/>
        </w:rPr>
      </w:pPr>
    </w:p>
    <w:p>
      <w:pPr>
        <w:topLinePunct/>
        <w:autoSpaceDE w:val="0"/>
        <w:autoSpaceDN w:val="0"/>
        <w:jc w:val="center"/>
        <w:rPr>
          <w:rFonts w:hAnsi="SimSun"/>
          <w:b/>
          <w:sz w:val="96"/>
          <w:szCs w:val="96"/>
        </w:rPr>
      </w:pPr>
      <w:r>
        <w:rPr>
          <w:rFonts w:hint="eastAsia" w:hAnsi="SimSun"/>
          <w:b/>
          <w:sz w:val="96"/>
          <w:szCs w:val="96"/>
        </w:rPr>
        <w:t>招 标 文 件</w:t>
      </w:r>
    </w:p>
    <w:p>
      <w:pPr>
        <w:topLinePunct/>
        <w:autoSpaceDE w:val="0"/>
        <w:autoSpaceDN w:val="0"/>
        <w:spacing w:line="60" w:lineRule="exact"/>
        <w:jc w:val="center"/>
        <w:rPr>
          <w:rFonts w:hAnsi="SimSun"/>
          <w:sz w:val="96"/>
          <w:szCs w:val="96"/>
        </w:rPr>
      </w:pPr>
    </w:p>
    <w:p>
      <w:pPr>
        <w:topLinePunct/>
        <w:autoSpaceDE w:val="0"/>
        <w:autoSpaceDN w:val="0"/>
        <w:snapToGrid w:val="0"/>
        <w:jc w:val="center"/>
        <w:rPr>
          <w:rFonts w:ascii="SimSun" w:hAnsi="SimSun"/>
          <w:sz w:val="96"/>
          <w:szCs w:val="96"/>
        </w:rPr>
      </w:pPr>
      <w:r>
        <w:rPr>
          <w:rFonts w:hint="eastAsia" w:hAnsi="SimSun"/>
          <w:b/>
          <w:sz w:val="56"/>
          <w:szCs w:val="56"/>
        </w:rPr>
        <w:t>（技术部分）</w:t>
      </w:r>
    </w:p>
    <w:p>
      <w:pPr>
        <w:topLinePunct/>
        <w:autoSpaceDE w:val="0"/>
        <w:autoSpaceDN w:val="0"/>
        <w:snapToGrid w:val="0"/>
        <w:spacing w:line="360" w:lineRule="auto"/>
        <w:ind w:left="1402" w:leftChars="534" w:hanging="281" w:hangingChars="100"/>
        <w:rPr>
          <w:rFonts w:ascii="SimSun"/>
          <w:b/>
          <w:bCs/>
          <w:sz w:val="28"/>
          <w:szCs w:val="28"/>
        </w:rPr>
      </w:pPr>
    </w:p>
    <w:p>
      <w:pPr>
        <w:topLinePunct/>
        <w:autoSpaceDE w:val="0"/>
        <w:autoSpaceDN w:val="0"/>
        <w:snapToGrid w:val="0"/>
        <w:spacing w:line="360" w:lineRule="auto"/>
        <w:ind w:left="1402" w:leftChars="534" w:hanging="281" w:hangingChars="100"/>
        <w:rPr>
          <w:rFonts w:ascii="SimSun"/>
          <w:b/>
          <w:bCs/>
          <w:sz w:val="28"/>
          <w:szCs w:val="28"/>
        </w:rPr>
      </w:pPr>
    </w:p>
    <w:p>
      <w:pPr>
        <w:topLinePunct/>
        <w:autoSpaceDE w:val="0"/>
        <w:autoSpaceDN w:val="0"/>
        <w:snapToGrid w:val="0"/>
        <w:spacing w:line="360" w:lineRule="auto"/>
        <w:ind w:left="1402" w:leftChars="534" w:hanging="281" w:hangingChars="100"/>
        <w:rPr>
          <w:rFonts w:ascii="SimSun"/>
          <w:b/>
          <w:bCs/>
          <w:sz w:val="28"/>
          <w:szCs w:val="28"/>
        </w:rPr>
      </w:pPr>
      <w:r>
        <w:rPr>
          <w:rFonts w:hint="eastAsia" w:ascii="SimSun"/>
          <w:b/>
          <w:bCs/>
          <w:sz w:val="28"/>
          <w:szCs w:val="28"/>
        </w:rPr>
        <w:t>项目名称：</w:t>
      </w:r>
      <w:bookmarkStart w:id="0" w:name="项目名称_fa_planName"/>
      <w:r>
        <w:rPr>
          <w:rFonts w:hint="eastAsia" w:ascii="SimSun"/>
          <w:b/>
          <w:bCs/>
          <w:sz w:val="28"/>
          <w:szCs w:val="28"/>
        </w:rPr>
        <w:t>国家税务总局吉林省税务局2025年统一工作平台—市场主体准入E窗通子系统升级改造项目</w:t>
      </w:r>
      <w:bookmarkEnd w:id="0"/>
    </w:p>
    <w:p>
      <w:pPr>
        <w:topLinePunct/>
        <w:autoSpaceDE w:val="0"/>
        <w:autoSpaceDN w:val="0"/>
        <w:snapToGrid w:val="0"/>
        <w:spacing w:line="360" w:lineRule="auto"/>
        <w:ind w:left="1402" w:leftChars="534" w:hanging="281" w:hangingChars="100"/>
        <w:rPr>
          <w:rFonts w:ascii="SimSun"/>
          <w:b/>
          <w:bCs/>
          <w:sz w:val="28"/>
          <w:szCs w:val="28"/>
        </w:rPr>
      </w:pPr>
      <w:r>
        <w:rPr>
          <w:rFonts w:hint="eastAsia" w:ascii="SimSun"/>
          <w:b/>
          <w:bCs/>
          <w:sz w:val="28"/>
          <w:szCs w:val="28"/>
        </w:rPr>
        <w:t>项目编号：</w:t>
      </w:r>
      <w:bookmarkStart w:id="1" w:name="项目编号_fa_planNo"/>
      <w:r>
        <w:rPr>
          <w:rFonts w:hint="eastAsia" w:ascii="SimSun"/>
          <w:b/>
          <w:bCs/>
          <w:sz w:val="28"/>
          <w:szCs w:val="28"/>
        </w:rPr>
        <w:t>JL2025-ZXGK-C0097-B00</w:t>
      </w:r>
      <w:bookmarkEnd w:id="1"/>
    </w:p>
    <w:p>
      <w:pPr>
        <w:topLinePunct/>
        <w:autoSpaceDE w:val="0"/>
        <w:autoSpaceDN w:val="0"/>
        <w:snapToGrid w:val="0"/>
        <w:spacing w:line="360" w:lineRule="auto"/>
        <w:ind w:firstLine="1124" w:firstLineChars="400"/>
        <w:rPr>
          <w:rFonts w:ascii="SimSun"/>
          <w:b/>
          <w:bCs/>
          <w:sz w:val="28"/>
          <w:szCs w:val="28"/>
        </w:rPr>
      </w:pPr>
    </w:p>
    <w:p>
      <w:pPr>
        <w:topLinePunct/>
        <w:autoSpaceDE w:val="0"/>
        <w:autoSpaceDN w:val="0"/>
        <w:snapToGrid w:val="0"/>
        <w:spacing w:line="360" w:lineRule="auto"/>
        <w:rPr>
          <w:rFonts w:ascii="SimSun"/>
          <w:b/>
          <w:bCs/>
          <w:sz w:val="28"/>
          <w:szCs w:val="28"/>
        </w:rPr>
      </w:pPr>
    </w:p>
    <w:p>
      <w:pPr>
        <w:topLinePunct/>
        <w:autoSpaceDE w:val="0"/>
        <w:autoSpaceDN w:val="0"/>
        <w:spacing w:line="460" w:lineRule="exact"/>
        <w:rPr>
          <w:rFonts w:ascii="SimHei" w:eastAsia="SimHei"/>
          <w:b/>
          <w:sz w:val="52"/>
        </w:rPr>
      </w:pPr>
    </w:p>
    <w:p>
      <w:pPr>
        <w:topLinePunct/>
        <w:autoSpaceDE w:val="0"/>
        <w:autoSpaceDN w:val="0"/>
        <w:spacing w:line="460" w:lineRule="exact"/>
        <w:rPr>
          <w:rFonts w:ascii="SimHei" w:eastAsia="SimHei"/>
          <w:b/>
          <w:sz w:val="36"/>
          <w:szCs w:val="36"/>
        </w:rPr>
      </w:pPr>
    </w:p>
    <w:p>
      <w:pPr>
        <w:topLinePunct/>
        <w:autoSpaceDE w:val="0"/>
        <w:autoSpaceDN w:val="0"/>
        <w:spacing w:line="460" w:lineRule="exact"/>
        <w:rPr>
          <w:rFonts w:ascii="SimHei" w:eastAsia="SimHei"/>
          <w:b/>
          <w:sz w:val="36"/>
          <w:szCs w:val="36"/>
        </w:rPr>
      </w:pPr>
    </w:p>
    <w:p>
      <w:pPr>
        <w:topLinePunct/>
        <w:autoSpaceDE w:val="0"/>
        <w:autoSpaceDN w:val="0"/>
        <w:spacing w:line="460" w:lineRule="exact"/>
        <w:jc w:val="center"/>
        <w:rPr>
          <w:rFonts w:ascii="SimHei" w:eastAsia="SimHei"/>
          <w:sz w:val="36"/>
          <w:szCs w:val="36"/>
        </w:rPr>
      </w:pPr>
    </w:p>
    <w:p>
      <w:pPr>
        <w:topLinePunct/>
        <w:autoSpaceDE w:val="0"/>
        <w:autoSpaceDN w:val="0"/>
        <w:spacing w:line="460" w:lineRule="exact"/>
        <w:jc w:val="center"/>
        <w:rPr>
          <w:rFonts w:ascii="SimHei" w:eastAsia="SimHei"/>
          <w:sz w:val="36"/>
          <w:szCs w:val="36"/>
        </w:rPr>
      </w:pPr>
    </w:p>
    <w:p>
      <w:pPr>
        <w:topLinePunct/>
        <w:autoSpaceDE w:val="0"/>
        <w:autoSpaceDN w:val="0"/>
        <w:spacing w:line="460" w:lineRule="exact"/>
        <w:jc w:val="center"/>
        <w:rPr>
          <w:rFonts w:ascii="SimHei" w:eastAsia="SimHei"/>
          <w:sz w:val="36"/>
          <w:szCs w:val="36"/>
        </w:rPr>
      </w:pPr>
    </w:p>
    <w:p>
      <w:pPr>
        <w:topLinePunct/>
        <w:autoSpaceDE w:val="0"/>
        <w:autoSpaceDN w:val="0"/>
        <w:spacing w:line="460" w:lineRule="exact"/>
        <w:jc w:val="center"/>
        <w:rPr>
          <w:rFonts w:ascii="SimHei" w:eastAsia="SimHei"/>
          <w:sz w:val="36"/>
          <w:szCs w:val="36"/>
        </w:rPr>
      </w:pPr>
      <w:bookmarkStart w:id="2" w:name="采购人名称_cgrmc"/>
      <w:r>
        <w:rPr>
          <w:rFonts w:hint="eastAsia" w:ascii="SimHei" w:eastAsia="SimHei"/>
          <w:sz w:val="36"/>
          <w:szCs w:val="36"/>
        </w:rPr>
        <w:t>国家税务总局吉林省税务局</w:t>
      </w:r>
      <w:bookmarkEnd w:id="2"/>
    </w:p>
    <w:p>
      <w:pPr>
        <w:widowControl/>
        <w:topLinePunct/>
        <w:autoSpaceDE w:val="0"/>
        <w:autoSpaceDN w:val="0"/>
        <w:jc w:val="center"/>
        <w:rPr>
          <w:rFonts w:ascii="SimSun" w:hAnsi="SimSun" w:cs="SimSun"/>
        </w:rPr>
        <w:sectPr>
          <w:pgSz w:w="11906" w:h="16838"/>
          <w:pgMar w:top="1440" w:right="1508" w:bottom="1440" w:left="1588" w:header="851" w:footer="851" w:gutter="0"/>
          <w:cols w:space="720" w:num="1"/>
          <w:titlePg/>
          <w:docGrid w:type="lines" w:linePitch="312" w:charSpace="0"/>
        </w:sectPr>
      </w:pPr>
      <w:bookmarkStart w:id="3" w:name="生成日期_currentDateTime_ymd"/>
      <w:r>
        <w:rPr>
          <w:rFonts w:hint="eastAsia" w:ascii="SimHei" w:hAnsi="Courier New" w:eastAsia="SimHei" w:cs="Courier New"/>
          <w:sz w:val="36"/>
          <w:szCs w:val="36"/>
        </w:rPr>
        <w:t>2025年11月</w:t>
      </w:r>
      <w:bookmarkEnd w:id="3"/>
    </w:p>
    <w:p>
      <w:pPr>
        <w:pStyle w:val="18"/>
        <w:spacing w:before="0" w:after="0" w:line="360" w:lineRule="auto"/>
        <w:jc w:val="center"/>
        <w:rPr>
          <w:rFonts w:ascii="SimSun" w:hAnsi="SimSun" w:eastAsia="SimSun" w:cs="SimSun"/>
          <w:sz w:val="32"/>
        </w:rPr>
      </w:pPr>
      <w:r>
        <w:rPr>
          <w:rFonts w:ascii="SimSun" w:hAnsi="SimSun" w:eastAsia="SimSun" w:cs="SimSun"/>
          <w:sz w:val="32"/>
        </w:rPr>
        <w:t>目 录</w:t>
      </w:r>
    </w:p>
    <w:p>
      <w:pPr>
        <w:pStyle w:val="25"/>
        <w:tabs>
          <w:tab w:val="right" w:leader="dot" w:pos="9016"/>
        </w:tabs>
        <w:spacing w:before="0" w:after="0" w:line="360" w:lineRule="auto"/>
        <w:rPr>
          <w:rFonts w:asciiTheme="minorHAnsi" w:hAnsiTheme="minorHAnsi"/>
          <w:sz w:val="22"/>
        </w:rPr>
      </w:pPr>
      <w:r>
        <w:rPr>
          <w:rFonts w:ascii="SimSun" w:hAnsi="SimSun" w:eastAsia="SimSun" w:cs="SimSun"/>
          <w:sz w:val="32"/>
        </w:rPr>
        <w:fldChar w:fldCharType="begin"/>
      </w:r>
      <w:r>
        <w:rPr>
          <w:rFonts w:ascii="SimSun" w:hAnsi="SimSun" w:eastAsia="SimSun" w:cs="SimSun"/>
          <w:sz w:val="32"/>
        </w:rPr>
        <w:instrText xml:space="preserve">TOC \o "1-3" \h \z \u</w:instrText>
      </w:r>
      <w:r>
        <w:rPr>
          <w:rFonts w:ascii="SimSun" w:hAnsi="SimSun" w:eastAsia="SimSun" w:cs="SimSun"/>
          <w:sz w:val="32"/>
        </w:rPr>
        <w:fldChar w:fldCharType="separate"/>
      </w:r>
      <w:r>
        <w:fldChar w:fldCharType="begin"/>
      </w:r>
      <w:r>
        <w:instrText xml:space="preserve"> HYPERLINK \l "_Toc256000000" </w:instrText>
      </w:r>
      <w:r>
        <w:fldChar w:fldCharType="separate"/>
      </w:r>
      <w:r>
        <w:rPr>
          <w:rStyle w:val="37"/>
          <w:rFonts w:ascii="仿宋_GB2312" w:hAnsi="仿宋_GB2312" w:eastAsia="仿宋_GB2312" w:cs="仿宋_GB2312"/>
          <w:kern w:val="36"/>
        </w:rPr>
        <w:t>1项目概述</w:t>
      </w:r>
      <w:r>
        <w:tab/>
      </w:r>
      <w:r>
        <w:fldChar w:fldCharType="begin"/>
      </w:r>
      <w:r>
        <w:instrText xml:space="preserve"> PAGEREF _Toc256000000 \h </w:instrText>
      </w:r>
      <w:r>
        <w:fldChar w:fldCharType="separate"/>
      </w:r>
      <w:r>
        <w:t>4</w:t>
      </w:r>
      <w:r>
        <w:fldChar w:fldCharType="end"/>
      </w:r>
      <w:r>
        <w:fldChar w:fldCharType="end"/>
      </w:r>
    </w:p>
    <w:p>
      <w:pPr>
        <w:pStyle w:val="27"/>
        <w:tabs>
          <w:tab w:val="right" w:leader="dot" w:pos="9016"/>
        </w:tabs>
        <w:spacing w:before="0" w:after="0" w:line="360" w:lineRule="auto"/>
        <w:rPr>
          <w:rFonts w:asciiTheme="minorHAnsi" w:hAnsiTheme="minorHAnsi"/>
          <w:sz w:val="22"/>
        </w:rPr>
      </w:pPr>
      <w:r>
        <w:fldChar w:fldCharType="begin"/>
      </w:r>
      <w:r>
        <w:instrText xml:space="preserve"> HYPERLINK \l "_Toc256000001" </w:instrText>
      </w:r>
      <w:r>
        <w:fldChar w:fldCharType="separate"/>
      </w:r>
      <w:r>
        <w:rPr>
          <w:rStyle w:val="37"/>
          <w:rFonts w:ascii="仿宋_GB2312" w:hAnsi="仿宋_GB2312" w:eastAsia="仿宋_GB2312" w:cs="仿宋_GB2312"/>
        </w:rPr>
        <w:t>1.1项目背景</w:t>
      </w:r>
      <w:r>
        <w:tab/>
      </w:r>
      <w:r>
        <w:fldChar w:fldCharType="begin"/>
      </w:r>
      <w:r>
        <w:instrText xml:space="preserve"> PAGEREF _Toc256000001 \h </w:instrText>
      </w:r>
      <w:r>
        <w:fldChar w:fldCharType="separate"/>
      </w:r>
      <w:r>
        <w:t>4</w:t>
      </w:r>
      <w:r>
        <w:fldChar w:fldCharType="end"/>
      </w:r>
      <w:r>
        <w:fldChar w:fldCharType="end"/>
      </w:r>
    </w:p>
    <w:p>
      <w:pPr>
        <w:pStyle w:val="17"/>
        <w:tabs>
          <w:tab w:val="right" w:leader="dot" w:pos="9016"/>
        </w:tabs>
        <w:spacing w:before="0" w:after="0" w:line="360" w:lineRule="auto"/>
        <w:rPr>
          <w:rFonts w:asciiTheme="minorHAnsi" w:hAnsiTheme="minorHAnsi"/>
          <w:sz w:val="22"/>
        </w:rPr>
      </w:pPr>
      <w:r>
        <w:fldChar w:fldCharType="begin"/>
      </w:r>
      <w:r>
        <w:instrText xml:space="preserve"> HYPERLINK \l "_Toc256000002" </w:instrText>
      </w:r>
      <w:r>
        <w:fldChar w:fldCharType="separate"/>
      </w:r>
      <w:r>
        <w:rPr>
          <w:rStyle w:val="37"/>
          <w:rFonts w:ascii="仿宋_GB2312" w:hAnsi="仿宋_GB2312" w:eastAsia="仿宋_GB2312" w:cs="仿宋_GB2312"/>
        </w:rPr>
        <w:t>1.1.1项目目的、意义及背景</w:t>
      </w:r>
      <w:r>
        <w:tab/>
      </w:r>
      <w:r>
        <w:fldChar w:fldCharType="begin"/>
      </w:r>
      <w:r>
        <w:instrText xml:space="preserve"> PAGEREF _Toc256000002 \h </w:instrText>
      </w:r>
      <w:r>
        <w:fldChar w:fldCharType="separate"/>
      </w:r>
      <w:r>
        <w:t>4</w:t>
      </w:r>
      <w:r>
        <w:fldChar w:fldCharType="end"/>
      </w:r>
      <w:r>
        <w:fldChar w:fldCharType="end"/>
      </w:r>
    </w:p>
    <w:p>
      <w:pPr>
        <w:pStyle w:val="27"/>
        <w:tabs>
          <w:tab w:val="right" w:leader="dot" w:pos="9016"/>
        </w:tabs>
        <w:spacing w:before="0" w:after="0" w:line="360" w:lineRule="auto"/>
        <w:rPr>
          <w:rFonts w:asciiTheme="minorHAnsi" w:hAnsiTheme="minorHAnsi"/>
          <w:sz w:val="22"/>
        </w:rPr>
      </w:pPr>
      <w:r>
        <w:fldChar w:fldCharType="begin"/>
      </w:r>
      <w:r>
        <w:instrText xml:space="preserve"> HYPERLINK \l "_Toc256000003" </w:instrText>
      </w:r>
      <w:r>
        <w:fldChar w:fldCharType="separate"/>
      </w:r>
      <w:r>
        <w:rPr>
          <w:rStyle w:val="37"/>
          <w:rFonts w:ascii="仿宋_GB2312" w:hAnsi="仿宋_GB2312" w:eastAsia="仿宋_GB2312" w:cs="仿宋_GB2312"/>
        </w:rPr>
        <w:t>1.2项目内容</w:t>
      </w:r>
      <w:r>
        <w:tab/>
      </w:r>
      <w:r>
        <w:fldChar w:fldCharType="begin"/>
      </w:r>
      <w:r>
        <w:instrText xml:space="preserve"> PAGEREF _Toc256000003 \h </w:instrText>
      </w:r>
      <w:r>
        <w:fldChar w:fldCharType="separate"/>
      </w:r>
      <w:r>
        <w:t>4</w:t>
      </w:r>
      <w:r>
        <w:fldChar w:fldCharType="end"/>
      </w:r>
      <w:r>
        <w:fldChar w:fldCharType="end"/>
      </w:r>
    </w:p>
    <w:p>
      <w:pPr>
        <w:pStyle w:val="17"/>
        <w:tabs>
          <w:tab w:val="right" w:leader="dot" w:pos="9016"/>
        </w:tabs>
        <w:spacing w:before="0" w:after="0" w:line="360" w:lineRule="auto"/>
        <w:rPr>
          <w:rFonts w:asciiTheme="minorHAnsi" w:hAnsiTheme="minorHAnsi"/>
          <w:sz w:val="22"/>
        </w:rPr>
      </w:pPr>
      <w:r>
        <w:fldChar w:fldCharType="begin"/>
      </w:r>
      <w:r>
        <w:instrText xml:space="preserve"> HYPERLINK \l "_Toc256000004" </w:instrText>
      </w:r>
      <w:r>
        <w:fldChar w:fldCharType="separate"/>
      </w:r>
      <w:r>
        <w:rPr>
          <w:rStyle w:val="37"/>
          <w:rFonts w:ascii="仿宋_GB2312" w:hAnsi="仿宋_GB2312" w:eastAsia="仿宋_GB2312" w:cs="仿宋_GB2312"/>
        </w:rPr>
        <w:t>1.2.1采购内容</w:t>
      </w:r>
      <w:r>
        <w:tab/>
      </w:r>
      <w:r>
        <w:fldChar w:fldCharType="begin"/>
      </w:r>
      <w:r>
        <w:instrText xml:space="preserve"> PAGEREF _Toc256000004 \h </w:instrText>
      </w:r>
      <w:r>
        <w:fldChar w:fldCharType="separate"/>
      </w:r>
      <w:r>
        <w:t>4</w:t>
      </w:r>
      <w:r>
        <w:fldChar w:fldCharType="end"/>
      </w:r>
      <w:r>
        <w:fldChar w:fldCharType="end"/>
      </w:r>
    </w:p>
    <w:p>
      <w:pPr>
        <w:pStyle w:val="17"/>
        <w:tabs>
          <w:tab w:val="right" w:leader="dot" w:pos="9016"/>
        </w:tabs>
        <w:spacing w:before="0" w:after="0" w:line="360" w:lineRule="auto"/>
        <w:rPr>
          <w:rFonts w:asciiTheme="minorHAnsi" w:hAnsiTheme="minorHAnsi"/>
          <w:sz w:val="22"/>
        </w:rPr>
      </w:pPr>
      <w:r>
        <w:fldChar w:fldCharType="begin"/>
      </w:r>
      <w:r>
        <w:instrText xml:space="preserve"> HYPERLINK \l "_Toc256000005" </w:instrText>
      </w:r>
      <w:r>
        <w:fldChar w:fldCharType="separate"/>
      </w:r>
      <w:r>
        <w:rPr>
          <w:rStyle w:val="37"/>
          <w:rFonts w:ascii="仿宋_GB2312" w:hAnsi="仿宋_GB2312" w:eastAsia="仿宋_GB2312" w:cs="仿宋_GB2312"/>
        </w:rPr>
        <w:t>1.2.2项目实施要求</w:t>
      </w:r>
      <w:r>
        <w:tab/>
      </w:r>
      <w:r>
        <w:fldChar w:fldCharType="begin"/>
      </w:r>
      <w:r>
        <w:instrText xml:space="preserve"> PAGEREF _Toc256000005 \h </w:instrText>
      </w:r>
      <w:r>
        <w:fldChar w:fldCharType="separate"/>
      </w:r>
      <w:r>
        <w:t>4</w:t>
      </w:r>
      <w:r>
        <w:fldChar w:fldCharType="end"/>
      </w:r>
      <w:r>
        <w:fldChar w:fldCharType="end"/>
      </w:r>
    </w:p>
    <w:p>
      <w:pPr>
        <w:pStyle w:val="17"/>
        <w:tabs>
          <w:tab w:val="right" w:leader="dot" w:pos="9016"/>
        </w:tabs>
        <w:spacing w:before="0" w:after="0" w:line="360" w:lineRule="auto"/>
        <w:rPr>
          <w:rFonts w:asciiTheme="minorHAnsi" w:hAnsiTheme="minorHAnsi"/>
          <w:sz w:val="22"/>
        </w:rPr>
      </w:pPr>
      <w:r>
        <w:fldChar w:fldCharType="begin"/>
      </w:r>
      <w:r>
        <w:instrText xml:space="preserve"> HYPERLINK \l "_Toc256000006" </w:instrText>
      </w:r>
      <w:r>
        <w:fldChar w:fldCharType="separate"/>
      </w:r>
      <w:r>
        <w:rPr>
          <w:rStyle w:val="37"/>
          <w:rFonts w:ascii="仿宋_GB2312" w:hAnsi="仿宋_GB2312" w:eastAsia="仿宋_GB2312" w:cs="仿宋_GB2312"/>
        </w:rPr>
        <w:t>1.2.3系统情况</w:t>
      </w:r>
      <w:r>
        <w:tab/>
      </w:r>
      <w:r>
        <w:fldChar w:fldCharType="begin"/>
      </w:r>
      <w:r>
        <w:instrText xml:space="preserve"> PAGEREF _Toc256000006 \h </w:instrText>
      </w:r>
      <w:r>
        <w:fldChar w:fldCharType="separate"/>
      </w:r>
      <w:r>
        <w:t>5</w:t>
      </w:r>
      <w:r>
        <w:fldChar w:fldCharType="end"/>
      </w:r>
      <w:r>
        <w:fldChar w:fldCharType="end"/>
      </w:r>
    </w:p>
    <w:p>
      <w:pPr>
        <w:pStyle w:val="25"/>
        <w:tabs>
          <w:tab w:val="right" w:leader="dot" w:pos="9016"/>
        </w:tabs>
        <w:spacing w:before="0" w:after="0" w:line="360" w:lineRule="auto"/>
        <w:rPr>
          <w:rFonts w:asciiTheme="minorHAnsi" w:hAnsiTheme="minorHAnsi"/>
          <w:sz w:val="22"/>
        </w:rPr>
      </w:pPr>
      <w:r>
        <w:fldChar w:fldCharType="begin"/>
      </w:r>
      <w:r>
        <w:instrText xml:space="preserve"> HYPERLINK \l "_Toc256000007" </w:instrText>
      </w:r>
      <w:r>
        <w:fldChar w:fldCharType="separate"/>
      </w:r>
      <w:r>
        <w:rPr>
          <w:rStyle w:val="37"/>
          <w:rFonts w:ascii="仿宋_GB2312" w:hAnsi="仿宋_GB2312" w:eastAsia="仿宋_GB2312" w:cs="仿宋_GB2312"/>
          <w:kern w:val="36"/>
        </w:rPr>
        <w:t>2投标/响应要求</w:t>
      </w:r>
      <w:r>
        <w:tab/>
      </w:r>
      <w:r>
        <w:fldChar w:fldCharType="begin"/>
      </w:r>
      <w:r>
        <w:instrText xml:space="preserve"> PAGEREF _Toc256000007 \h </w:instrText>
      </w:r>
      <w:r>
        <w:fldChar w:fldCharType="separate"/>
      </w:r>
      <w:r>
        <w:t>5</w:t>
      </w:r>
      <w:r>
        <w:fldChar w:fldCharType="end"/>
      </w:r>
      <w:r>
        <w:fldChar w:fldCharType="end"/>
      </w:r>
    </w:p>
    <w:p>
      <w:pPr>
        <w:pStyle w:val="27"/>
        <w:tabs>
          <w:tab w:val="right" w:leader="dot" w:pos="9016"/>
        </w:tabs>
        <w:spacing w:before="0" w:after="0" w:line="360" w:lineRule="auto"/>
        <w:rPr>
          <w:rFonts w:asciiTheme="minorHAnsi" w:hAnsiTheme="minorHAnsi"/>
          <w:sz w:val="22"/>
        </w:rPr>
      </w:pPr>
      <w:r>
        <w:fldChar w:fldCharType="begin"/>
      </w:r>
      <w:r>
        <w:instrText xml:space="preserve"> HYPERLINK \l "_Toc256000008" </w:instrText>
      </w:r>
      <w:r>
        <w:fldChar w:fldCharType="separate"/>
      </w:r>
      <w:r>
        <w:rPr>
          <w:rStyle w:val="37"/>
          <w:rFonts w:ascii="仿宋_GB2312" w:hAnsi="仿宋_GB2312" w:eastAsia="仿宋_GB2312" w:cs="仿宋_GB2312"/>
        </w:rPr>
        <w:t>2.1对供应商的要求</w:t>
      </w:r>
      <w:r>
        <w:tab/>
      </w:r>
      <w:r>
        <w:fldChar w:fldCharType="begin"/>
      </w:r>
      <w:r>
        <w:instrText xml:space="preserve"> PAGEREF _Toc256000008 \h </w:instrText>
      </w:r>
      <w:r>
        <w:fldChar w:fldCharType="separate"/>
      </w:r>
      <w:r>
        <w:t>5</w:t>
      </w:r>
      <w:r>
        <w:fldChar w:fldCharType="end"/>
      </w:r>
      <w:r>
        <w:fldChar w:fldCharType="end"/>
      </w:r>
    </w:p>
    <w:p>
      <w:pPr>
        <w:pStyle w:val="17"/>
        <w:tabs>
          <w:tab w:val="right" w:leader="dot" w:pos="9016"/>
        </w:tabs>
        <w:spacing w:before="0" w:after="0" w:line="360" w:lineRule="auto"/>
        <w:rPr>
          <w:rFonts w:asciiTheme="minorHAnsi" w:hAnsiTheme="minorHAnsi"/>
          <w:sz w:val="22"/>
        </w:rPr>
      </w:pPr>
      <w:r>
        <w:fldChar w:fldCharType="begin"/>
      </w:r>
      <w:r>
        <w:instrText xml:space="preserve"> HYPERLINK \l "_Toc256000009" </w:instrText>
      </w:r>
      <w:r>
        <w:fldChar w:fldCharType="separate"/>
      </w:r>
      <w:r>
        <w:rPr>
          <w:rStyle w:val="37"/>
          <w:rFonts w:ascii="仿宋_GB2312" w:hAnsi="仿宋_GB2312" w:eastAsia="仿宋_GB2312" w:cs="仿宋_GB2312"/>
        </w:rPr>
        <w:t>2.1.1必备资质</w:t>
      </w:r>
      <w:r>
        <w:tab/>
      </w:r>
      <w:r>
        <w:fldChar w:fldCharType="begin"/>
      </w:r>
      <w:r>
        <w:instrText xml:space="preserve"> PAGEREF _Toc256000009 \h </w:instrText>
      </w:r>
      <w:r>
        <w:fldChar w:fldCharType="separate"/>
      </w:r>
      <w:r>
        <w:t>5</w:t>
      </w:r>
      <w:r>
        <w:fldChar w:fldCharType="end"/>
      </w:r>
      <w:r>
        <w:fldChar w:fldCharType="end"/>
      </w:r>
    </w:p>
    <w:p>
      <w:pPr>
        <w:pStyle w:val="17"/>
        <w:tabs>
          <w:tab w:val="right" w:leader="dot" w:pos="9016"/>
        </w:tabs>
        <w:spacing w:before="0" w:after="0" w:line="360" w:lineRule="auto"/>
        <w:rPr>
          <w:rFonts w:asciiTheme="minorHAnsi" w:hAnsiTheme="minorHAnsi"/>
          <w:sz w:val="22"/>
        </w:rPr>
      </w:pPr>
      <w:r>
        <w:fldChar w:fldCharType="begin"/>
      </w:r>
      <w:r>
        <w:instrText xml:space="preserve"> HYPERLINK \l "_Toc256000010" </w:instrText>
      </w:r>
      <w:r>
        <w:fldChar w:fldCharType="separate"/>
      </w:r>
      <w:r>
        <w:rPr>
          <w:rStyle w:val="37"/>
          <w:rFonts w:ascii="仿宋_GB2312" w:hAnsi="仿宋_GB2312" w:eastAsia="仿宋_GB2312" w:cs="仿宋_GB2312"/>
        </w:rPr>
        <w:t>2.1.2优选资质/优选指标</w:t>
      </w:r>
      <w:r>
        <w:tab/>
      </w:r>
      <w:r>
        <w:fldChar w:fldCharType="begin"/>
      </w:r>
      <w:r>
        <w:instrText xml:space="preserve"> PAGEREF _Toc256000010 \h </w:instrText>
      </w:r>
      <w:r>
        <w:fldChar w:fldCharType="separate"/>
      </w:r>
      <w:r>
        <w:t>6</w:t>
      </w:r>
      <w:r>
        <w:fldChar w:fldCharType="end"/>
      </w:r>
      <w:r>
        <w:fldChar w:fldCharType="end"/>
      </w:r>
    </w:p>
    <w:p>
      <w:pPr>
        <w:pStyle w:val="17"/>
        <w:tabs>
          <w:tab w:val="right" w:leader="dot" w:pos="9016"/>
        </w:tabs>
        <w:spacing w:before="0" w:after="0" w:line="360" w:lineRule="auto"/>
        <w:rPr>
          <w:rFonts w:asciiTheme="minorHAnsi" w:hAnsiTheme="minorHAnsi"/>
          <w:sz w:val="22"/>
        </w:rPr>
      </w:pPr>
      <w:r>
        <w:fldChar w:fldCharType="begin"/>
      </w:r>
      <w:r>
        <w:instrText xml:space="preserve"> HYPERLINK \l "_Toc256000011" </w:instrText>
      </w:r>
      <w:r>
        <w:fldChar w:fldCharType="separate"/>
      </w:r>
      <w:r>
        <w:rPr>
          <w:rStyle w:val="37"/>
          <w:rFonts w:ascii="仿宋_GB2312" w:hAnsi="仿宋_GB2312" w:eastAsia="仿宋_GB2312" w:cs="仿宋_GB2312"/>
        </w:rPr>
        <w:t>2.1.3是否允许联合体</w:t>
      </w:r>
      <w:r>
        <w:tab/>
      </w:r>
      <w:r>
        <w:fldChar w:fldCharType="begin"/>
      </w:r>
      <w:r>
        <w:instrText xml:space="preserve"> PAGEREF _Toc256000011 \h </w:instrText>
      </w:r>
      <w:r>
        <w:fldChar w:fldCharType="separate"/>
      </w:r>
      <w:r>
        <w:t>6</w:t>
      </w:r>
      <w:r>
        <w:fldChar w:fldCharType="end"/>
      </w:r>
      <w:r>
        <w:fldChar w:fldCharType="end"/>
      </w:r>
    </w:p>
    <w:p>
      <w:pPr>
        <w:pStyle w:val="17"/>
        <w:tabs>
          <w:tab w:val="right" w:leader="dot" w:pos="9016"/>
        </w:tabs>
        <w:spacing w:before="0" w:after="0" w:line="360" w:lineRule="auto"/>
        <w:rPr>
          <w:rFonts w:asciiTheme="minorHAnsi" w:hAnsiTheme="minorHAnsi"/>
          <w:sz w:val="22"/>
        </w:rPr>
      </w:pPr>
      <w:r>
        <w:fldChar w:fldCharType="begin"/>
      </w:r>
      <w:r>
        <w:instrText xml:space="preserve"> HYPERLINK \l "_Toc256000012" </w:instrText>
      </w:r>
      <w:r>
        <w:fldChar w:fldCharType="separate"/>
      </w:r>
      <w:r>
        <w:rPr>
          <w:rStyle w:val="37"/>
          <w:rFonts w:ascii="仿宋_GB2312" w:hAnsi="仿宋_GB2312" w:eastAsia="仿宋_GB2312" w:cs="仿宋_GB2312"/>
        </w:rPr>
        <w:t>2.1.4是否专门面向中小企业</w:t>
      </w:r>
      <w:r>
        <w:tab/>
      </w:r>
      <w:r>
        <w:fldChar w:fldCharType="begin"/>
      </w:r>
      <w:r>
        <w:instrText xml:space="preserve"> PAGEREF _Toc256000012 \h </w:instrText>
      </w:r>
      <w:r>
        <w:fldChar w:fldCharType="separate"/>
      </w:r>
      <w:r>
        <w:t>6</w:t>
      </w:r>
      <w:r>
        <w:fldChar w:fldCharType="end"/>
      </w:r>
      <w:r>
        <w:fldChar w:fldCharType="end"/>
      </w:r>
    </w:p>
    <w:p>
      <w:pPr>
        <w:pStyle w:val="27"/>
        <w:tabs>
          <w:tab w:val="right" w:leader="dot" w:pos="9016"/>
        </w:tabs>
        <w:spacing w:before="0" w:after="0" w:line="360" w:lineRule="auto"/>
        <w:rPr>
          <w:rFonts w:asciiTheme="minorHAnsi" w:hAnsiTheme="minorHAnsi"/>
          <w:sz w:val="22"/>
        </w:rPr>
      </w:pPr>
      <w:r>
        <w:fldChar w:fldCharType="begin"/>
      </w:r>
      <w:r>
        <w:instrText xml:space="preserve"> HYPERLINK \l "_Toc256000013" </w:instrText>
      </w:r>
      <w:r>
        <w:fldChar w:fldCharType="separate"/>
      </w:r>
      <w:r>
        <w:rPr>
          <w:rStyle w:val="37"/>
          <w:rFonts w:ascii="仿宋_GB2312" w:hAnsi="仿宋_GB2312" w:eastAsia="仿宋_GB2312" w:cs="仿宋_GB2312"/>
        </w:rPr>
        <w:t>2.2技术部分投标/响应内容</w:t>
      </w:r>
      <w:r>
        <w:tab/>
      </w:r>
      <w:r>
        <w:fldChar w:fldCharType="begin"/>
      </w:r>
      <w:r>
        <w:instrText xml:space="preserve"> PAGEREF _Toc256000013 \h </w:instrText>
      </w:r>
      <w:r>
        <w:fldChar w:fldCharType="separate"/>
      </w:r>
      <w:r>
        <w:t>6</w:t>
      </w:r>
      <w:r>
        <w:fldChar w:fldCharType="end"/>
      </w:r>
      <w:r>
        <w:fldChar w:fldCharType="end"/>
      </w:r>
    </w:p>
    <w:p>
      <w:pPr>
        <w:pStyle w:val="17"/>
        <w:tabs>
          <w:tab w:val="right" w:leader="dot" w:pos="9016"/>
        </w:tabs>
        <w:spacing w:before="0" w:after="0" w:line="360" w:lineRule="auto"/>
        <w:rPr>
          <w:rFonts w:asciiTheme="minorHAnsi" w:hAnsiTheme="minorHAnsi"/>
          <w:sz w:val="22"/>
        </w:rPr>
      </w:pPr>
      <w:r>
        <w:fldChar w:fldCharType="begin"/>
      </w:r>
      <w:r>
        <w:instrText xml:space="preserve"> HYPERLINK \l "_Toc256000014" </w:instrText>
      </w:r>
      <w:r>
        <w:fldChar w:fldCharType="separate"/>
      </w:r>
      <w:r>
        <w:rPr>
          <w:rStyle w:val="37"/>
          <w:rFonts w:ascii="仿宋_GB2312" w:hAnsi="仿宋_GB2312" w:eastAsia="仿宋_GB2312" w:cs="仿宋_GB2312"/>
        </w:rPr>
        <w:t>2.2.1投标/响应方案要求</w:t>
      </w:r>
      <w:r>
        <w:tab/>
      </w:r>
      <w:r>
        <w:fldChar w:fldCharType="begin"/>
      </w:r>
      <w:r>
        <w:instrText xml:space="preserve"> PAGEREF _Toc256000014 \h </w:instrText>
      </w:r>
      <w:r>
        <w:fldChar w:fldCharType="separate"/>
      </w:r>
      <w:r>
        <w:t>6</w:t>
      </w:r>
      <w:r>
        <w:fldChar w:fldCharType="end"/>
      </w:r>
      <w:r>
        <w:fldChar w:fldCharType="end"/>
      </w:r>
    </w:p>
    <w:p>
      <w:pPr>
        <w:pStyle w:val="17"/>
        <w:tabs>
          <w:tab w:val="right" w:leader="dot" w:pos="9016"/>
        </w:tabs>
        <w:spacing w:before="0" w:after="0" w:line="360" w:lineRule="auto"/>
        <w:rPr>
          <w:rFonts w:asciiTheme="minorHAnsi" w:hAnsiTheme="minorHAnsi"/>
          <w:sz w:val="22"/>
        </w:rPr>
      </w:pPr>
      <w:r>
        <w:fldChar w:fldCharType="begin"/>
      </w:r>
      <w:r>
        <w:instrText xml:space="preserve"> HYPERLINK \l "_Toc256000015" </w:instrText>
      </w:r>
      <w:r>
        <w:fldChar w:fldCharType="separate"/>
      </w:r>
      <w:r>
        <w:rPr>
          <w:rStyle w:val="37"/>
          <w:rFonts w:ascii="仿宋_GB2312" w:hAnsi="仿宋_GB2312" w:eastAsia="仿宋_GB2312" w:cs="仿宋_GB2312"/>
        </w:rPr>
        <w:t>2.2.2技术开发服务方案要求</w:t>
      </w:r>
      <w:r>
        <w:tab/>
      </w:r>
      <w:r>
        <w:fldChar w:fldCharType="begin"/>
      </w:r>
      <w:r>
        <w:instrText xml:space="preserve"> PAGEREF _Toc256000015 \h </w:instrText>
      </w:r>
      <w:r>
        <w:fldChar w:fldCharType="separate"/>
      </w:r>
      <w:r>
        <w:t>7</w:t>
      </w:r>
      <w:r>
        <w:fldChar w:fldCharType="end"/>
      </w:r>
      <w:r>
        <w:fldChar w:fldCharType="end"/>
      </w:r>
    </w:p>
    <w:p>
      <w:pPr>
        <w:pStyle w:val="25"/>
        <w:tabs>
          <w:tab w:val="right" w:leader="dot" w:pos="9016"/>
        </w:tabs>
        <w:spacing w:before="0" w:after="0" w:line="360" w:lineRule="auto"/>
        <w:rPr>
          <w:rFonts w:asciiTheme="minorHAnsi" w:hAnsiTheme="minorHAnsi"/>
          <w:sz w:val="22"/>
        </w:rPr>
      </w:pPr>
      <w:r>
        <w:fldChar w:fldCharType="begin"/>
      </w:r>
      <w:r>
        <w:instrText xml:space="preserve"> HYPERLINK \l "_Toc256000016" </w:instrText>
      </w:r>
      <w:r>
        <w:fldChar w:fldCharType="separate"/>
      </w:r>
      <w:r>
        <w:rPr>
          <w:rStyle w:val="37"/>
          <w:rFonts w:ascii="仿宋_GB2312" w:hAnsi="仿宋_GB2312" w:eastAsia="仿宋_GB2312" w:cs="仿宋_GB2312"/>
          <w:kern w:val="36"/>
        </w:rPr>
        <w:t>3项目需求</w:t>
      </w:r>
      <w:r>
        <w:tab/>
      </w:r>
      <w:r>
        <w:fldChar w:fldCharType="begin"/>
      </w:r>
      <w:r>
        <w:instrText xml:space="preserve"> PAGEREF _Toc256000016 \h </w:instrText>
      </w:r>
      <w:r>
        <w:fldChar w:fldCharType="separate"/>
      </w:r>
      <w:r>
        <w:t>8</w:t>
      </w:r>
      <w:r>
        <w:fldChar w:fldCharType="end"/>
      </w:r>
      <w:r>
        <w:fldChar w:fldCharType="end"/>
      </w:r>
    </w:p>
    <w:p>
      <w:pPr>
        <w:pStyle w:val="27"/>
        <w:tabs>
          <w:tab w:val="right" w:leader="dot" w:pos="9016"/>
        </w:tabs>
        <w:spacing w:before="0" w:after="0" w:line="360" w:lineRule="auto"/>
        <w:rPr>
          <w:rFonts w:asciiTheme="minorHAnsi" w:hAnsiTheme="minorHAnsi"/>
          <w:sz w:val="22"/>
        </w:rPr>
      </w:pPr>
      <w:r>
        <w:fldChar w:fldCharType="begin"/>
      </w:r>
      <w:r>
        <w:instrText xml:space="preserve"> HYPERLINK \l "_Toc256000017" </w:instrText>
      </w:r>
      <w:r>
        <w:fldChar w:fldCharType="separate"/>
      </w:r>
      <w:r>
        <w:rPr>
          <w:rStyle w:val="37"/>
          <w:rFonts w:ascii="仿宋_GB2312" w:hAnsi="仿宋_GB2312" w:eastAsia="仿宋_GB2312" w:cs="仿宋_GB2312"/>
        </w:rPr>
        <w:t>3.1总体要求</w:t>
      </w:r>
      <w:r>
        <w:tab/>
      </w:r>
      <w:r>
        <w:fldChar w:fldCharType="begin"/>
      </w:r>
      <w:r>
        <w:instrText xml:space="preserve"> PAGEREF _Toc256000017 \h </w:instrText>
      </w:r>
      <w:r>
        <w:fldChar w:fldCharType="separate"/>
      </w:r>
      <w:r>
        <w:t>8</w:t>
      </w:r>
      <w:r>
        <w:fldChar w:fldCharType="end"/>
      </w:r>
      <w:r>
        <w:fldChar w:fldCharType="end"/>
      </w:r>
    </w:p>
    <w:p>
      <w:pPr>
        <w:pStyle w:val="17"/>
        <w:tabs>
          <w:tab w:val="right" w:leader="dot" w:pos="9016"/>
        </w:tabs>
        <w:spacing w:before="0" w:after="0" w:line="360" w:lineRule="auto"/>
        <w:rPr>
          <w:rFonts w:asciiTheme="minorHAnsi" w:hAnsiTheme="minorHAnsi"/>
          <w:sz w:val="22"/>
        </w:rPr>
      </w:pPr>
      <w:r>
        <w:fldChar w:fldCharType="begin"/>
      </w:r>
      <w:r>
        <w:instrText xml:space="preserve"> HYPERLINK \l "_Toc256000018" </w:instrText>
      </w:r>
      <w:r>
        <w:fldChar w:fldCharType="separate"/>
      </w:r>
      <w:r>
        <w:rPr>
          <w:rStyle w:val="37"/>
          <w:rFonts w:ascii="仿宋_GB2312" w:hAnsi="仿宋_GB2312" w:eastAsia="仿宋_GB2312" w:cs="仿宋_GB2312"/>
        </w:rPr>
        <w:t>3.1.1升级改造具体内容</w:t>
      </w:r>
      <w:r>
        <w:tab/>
      </w:r>
      <w:r>
        <w:fldChar w:fldCharType="begin"/>
      </w:r>
      <w:r>
        <w:instrText xml:space="preserve"> PAGEREF _Toc256000018 \h </w:instrText>
      </w:r>
      <w:r>
        <w:fldChar w:fldCharType="separate"/>
      </w:r>
      <w:r>
        <w:t>9</w:t>
      </w:r>
      <w:r>
        <w:fldChar w:fldCharType="end"/>
      </w:r>
      <w:r>
        <w:fldChar w:fldCharType="end"/>
      </w:r>
    </w:p>
    <w:p>
      <w:pPr>
        <w:pStyle w:val="27"/>
        <w:tabs>
          <w:tab w:val="right" w:leader="dot" w:pos="9016"/>
        </w:tabs>
        <w:spacing w:before="0" w:after="0" w:line="360" w:lineRule="auto"/>
        <w:rPr>
          <w:rFonts w:asciiTheme="minorHAnsi" w:hAnsiTheme="minorHAnsi"/>
          <w:sz w:val="22"/>
        </w:rPr>
      </w:pPr>
      <w:r>
        <w:fldChar w:fldCharType="begin"/>
      </w:r>
      <w:r>
        <w:instrText xml:space="preserve"> HYPERLINK \l "_Toc256000019" </w:instrText>
      </w:r>
      <w:r>
        <w:fldChar w:fldCharType="separate"/>
      </w:r>
      <w:r>
        <w:rPr>
          <w:rStyle w:val="37"/>
          <w:rFonts w:ascii="仿宋_GB2312" w:hAnsi="仿宋_GB2312" w:eastAsia="仿宋_GB2312" w:cs="仿宋_GB2312"/>
        </w:rPr>
        <w:t>3.2服务内容和要求</w:t>
      </w:r>
      <w:r>
        <w:tab/>
      </w:r>
      <w:r>
        <w:fldChar w:fldCharType="begin"/>
      </w:r>
      <w:r>
        <w:instrText xml:space="preserve"> PAGEREF _Toc256000019 \h </w:instrText>
      </w:r>
      <w:r>
        <w:fldChar w:fldCharType="separate"/>
      </w:r>
      <w:r>
        <w:t>16</w:t>
      </w:r>
      <w:r>
        <w:fldChar w:fldCharType="end"/>
      </w:r>
      <w:r>
        <w:fldChar w:fldCharType="end"/>
      </w:r>
    </w:p>
    <w:p>
      <w:pPr>
        <w:pStyle w:val="17"/>
        <w:tabs>
          <w:tab w:val="right" w:leader="dot" w:pos="9016"/>
        </w:tabs>
        <w:spacing w:before="0" w:after="0" w:line="360" w:lineRule="auto"/>
        <w:rPr>
          <w:rFonts w:asciiTheme="minorHAnsi" w:hAnsiTheme="minorHAnsi"/>
          <w:sz w:val="22"/>
        </w:rPr>
      </w:pPr>
      <w:r>
        <w:fldChar w:fldCharType="begin"/>
      </w:r>
      <w:r>
        <w:instrText xml:space="preserve"> HYPERLINK \l "_Toc256000020" </w:instrText>
      </w:r>
      <w:r>
        <w:fldChar w:fldCharType="separate"/>
      </w:r>
      <w:r>
        <w:rPr>
          <w:rStyle w:val="37"/>
          <w:rFonts w:ascii="仿宋_GB2312" w:hAnsi="仿宋_GB2312" w:eastAsia="仿宋_GB2312" w:cs="仿宋_GB2312"/>
        </w:rPr>
        <w:t>3.2.1技术和服务客观指标</w:t>
      </w:r>
      <w:r>
        <w:tab/>
      </w:r>
      <w:r>
        <w:fldChar w:fldCharType="begin"/>
      </w:r>
      <w:r>
        <w:instrText xml:space="preserve"> PAGEREF _Toc256000020 \h </w:instrText>
      </w:r>
      <w:r>
        <w:fldChar w:fldCharType="separate"/>
      </w:r>
      <w:r>
        <w:t>16</w:t>
      </w:r>
      <w:r>
        <w:fldChar w:fldCharType="end"/>
      </w:r>
      <w:r>
        <w:fldChar w:fldCharType="end"/>
      </w:r>
    </w:p>
    <w:p>
      <w:pPr>
        <w:pStyle w:val="25"/>
        <w:tabs>
          <w:tab w:val="right" w:leader="dot" w:pos="9016"/>
        </w:tabs>
        <w:spacing w:before="0" w:after="0" w:line="360" w:lineRule="auto"/>
        <w:rPr>
          <w:rFonts w:asciiTheme="minorHAnsi" w:hAnsiTheme="minorHAnsi"/>
          <w:sz w:val="22"/>
        </w:rPr>
      </w:pPr>
      <w:r>
        <w:fldChar w:fldCharType="begin"/>
      </w:r>
      <w:r>
        <w:instrText xml:space="preserve"> HYPERLINK \l "_Toc256000021" </w:instrText>
      </w:r>
      <w:r>
        <w:fldChar w:fldCharType="separate"/>
      </w:r>
      <w:r>
        <w:rPr>
          <w:rStyle w:val="37"/>
          <w:rFonts w:ascii="仿宋_GB2312" w:hAnsi="仿宋_GB2312" w:eastAsia="仿宋_GB2312" w:cs="仿宋_GB2312"/>
          <w:kern w:val="36"/>
        </w:rPr>
        <w:t>4人员要求</w:t>
      </w:r>
      <w:r>
        <w:tab/>
      </w:r>
      <w:r>
        <w:fldChar w:fldCharType="begin"/>
      </w:r>
      <w:r>
        <w:instrText xml:space="preserve"> PAGEREF _Toc256000021 \h </w:instrText>
      </w:r>
      <w:r>
        <w:fldChar w:fldCharType="separate"/>
      </w:r>
      <w:r>
        <w:t>16</w:t>
      </w:r>
      <w:r>
        <w:fldChar w:fldCharType="end"/>
      </w:r>
      <w:r>
        <w:fldChar w:fldCharType="end"/>
      </w:r>
    </w:p>
    <w:p>
      <w:pPr>
        <w:pStyle w:val="27"/>
        <w:tabs>
          <w:tab w:val="right" w:leader="dot" w:pos="9016"/>
        </w:tabs>
        <w:spacing w:before="0" w:after="0" w:line="360" w:lineRule="auto"/>
        <w:rPr>
          <w:rFonts w:asciiTheme="minorHAnsi" w:hAnsiTheme="minorHAnsi"/>
          <w:sz w:val="22"/>
        </w:rPr>
      </w:pPr>
      <w:r>
        <w:fldChar w:fldCharType="begin"/>
      </w:r>
      <w:r>
        <w:instrText xml:space="preserve"> HYPERLINK \l "_Toc256000022" </w:instrText>
      </w:r>
      <w:r>
        <w:fldChar w:fldCharType="separate"/>
      </w:r>
      <w:r>
        <w:rPr>
          <w:rStyle w:val="37"/>
          <w:rFonts w:ascii="仿宋_GB2312" w:hAnsi="仿宋_GB2312" w:eastAsia="仿宋_GB2312" w:cs="仿宋_GB2312"/>
        </w:rPr>
        <w:t>4.1总体要求</w:t>
      </w:r>
      <w:r>
        <w:tab/>
      </w:r>
      <w:r>
        <w:fldChar w:fldCharType="begin"/>
      </w:r>
      <w:r>
        <w:instrText xml:space="preserve"> PAGEREF _Toc256000022 \h </w:instrText>
      </w:r>
      <w:r>
        <w:fldChar w:fldCharType="separate"/>
      </w:r>
      <w:r>
        <w:t>16</w:t>
      </w:r>
      <w:r>
        <w:fldChar w:fldCharType="end"/>
      </w:r>
      <w:r>
        <w:fldChar w:fldCharType="end"/>
      </w:r>
    </w:p>
    <w:p>
      <w:pPr>
        <w:pStyle w:val="27"/>
        <w:tabs>
          <w:tab w:val="right" w:leader="dot" w:pos="9016"/>
        </w:tabs>
        <w:spacing w:before="0" w:after="0" w:line="360" w:lineRule="auto"/>
        <w:rPr>
          <w:rFonts w:asciiTheme="minorHAnsi" w:hAnsiTheme="minorHAnsi"/>
          <w:sz w:val="22"/>
        </w:rPr>
      </w:pPr>
      <w:r>
        <w:fldChar w:fldCharType="begin"/>
      </w:r>
      <w:r>
        <w:instrText xml:space="preserve"> HYPERLINK \l "_Toc256000023" </w:instrText>
      </w:r>
      <w:r>
        <w:fldChar w:fldCharType="separate"/>
      </w:r>
      <w:r>
        <w:rPr>
          <w:rStyle w:val="37"/>
          <w:rFonts w:ascii="仿宋_GB2312" w:hAnsi="仿宋_GB2312" w:eastAsia="仿宋_GB2312" w:cs="仿宋_GB2312"/>
        </w:rPr>
        <w:t>4.2管理团队</w:t>
      </w:r>
      <w:r>
        <w:tab/>
      </w:r>
      <w:r>
        <w:fldChar w:fldCharType="begin"/>
      </w:r>
      <w:r>
        <w:instrText xml:space="preserve"> PAGEREF _Toc256000023 \h </w:instrText>
      </w:r>
      <w:r>
        <w:fldChar w:fldCharType="separate"/>
      </w:r>
      <w:r>
        <w:t>16</w:t>
      </w:r>
      <w:r>
        <w:fldChar w:fldCharType="end"/>
      </w:r>
      <w:r>
        <w:fldChar w:fldCharType="end"/>
      </w:r>
    </w:p>
    <w:p>
      <w:pPr>
        <w:pStyle w:val="17"/>
        <w:tabs>
          <w:tab w:val="right" w:leader="dot" w:pos="9016"/>
        </w:tabs>
        <w:spacing w:before="0" w:after="0" w:line="360" w:lineRule="auto"/>
        <w:rPr>
          <w:rFonts w:asciiTheme="minorHAnsi" w:hAnsiTheme="minorHAnsi"/>
          <w:sz w:val="22"/>
        </w:rPr>
      </w:pPr>
      <w:r>
        <w:fldChar w:fldCharType="begin"/>
      </w:r>
      <w:r>
        <w:instrText xml:space="preserve"> HYPERLINK \l "_Toc256000024" </w:instrText>
      </w:r>
      <w:r>
        <w:fldChar w:fldCharType="separate"/>
      </w:r>
      <w:r>
        <w:rPr>
          <w:rStyle w:val="37"/>
          <w:rFonts w:ascii="仿宋_GB2312" w:hAnsi="仿宋_GB2312" w:eastAsia="仿宋_GB2312" w:cs="仿宋_GB2312"/>
        </w:rPr>
        <w:t>4.2.1项目总监</w:t>
      </w:r>
      <w:r>
        <w:tab/>
      </w:r>
      <w:r>
        <w:fldChar w:fldCharType="begin"/>
      </w:r>
      <w:r>
        <w:instrText xml:space="preserve"> PAGEREF _Toc256000024 \h </w:instrText>
      </w:r>
      <w:r>
        <w:fldChar w:fldCharType="separate"/>
      </w:r>
      <w:r>
        <w:t>16</w:t>
      </w:r>
      <w:r>
        <w:fldChar w:fldCharType="end"/>
      </w:r>
      <w:r>
        <w:fldChar w:fldCharType="end"/>
      </w:r>
    </w:p>
    <w:p>
      <w:pPr>
        <w:pStyle w:val="17"/>
        <w:tabs>
          <w:tab w:val="right" w:leader="dot" w:pos="9016"/>
        </w:tabs>
        <w:spacing w:before="0" w:after="0" w:line="360" w:lineRule="auto"/>
        <w:rPr>
          <w:rFonts w:asciiTheme="minorHAnsi" w:hAnsiTheme="minorHAnsi"/>
          <w:sz w:val="22"/>
        </w:rPr>
      </w:pPr>
      <w:r>
        <w:fldChar w:fldCharType="begin"/>
      </w:r>
      <w:r>
        <w:instrText xml:space="preserve"> HYPERLINK \l "_Toc256000025" </w:instrText>
      </w:r>
      <w:r>
        <w:fldChar w:fldCharType="separate"/>
      </w:r>
      <w:r>
        <w:rPr>
          <w:rStyle w:val="37"/>
          <w:rFonts w:ascii="仿宋_GB2312" w:hAnsi="仿宋_GB2312" w:eastAsia="仿宋_GB2312" w:cs="仿宋_GB2312"/>
        </w:rPr>
        <w:t>4.2.2项目经理</w:t>
      </w:r>
      <w:r>
        <w:tab/>
      </w:r>
      <w:r>
        <w:fldChar w:fldCharType="begin"/>
      </w:r>
      <w:r>
        <w:instrText xml:space="preserve"> PAGEREF _Toc256000025 \h </w:instrText>
      </w:r>
      <w:r>
        <w:fldChar w:fldCharType="separate"/>
      </w:r>
      <w:r>
        <w:t>17</w:t>
      </w:r>
      <w:r>
        <w:fldChar w:fldCharType="end"/>
      </w:r>
      <w:r>
        <w:fldChar w:fldCharType="end"/>
      </w:r>
    </w:p>
    <w:p>
      <w:pPr>
        <w:pStyle w:val="27"/>
        <w:tabs>
          <w:tab w:val="right" w:leader="dot" w:pos="9016"/>
        </w:tabs>
        <w:spacing w:before="0" w:after="0" w:line="360" w:lineRule="auto"/>
        <w:rPr>
          <w:rFonts w:asciiTheme="minorHAnsi" w:hAnsiTheme="minorHAnsi"/>
          <w:sz w:val="22"/>
        </w:rPr>
      </w:pPr>
      <w:r>
        <w:fldChar w:fldCharType="begin"/>
      </w:r>
      <w:r>
        <w:instrText xml:space="preserve"> HYPERLINK \l "_Toc256000026" </w:instrText>
      </w:r>
      <w:r>
        <w:fldChar w:fldCharType="separate"/>
      </w:r>
      <w:r>
        <w:rPr>
          <w:rStyle w:val="37"/>
          <w:rFonts w:ascii="仿宋_GB2312" w:hAnsi="仿宋_GB2312" w:eastAsia="仿宋_GB2312" w:cs="仿宋_GB2312"/>
        </w:rPr>
        <w:t>4.3技术团队</w:t>
      </w:r>
      <w:r>
        <w:tab/>
      </w:r>
      <w:r>
        <w:fldChar w:fldCharType="begin"/>
      </w:r>
      <w:r>
        <w:instrText xml:space="preserve"> PAGEREF _Toc256000026 \h </w:instrText>
      </w:r>
      <w:r>
        <w:fldChar w:fldCharType="separate"/>
      </w:r>
      <w:r>
        <w:t>17</w:t>
      </w:r>
      <w:r>
        <w:fldChar w:fldCharType="end"/>
      </w:r>
      <w:r>
        <w:fldChar w:fldCharType="end"/>
      </w:r>
    </w:p>
    <w:p>
      <w:pPr>
        <w:pStyle w:val="27"/>
        <w:tabs>
          <w:tab w:val="right" w:leader="dot" w:pos="9016"/>
        </w:tabs>
        <w:spacing w:before="0" w:after="0" w:line="360" w:lineRule="auto"/>
        <w:rPr>
          <w:rFonts w:asciiTheme="minorHAnsi" w:hAnsiTheme="minorHAnsi"/>
          <w:sz w:val="22"/>
        </w:rPr>
      </w:pPr>
      <w:r>
        <w:fldChar w:fldCharType="begin"/>
      </w:r>
      <w:r>
        <w:instrText xml:space="preserve"> HYPERLINK \l "_Toc256000027" </w:instrText>
      </w:r>
      <w:r>
        <w:fldChar w:fldCharType="separate"/>
      </w:r>
      <w:r>
        <w:rPr>
          <w:rStyle w:val="37"/>
          <w:rFonts w:ascii="仿宋_GB2312" w:hAnsi="仿宋_GB2312" w:eastAsia="仿宋_GB2312" w:cs="仿宋_GB2312"/>
        </w:rPr>
        <w:t>4.4优选资质/优选指标</w:t>
      </w:r>
      <w:r>
        <w:tab/>
      </w:r>
      <w:r>
        <w:fldChar w:fldCharType="begin"/>
      </w:r>
      <w:r>
        <w:instrText xml:space="preserve"> PAGEREF _Toc256000027 \h </w:instrText>
      </w:r>
      <w:r>
        <w:fldChar w:fldCharType="separate"/>
      </w:r>
      <w:r>
        <w:t>17</w:t>
      </w:r>
      <w:r>
        <w:fldChar w:fldCharType="end"/>
      </w:r>
      <w:r>
        <w:fldChar w:fldCharType="end"/>
      </w:r>
    </w:p>
    <w:p>
      <w:pPr>
        <w:pStyle w:val="25"/>
        <w:tabs>
          <w:tab w:val="right" w:leader="dot" w:pos="9016"/>
        </w:tabs>
        <w:spacing w:before="0" w:after="0" w:line="360" w:lineRule="auto"/>
        <w:rPr>
          <w:rFonts w:asciiTheme="minorHAnsi" w:hAnsiTheme="minorHAnsi"/>
          <w:sz w:val="22"/>
        </w:rPr>
      </w:pPr>
      <w:r>
        <w:fldChar w:fldCharType="begin"/>
      </w:r>
      <w:r>
        <w:instrText xml:space="preserve"> HYPERLINK \l "_Toc256000028" </w:instrText>
      </w:r>
      <w:r>
        <w:fldChar w:fldCharType="separate"/>
      </w:r>
      <w:r>
        <w:rPr>
          <w:rStyle w:val="37"/>
          <w:rFonts w:ascii="仿宋_GB2312" w:hAnsi="仿宋_GB2312" w:eastAsia="仿宋_GB2312" w:cs="仿宋_GB2312"/>
          <w:kern w:val="36"/>
        </w:rPr>
        <w:t>5管理实施要求</w:t>
      </w:r>
      <w:r>
        <w:tab/>
      </w:r>
      <w:r>
        <w:fldChar w:fldCharType="begin"/>
      </w:r>
      <w:r>
        <w:instrText xml:space="preserve"> PAGEREF _Toc256000028 \h </w:instrText>
      </w:r>
      <w:r>
        <w:fldChar w:fldCharType="separate"/>
      </w:r>
      <w:r>
        <w:t>18</w:t>
      </w:r>
      <w:r>
        <w:fldChar w:fldCharType="end"/>
      </w:r>
      <w:r>
        <w:fldChar w:fldCharType="end"/>
      </w:r>
    </w:p>
    <w:p>
      <w:pPr>
        <w:pStyle w:val="25"/>
        <w:tabs>
          <w:tab w:val="right" w:leader="dot" w:pos="9016"/>
        </w:tabs>
        <w:spacing w:before="0" w:after="0" w:line="360" w:lineRule="auto"/>
        <w:rPr>
          <w:rFonts w:asciiTheme="minorHAnsi" w:hAnsiTheme="minorHAnsi"/>
          <w:sz w:val="22"/>
        </w:rPr>
      </w:pPr>
      <w:r>
        <w:fldChar w:fldCharType="begin"/>
      </w:r>
      <w:r>
        <w:instrText xml:space="preserve"> HYPERLINK \l "_Toc256000029" </w:instrText>
      </w:r>
      <w:r>
        <w:fldChar w:fldCharType="separate"/>
      </w:r>
      <w:r>
        <w:rPr>
          <w:rStyle w:val="37"/>
          <w:rFonts w:ascii="仿宋_GB2312" w:hAnsi="仿宋_GB2312" w:eastAsia="仿宋_GB2312" w:cs="仿宋_GB2312"/>
          <w:kern w:val="36"/>
        </w:rPr>
        <w:t>6保密要求</w:t>
      </w:r>
      <w:r>
        <w:tab/>
      </w:r>
      <w:r>
        <w:fldChar w:fldCharType="begin"/>
      </w:r>
      <w:r>
        <w:instrText xml:space="preserve"> PAGEREF _Toc256000029 \h </w:instrText>
      </w:r>
      <w:r>
        <w:fldChar w:fldCharType="separate"/>
      </w:r>
      <w:r>
        <w:t>18</w:t>
      </w:r>
      <w:r>
        <w:fldChar w:fldCharType="end"/>
      </w:r>
      <w:r>
        <w:fldChar w:fldCharType="end"/>
      </w:r>
    </w:p>
    <w:p>
      <w:pPr>
        <w:pStyle w:val="25"/>
        <w:tabs>
          <w:tab w:val="right" w:leader="dot" w:pos="9016"/>
        </w:tabs>
        <w:spacing w:before="0" w:after="0" w:line="360" w:lineRule="auto"/>
        <w:rPr>
          <w:rFonts w:asciiTheme="minorHAnsi" w:hAnsiTheme="minorHAnsi"/>
          <w:sz w:val="22"/>
        </w:rPr>
      </w:pPr>
      <w:r>
        <w:fldChar w:fldCharType="begin"/>
      </w:r>
      <w:r>
        <w:instrText xml:space="preserve"> HYPERLINK \l "_Toc256000030" </w:instrText>
      </w:r>
      <w:r>
        <w:fldChar w:fldCharType="separate"/>
      </w:r>
      <w:r>
        <w:rPr>
          <w:rStyle w:val="37"/>
          <w:rFonts w:ascii="仿宋_GB2312" w:hAnsi="仿宋_GB2312" w:eastAsia="仿宋_GB2312" w:cs="仿宋_GB2312"/>
          <w:kern w:val="36"/>
        </w:rPr>
        <w:t>7知识转移要求</w:t>
      </w:r>
      <w:r>
        <w:tab/>
      </w:r>
      <w:r>
        <w:fldChar w:fldCharType="begin"/>
      </w:r>
      <w:r>
        <w:instrText xml:space="preserve"> PAGEREF _Toc256000030 \h </w:instrText>
      </w:r>
      <w:r>
        <w:fldChar w:fldCharType="separate"/>
      </w:r>
      <w:r>
        <w:t>19</w:t>
      </w:r>
      <w:r>
        <w:fldChar w:fldCharType="end"/>
      </w:r>
      <w:r>
        <w:fldChar w:fldCharType="end"/>
      </w:r>
    </w:p>
    <w:p>
      <w:pPr>
        <w:pStyle w:val="25"/>
        <w:tabs>
          <w:tab w:val="right" w:leader="dot" w:pos="9016"/>
        </w:tabs>
        <w:spacing w:before="0" w:after="0" w:line="360" w:lineRule="auto"/>
        <w:rPr>
          <w:rFonts w:asciiTheme="minorHAnsi" w:hAnsiTheme="minorHAnsi"/>
          <w:sz w:val="22"/>
        </w:rPr>
      </w:pPr>
      <w:r>
        <w:fldChar w:fldCharType="begin"/>
      </w:r>
      <w:r>
        <w:instrText xml:space="preserve"> HYPERLINK \l "_Toc256000031" </w:instrText>
      </w:r>
      <w:r>
        <w:fldChar w:fldCharType="separate"/>
      </w:r>
      <w:r>
        <w:rPr>
          <w:rStyle w:val="37"/>
          <w:rFonts w:ascii="仿宋_GB2312" w:hAnsi="仿宋_GB2312" w:eastAsia="仿宋_GB2312" w:cs="仿宋_GB2312"/>
          <w:kern w:val="36"/>
        </w:rPr>
        <w:t>8风险管控要求</w:t>
      </w:r>
      <w:r>
        <w:tab/>
      </w:r>
      <w:r>
        <w:fldChar w:fldCharType="begin"/>
      </w:r>
      <w:r>
        <w:instrText xml:space="preserve"> PAGEREF _Toc256000031 \h </w:instrText>
      </w:r>
      <w:r>
        <w:fldChar w:fldCharType="separate"/>
      </w:r>
      <w:r>
        <w:t>19</w:t>
      </w:r>
      <w:r>
        <w:fldChar w:fldCharType="end"/>
      </w:r>
      <w:r>
        <w:fldChar w:fldCharType="end"/>
      </w:r>
    </w:p>
    <w:p>
      <w:pPr>
        <w:pStyle w:val="25"/>
        <w:tabs>
          <w:tab w:val="right" w:leader="dot" w:pos="9016"/>
        </w:tabs>
        <w:spacing w:before="0" w:after="0" w:line="360" w:lineRule="auto"/>
        <w:rPr>
          <w:rFonts w:asciiTheme="minorHAnsi" w:hAnsiTheme="minorHAnsi"/>
          <w:sz w:val="22"/>
        </w:rPr>
      </w:pPr>
      <w:r>
        <w:fldChar w:fldCharType="begin"/>
      </w:r>
      <w:r>
        <w:instrText xml:space="preserve"> HYPERLINK \l "_Toc256000032" </w:instrText>
      </w:r>
      <w:r>
        <w:fldChar w:fldCharType="separate"/>
      </w:r>
      <w:r>
        <w:rPr>
          <w:rStyle w:val="37"/>
          <w:rFonts w:ascii="仿宋_GB2312" w:hAnsi="仿宋_GB2312" w:eastAsia="仿宋_GB2312" w:cs="仿宋_GB2312"/>
          <w:kern w:val="36"/>
        </w:rPr>
        <w:t>9履约验收要求</w:t>
      </w:r>
      <w:r>
        <w:tab/>
      </w:r>
      <w:r>
        <w:fldChar w:fldCharType="begin"/>
      </w:r>
      <w:r>
        <w:instrText xml:space="preserve"> PAGEREF _Toc256000032 \h </w:instrText>
      </w:r>
      <w:r>
        <w:fldChar w:fldCharType="separate"/>
      </w:r>
      <w:r>
        <w:t>20</w:t>
      </w:r>
      <w:r>
        <w:fldChar w:fldCharType="end"/>
      </w:r>
      <w:r>
        <w:fldChar w:fldCharType="end"/>
      </w:r>
    </w:p>
    <w:p>
      <w:pPr>
        <w:pStyle w:val="27"/>
        <w:tabs>
          <w:tab w:val="right" w:leader="dot" w:pos="9016"/>
        </w:tabs>
        <w:spacing w:before="0" w:after="0" w:line="360" w:lineRule="auto"/>
        <w:rPr>
          <w:rFonts w:asciiTheme="minorHAnsi" w:hAnsiTheme="minorHAnsi"/>
          <w:sz w:val="22"/>
        </w:rPr>
      </w:pPr>
      <w:r>
        <w:fldChar w:fldCharType="begin"/>
      </w:r>
      <w:r>
        <w:instrText xml:space="preserve"> HYPERLINK \l "_Toc256000033" </w:instrText>
      </w:r>
      <w:r>
        <w:fldChar w:fldCharType="separate"/>
      </w:r>
      <w:r>
        <w:rPr>
          <w:rStyle w:val="37"/>
          <w:rFonts w:ascii="仿宋_GB2312" w:hAnsi="仿宋_GB2312" w:eastAsia="仿宋_GB2312" w:cs="仿宋_GB2312"/>
        </w:rPr>
        <w:t>9.1总体要求</w:t>
      </w:r>
      <w:r>
        <w:tab/>
      </w:r>
      <w:r>
        <w:fldChar w:fldCharType="begin"/>
      </w:r>
      <w:r>
        <w:instrText xml:space="preserve"> PAGEREF _Toc256000033 \h </w:instrText>
      </w:r>
      <w:r>
        <w:fldChar w:fldCharType="separate"/>
      </w:r>
      <w:r>
        <w:t>20</w:t>
      </w:r>
      <w:r>
        <w:fldChar w:fldCharType="end"/>
      </w:r>
      <w:r>
        <w:fldChar w:fldCharType="end"/>
      </w:r>
    </w:p>
    <w:p>
      <w:pPr>
        <w:pStyle w:val="27"/>
        <w:tabs>
          <w:tab w:val="right" w:leader="dot" w:pos="9016"/>
        </w:tabs>
        <w:spacing w:before="0" w:after="0" w:line="360" w:lineRule="auto"/>
        <w:rPr>
          <w:rFonts w:asciiTheme="minorHAnsi" w:hAnsiTheme="minorHAnsi"/>
          <w:sz w:val="22"/>
        </w:rPr>
      </w:pPr>
      <w:r>
        <w:fldChar w:fldCharType="begin"/>
      </w:r>
      <w:r>
        <w:instrText xml:space="preserve"> HYPERLINK \l "_Toc256000034" </w:instrText>
      </w:r>
      <w:r>
        <w:fldChar w:fldCharType="separate"/>
      </w:r>
      <w:r>
        <w:rPr>
          <w:rStyle w:val="37"/>
          <w:rFonts w:ascii="仿宋_GB2312" w:hAnsi="仿宋_GB2312" w:eastAsia="仿宋_GB2312" w:cs="仿宋_GB2312"/>
        </w:rPr>
        <w:t>9.2具体要求</w:t>
      </w:r>
      <w:r>
        <w:tab/>
      </w:r>
      <w:r>
        <w:fldChar w:fldCharType="begin"/>
      </w:r>
      <w:r>
        <w:instrText xml:space="preserve"> PAGEREF _Toc256000034 \h </w:instrText>
      </w:r>
      <w:r>
        <w:fldChar w:fldCharType="separate"/>
      </w:r>
      <w:r>
        <w:t>20</w:t>
      </w:r>
      <w:r>
        <w:fldChar w:fldCharType="end"/>
      </w:r>
      <w:r>
        <w:fldChar w:fldCharType="end"/>
      </w:r>
    </w:p>
    <w:p>
      <w:pPr>
        <w:pStyle w:val="25"/>
        <w:tabs>
          <w:tab w:val="right" w:leader="dot" w:pos="9016"/>
        </w:tabs>
        <w:spacing w:before="0" w:after="0" w:line="360" w:lineRule="auto"/>
        <w:rPr>
          <w:rFonts w:asciiTheme="minorHAnsi" w:hAnsiTheme="minorHAnsi"/>
          <w:sz w:val="22"/>
        </w:rPr>
      </w:pPr>
      <w:r>
        <w:fldChar w:fldCharType="begin"/>
      </w:r>
      <w:r>
        <w:instrText xml:space="preserve"> HYPERLINK \l "_Toc256000035" </w:instrText>
      </w:r>
      <w:r>
        <w:fldChar w:fldCharType="separate"/>
      </w:r>
      <w:r>
        <w:rPr>
          <w:rStyle w:val="37"/>
          <w:rFonts w:ascii="仿宋_GB2312" w:hAnsi="仿宋_GB2312" w:eastAsia="仿宋_GB2312" w:cs="仿宋_GB2312"/>
          <w:kern w:val="36"/>
        </w:rPr>
        <w:t>10其他要求</w:t>
      </w:r>
      <w:r>
        <w:tab/>
      </w:r>
      <w:r>
        <w:fldChar w:fldCharType="begin"/>
      </w:r>
      <w:r>
        <w:instrText xml:space="preserve"> PAGEREF _Toc256000035 \h </w:instrText>
      </w:r>
      <w:r>
        <w:fldChar w:fldCharType="separate"/>
      </w:r>
      <w:r>
        <w:t>21</w:t>
      </w:r>
      <w:r>
        <w:fldChar w:fldCharType="end"/>
      </w:r>
      <w:r>
        <w:fldChar w:fldCharType="end"/>
      </w:r>
    </w:p>
    <w:p>
      <w:pPr>
        <w:pStyle w:val="27"/>
        <w:tabs>
          <w:tab w:val="right" w:leader="dot" w:pos="9016"/>
        </w:tabs>
        <w:spacing w:before="0" w:after="0" w:line="360" w:lineRule="auto"/>
        <w:rPr>
          <w:rFonts w:asciiTheme="minorHAnsi" w:hAnsiTheme="minorHAnsi"/>
          <w:sz w:val="22"/>
        </w:rPr>
      </w:pPr>
      <w:r>
        <w:fldChar w:fldCharType="begin"/>
      </w:r>
      <w:r>
        <w:instrText xml:space="preserve"> HYPERLINK \l "_Toc256000036" </w:instrText>
      </w:r>
      <w:r>
        <w:fldChar w:fldCharType="separate"/>
      </w:r>
      <w:r>
        <w:rPr>
          <w:rStyle w:val="37"/>
          <w:rFonts w:ascii="仿宋_GB2312" w:hAnsi="仿宋_GB2312" w:eastAsia="仿宋_GB2312" w:cs="仿宋_GB2312"/>
        </w:rPr>
        <w:t>10.1必备要求</w:t>
      </w:r>
      <w:r>
        <w:tab/>
      </w:r>
      <w:r>
        <w:fldChar w:fldCharType="begin"/>
      </w:r>
      <w:r>
        <w:instrText xml:space="preserve"> PAGEREF _Toc256000036 \h </w:instrText>
      </w:r>
      <w:r>
        <w:fldChar w:fldCharType="separate"/>
      </w:r>
      <w:r>
        <w:t>21</w:t>
      </w:r>
      <w:r>
        <w:fldChar w:fldCharType="end"/>
      </w:r>
      <w:r>
        <w:fldChar w:fldCharType="end"/>
      </w:r>
    </w:p>
    <w:p>
      <w:pPr>
        <w:pStyle w:val="17"/>
        <w:tabs>
          <w:tab w:val="right" w:leader="dot" w:pos="9016"/>
        </w:tabs>
        <w:spacing w:before="0" w:after="0" w:line="360" w:lineRule="auto"/>
        <w:rPr>
          <w:rFonts w:asciiTheme="minorHAnsi" w:hAnsiTheme="minorHAnsi"/>
          <w:sz w:val="22"/>
        </w:rPr>
      </w:pPr>
      <w:r>
        <w:fldChar w:fldCharType="begin"/>
      </w:r>
      <w:r>
        <w:instrText xml:space="preserve"> HYPERLINK \l "_Toc256000037" </w:instrText>
      </w:r>
      <w:r>
        <w:fldChar w:fldCharType="separate"/>
      </w:r>
      <w:r>
        <w:rPr>
          <w:rStyle w:val="37"/>
          <w:rFonts w:ascii="仿宋_GB2312" w:hAnsi="仿宋_GB2312" w:eastAsia="仿宋_GB2312" w:cs="仿宋_GB2312"/>
        </w:rPr>
        <w:t>10.1.1★税收信息化项目开发和应用管理工作要求</w:t>
      </w:r>
      <w:r>
        <w:tab/>
      </w:r>
      <w:r>
        <w:fldChar w:fldCharType="begin"/>
      </w:r>
      <w:r>
        <w:instrText xml:space="preserve"> PAGEREF _Toc256000037 \h </w:instrText>
      </w:r>
      <w:r>
        <w:fldChar w:fldCharType="separate"/>
      </w:r>
      <w:r>
        <w:t>21</w:t>
      </w:r>
      <w:r>
        <w:fldChar w:fldCharType="end"/>
      </w:r>
      <w:r>
        <w:fldChar w:fldCharType="end"/>
      </w:r>
    </w:p>
    <w:p>
      <w:pPr>
        <w:pStyle w:val="17"/>
        <w:tabs>
          <w:tab w:val="right" w:leader="dot" w:pos="9016"/>
        </w:tabs>
        <w:spacing w:before="0" w:after="0" w:line="360" w:lineRule="auto"/>
        <w:rPr>
          <w:rFonts w:asciiTheme="minorHAnsi" w:hAnsiTheme="minorHAnsi"/>
          <w:sz w:val="22"/>
        </w:rPr>
      </w:pPr>
      <w:r>
        <w:fldChar w:fldCharType="begin"/>
      </w:r>
      <w:r>
        <w:instrText xml:space="preserve"> HYPERLINK \l "_Toc256000038" </w:instrText>
      </w:r>
      <w:r>
        <w:fldChar w:fldCharType="separate"/>
      </w:r>
      <w:r>
        <w:rPr>
          <w:rStyle w:val="37"/>
          <w:rFonts w:ascii="仿宋_GB2312" w:hAnsi="仿宋_GB2312" w:eastAsia="仿宋_GB2312" w:cs="仿宋_GB2312"/>
        </w:rPr>
        <w:t>10.1.2★税收信息化项目廉政要求</w:t>
      </w:r>
      <w:r>
        <w:tab/>
      </w:r>
      <w:r>
        <w:fldChar w:fldCharType="begin"/>
      </w:r>
      <w:r>
        <w:instrText xml:space="preserve"> PAGEREF _Toc256000038 \h </w:instrText>
      </w:r>
      <w:r>
        <w:fldChar w:fldCharType="separate"/>
      </w:r>
      <w:r>
        <w:t>22</w:t>
      </w:r>
      <w:r>
        <w:fldChar w:fldCharType="end"/>
      </w:r>
      <w:r>
        <w:fldChar w:fldCharType="end"/>
      </w:r>
    </w:p>
    <w:p>
      <w:pPr>
        <w:pStyle w:val="17"/>
        <w:tabs>
          <w:tab w:val="right" w:leader="dot" w:pos="9016"/>
        </w:tabs>
        <w:spacing w:before="0" w:after="0" w:line="360" w:lineRule="auto"/>
        <w:rPr>
          <w:rFonts w:asciiTheme="minorHAnsi" w:hAnsiTheme="minorHAnsi"/>
          <w:sz w:val="22"/>
        </w:rPr>
      </w:pPr>
      <w:r>
        <w:fldChar w:fldCharType="begin"/>
      </w:r>
      <w:r>
        <w:instrText xml:space="preserve"> HYPERLINK \l "_Toc256000039" </w:instrText>
      </w:r>
      <w:r>
        <w:fldChar w:fldCharType="separate"/>
      </w:r>
      <w:r>
        <w:rPr>
          <w:rStyle w:val="37"/>
          <w:rFonts w:ascii="仿宋_GB2312" w:hAnsi="仿宋_GB2312" w:eastAsia="仿宋_GB2312" w:cs="仿宋_GB2312"/>
        </w:rPr>
        <w:t>10.1.3★供应链安全管理要求</w:t>
      </w:r>
      <w:r>
        <w:tab/>
      </w:r>
      <w:r>
        <w:fldChar w:fldCharType="begin"/>
      </w:r>
      <w:r>
        <w:instrText xml:space="preserve"> PAGEREF _Toc256000039 \h </w:instrText>
      </w:r>
      <w:r>
        <w:fldChar w:fldCharType="separate"/>
      </w:r>
      <w:r>
        <w:t>25</w:t>
      </w:r>
      <w:r>
        <w:fldChar w:fldCharType="end"/>
      </w:r>
      <w:r>
        <w:fldChar w:fldCharType="end"/>
      </w:r>
    </w:p>
    <w:p>
      <w:pPr>
        <w:pStyle w:val="17"/>
        <w:tabs>
          <w:tab w:val="right" w:leader="dot" w:pos="9016"/>
        </w:tabs>
        <w:spacing w:before="0" w:after="0" w:line="360" w:lineRule="auto"/>
        <w:rPr>
          <w:rFonts w:asciiTheme="minorHAnsi" w:hAnsiTheme="minorHAnsi"/>
          <w:sz w:val="22"/>
        </w:rPr>
      </w:pPr>
      <w:r>
        <w:fldChar w:fldCharType="begin"/>
      </w:r>
      <w:r>
        <w:instrText xml:space="preserve"> HYPERLINK \l "_Toc256000040" </w:instrText>
      </w:r>
      <w:r>
        <w:fldChar w:fldCharType="separate"/>
      </w:r>
      <w:r>
        <w:rPr>
          <w:rStyle w:val="37"/>
          <w:rFonts w:ascii="仿宋_GB2312" w:hAnsi="仿宋_GB2312" w:eastAsia="仿宋_GB2312" w:cs="仿宋_GB2312"/>
        </w:rPr>
        <w:t>10.1.4★信息化服务运维人员要求</w:t>
      </w:r>
      <w:r>
        <w:tab/>
      </w:r>
      <w:r>
        <w:fldChar w:fldCharType="begin"/>
      </w:r>
      <w:r>
        <w:instrText xml:space="preserve"> PAGEREF _Toc256000040 \h </w:instrText>
      </w:r>
      <w:r>
        <w:fldChar w:fldCharType="separate"/>
      </w:r>
      <w:r>
        <w:t>31</w:t>
      </w:r>
      <w:r>
        <w:fldChar w:fldCharType="end"/>
      </w:r>
      <w:r>
        <w:fldChar w:fldCharType="end"/>
      </w:r>
    </w:p>
    <w:p>
      <w:pPr>
        <w:pStyle w:val="17"/>
        <w:tabs>
          <w:tab w:val="right" w:leader="dot" w:pos="9016"/>
        </w:tabs>
        <w:spacing w:before="0" w:after="0" w:line="360" w:lineRule="auto"/>
        <w:rPr>
          <w:rFonts w:asciiTheme="minorHAnsi" w:hAnsiTheme="minorHAnsi"/>
          <w:sz w:val="22"/>
        </w:rPr>
      </w:pPr>
      <w:r>
        <w:fldChar w:fldCharType="begin"/>
      </w:r>
      <w:r>
        <w:instrText xml:space="preserve"> HYPERLINK \l "_Toc256000041" </w:instrText>
      </w:r>
      <w:r>
        <w:fldChar w:fldCharType="separate"/>
      </w:r>
      <w:r>
        <w:rPr>
          <w:rStyle w:val="37"/>
          <w:rFonts w:ascii="仿宋_GB2312" w:hAnsi="仿宋_GB2312" w:eastAsia="仿宋_GB2312" w:cs="仿宋_GB2312"/>
        </w:rPr>
        <w:t>10.1.5其他</w:t>
      </w:r>
      <w:r>
        <w:tab/>
      </w:r>
      <w:r>
        <w:fldChar w:fldCharType="begin"/>
      </w:r>
      <w:r>
        <w:instrText xml:space="preserve"> PAGEREF _Toc256000041 \h </w:instrText>
      </w:r>
      <w:r>
        <w:fldChar w:fldCharType="separate"/>
      </w:r>
      <w:r>
        <w:t>31</w:t>
      </w:r>
      <w:r>
        <w:fldChar w:fldCharType="end"/>
      </w:r>
      <w:r>
        <w:fldChar w:fldCharType="end"/>
      </w:r>
    </w:p>
    <w:p>
      <w:pPr>
        <w:pStyle w:val="27"/>
        <w:tabs>
          <w:tab w:val="right" w:leader="dot" w:pos="9016"/>
        </w:tabs>
        <w:spacing w:before="0" w:after="0" w:line="360" w:lineRule="auto"/>
        <w:rPr>
          <w:rFonts w:asciiTheme="minorHAnsi" w:hAnsiTheme="minorHAnsi"/>
          <w:sz w:val="22"/>
        </w:rPr>
      </w:pPr>
      <w:r>
        <w:fldChar w:fldCharType="begin"/>
      </w:r>
      <w:r>
        <w:instrText xml:space="preserve"> HYPERLINK \l "_Toc256000042" </w:instrText>
      </w:r>
      <w:r>
        <w:fldChar w:fldCharType="separate"/>
      </w:r>
      <w:r>
        <w:rPr>
          <w:rStyle w:val="37"/>
          <w:rFonts w:ascii="仿宋_GB2312" w:hAnsi="仿宋_GB2312" w:eastAsia="仿宋_GB2312" w:cs="仿宋_GB2312"/>
        </w:rPr>
        <w:t>10.2知识产权要求</w:t>
      </w:r>
      <w:r>
        <w:tab/>
      </w:r>
      <w:r>
        <w:fldChar w:fldCharType="begin"/>
      </w:r>
      <w:r>
        <w:instrText xml:space="preserve"> PAGEREF _Toc256000042 \h </w:instrText>
      </w:r>
      <w:r>
        <w:fldChar w:fldCharType="separate"/>
      </w:r>
      <w:r>
        <w:t>32</w:t>
      </w:r>
      <w:r>
        <w:fldChar w:fldCharType="end"/>
      </w:r>
      <w:r>
        <w:fldChar w:fldCharType="end"/>
      </w:r>
    </w:p>
    <w:p>
      <w:pPr>
        <w:pStyle w:val="27"/>
        <w:tabs>
          <w:tab w:val="right" w:leader="dot" w:pos="9016"/>
        </w:tabs>
        <w:spacing w:before="0" w:after="0" w:line="360" w:lineRule="auto"/>
        <w:rPr>
          <w:rFonts w:asciiTheme="minorHAnsi" w:hAnsiTheme="minorHAnsi"/>
          <w:sz w:val="22"/>
        </w:rPr>
      </w:pPr>
      <w:r>
        <w:fldChar w:fldCharType="begin"/>
      </w:r>
      <w:r>
        <w:instrText xml:space="preserve"> HYPERLINK \l "_Toc256000043" </w:instrText>
      </w:r>
      <w:r>
        <w:fldChar w:fldCharType="separate"/>
      </w:r>
      <w:r>
        <w:rPr>
          <w:rStyle w:val="37"/>
          <w:rFonts w:ascii="仿宋_GB2312" w:hAnsi="仿宋_GB2312" w:eastAsia="仿宋_GB2312" w:cs="仿宋_GB2312"/>
        </w:rPr>
        <w:t>10.3付款安排建议</w:t>
      </w:r>
      <w:r>
        <w:tab/>
      </w:r>
      <w:r>
        <w:fldChar w:fldCharType="begin"/>
      </w:r>
      <w:r>
        <w:instrText xml:space="preserve"> PAGEREF _Toc256000043 \h </w:instrText>
      </w:r>
      <w:r>
        <w:fldChar w:fldCharType="separate"/>
      </w:r>
      <w:r>
        <w:t>32</w:t>
      </w:r>
      <w:r>
        <w:fldChar w:fldCharType="end"/>
      </w:r>
      <w:r>
        <w:fldChar w:fldCharType="end"/>
      </w:r>
    </w:p>
    <w:p>
      <w:pPr>
        <w:pStyle w:val="27"/>
        <w:tabs>
          <w:tab w:val="right" w:leader="dot" w:pos="9016"/>
        </w:tabs>
        <w:spacing w:before="0" w:after="0" w:line="360" w:lineRule="auto"/>
        <w:rPr>
          <w:rFonts w:asciiTheme="minorHAnsi" w:hAnsiTheme="minorHAnsi"/>
          <w:sz w:val="22"/>
        </w:rPr>
      </w:pPr>
      <w:r>
        <w:fldChar w:fldCharType="begin"/>
      </w:r>
      <w:r>
        <w:instrText xml:space="preserve"> HYPERLINK \l "_Toc256000044" </w:instrText>
      </w:r>
      <w:r>
        <w:fldChar w:fldCharType="separate"/>
      </w:r>
      <w:r>
        <w:rPr>
          <w:rStyle w:val="37"/>
          <w:rFonts w:ascii="仿宋_GB2312" w:hAnsi="仿宋_GB2312" w:eastAsia="仿宋_GB2312" w:cs="仿宋_GB2312"/>
        </w:rPr>
        <w:t>10.4技术和服务要求</w:t>
      </w:r>
      <w:r>
        <w:tab/>
      </w:r>
      <w:r>
        <w:fldChar w:fldCharType="begin"/>
      </w:r>
      <w:r>
        <w:instrText xml:space="preserve"> PAGEREF _Toc256000044 \h </w:instrText>
      </w:r>
      <w:r>
        <w:fldChar w:fldCharType="separate"/>
      </w:r>
      <w:r>
        <w:t>32</w:t>
      </w:r>
      <w:r>
        <w:fldChar w:fldCharType="end"/>
      </w:r>
      <w:r>
        <w:fldChar w:fldCharType="end"/>
      </w:r>
    </w:p>
    <w:p>
      <w:pPr>
        <w:pStyle w:val="18"/>
        <w:spacing w:before="0" w:after="0" w:line="360" w:lineRule="auto"/>
        <w:jc w:val="left"/>
      </w:pPr>
      <w:r>
        <w:rPr>
          <w:rFonts w:ascii="SimSun" w:hAnsi="SimSun" w:eastAsia="SimSun" w:cs="SimSun"/>
          <w:sz w:val="32"/>
        </w:rPr>
        <w:fldChar w:fldCharType="end"/>
      </w:r>
      <w:r>
        <w:br w:type="page"/>
      </w:r>
    </w:p>
    <w:p>
      <w:pPr>
        <w:pStyle w:val="90"/>
        <w:keepNext w:val="0"/>
        <w:spacing w:before="0" w:after="0" w:line="360" w:lineRule="auto"/>
        <w:jc w:val="center"/>
        <w:rPr>
          <w:rFonts w:ascii="仿宋_GB2312" w:hAnsi="仿宋_GB2312" w:eastAsia="仿宋_GB2312" w:cs="仿宋_GB2312"/>
          <w:b/>
          <w:bCs/>
          <w:sz w:val="32"/>
          <w:szCs w:val="32"/>
        </w:rPr>
      </w:pPr>
      <w:bookmarkStart w:id="4" w:name="_Toc256000000"/>
      <w:r>
        <w:rPr>
          <w:rFonts w:ascii="仿宋_GB2312" w:hAnsi="仿宋_GB2312" w:eastAsia="仿宋_GB2312" w:cs="仿宋_GB2312"/>
          <w:kern w:val="36"/>
        </w:rPr>
        <w:t>1项目概述</w:t>
      </w:r>
      <w:bookmarkEnd w:id="4"/>
    </w:p>
    <w:p>
      <w:pPr>
        <w:pStyle w:val="91"/>
        <w:keepNext w:val="0"/>
        <w:spacing w:before="0" w:after="0" w:line="360" w:lineRule="auto"/>
        <w:rPr>
          <w:rFonts w:ascii="仿宋_GB2312" w:hAnsi="仿宋_GB2312" w:eastAsia="仿宋_GB2312" w:cs="仿宋_GB2312"/>
          <w:b/>
          <w:bCs/>
          <w:sz w:val="28"/>
          <w:szCs w:val="28"/>
        </w:rPr>
      </w:pPr>
      <w:bookmarkStart w:id="5" w:name="_Toc256000001"/>
      <w:r>
        <w:rPr>
          <w:rFonts w:ascii="仿宋_GB2312" w:hAnsi="仿宋_GB2312" w:eastAsia="仿宋_GB2312" w:cs="仿宋_GB2312"/>
          <w:i w:val="0"/>
          <w:iCs w:val="0"/>
        </w:rPr>
        <w:t>1.1项目背景</w:t>
      </w:r>
      <w:bookmarkEnd w:id="5"/>
    </w:p>
    <w:p>
      <w:pPr>
        <w:pStyle w:val="92"/>
        <w:keepNext w:val="0"/>
        <w:spacing w:before="0" w:after="0" w:line="360" w:lineRule="auto"/>
        <w:rPr>
          <w:rFonts w:ascii="仿宋_GB2312" w:hAnsi="仿宋_GB2312" w:eastAsia="仿宋_GB2312" w:cs="仿宋_GB2312"/>
          <w:b/>
          <w:bCs/>
          <w:sz w:val="28"/>
          <w:szCs w:val="28"/>
        </w:rPr>
      </w:pPr>
      <w:bookmarkStart w:id="6" w:name="_Toc256000002"/>
      <w:r>
        <w:rPr>
          <w:rFonts w:ascii="仿宋_GB2312" w:hAnsi="仿宋_GB2312" w:eastAsia="仿宋_GB2312" w:cs="仿宋_GB2312"/>
          <w:sz w:val="28"/>
          <w:szCs w:val="28"/>
        </w:rPr>
        <w:t>1.1.1项目目的、意义及背景</w:t>
      </w:r>
      <w:bookmarkEnd w:id="6"/>
    </w:p>
    <w:p>
      <w:pPr>
        <w:pStyle w:val="93"/>
        <w:spacing w:before="0" w:after="0" w:line="360" w:lineRule="auto"/>
        <w:ind w:left="0" w:right="0" w:firstLine="640"/>
        <w:jc w:val="both"/>
        <w:rPr>
          <w:rFonts w:ascii="Calibri" w:hAnsi="Calibri" w:eastAsia="Calibri" w:cs="Calibri"/>
          <w:sz w:val="21"/>
          <w:szCs w:val="21"/>
        </w:rPr>
      </w:pPr>
      <w:r>
        <w:rPr>
          <w:rFonts w:ascii="仿宋_GB2312" w:hAnsi="仿宋_GB2312" w:eastAsia="仿宋_GB2312" w:cs="仿宋_GB2312"/>
          <w:sz w:val="28"/>
          <w:szCs w:val="28"/>
        </w:rPr>
        <w:t>为落实相关文件要求，文件中重点提出“建成全国统一规范的电子税务局，不断拓展‘非接触式’‘不见面’办税缴费服务”的工作任务，同时还明确了“逐步改变以表单为载体的传统申报模式”的总体要求。    </w:t>
      </w:r>
    </w:p>
    <w:p>
      <w:pPr>
        <w:pStyle w:val="93"/>
        <w:spacing w:before="0" w:after="0" w:line="360" w:lineRule="auto"/>
        <w:ind w:left="0" w:right="0" w:firstLine="640"/>
        <w:jc w:val="both"/>
        <w:rPr>
          <w:rFonts w:ascii="Calibri" w:hAnsi="Calibri" w:eastAsia="Calibri" w:cs="Calibri"/>
          <w:sz w:val="21"/>
          <w:szCs w:val="21"/>
        </w:rPr>
      </w:pPr>
      <w:r>
        <w:rPr>
          <w:rFonts w:ascii="仿宋_GB2312" w:hAnsi="仿宋_GB2312" w:eastAsia="仿宋_GB2312" w:cs="仿宋_GB2312"/>
          <w:sz w:val="28"/>
          <w:szCs w:val="28"/>
        </w:rPr>
        <w:t>为满足新电局智能开业、申报预填等业务需求，按照总局相关文件中外部数据接入说明，遵循高标准、高要求的建设原则，对国家税务总局吉林省税务局市场主体准入E窗通子系统进行升级改造。</w:t>
      </w:r>
    </w:p>
    <w:p>
      <w:pPr>
        <w:pStyle w:val="91"/>
        <w:keepNext w:val="0"/>
        <w:spacing w:before="0" w:after="0" w:line="360" w:lineRule="auto"/>
        <w:rPr>
          <w:rFonts w:ascii="仿宋_GB2312" w:hAnsi="仿宋_GB2312" w:eastAsia="仿宋_GB2312" w:cs="仿宋_GB2312"/>
          <w:b/>
          <w:bCs/>
          <w:sz w:val="28"/>
          <w:szCs w:val="28"/>
        </w:rPr>
      </w:pPr>
      <w:bookmarkStart w:id="7" w:name="_Toc256000003"/>
      <w:r>
        <w:rPr>
          <w:rFonts w:ascii="仿宋_GB2312" w:hAnsi="仿宋_GB2312" w:eastAsia="仿宋_GB2312" w:cs="仿宋_GB2312"/>
          <w:i w:val="0"/>
          <w:iCs w:val="0"/>
        </w:rPr>
        <w:t>1.2项目内容</w:t>
      </w:r>
      <w:bookmarkEnd w:id="7"/>
    </w:p>
    <w:p>
      <w:pPr>
        <w:pStyle w:val="92"/>
        <w:keepNext w:val="0"/>
        <w:spacing w:before="0" w:after="0" w:line="360" w:lineRule="auto"/>
        <w:rPr>
          <w:rFonts w:ascii="仿宋_GB2312" w:hAnsi="仿宋_GB2312" w:eastAsia="仿宋_GB2312" w:cs="仿宋_GB2312"/>
          <w:b/>
          <w:bCs/>
          <w:sz w:val="28"/>
          <w:szCs w:val="28"/>
        </w:rPr>
      </w:pPr>
      <w:bookmarkStart w:id="8" w:name="_Toc256000004"/>
      <w:r>
        <w:rPr>
          <w:rFonts w:ascii="仿宋_GB2312" w:hAnsi="仿宋_GB2312" w:eastAsia="仿宋_GB2312" w:cs="仿宋_GB2312"/>
          <w:sz w:val="28"/>
          <w:szCs w:val="28"/>
        </w:rPr>
        <w:t>1.2.1采购内容</w:t>
      </w:r>
      <w:bookmarkEnd w:id="8"/>
    </w:p>
    <w:p>
      <w:pPr>
        <w:pStyle w:val="93"/>
        <w:spacing w:before="0" w:after="0" w:line="360" w:lineRule="auto"/>
        <w:ind w:left="0" w:right="0" w:firstLine="640"/>
        <w:jc w:val="both"/>
        <w:rPr>
          <w:rFonts w:ascii="Calibri" w:hAnsi="Calibri" w:eastAsia="Calibri" w:cs="Calibri"/>
          <w:sz w:val="21"/>
          <w:szCs w:val="21"/>
        </w:rPr>
      </w:pPr>
      <w:r>
        <w:rPr>
          <w:rFonts w:ascii="仿宋_GB2312" w:hAnsi="仿宋_GB2312" w:eastAsia="仿宋_GB2312" w:cs="仿宋_GB2312"/>
          <w:sz w:val="28"/>
          <w:szCs w:val="28"/>
        </w:rPr>
        <w:t>为响应吉林省高效办成企业数据填报“一件事”号召，根据市场主体登记管理细则有关规定，在市场主体报送上一年度年度报告时给市监部门共享税务财务报表数据，做好2024及以后年度企业、农民专业合作社、个体工商户年度报告工作，优化市场主体报送流程。  </w:t>
      </w:r>
    </w:p>
    <w:p>
      <w:pPr>
        <w:pStyle w:val="93"/>
        <w:spacing w:before="0" w:after="0" w:line="360" w:lineRule="auto"/>
        <w:ind w:left="0" w:right="0" w:firstLine="640"/>
        <w:jc w:val="both"/>
        <w:rPr>
          <w:rFonts w:ascii="Calibri" w:hAnsi="Calibri" w:eastAsia="Calibri" w:cs="Calibri"/>
          <w:sz w:val="21"/>
          <w:szCs w:val="21"/>
        </w:rPr>
      </w:pPr>
      <w:r>
        <w:rPr>
          <w:rFonts w:ascii="仿宋_GB2312" w:hAnsi="仿宋_GB2312" w:eastAsia="仿宋_GB2312" w:cs="仿宋_GB2312"/>
          <w:sz w:val="28"/>
          <w:szCs w:val="28"/>
        </w:rPr>
        <w:t>做好新电局智能开业场景数据支持，开展新电局外部数据需求分析比对，确定本身外部数据与总局需求数据的差异情况，拟在E窗通系统中进行外部数据（企业、个体）进入税智撑平台的适配改造。</w:t>
      </w:r>
    </w:p>
    <w:p>
      <w:pPr>
        <w:pStyle w:val="92"/>
        <w:keepNext w:val="0"/>
        <w:spacing w:before="0" w:after="0" w:line="360" w:lineRule="auto"/>
        <w:rPr>
          <w:rFonts w:ascii="仿宋_GB2312" w:hAnsi="仿宋_GB2312" w:eastAsia="仿宋_GB2312" w:cs="仿宋_GB2312"/>
          <w:b/>
          <w:bCs/>
          <w:sz w:val="28"/>
          <w:szCs w:val="28"/>
        </w:rPr>
      </w:pPr>
      <w:bookmarkStart w:id="9" w:name="_Toc256000005"/>
      <w:r>
        <w:rPr>
          <w:rFonts w:ascii="仿宋_GB2312" w:hAnsi="仿宋_GB2312" w:eastAsia="仿宋_GB2312" w:cs="仿宋_GB2312"/>
          <w:sz w:val="28"/>
          <w:szCs w:val="28"/>
        </w:rPr>
        <w:t>1.2.2项目实施要求</w:t>
      </w:r>
      <w:bookmarkEnd w:id="9"/>
    </w:p>
    <w:p>
      <w:pPr>
        <w:pStyle w:val="94"/>
        <w:keepNext w:val="0"/>
        <w:spacing w:before="0" w:after="0" w:line="360" w:lineRule="auto"/>
        <w:rPr>
          <w:rFonts w:ascii="仿宋_GB2312" w:hAnsi="仿宋_GB2312" w:eastAsia="仿宋_GB2312" w:cs="仿宋_GB2312"/>
          <w:b/>
          <w:bCs/>
          <w:sz w:val="28"/>
          <w:szCs w:val="28"/>
        </w:rPr>
      </w:pPr>
      <w:r>
        <w:rPr>
          <w:rFonts w:ascii="仿宋_GB2312" w:hAnsi="仿宋_GB2312" w:eastAsia="仿宋_GB2312" w:cs="仿宋_GB2312"/>
        </w:rPr>
        <w:t>1.2.2.1实施范围要求</w:t>
      </w:r>
    </w:p>
    <w:p>
      <w:pPr>
        <w:pStyle w:val="93"/>
        <w:spacing w:before="0" w:after="0" w:line="360" w:lineRule="auto"/>
        <w:ind w:left="0" w:right="0" w:firstLine="640"/>
        <w:jc w:val="both"/>
        <w:rPr>
          <w:rFonts w:ascii="Times New Roman" w:hAnsi="Times New Roman" w:eastAsia="Times New Roman" w:cs="Times New Roman"/>
        </w:rPr>
      </w:pPr>
      <w:r>
        <w:rPr>
          <w:rFonts w:ascii="仿宋_GB2312" w:hAnsi="仿宋_GB2312" w:eastAsia="仿宋_GB2312" w:cs="仿宋_GB2312"/>
          <w:sz w:val="28"/>
          <w:szCs w:val="28"/>
        </w:rPr>
        <w:t>系统升级改造要求3个月内完成项目实施上线及项目终验，包括需求分析、概要设计、代码开发、软件测试、上线部署实施、验收等阶段。</w:t>
      </w:r>
    </w:p>
    <w:p>
      <w:pPr>
        <w:pStyle w:val="94"/>
        <w:keepNext w:val="0"/>
        <w:spacing w:before="0" w:after="0" w:line="360" w:lineRule="auto"/>
        <w:rPr>
          <w:rFonts w:ascii="仿宋_GB2312" w:hAnsi="仿宋_GB2312" w:eastAsia="仿宋_GB2312" w:cs="仿宋_GB2312"/>
          <w:b/>
          <w:bCs/>
          <w:sz w:val="28"/>
          <w:szCs w:val="28"/>
        </w:rPr>
      </w:pPr>
      <w:r>
        <w:rPr>
          <w:rFonts w:ascii="仿宋_GB2312" w:hAnsi="仿宋_GB2312" w:eastAsia="仿宋_GB2312" w:cs="仿宋_GB2312"/>
        </w:rPr>
        <w:t>1.2.2.2实施时间要求</w:t>
      </w:r>
    </w:p>
    <w:p>
      <w:pPr>
        <w:pStyle w:val="93"/>
        <w:spacing w:before="0" w:after="0" w:line="360" w:lineRule="auto"/>
        <w:ind w:left="0" w:right="0" w:firstLine="480"/>
        <w:jc w:val="both"/>
        <w:rPr>
          <w:rFonts w:ascii="Times New Roman" w:hAnsi="Times New Roman" w:eastAsia="Times New Roman" w:cs="Times New Roman"/>
        </w:rPr>
      </w:pPr>
      <w:r>
        <w:rPr>
          <w:rFonts w:ascii="仿宋" w:hAnsi="仿宋" w:eastAsia="仿宋" w:cs="仿宋"/>
        </w:rPr>
        <w:t>自合同签订之日起，3个月内完成。</w:t>
      </w:r>
    </w:p>
    <w:p>
      <w:pPr>
        <w:pStyle w:val="94"/>
        <w:keepNext w:val="0"/>
        <w:spacing w:before="0" w:after="0" w:line="360" w:lineRule="auto"/>
        <w:rPr>
          <w:rFonts w:ascii="仿宋_GB2312" w:hAnsi="仿宋_GB2312" w:eastAsia="仿宋_GB2312" w:cs="仿宋_GB2312"/>
          <w:b/>
          <w:bCs/>
          <w:sz w:val="28"/>
          <w:szCs w:val="28"/>
        </w:rPr>
      </w:pPr>
      <w:r>
        <w:rPr>
          <w:rFonts w:ascii="仿宋_GB2312" w:hAnsi="仿宋_GB2312" w:eastAsia="仿宋_GB2312" w:cs="仿宋_GB2312"/>
        </w:rPr>
        <w:t>1.2.2.3实施地点要求</w:t>
      </w:r>
    </w:p>
    <w:p>
      <w:pPr>
        <w:pStyle w:val="93"/>
        <w:spacing w:before="0" w:after="0" w:line="360" w:lineRule="auto"/>
        <w:ind w:left="0" w:right="0" w:firstLine="420"/>
        <w:jc w:val="both"/>
        <w:rPr>
          <w:rFonts w:ascii="Calibri" w:hAnsi="Calibri" w:eastAsia="Calibri" w:cs="Calibri"/>
          <w:sz w:val="21"/>
          <w:szCs w:val="21"/>
        </w:rPr>
      </w:pPr>
      <w:r>
        <w:rPr>
          <w:rFonts w:ascii="仿宋_GB2312" w:hAnsi="仿宋_GB2312" w:eastAsia="仿宋_GB2312" w:cs="仿宋_GB2312"/>
          <w:sz w:val="28"/>
          <w:szCs w:val="28"/>
        </w:rPr>
        <w:t>国家税务总局吉林省税务局。</w:t>
      </w:r>
    </w:p>
    <w:p>
      <w:pPr>
        <w:pStyle w:val="92"/>
        <w:keepNext w:val="0"/>
        <w:spacing w:before="0" w:after="0" w:line="360" w:lineRule="auto"/>
        <w:rPr>
          <w:rFonts w:ascii="仿宋_GB2312" w:hAnsi="仿宋_GB2312" w:eastAsia="仿宋_GB2312" w:cs="仿宋_GB2312"/>
          <w:b/>
          <w:bCs/>
          <w:sz w:val="28"/>
          <w:szCs w:val="28"/>
        </w:rPr>
      </w:pPr>
      <w:bookmarkStart w:id="10" w:name="_Toc256000006"/>
      <w:r>
        <w:rPr>
          <w:rFonts w:ascii="仿宋_GB2312" w:hAnsi="仿宋_GB2312" w:eastAsia="仿宋_GB2312" w:cs="仿宋_GB2312"/>
          <w:sz w:val="28"/>
          <w:szCs w:val="28"/>
        </w:rPr>
        <w:t>1.2.3系统情况</w:t>
      </w:r>
      <w:bookmarkEnd w:id="10"/>
    </w:p>
    <w:p>
      <w:pPr>
        <w:pStyle w:val="94"/>
        <w:keepNext w:val="0"/>
        <w:spacing w:before="0" w:after="0" w:line="360" w:lineRule="auto"/>
        <w:rPr>
          <w:rFonts w:ascii="仿宋_GB2312" w:hAnsi="仿宋_GB2312" w:eastAsia="仿宋_GB2312" w:cs="仿宋_GB2312"/>
          <w:b/>
          <w:bCs/>
          <w:sz w:val="28"/>
          <w:szCs w:val="28"/>
        </w:rPr>
      </w:pPr>
      <w:r>
        <w:rPr>
          <w:rFonts w:ascii="仿宋_GB2312" w:hAnsi="仿宋_GB2312" w:eastAsia="仿宋_GB2312" w:cs="仿宋_GB2312"/>
        </w:rPr>
        <w:t>1.2.3.1现有软件系统的主要功能</w:t>
      </w:r>
    </w:p>
    <w:p>
      <w:pPr>
        <w:pStyle w:val="18"/>
        <w:spacing w:before="0" w:after="0" w:line="360" w:lineRule="auto"/>
        <w:ind w:firstLine="480"/>
        <w:rPr>
          <w:rFonts w:ascii="Times New Roman" w:hAnsi="Times New Roman" w:eastAsia="Times New Roman" w:cs="Times New Roman"/>
        </w:rPr>
      </w:pPr>
      <w:r>
        <w:rPr>
          <w:rFonts w:ascii="Times New Roman" w:hAnsi="Times New Roman" w:eastAsia="Times New Roman" w:cs="Times New Roman"/>
          <w:sz w:val="28"/>
          <w:szCs w:val="28"/>
        </w:rPr>
        <w:t>项目已经完成了与市监部门设立信息、税务实录信息、发票核定信息、银行存款账户报告、一般注销查询、实名影像信息、市场主体歇业、延期歇业、终止歇业恢复经营、个体工商户变更经营者、市场主体吊销营业执照、撤销营业执照等数据的信息共享。</w:t>
      </w:r>
    </w:p>
    <w:p>
      <w:pPr>
        <w:pStyle w:val="94"/>
        <w:keepNext w:val="0"/>
        <w:spacing w:before="0" w:after="0" w:line="360" w:lineRule="auto"/>
        <w:rPr>
          <w:rFonts w:ascii="仿宋_GB2312" w:hAnsi="仿宋_GB2312" w:eastAsia="仿宋_GB2312" w:cs="仿宋_GB2312"/>
          <w:b/>
          <w:bCs/>
          <w:sz w:val="28"/>
          <w:szCs w:val="28"/>
        </w:rPr>
      </w:pPr>
      <w:r>
        <w:rPr>
          <w:rFonts w:ascii="仿宋_GB2312" w:hAnsi="仿宋_GB2312" w:eastAsia="仿宋_GB2312" w:cs="仿宋_GB2312"/>
        </w:rPr>
        <w:t>1.2.3.2技术体系架构</w:t>
      </w:r>
    </w:p>
    <w:p>
      <w:pPr>
        <w:pStyle w:val="18"/>
        <w:spacing w:before="0" w:after="0" w:line="360" w:lineRule="auto"/>
        <w:ind w:firstLine="480"/>
        <w:rPr>
          <w:rFonts w:ascii="Times New Roman" w:hAnsi="Times New Roman" w:eastAsia="Times New Roman" w:cs="Times New Roman"/>
        </w:rPr>
      </w:pPr>
      <w:r>
        <w:rPr>
          <w:rFonts w:ascii="仿宋_GB2312" w:hAnsi="仿宋_GB2312" w:eastAsia="仿宋_GB2312" w:cs="仿宋_GB2312"/>
          <w:sz w:val="28"/>
          <w:szCs w:val="28"/>
        </w:rPr>
        <w:t>项目在技术上采用标准和开放的技术体系，基于完全的J2EE三层体系FRAME架构进行开发；采用SOA的设计理念，业务和IT对齐，灵活构建组件，以提高系统的松散耦合、隔离关注、模块化和可重用性。</w:t>
      </w:r>
    </w:p>
    <w:p>
      <w:pPr>
        <w:pStyle w:val="90"/>
        <w:keepNext w:val="0"/>
        <w:spacing w:before="0" w:after="0" w:line="360" w:lineRule="auto"/>
        <w:jc w:val="center"/>
        <w:rPr>
          <w:rFonts w:ascii="仿宋_GB2312" w:hAnsi="仿宋_GB2312" w:eastAsia="仿宋_GB2312" w:cs="仿宋_GB2312"/>
          <w:b/>
          <w:bCs/>
          <w:sz w:val="32"/>
          <w:szCs w:val="32"/>
        </w:rPr>
      </w:pPr>
      <w:bookmarkStart w:id="11" w:name="_Toc256000007"/>
      <w:r>
        <w:rPr>
          <w:rFonts w:ascii="仿宋_GB2312" w:hAnsi="仿宋_GB2312" w:eastAsia="仿宋_GB2312" w:cs="仿宋_GB2312"/>
          <w:kern w:val="36"/>
        </w:rPr>
        <w:t>2投标/响应要求</w:t>
      </w:r>
      <w:bookmarkEnd w:id="11"/>
    </w:p>
    <w:p>
      <w:pPr>
        <w:pStyle w:val="91"/>
        <w:keepNext w:val="0"/>
        <w:spacing w:before="0" w:after="0" w:line="360" w:lineRule="auto"/>
        <w:rPr>
          <w:rFonts w:ascii="仿宋_GB2312" w:hAnsi="仿宋_GB2312" w:eastAsia="仿宋_GB2312" w:cs="仿宋_GB2312"/>
          <w:b/>
          <w:bCs/>
          <w:sz w:val="28"/>
          <w:szCs w:val="28"/>
        </w:rPr>
      </w:pPr>
      <w:bookmarkStart w:id="12" w:name="_Toc256000008"/>
      <w:r>
        <w:rPr>
          <w:rFonts w:ascii="仿宋_GB2312" w:hAnsi="仿宋_GB2312" w:eastAsia="仿宋_GB2312" w:cs="仿宋_GB2312"/>
          <w:i w:val="0"/>
          <w:iCs w:val="0"/>
        </w:rPr>
        <w:t>2.1对供应商的要求</w:t>
      </w:r>
      <w:bookmarkEnd w:id="12"/>
    </w:p>
    <w:p>
      <w:pPr>
        <w:pStyle w:val="92"/>
        <w:keepNext w:val="0"/>
        <w:spacing w:before="0" w:after="0" w:line="360" w:lineRule="auto"/>
        <w:rPr>
          <w:rFonts w:ascii="仿宋_GB2312" w:hAnsi="仿宋_GB2312" w:eastAsia="仿宋_GB2312" w:cs="仿宋_GB2312"/>
          <w:b/>
          <w:bCs/>
          <w:sz w:val="28"/>
          <w:szCs w:val="28"/>
        </w:rPr>
      </w:pPr>
      <w:bookmarkStart w:id="13" w:name="_Toc256000009"/>
      <w:r>
        <w:rPr>
          <w:rFonts w:ascii="仿宋_GB2312" w:hAnsi="仿宋_GB2312" w:eastAsia="仿宋_GB2312" w:cs="仿宋_GB2312"/>
          <w:sz w:val="28"/>
          <w:szCs w:val="28"/>
        </w:rPr>
        <w:t>2.1.1必备资质</w:t>
      </w:r>
      <w:bookmarkEnd w:id="13"/>
    </w:p>
    <w:p>
      <w:pPr>
        <w:pStyle w:val="94"/>
        <w:keepNext w:val="0"/>
        <w:spacing w:before="0" w:after="0" w:line="360" w:lineRule="auto"/>
        <w:rPr>
          <w:rFonts w:ascii="仿宋_GB2312" w:hAnsi="仿宋_GB2312" w:eastAsia="仿宋_GB2312" w:cs="仿宋_GB2312"/>
          <w:b/>
          <w:bCs/>
          <w:sz w:val="28"/>
          <w:szCs w:val="28"/>
        </w:rPr>
      </w:pPr>
      <w:r>
        <w:rPr>
          <w:rFonts w:ascii="仿宋_GB2312" w:hAnsi="仿宋_GB2312" w:eastAsia="仿宋_GB2312" w:cs="仿宋_GB2312"/>
        </w:rPr>
        <w:t>2.1.1.1投标人应遵守有关国家法律、法规和条例,具备《中华人民共和国政府采购法》第二十二条的规定和本文件中规定的条件。</w:t>
      </w:r>
    </w:p>
    <w:p>
      <w:pPr>
        <w:pStyle w:val="94"/>
        <w:keepNext w:val="0"/>
        <w:spacing w:before="0" w:after="0" w:line="360" w:lineRule="auto"/>
        <w:rPr>
          <w:rFonts w:ascii="仿宋_GB2312" w:hAnsi="仿宋_GB2312" w:eastAsia="仿宋_GB2312" w:cs="仿宋_GB2312"/>
          <w:b/>
          <w:bCs/>
          <w:sz w:val="28"/>
          <w:szCs w:val="28"/>
        </w:rPr>
      </w:pPr>
      <w:r>
        <w:rPr>
          <w:rFonts w:ascii="仿宋_GB2312" w:hAnsi="仿宋_GB2312" w:eastAsia="仿宋_GB2312" w:cs="仿宋_GB2312"/>
        </w:rPr>
        <w:t>2.1.1.2本项目的特定资格要求</w:t>
      </w:r>
    </w:p>
    <w:p>
      <w:pPr>
        <w:pStyle w:val="93"/>
        <w:spacing w:before="0" w:after="0" w:line="360" w:lineRule="auto"/>
        <w:ind w:left="0" w:right="0" w:firstLine="640"/>
        <w:rPr>
          <w:rFonts w:ascii="Calibri" w:hAnsi="Calibri" w:eastAsia="Calibri" w:cs="Calibri"/>
          <w:sz w:val="21"/>
          <w:szCs w:val="21"/>
        </w:rPr>
      </w:pPr>
      <w:r>
        <w:rPr>
          <w:rFonts w:ascii="仿宋_GB2312" w:hAnsi="仿宋_GB2312" w:eastAsia="仿宋_GB2312" w:cs="仿宋_GB2312"/>
          <w:sz w:val="28"/>
          <w:szCs w:val="28"/>
        </w:rPr>
        <w:t>（1）法人或者其他组织的营业执照等证明文件（复印件）；</w:t>
      </w:r>
    </w:p>
    <w:p>
      <w:pPr>
        <w:pStyle w:val="93"/>
        <w:spacing w:before="0" w:after="0" w:line="360" w:lineRule="auto"/>
        <w:ind w:left="0" w:right="0" w:firstLine="640"/>
        <w:rPr>
          <w:rFonts w:ascii="Calibri" w:hAnsi="Calibri" w:eastAsia="Calibri" w:cs="Calibri"/>
          <w:sz w:val="21"/>
          <w:szCs w:val="21"/>
        </w:rPr>
      </w:pPr>
      <w:r>
        <w:rPr>
          <w:rFonts w:ascii="仿宋_GB2312" w:hAnsi="仿宋_GB2312" w:eastAsia="仿宋_GB2312" w:cs="仿宋_GB2312"/>
          <w:sz w:val="28"/>
          <w:szCs w:val="28"/>
        </w:rPr>
        <w:t>（2）2024年度经会计师事务所审计的财务报告，包括资产负债表、利润表(损益表、收益表)、现金流量表、所有者权益变动表及其附注（复印件）；开业不满一年的提供验资报告或银行出具的资信证明或公司成立之日后的财务报表（复印件）；财务报告中要求提供内容为实质性要求条款(即重要条款)，缺少相关资料，在评标时将其视为无效投标；</w:t>
      </w:r>
    </w:p>
    <w:p>
      <w:pPr>
        <w:pStyle w:val="93"/>
        <w:spacing w:before="0" w:after="0" w:line="360" w:lineRule="auto"/>
        <w:ind w:left="0" w:right="0" w:firstLine="640"/>
        <w:rPr>
          <w:rFonts w:ascii="Calibri" w:hAnsi="Calibri" w:eastAsia="Calibri" w:cs="Calibri"/>
          <w:sz w:val="21"/>
          <w:szCs w:val="21"/>
        </w:rPr>
      </w:pPr>
      <w:r>
        <w:rPr>
          <w:rFonts w:ascii="仿宋_GB2312" w:hAnsi="仿宋_GB2312" w:eastAsia="仿宋_GB2312" w:cs="仿宋_GB2312"/>
          <w:sz w:val="28"/>
          <w:szCs w:val="28"/>
        </w:rPr>
        <w:t>（3）近6个月内至少2个月依法缴纳税收的相关材料，如依法免税或不需要纳税的，则应提供相应文件证明（复印件）；</w:t>
      </w:r>
    </w:p>
    <w:p>
      <w:pPr>
        <w:pStyle w:val="93"/>
        <w:spacing w:before="0" w:after="0" w:line="360" w:lineRule="auto"/>
        <w:ind w:left="0" w:right="0" w:firstLine="640"/>
        <w:rPr>
          <w:rFonts w:ascii="Calibri" w:hAnsi="Calibri" w:eastAsia="Calibri" w:cs="Calibri"/>
          <w:sz w:val="21"/>
          <w:szCs w:val="21"/>
        </w:rPr>
      </w:pPr>
      <w:r>
        <w:rPr>
          <w:rFonts w:ascii="仿宋_GB2312" w:hAnsi="仿宋_GB2312" w:eastAsia="仿宋_GB2312" w:cs="仿宋_GB2312"/>
          <w:sz w:val="28"/>
          <w:szCs w:val="28"/>
        </w:rPr>
        <w:t>（4）近6个月内至少2个月依法缴纳社会保障资金的相关材料，如依法不需要缴纳社会保障资金的，则应提供相应文件证明（复印件）；</w:t>
      </w:r>
    </w:p>
    <w:p>
      <w:pPr>
        <w:pStyle w:val="93"/>
        <w:spacing w:before="0" w:after="0" w:line="360" w:lineRule="auto"/>
        <w:ind w:left="0" w:right="0" w:firstLine="640"/>
        <w:rPr>
          <w:rFonts w:ascii="Calibri" w:hAnsi="Calibri" w:eastAsia="Calibri" w:cs="Calibri"/>
          <w:sz w:val="21"/>
          <w:szCs w:val="21"/>
        </w:rPr>
      </w:pPr>
      <w:r>
        <w:rPr>
          <w:rFonts w:ascii="仿宋_GB2312" w:hAnsi="仿宋_GB2312" w:eastAsia="仿宋_GB2312" w:cs="仿宋_GB2312"/>
          <w:sz w:val="28"/>
          <w:szCs w:val="28"/>
        </w:rPr>
        <w:t>（5）参加本项目投标前三年内，在经营活动中没有重大违法记录（指供应商因违法经营受到刑事处罚或者责令停产停业、吊销许可证或者执照、较大数额罚款等行政处罚）的书面声明；</w:t>
      </w:r>
    </w:p>
    <w:p>
      <w:pPr>
        <w:pStyle w:val="93"/>
        <w:spacing w:before="0" w:after="0" w:line="360" w:lineRule="auto"/>
        <w:ind w:left="0" w:right="0" w:firstLine="640"/>
        <w:rPr>
          <w:rFonts w:ascii="Calibri" w:hAnsi="Calibri" w:eastAsia="Calibri" w:cs="Calibri"/>
          <w:sz w:val="21"/>
          <w:szCs w:val="21"/>
        </w:rPr>
      </w:pPr>
      <w:r>
        <w:rPr>
          <w:rFonts w:ascii="仿宋_GB2312" w:hAnsi="仿宋_GB2312" w:eastAsia="仿宋_GB2312" w:cs="仿宋_GB2312"/>
          <w:sz w:val="28"/>
          <w:szCs w:val="28"/>
        </w:rPr>
        <w:t>（6）具备履行合同所必需的设备和专业技术能力的证明材料(由供应商根据项目需求提供说明材料或者承诺)。</w:t>
      </w:r>
    </w:p>
    <w:p>
      <w:pPr>
        <w:pStyle w:val="92"/>
        <w:keepNext w:val="0"/>
        <w:spacing w:before="0" w:after="0" w:line="360" w:lineRule="auto"/>
        <w:rPr>
          <w:rFonts w:ascii="仿宋_GB2312" w:hAnsi="仿宋_GB2312" w:eastAsia="仿宋_GB2312" w:cs="仿宋_GB2312"/>
          <w:b/>
          <w:bCs/>
          <w:sz w:val="28"/>
          <w:szCs w:val="28"/>
        </w:rPr>
      </w:pPr>
      <w:bookmarkStart w:id="14" w:name="_Toc256000010"/>
      <w:r>
        <w:rPr>
          <w:rFonts w:ascii="仿宋_GB2312" w:hAnsi="仿宋_GB2312" w:eastAsia="仿宋_GB2312" w:cs="仿宋_GB2312"/>
          <w:sz w:val="28"/>
          <w:szCs w:val="28"/>
        </w:rPr>
        <w:t>2.1.2优选资质/优选指标</w:t>
      </w:r>
      <w:bookmarkEnd w:id="14"/>
    </w:p>
    <w:p>
      <w:pPr>
        <w:pStyle w:val="94"/>
        <w:keepNext w:val="0"/>
        <w:spacing w:before="0" w:after="0" w:line="360" w:lineRule="auto"/>
        <w:rPr>
          <w:rFonts w:ascii="仿宋_GB2312" w:hAnsi="仿宋_GB2312" w:eastAsia="仿宋_GB2312" w:cs="仿宋_GB2312"/>
          <w:b/>
          <w:bCs/>
          <w:sz w:val="28"/>
          <w:szCs w:val="28"/>
        </w:rPr>
      </w:pPr>
      <w:r>
        <w:rPr>
          <w:rFonts w:ascii="仿宋_GB2312" w:hAnsi="仿宋_GB2312" w:eastAsia="仿宋_GB2312" w:cs="仿宋_GB2312"/>
        </w:rPr>
        <w:t>2.1.2.1相关证书</w:t>
      </w:r>
    </w:p>
    <w:tbl>
      <w:tblPr>
        <w:tblStyle w:val="32"/>
        <w:tblW w:w="5000" w:type="pct"/>
        <w:tblInd w:w="30" w:type="dxa"/>
        <w:tblLayout w:type="autofit"/>
        <w:tblCellMar>
          <w:top w:w="15" w:type="dxa"/>
          <w:left w:w="15" w:type="dxa"/>
          <w:bottom w:w="15" w:type="dxa"/>
          <w:right w:w="15" w:type="dxa"/>
        </w:tblCellMar>
      </w:tblPr>
      <w:tblGrid>
        <w:gridCol w:w="906"/>
        <w:gridCol w:w="4082"/>
        <w:gridCol w:w="4082"/>
      </w:tblGrid>
      <w:tr>
        <w:tblPrEx>
          <w:tblCellMar>
            <w:top w:w="15" w:type="dxa"/>
            <w:left w:w="15" w:type="dxa"/>
            <w:bottom w:w="15" w:type="dxa"/>
            <w:right w:w="15" w:type="dxa"/>
          </w:tblCellMar>
        </w:tblPrEx>
        <w:tc>
          <w:tcPr>
            <w:tcW w:w="5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pStyle w:val="18"/>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序号</w:t>
            </w:r>
          </w:p>
        </w:tc>
        <w:tc>
          <w:tcPr>
            <w:tcW w:w="225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pStyle w:val="18"/>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证书名称</w:t>
            </w:r>
          </w:p>
        </w:tc>
        <w:tc>
          <w:tcPr>
            <w:tcW w:w="225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pStyle w:val="18"/>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备注</w:t>
            </w:r>
          </w:p>
        </w:tc>
      </w:tr>
      <w:tr>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具备ISO27001信息安全管理体系认证证书</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认证机构经国家认证认可监督管理委员会批准</w:t>
            </w:r>
          </w:p>
        </w:tc>
      </w:tr>
      <w:tr>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具有ISO9000系列质量认证证书</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认证机构经国家认证认可监督管理委员会批准</w:t>
            </w:r>
          </w:p>
        </w:tc>
      </w:tr>
      <w:tr>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具有ISO20000信息技术服务管理体系资质</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认证机构经国家认证认可监督管理委员会批准</w:t>
            </w:r>
          </w:p>
        </w:tc>
      </w:tr>
    </w:tbl>
    <w:p>
      <w:pPr>
        <w:pStyle w:val="94"/>
        <w:keepNext w:val="0"/>
        <w:spacing w:before="0" w:after="0" w:line="360" w:lineRule="auto"/>
        <w:rPr>
          <w:rFonts w:ascii="仿宋_GB2312" w:hAnsi="仿宋_GB2312" w:eastAsia="仿宋_GB2312" w:cs="仿宋_GB2312"/>
          <w:b/>
          <w:bCs/>
          <w:sz w:val="28"/>
          <w:szCs w:val="28"/>
        </w:rPr>
      </w:pPr>
      <w:r>
        <w:rPr>
          <w:rFonts w:ascii="仿宋_GB2312" w:hAnsi="仿宋_GB2312" w:eastAsia="仿宋_GB2312" w:cs="仿宋_GB2312"/>
        </w:rPr>
        <w:t>2.1.2.2成功案例</w:t>
      </w:r>
    </w:p>
    <w:p>
      <w:pPr>
        <w:pStyle w:val="9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提供</w:t>
      </w:r>
      <w:r>
        <w:rPr>
          <w:rFonts w:ascii="FangSong_GB2312" w:hAnsi="FangSong_GB2312" w:eastAsia="FangSong_GB2312" w:cs="FangSong_GB2312"/>
          <w:sz w:val="28"/>
          <w:szCs w:val="28"/>
        </w:rPr>
        <w:t>2022年1月1日以来（以合同签订日期为准）独立承担实施的类似项目成功案例。</w:t>
      </w:r>
    </w:p>
    <w:p>
      <w:pPr>
        <w:pStyle w:val="92"/>
        <w:keepNext w:val="0"/>
        <w:spacing w:before="0" w:after="0" w:line="360" w:lineRule="auto"/>
        <w:rPr>
          <w:rFonts w:ascii="仿宋_GB2312" w:hAnsi="仿宋_GB2312" w:eastAsia="仿宋_GB2312" w:cs="仿宋_GB2312"/>
          <w:b/>
          <w:bCs/>
          <w:sz w:val="28"/>
          <w:szCs w:val="28"/>
        </w:rPr>
      </w:pPr>
      <w:bookmarkStart w:id="15" w:name="_Toc256000011"/>
      <w:r>
        <w:rPr>
          <w:rFonts w:ascii="仿宋_GB2312" w:hAnsi="仿宋_GB2312" w:eastAsia="仿宋_GB2312" w:cs="仿宋_GB2312"/>
          <w:sz w:val="28"/>
          <w:szCs w:val="28"/>
        </w:rPr>
        <w:t>2.1.3是否允许联合体</w:t>
      </w:r>
      <w:bookmarkEnd w:id="15"/>
    </w:p>
    <w:p>
      <w:pPr>
        <w:pStyle w:val="18"/>
        <w:spacing w:before="0" w:after="0" w:line="360" w:lineRule="auto"/>
        <w:ind w:firstLine="561"/>
        <w:rPr>
          <w:rFonts w:ascii="仿宋_GB2312" w:hAnsi="仿宋_GB2312" w:eastAsia="仿宋_GB2312" w:cs="仿宋_GB2312"/>
          <w:sz w:val="28"/>
          <w:szCs w:val="28"/>
        </w:rPr>
      </w:pPr>
      <w:r>
        <w:rPr>
          <w:rFonts w:ascii="仿宋_GB2312" w:hAnsi="仿宋_GB2312" w:eastAsia="仿宋_GB2312" w:cs="仿宋_GB2312"/>
          <w:sz w:val="28"/>
          <w:szCs w:val="28"/>
        </w:rPr>
        <w:t>否</w:t>
      </w:r>
    </w:p>
    <w:p>
      <w:pPr>
        <w:pStyle w:val="92"/>
        <w:keepNext w:val="0"/>
        <w:spacing w:before="0" w:after="0" w:line="360" w:lineRule="auto"/>
        <w:rPr>
          <w:rFonts w:ascii="仿宋_GB2312" w:hAnsi="仿宋_GB2312" w:eastAsia="仿宋_GB2312" w:cs="仿宋_GB2312"/>
          <w:b/>
          <w:bCs/>
          <w:sz w:val="28"/>
          <w:szCs w:val="28"/>
        </w:rPr>
      </w:pPr>
      <w:bookmarkStart w:id="16" w:name="_Toc256000012"/>
      <w:r>
        <w:rPr>
          <w:rFonts w:ascii="仿宋_GB2312" w:hAnsi="仿宋_GB2312" w:eastAsia="仿宋_GB2312" w:cs="仿宋_GB2312"/>
          <w:sz w:val="28"/>
          <w:szCs w:val="28"/>
        </w:rPr>
        <w:t>2.1.4是否专门面向中小企业</w:t>
      </w:r>
      <w:bookmarkEnd w:id="16"/>
    </w:p>
    <w:p>
      <w:pPr>
        <w:pStyle w:val="18"/>
        <w:spacing w:before="0" w:after="0" w:line="360" w:lineRule="auto"/>
        <w:ind w:firstLine="561"/>
        <w:rPr>
          <w:rFonts w:ascii="仿宋_GB2312" w:hAnsi="仿宋_GB2312" w:eastAsia="仿宋_GB2312" w:cs="仿宋_GB2312"/>
          <w:sz w:val="28"/>
          <w:szCs w:val="28"/>
        </w:rPr>
      </w:pPr>
      <w:r>
        <w:rPr>
          <w:rFonts w:ascii="仿宋_GB2312" w:hAnsi="仿宋_GB2312" w:eastAsia="仿宋_GB2312" w:cs="仿宋_GB2312"/>
          <w:sz w:val="28"/>
          <w:szCs w:val="28"/>
        </w:rPr>
        <w:t>本项目不专门面向中小企业采购项目</w:t>
      </w:r>
    </w:p>
    <w:p>
      <w:pPr>
        <w:pStyle w:val="91"/>
        <w:keepNext w:val="0"/>
        <w:spacing w:before="0" w:after="0" w:line="360" w:lineRule="auto"/>
        <w:rPr>
          <w:rFonts w:ascii="仿宋_GB2312" w:hAnsi="仿宋_GB2312" w:eastAsia="仿宋_GB2312" w:cs="仿宋_GB2312"/>
          <w:b/>
          <w:bCs/>
          <w:sz w:val="28"/>
          <w:szCs w:val="28"/>
        </w:rPr>
      </w:pPr>
      <w:bookmarkStart w:id="17" w:name="_Toc256000013"/>
      <w:r>
        <w:rPr>
          <w:rFonts w:ascii="仿宋_GB2312" w:hAnsi="仿宋_GB2312" w:eastAsia="仿宋_GB2312" w:cs="仿宋_GB2312"/>
          <w:i w:val="0"/>
          <w:iCs w:val="0"/>
        </w:rPr>
        <w:t>2.2技术部分投标/响应内容</w:t>
      </w:r>
      <w:bookmarkEnd w:id="17"/>
    </w:p>
    <w:p>
      <w:pPr>
        <w:pStyle w:val="92"/>
        <w:keepNext w:val="0"/>
        <w:spacing w:before="0" w:after="0" w:line="360" w:lineRule="auto"/>
        <w:rPr>
          <w:rFonts w:ascii="仿宋_GB2312" w:hAnsi="仿宋_GB2312" w:eastAsia="仿宋_GB2312" w:cs="仿宋_GB2312"/>
          <w:b/>
          <w:bCs/>
          <w:sz w:val="28"/>
          <w:szCs w:val="28"/>
        </w:rPr>
      </w:pPr>
      <w:bookmarkStart w:id="18" w:name="_Toc256000014"/>
      <w:r>
        <w:rPr>
          <w:rFonts w:ascii="仿宋_GB2312" w:hAnsi="仿宋_GB2312" w:eastAsia="仿宋_GB2312" w:cs="仿宋_GB2312"/>
          <w:sz w:val="28"/>
          <w:szCs w:val="28"/>
        </w:rPr>
        <w:t>2.2.1投标/响应方案要求</w:t>
      </w:r>
      <w:bookmarkEnd w:id="18"/>
    </w:p>
    <w:p>
      <w:pPr>
        <w:pStyle w:val="18"/>
        <w:spacing w:before="0" w:after="0" w:line="360" w:lineRule="auto"/>
        <w:ind w:firstLine="561"/>
        <w:rPr>
          <w:rFonts w:ascii="仿宋_GB2312" w:hAnsi="仿宋_GB2312" w:eastAsia="仿宋_GB2312" w:cs="仿宋_GB2312"/>
          <w:sz w:val="28"/>
          <w:szCs w:val="28"/>
        </w:rPr>
      </w:pPr>
      <w:r>
        <w:rPr>
          <w:rFonts w:ascii="仿宋_GB2312" w:hAnsi="仿宋_GB2312" w:eastAsia="仿宋_GB2312" w:cs="仿宋_GB2312"/>
          <w:sz w:val="28"/>
          <w:szCs w:val="28"/>
        </w:rPr>
        <w:t>以下相关方案，若作为评审因素，则投标人应在满足★关键指标项要求的前提下，根据项目特点和采购需求，制定更为完整、详细、可操作性强的方案。</w:t>
      </w:r>
    </w:p>
    <w:p>
      <w:pPr>
        <w:pStyle w:val="93"/>
        <w:spacing w:before="0" w:after="0" w:line="360" w:lineRule="auto"/>
        <w:ind w:left="0" w:right="0" w:firstLine="480"/>
        <w:jc w:val="both"/>
        <w:rPr>
          <w:rFonts w:ascii="Times New Roman" w:hAnsi="Times New Roman" w:eastAsia="Times New Roman" w:cs="Times New Roman"/>
        </w:rPr>
      </w:pPr>
      <w:r>
        <w:rPr>
          <w:rFonts w:ascii="仿宋" w:hAnsi="仿宋" w:eastAsia="仿宋" w:cs="仿宋"/>
          <w:sz w:val="28"/>
          <w:szCs w:val="28"/>
        </w:rPr>
        <w:t>投标人必须针对招标文件（技术部分）中有关章节的需求逐个或分块作出实质性响应，其响应应与需求书内容采用同样的顺序。对每个需求的响应必须遵循如下规则：</w:t>
      </w:r>
    </w:p>
    <w:p>
      <w:pPr>
        <w:pStyle w:val="93"/>
        <w:spacing w:before="0" w:after="0" w:line="360" w:lineRule="auto"/>
        <w:ind w:left="0" w:right="0" w:firstLine="480"/>
        <w:jc w:val="both"/>
        <w:rPr>
          <w:rFonts w:ascii="Times New Roman" w:hAnsi="Times New Roman" w:eastAsia="Times New Roman" w:cs="Times New Roman"/>
        </w:rPr>
      </w:pPr>
      <w:r>
        <w:rPr>
          <w:rFonts w:ascii="仿宋" w:hAnsi="仿宋" w:eastAsia="仿宋" w:cs="仿宋"/>
          <w:sz w:val="28"/>
          <w:szCs w:val="28"/>
        </w:rPr>
        <w:t>1.重复该需求；</w:t>
      </w:r>
    </w:p>
    <w:p>
      <w:pPr>
        <w:pStyle w:val="93"/>
        <w:spacing w:before="0" w:after="0" w:line="360" w:lineRule="auto"/>
        <w:ind w:left="0" w:right="0" w:firstLine="480"/>
        <w:jc w:val="both"/>
        <w:rPr>
          <w:rFonts w:ascii="Times New Roman" w:hAnsi="Times New Roman" w:eastAsia="Times New Roman" w:cs="Times New Roman"/>
        </w:rPr>
      </w:pPr>
      <w:r>
        <w:rPr>
          <w:rFonts w:ascii="仿宋" w:hAnsi="仿宋" w:eastAsia="仿宋" w:cs="仿宋"/>
          <w:sz w:val="28"/>
          <w:szCs w:val="28"/>
        </w:rPr>
        <w:t>2.简要描述应答书或应答方案如何满足该需求，如果该响应在应答书其他部分有详述，可在该处简单应答，但必须给出确切的位置索引；</w:t>
      </w:r>
    </w:p>
    <w:p>
      <w:pPr>
        <w:pStyle w:val="93"/>
        <w:spacing w:before="0" w:after="0" w:line="360" w:lineRule="auto"/>
        <w:ind w:left="0" w:right="0" w:firstLine="480"/>
        <w:jc w:val="both"/>
        <w:rPr>
          <w:rFonts w:ascii="Times New Roman" w:hAnsi="Times New Roman" w:eastAsia="Times New Roman" w:cs="Times New Roman"/>
        </w:rPr>
      </w:pPr>
      <w:r>
        <w:rPr>
          <w:rFonts w:ascii="仿宋" w:hAnsi="仿宋" w:eastAsia="仿宋" w:cs="仿宋"/>
          <w:sz w:val="28"/>
          <w:szCs w:val="28"/>
        </w:rPr>
        <w:t>3.解释应答书或应答方案与国家税务总局吉林省税务局需求之前的偏差；用数量来表示的需求，必须用确切的数字、单位来响应；</w:t>
      </w:r>
    </w:p>
    <w:p>
      <w:pPr>
        <w:pStyle w:val="93"/>
        <w:spacing w:before="0" w:after="0" w:line="360" w:lineRule="auto"/>
        <w:ind w:left="0" w:right="0" w:firstLine="480"/>
        <w:jc w:val="both"/>
        <w:rPr>
          <w:rFonts w:ascii="Times New Roman" w:hAnsi="Times New Roman" w:eastAsia="Times New Roman" w:cs="Times New Roman"/>
        </w:rPr>
      </w:pPr>
      <w:r>
        <w:rPr>
          <w:rFonts w:ascii="仿宋" w:hAnsi="仿宋" w:eastAsia="仿宋" w:cs="仿宋"/>
          <w:sz w:val="28"/>
          <w:szCs w:val="28"/>
        </w:rPr>
        <w:t>4.投标人应提供实质性确切响应，并有详细的文字描述和说明，任何仅采用“符合”、“满足”或非确定性数值（如“&gt;=”或“&lt;=”）的响应均将被视为没有对本需求书的实质性响应，从而可能导致严重后果；有关表格部分的响应应按商务部分规定的格式列出。</w:t>
      </w:r>
    </w:p>
    <w:p>
      <w:pPr>
        <w:pStyle w:val="93"/>
        <w:spacing w:before="0" w:after="0" w:line="360" w:lineRule="auto"/>
        <w:ind w:left="0" w:right="0" w:firstLine="480"/>
        <w:jc w:val="both"/>
        <w:rPr>
          <w:rFonts w:ascii="Times New Roman" w:hAnsi="Times New Roman" w:eastAsia="Times New Roman" w:cs="Times New Roman"/>
        </w:rPr>
      </w:pPr>
      <w:r>
        <w:rPr>
          <w:rFonts w:ascii="仿宋" w:hAnsi="仿宋" w:eastAsia="仿宋" w:cs="仿宋"/>
          <w:sz w:val="28"/>
          <w:szCs w:val="28"/>
        </w:rPr>
        <w:t>5.招标文件（技术部分）中有标注★号的，为必备服务需求，必须满足，如未作出响应或响应不满足的，将导致投标无效。△为重要服务内容，满足在评审时将予以加分。</w:t>
      </w:r>
    </w:p>
    <w:p>
      <w:pPr>
        <w:pStyle w:val="92"/>
        <w:keepNext w:val="0"/>
        <w:spacing w:before="0" w:after="0" w:line="360" w:lineRule="auto"/>
        <w:rPr>
          <w:rFonts w:ascii="仿宋_GB2312" w:hAnsi="仿宋_GB2312" w:eastAsia="仿宋_GB2312" w:cs="仿宋_GB2312"/>
          <w:b/>
          <w:bCs/>
          <w:sz w:val="28"/>
          <w:szCs w:val="28"/>
        </w:rPr>
      </w:pPr>
      <w:bookmarkStart w:id="19" w:name="_Toc256000015"/>
      <w:r>
        <w:rPr>
          <w:rFonts w:ascii="仿宋_GB2312" w:hAnsi="仿宋_GB2312" w:eastAsia="仿宋_GB2312" w:cs="仿宋_GB2312"/>
          <w:sz w:val="28"/>
          <w:szCs w:val="28"/>
        </w:rPr>
        <w:t>2.2.2技术开发服务方案要求</w:t>
      </w:r>
      <w:bookmarkEnd w:id="19"/>
    </w:p>
    <w:p>
      <w:pPr>
        <w:pStyle w:val="93"/>
        <w:spacing w:before="0" w:after="0" w:line="360" w:lineRule="auto"/>
        <w:ind w:firstLine="561"/>
        <w:rPr>
          <w:rFonts w:ascii="Times New Roman" w:hAnsi="Times New Roman" w:eastAsia="Times New Roman" w:cs="Times New Roman"/>
        </w:rPr>
      </w:pPr>
      <w:r>
        <w:rPr>
          <w:rFonts w:ascii="仿宋_GB2312" w:hAnsi="仿宋_GB2312" w:eastAsia="仿宋_GB2312" w:cs="仿宋_GB2312"/>
          <w:sz w:val="28"/>
          <w:szCs w:val="28"/>
        </w:rPr>
        <w:t>以下相关方案，若作为评审因素，则投标人应在满足★关键指标项要求的前提下，根据项目特点和采购需求，制定更为完整、详细、可操作性强的方案。</w:t>
      </w:r>
    </w:p>
    <w:p>
      <w:pPr>
        <w:pStyle w:val="93"/>
        <w:spacing w:before="0" w:after="0" w:line="360" w:lineRule="auto"/>
        <w:ind w:left="0" w:right="0" w:firstLine="480"/>
        <w:jc w:val="both"/>
        <w:rPr>
          <w:rFonts w:ascii="Times New Roman" w:hAnsi="Times New Roman" w:eastAsia="Times New Roman" w:cs="Times New Roman"/>
        </w:rPr>
      </w:pPr>
      <w:r>
        <w:rPr>
          <w:rFonts w:ascii="FangSong_GB2312" w:hAnsi="FangSong_GB2312" w:eastAsia="FangSong_GB2312" w:cs="FangSong_GB2312"/>
          <w:sz w:val="28"/>
          <w:szCs w:val="28"/>
        </w:rPr>
        <w:t>1.项目管理实施方案：投标人提供的方案内容应包含项目管理实施总要求、项目实施进度及项目质量管理。</w:t>
      </w:r>
    </w:p>
    <w:p>
      <w:pPr>
        <w:pStyle w:val="93"/>
        <w:spacing w:before="0" w:after="0" w:line="360" w:lineRule="auto"/>
        <w:ind w:left="0" w:right="0" w:firstLine="480"/>
        <w:jc w:val="both"/>
        <w:rPr>
          <w:rFonts w:ascii="Times New Roman" w:hAnsi="Times New Roman" w:eastAsia="Times New Roman" w:cs="Times New Roman"/>
        </w:rPr>
      </w:pPr>
      <w:r>
        <w:rPr>
          <w:rFonts w:ascii="FangSong_GB2312" w:hAnsi="FangSong_GB2312" w:eastAsia="FangSong_GB2312" w:cs="FangSong_GB2312"/>
          <w:sz w:val="28"/>
          <w:szCs w:val="28"/>
        </w:rPr>
        <w:t>2.升级改造方案：投标人提供的方案内容应包含需求分析、升级计划、技术评估及服务。</w:t>
      </w:r>
    </w:p>
    <w:p>
      <w:pPr>
        <w:pStyle w:val="93"/>
        <w:spacing w:before="0" w:after="0" w:line="360" w:lineRule="auto"/>
        <w:ind w:left="0" w:right="0" w:firstLine="480"/>
        <w:jc w:val="both"/>
        <w:rPr>
          <w:rFonts w:ascii="Times New Roman" w:hAnsi="Times New Roman" w:eastAsia="Times New Roman" w:cs="Times New Roman"/>
        </w:rPr>
      </w:pPr>
      <w:r>
        <w:rPr>
          <w:rFonts w:ascii="FangSong_GB2312" w:hAnsi="FangSong_GB2312" w:eastAsia="FangSong_GB2312" w:cs="FangSong_GB2312"/>
          <w:sz w:val="28"/>
          <w:szCs w:val="28"/>
        </w:rPr>
        <w:t>3.应急及安全保障方案：投标人提供的方案内容应包含安全保障方法、预警和预防机制、应急响应及处置措施。</w:t>
      </w:r>
    </w:p>
    <w:p>
      <w:pPr>
        <w:pStyle w:val="93"/>
        <w:spacing w:before="0" w:after="0" w:line="360" w:lineRule="auto"/>
        <w:ind w:left="0" w:right="0" w:firstLine="480"/>
        <w:jc w:val="both"/>
        <w:rPr>
          <w:rFonts w:ascii="Times New Roman" w:hAnsi="Times New Roman" w:eastAsia="Times New Roman" w:cs="Times New Roman"/>
        </w:rPr>
      </w:pPr>
      <w:r>
        <w:rPr>
          <w:rFonts w:ascii="FangSong_GB2312" w:hAnsi="FangSong_GB2312" w:eastAsia="FangSong_GB2312" w:cs="FangSong_GB2312"/>
          <w:sz w:val="28"/>
          <w:szCs w:val="28"/>
        </w:rPr>
        <w:t>4.保密方案：投标人提供的方案内容应包含保密组织管理、保密制度及保密措施。</w:t>
      </w:r>
    </w:p>
    <w:p>
      <w:pPr>
        <w:pStyle w:val="93"/>
        <w:spacing w:before="0" w:after="0" w:line="360" w:lineRule="auto"/>
        <w:ind w:left="0" w:right="0" w:firstLine="480"/>
        <w:jc w:val="both"/>
        <w:rPr>
          <w:rFonts w:ascii="Times New Roman" w:hAnsi="Times New Roman" w:eastAsia="Times New Roman" w:cs="Times New Roman"/>
        </w:rPr>
      </w:pPr>
      <w:r>
        <w:rPr>
          <w:rFonts w:ascii="FangSong_GB2312" w:hAnsi="FangSong_GB2312" w:eastAsia="FangSong_GB2312" w:cs="FangSong_GB2312"/>
          <w:sz w:val="28"/>
          <w:szCs w:val="28"/>
        </w:rPr>
        <w:t>5.项目验收方案：投标人提供的方案内容应包含验收组织流程、验收依据和标准、验收中出现问题的解决办法及补救措施。</w:t>
      </w:r>
    </w:p>
    <w:p>
      <w:pPr>
        <w:pStyle w:val="90"/>
        <w:keepNext w:val="0"/>
        <w:spacing w:before="0" w:after="0" w:line="360" w:lineRule="auto"/>
        <w:jc w:val="center"/>
        <w:rPr>
          <w:rFonts w:ascii="仿宋_GB2312" w:hAnsi="仿宋_GB2312" w:eastAsia="仿宋_GB2312" w:cs="仿宋_GB2312"/>
          <w:b/>
          <w:bCs/>
          <w:sz w:val="32"/>
          <w:szCs w:val="32"/>
        </w:rPr>
      </w:pPr>
      <w:bookmarkStart w:id="20" w:name="_Toc256000016"/>
      <w:r>
        <w:rPr>
          <w:rFonts w:ascii="仿宋_GB2312" w:hAnsi="仿宋_GB2312" w:eastAsia="仿宋_GB2312" w:cs="仿宋_GB2312"/>
          <w:kern w:val="36"/>
        </w:rPr>
        <w:t>3项目需求</w:t>
      </w:r>
      <w:bookmarkEnd w:id="20"/>
    </w:p>
    <w:p>
      <w:pPr>
        <w:pStyle w:val="91"/>
        <w:keepNext w:val="0"/>
        <w:spacing w:before="0" w:after="0" w:line="360" w:lineRule="auto"/>
        <w:rPr>
          <w:rFonts w:ascii="仿宋_GB2312" w:hAnsi="仿宋_GB2312" w:eastAsia="仿宋_GB2312" w:cs="仿宋_GB2312"/>
          <w:b/>
          <w:bCs/>
          <w:sz w:val="28"/>
          <w:szCs w:val="28"/>
        </w:rPr>
      </w:pPr>
      <w:bookmarkStart w:id="21" w:name="_Toc256000017"/>
      <w:r>
        <w:rPr>
          <w:rFonts w:ascii="仿宋_GB2312" w:hAnsi="仿宋_GB2312" w:eastAsia="仿宋_GB2312" w:cs="仿宋_GB2312"/>
          <w:i w:val="0"/>
          <w:iCs w:val="0"/>
        </w:rPr>
        <w:t>3.1总体要求</w:t>
      </w:r>
      <w:bookmarkEnd w:id="21"/>
    </w:p>
    <w:p>
      <w:pPr>
        <w:pStyle w:val="93"/>
        <w:spacing w:before="0" w:after="0" w:line="360" w:lineRule="auto"/>
        <w:ind w:left="0" w:right="0" w:firstLine="640"/>
        <w:jc w:val="both"/>
        <w:rPr>
          <w:rFonts w:ascii="Calibri" w:hAnsi="Calibri" w:eastAsia="Calibri" w:cs="Calibri"/>
          <w:sz w:val="21"/>
          <w:szCs w:val="21"/>
        </w:rPr>
      </w:pPr>
      <w:r>
        <w:rPr>
          <w:rFonts w:ascii="仿宋_GB2312" w:hAnsi="仿宋_GB2312" w:eastAsia="仿宋_GB2312" w:cs="仿宋_GB2312"/>
          <w:sz w:val="28"/>
          <w:szCs w:val="28"/>
        </w:rPr>
        <w:t>在应用软件的具体实施过程中，要严格按照有关软件工程标准进行软件项目的实施。整个系统的执行将严格按照下面的步骤进行实施：</w:t>
      </w:r>
    </w:p>
    <w:p>
      <w:pPr>
        <w:pStyle w:val="93"/>
        <w:spacing w:before="0" w:after="0" w:line="360" w:lineRule="auto"/>
        <w:ind w:left="0" w:right="0" w:firstLine="640"/>
        <w:jc w:val="both"/>
        <w:rPr>
          <w:rFonts w:ascii="Calibri" w:hAnsi="Calibri" w:eastAsia="Calibri" w:cs="Calibri"/>
          <w:sz w:val="21"/>
          <w:szCs w:val="21"/>
        </w:rPr>
      </w:pPr>
      <w:r>
        <w:rPr>
          <w:rFonts w:ascii="仿宋_GB2312" w:hAnsi="仿宋_GB2312" w:eastAsia="仿宋_GB2312" w:cs="仿宋_GB2312"/>
          <w:sz w:val="28"/>
          <w:szCs w:val="28"/>
        </w:rPr>
        <w:t>#需求分析，了解客户的业务需求、目标和期望，包括软件要实现的功能、性能要求、使用场景等并进行需求文档产出。</w:t>
      </w:r>
    </w:p>
    <w:p>
      <w:pPr>
        <w:pStyle w:val="93"/>
        <w:spacing w:before="0" w:after="0" w:line="360" w:lineRule="auto"/>
        <w:ind w:left="0" w:right="0" w:firstLine="640"/>
        <w:jc w:val="both"/>
        <w:rPr>
          <w:rFonts w:ascii="Calibri" w:hAnsi="Calibri" w:eastAsia="Calibri" w:cs="Calibri"/>
          <w:sz w:val="21"/>
          <w:szCs w:val="21"/>
        </w:rPr>
      </w:pPr>
      <w:r>
        <w:rPr>
          <w:rFonts w:ascii="仿宋_GB2312" w:hAnsi="仿宋_GB2312" w:eastAsia="仿宋_GB2312" w:cs="仿宋_GB2312"/>
          <w:sz w:val="28"/>
          <w:szCs w:val="28"/>
        </w:rPr>
        <w:t>#数据库设计，根据需求设计数据库结构，包括数据表的设计、字段类型和约束的确定、数据关系的建立等。</w:t>
      </w:r>
    </w:p>
    <w:p>
      <w:pPr>
        <w:pStyle w:val="93"/>
        <w:spacing w:before="0" w:after="0" w:line="360" w:lineRule="auto"/>
        <w:ind w:left="0" w:right="0" w:firstLine="640"/>
        <w:jc w:val="both"/>
        <w:rPr>
          <w:rFonts w:ascii="Calibri" w:hAnsi="Calibri" w:eastAsia="Calibri" w:cs="Calibri"/>
          <w:sz w:val="21"/>
          <w:szCs w:val="21"/>
        </w:rPr>
      </w:pPr>
      <w:r>
        <w:rPr>
          <w:rFonts w:ascii="仿宋_GB2312" w:hAnsi="仿宋_GB2312" w:eastAsia="仿宋_GB2312" w:cs="仿宋_GB2312"/>
          <w:sz w:val="28"/>
          <w:szCs w:val="28"/>
        </w:rPr>
        <w:t>#界面设计，设计软件的用户界面，包括界面布局、色彩搭配、交互方式等。良好的界面设计可以提高用户的使用体验。</w:t>
      </w:r>
    </w:p>
    <w:p>
      <w:pPr>
        <w:pStyle w:val="93"/>
        <w:spacing w:before="0" w:after="0" w:line="360" w:lineRule="auto"/>
        <w:ind w:left="0" w:right="0" w:firstLine="640"/>
        <w:jc w:val="both"/>
        <w:rPr>
          <w:rFonts w:ascii="Calibri" w:hAnsi="Calibri" w:eastAsia="Calibri" w:cs="Calibri"/>
          <w:sz w:val="21"/>
          <w:szCs w:val="21"/>
        </w:rPr>
      </w:pPr>
      <w:r>
        <w:rPr>
          <w:rFonts w:ascii="仿宋_GB2312" w:hAnsi="仿宋_GB2312" w:eastAsia="仿宋_GB2312" w:cs="仿宋_GB2312"/>
          <w:sz w:val="28"/>
          <w:szCs w:val="28"/>
        </w:rPr>
        <w:t>#软件开发，选择适合的开发工具与技术，按照设计方案进行代码编写，实现软件的各个功能模块。</w:t>
      </w:r>
    </w:p>
    <w:p>
      <w:pPr>
        <w:pStyle w:val="93"/>
        <w:spacing w:before="0" w:after="0" w:line="360" w:lineRule="auto"/>
        <w:ind w:left="0" w:right="0" w:firstLine="640"/>
        <w:jc w:val="both"/>
        <w:rPr>
          <w:rFonts w:ascii="Calibri" w:hAnsi="Calibri" w:eastAsia="Calibri" w:cs="Calibri"/>
          <w:sz w:val="21"/>
          <w:szCs w:val="21"/>
        </w:rPr>
      </w:pPr>
      <w:r>
        <w:rPr>
          <w:rFonts w:ascii="仿宋_GB2312" w:hAnsi="仿宋_GB2312" w:eastAsia="仿宋_GB2312" w:cs="仿宋_GB2312"/>
          <w:sz w:val="28"/>
          <w:szCs w:val="28"/>
        </w:rPr>
        <w:t>在编写代码的过程中，要遵循良好的编程规范，保证代码的可读性、可维护性和可扩展性。对编写的代码进行审查，发现并修复潜在的问题，如代码逻辑错误、安全漏洞、性能问题等。可以通过团队内部的代码审查、使用代码审查工具等方式进行。</w:t>
      </w:r>
    </w:p>
    <w:p>
      <w:pPr>
        <w:pStyle w:val="93"/>
        <w:spacing w:before="0" w:after="0" w:line="360" w:lineRule="auto"/>
        <w:ind w:left="0" w:right="0" w:firstLine="640"/>
        <w:jc w:val="both"/>
        <w:rPr>
          <w:rFonts w:ascii="Calibri" w:hAnsi="Calibri" w:eastAsia="Calibri" w:cs="Calibri"/>
          <w:sz w:val="21"/>
          <w:szCs w:val="21"/>
        </w:rPr>
      </w:pPr>
      <w:r>
        <w:rPr>
          <w:rFonts w:ascii="仿宋_GB2312" w:hAnsi="仿宋_GB2312" w:eastAsia="仿宋_GB2312" w:cs="仿宋_GB2312"/>
          <w:sz w:val="28"/>
          <w:szCs w:val="28"/>
        </w:rPr>
        <w:t>#软件测试，完成单元测试、联调测试、压力测试工作。#配合完成安全测试工作，包括配合开展安全漏洞扫描，完成安全漏洞修复等。</w:t>
      </w:r>
    </w:p>
    <w:p>
      <w:pPr>
        <w:pStyle w:val="93"/>
        <w:spacing w:before="0" w:after="0" w:line="360" w:lineRule="auto"/>
        <w:ind w:left="0" w:right="0" w:firstLine="640"/>
        <w:jc w:val="both"/>
        <w:rPr>
          <w:rFonts w:ascii="Calibri" w:hAnsi="Calibri" w:eastAsia="Calibri" w:cs="Calibri"/>
          <w:sz w:val="21"/>
          <w:szCs w:val="21"/>
        </w:rPr>
      </w:pPr>
      <w:r>
        <w:rPr>
          <w:rFonts w:ascii="仿宋_GB2312" w:hAnsi="仿宋_GB2312" w:eastAsia="仿宋_GB2312" w:cs="仿宋_GB2312"/>
          <w:sz w:val="28"/>
          <w:szCs w:val="28"/>
        </w:rPr>
        <w:t>#部署上线，将项目打包成可部署形式，部署到目标环境中，并完成上线检查、冒烟测试等。</w:t>
      </w:r>
    </w:p>
    <w:p>
      <w:pPr>
        <w:pStyle w:val="93"/>
        <w:spacing w:before="0" w:after="0" w:line="360" w:lineRule="auto"/>
        <w:ind w:left="0" w:right="0" w:firstLine="640"/>
        <w:jc w:val="both"/>
        <w:rPr>
          <w:rFonts w:ascii="Calibri" w:hAnsi="Calibri" w:eastAsia="Calibri" w:cs="Calibri"/>
          <w:sz w:val="21"/>
          <w:szCs w:val="21"/>
        </w:rPr>
      </w:pPr>
      <w:r>
        <w:rPr>
          <w:rFonts w:ascii="仿宋_GB2312" w:hAnsi="仿宋_GB2312" w:eastAsia="仿宋_GB2312" w:cs="仿宋_GB2312"/>
          <w:sz w:val="28"/>
          <w:szCs w:val="28"/>
        </w:rPr>
        <w:t>#在质量控制方面，必须严格把关成果质量，包括文档质量和软件质量等各类成果，以具体的量化标准衡量，按照软件项目管理规范来实施。</w:t>
      </w:r>
    </w:p>
    <w:p>
      <w:pPr>
        <w:pStyle w:val="93"/>
        <w:spacing w:before="0" w:after="0" w:line="360" w:lineRule="auto"/>
        <w:ind w:left="0" w:right="0" w:firstLine="640"/>
        <w:jc w:val="both"/>
        <w:rPr>
          <w:rFonts w:ascii="Calibri" w:hAnsi="Calibri" w:eastAsia="Calibri" w:cs="Calibri"/>
          <w:sz w:val="21"/>
          <w:szCs w:val="21"/>
        </w:rPr>
      </w:pPr>
      <w:r>
        <w:rPr>
          <w:rFonts w:ascii="仿宋_GB2312" w:hAnsi="仿宋_GB2312" w:eastAsia="仿宋_GB2312" w:cs="仿宋_GB2312"/>
          <w:sz w:val="28"/>
          <w:szCs w:val="28"/>
        </w:rPr>
        <w:t>#在项目管理方面，严格规范项目日常管理全过程。在整个软件开发过程中，需要进行有效的项目管理。</w:t>
      </w:r>
    </w:p>
    <w:p>
      <w:pPr>
        <w:pStyle w:val="93"/>
        <w:spacing w:before="0" w:after="0" w:line="360" w:lineRule="auto"/>
        <w:ind w:left="0" w:right="0" w:firstLine="640"/>
        <w:jc w:val="both"/>
        <w:rPr>
          <w:rFonts w:ascii="Calibri" w:hAnsi="Calibri" w:eastAsia="Calibri" w:cs="Calibri"/>
          <w:sz w:val="21"/>
          <w:szCs w:val="21"/>
        </w:rPr>
      </w:pPr>
      <w:r>
        <w:rPr>
          <w:rFonts w:ascii="仿宋_GB2312" w:hAnsi="仿宋_GB2312" w:eastAsia="仿宋_GB2312" w:cs="仿宋_GB2312"/>
          <w:sz w:val="28"/>
          <w:szCs w:val="28"/>
        </w:rPr>
        <w:t>#制定项目计划：明确项目的目标、任务、时间表、资源需求等，制定详细的项目计划。</w:t>
      </w:r>
    </w:p>
    <w:p>
      <w:pPr>
        <w:pStyle w:val="93"/>
        <w:spacing w:before="0" w:after="0" w:line="360" w:lineRule="auto"/>
        <w:ind w:left="0" w:right="0" w:firstLine="640"/>
        <w:jc w:val="both"/>
        <w:rPr>
          <w:rFonts w:ascii="Calibri" w:hAnsi="Calibri" w:eastAsia="Calibri" w:cs="Calibri"/>
          <w:sz w:val="21"/>
          <w:szCs w:val="21"/>
        </w:rPr>
      </w:pPr>
      <w:r>
        <w:rPr>
          <w:rFonts w:ascii="仿宋_GB2312" w:hAnsi="仿宋_GB2312" w:eastAsia="仿宋_GB2312" w:cs="仿宋_GB2312"/>
          <w:sz w:val="28"/>
          <w:szCs w:val="28"/>
        </w:rPr>
        <w:t>#团队管理：组建合适的开发团队，明确团队成员的职责和分工，进行有效的沟通和协作。</w:t>
      </w:r>
    </w:p>
    <w:p>
      <w:pPr>
        <w:pStyle w:val="93"/>
        <w:spacing w:before="0" w:after="0" w:line="360" w:lineRule="auto"/>
        <w:ind w:left="0" w:right="0" w:firstLine="640"/>
        <w:jc w:val="both"/>
        <w:rPr>
          <w:rFonts w:ascii="Calibri" w:hAnsi="Calibri" w:eastAsia="Calibri" w:cs="Calibri"/>
          <w:sz w:val="21"/>
          <w:szCs w:val="21"/>
        </w:rPr>
      </w:pPr>
      <w:r>
        <w:rPr>
          <w:rFonts w:ascii="仿宋_GB2312" w:hAnsi="仿宋_GB2312" w:eastAsia="仿宋_GB2312" w:cs="仿宋_GB2312"/>
          <w:sz w:val="28"/>
          <w:szCs w:val="28"/>
        </w:rPr>
        <w:t>#风险管理：识别项目中的风险因素，制定风险应对策略，降低项目风险。</w:t>
      </w:r>
    </w:p>
    <w:p>
      <w:pPr>
        <w:pStyle w:val="93"/>
        <w:spacing w:before="0" w:after="0" w:line="360" w:lineRule="auto"/>
        <w:ind w:left="0" w:right="0" w:firstLine="640"/>
        <w:jc w:val="both"/>
        <w:rPr>
          <w:rFonts w:ascii="Calibri" w:hAnsi="Calibri" w:eastAsia="Calibri" w:cs="Calibri"/>
          <w:sz w:val="21"/>
          <w:szCs w:val="21"/>
        </w:rPr>
      </w:pPr>
      <w:r>
        <w:rPr>
          <w:rFonts w:ascii="仿宋_GB2312" w:hAnsi="仿宋_GB2312" w:eastAsia="仿宋_GB2312" w:cs="仿宋_GB2312"/>
          <w:sz w:val="28"/>
          <w:szCs w:val="28"/>
        </w:rPr>
        <w:t>#质量管理：建立质量管理体系，确保软件的质量符合要求。</w:t>
      </w:r>
    </w:p>
    <w:p>
      <w:pPr>
        <w:pStyle w:val="93"/>
        <w:spacing w:before="0" w:after="0" w:line="360" w:lineRule="auto"/>
        <w:ind w:left="0" w:right="0" w:firstLine="640"/>
        <w:jc w:val="both"/>
        <w:rPr>
          <w:rFonts w:ascii="Calibri" w:hAnsi="Calibri" w:eastAsia="Calibri" w:cs="Calibri"/>
          <w:sz w:val="21"/>
          <w:szCs w:val="21"/>
        </w:rPr>
      </w:pPr>
      <w:r>
        <w:rPr>
          <w:rFonts w:ascii="仿宋_GB2312" w:hAnsi="仿宋_GB2312" w:eastAsia="仿宋_GB2312" w:cs="仿宋_GB2312"/>
          <w:sz w:val="28"/>
          <w:szCs w:val="28"/>
        </w:rPr>
        <w:t>#进度控制：监控项目的进度，及时调整计划，确保项目按时完成。</w:t>
      </w:r>
    </w:p>
    <w:p>
      <w:pPr>
        <w:pStyle w:val="93"/>
        <w:spacing w:before="0" w:after="0" w:line="360" w:lineRule="auto"/>
        <w:ind w:left="640" w:right="0"/>
        <w:jc w:val="both"/>
        <w:rPr>
          <w:rFonts w:ascii="Calibri" w:hAnsi="Calibri" w:eastAsia="Calibri" w:cs="Calibri"/>
          <w:sz w:val="21"/>
          <w:szCs w:val="21"/>
        </w:rPr>
      </w:pPr>
      <w:r>
        <w:rPr>
          <w:rFonts w:ascii="Calibri" w:hAnsi="Calibri" w:eastAsia="Calibri" w:cs="Calibri"/>
          <w:sz w:val="21"/>
          <w:szCs w:val="21"/>
        </w:rPr>
        <w:t> </w:t>
      </w:r>
    </w:p>
    <w:p>
      <w:pPr>
        <w:pStyle w:val="92"/>
        <w:keepNext w:val="0"/>
        <w:spacing w:before="0" w:after="0" w:line="360" w:lineRule="auto"/>
        <w:rPr>
          <w:rFonts w:ascii="仿宋_GB2312" w:hAnsi="仿宋_GB2312" w:eastAsia="仿宋_GB2312" w:cs="仿宋_GB2312"/>
          <w:b/>
          <w:bCs/>
          <w:sz w:val="28"/>
          <w:szCs w:val="28"/>
        </w:rPr>
      </w:pPr>
      <w:bookmarkStart w:id="22" w:name="_Toc256000018"/>
      <w:r>
        <w:rPr>
          <w:rFonts w:ascii="仿宋_GB2312" w:hAnsi="仿宋_GB2312" w:eastAsia="仿宋_GB2312" w:cs="仿宋_GB2312"/>
          <w:sz w:val="28"/>
          <w:szCs w:val="28"/>
        </w:rPr>
        <w:t>3.1.1升级改造具体内容</w:t>
      </w:r>
      <w:bookmarkEnd w:id="22"/>
    </w:p>
    <w:p>
      <w:pPr>
        <w:pStyle w:val="93"/>
        <w:spacing w:before="0" w:after="0" w:line="360" w:lineRule="auto"/>
        <w:ind w:left="640" w:right="0"/>
        <w:jc w:val="both"/>
        <w:rPr>
          <w:rFonts w:ascii="Calibri" w:hAnsi="Calibri" w:eastAsia="Calibri" w:cs="Calibri"/>
          <w:sz w:val="21"/>
          <w:szCs w:val="21"/>
        </w:rPr>
      </w:pPr>
      <w:r>
        <w:rPr>
          <w:rFonts w:ascii="仿宋_GB2312" w:hAnsi="仿宋_GB2312" w:eastAsia="仿宋_GB2312" w:cs="仿宋_GB2312"/>
          <w:sz w:val="28"/>
          <w:szCs w:val="28"/>
        </w:rPr>
        <w:t>项目升级改造内容:</w:t>
      </w:r>
    </w:p>
    <w:p>
      <w:pPr>
        <w:pStyle w:val="93"/>
        <w:spacing w:before="0" w:after="0" w:line="360" w:lineRule="auto"/>
        <w:ind w:left="640" w:right="0"/>
        <w:jc w:val="both"/>
        <w:rPr>
          <w:rFonts w:ascii="Calibri" w:hAnsi="Calibri" w:eastAsia="Calibri" w:cs="Calibri"/>
          <w:sz w:val="21"/>
          <w:szCs w:val="21"/>
        </w:rPr>
      </w:pPr>
      <w:r>
        <w:rPr>
          <w:rFonts w:ascii="仿宋_GB2312" w:hAnsi="仿宋_GB2312" w:eastAsia="仿宋_GB2312" w:cs="仿宋_GB2312"/>
          <w:sz w:val="28"/>
          <w:szCs w:val="28"/>
        </w:rPr>
        <w:t>1.1前置服务子系统</w:t>
      </w:r>
    </w:p>
    <w:p>
      <w:pPr>
        <w:pStyle w:val="93"/>
        <w:spacing w:before="0" w:after="0" w:line="360" w:lineRule="auto"/>
        <w:ind w:left="0" w:right="0" w:firstLine="640"/>
        <w:jc w:val="both"/>
        <w:rPr>
          <w:rFonts w:ascii="Calibri" w:hAnsi="Calibri" w:eastAsia="Calibri" w:cs="Calibri"/>
          <w:sz w:val="21"/>
          <w:szCs w:val="21"/>
        </w:rPr>
      </w:pPr>
      <w:r>
        <w:rPr>
          <w:rFonts w:ascii="仿宋_GB2312" w:hAnsi="仿宋_GB2312" w:eastAsia="仿宋_GB2312" w:cs="仿宋_GB2312"/>
          <w:sz w:val="28"/>
          <w:szCs w:val="28"/>
        </w:rPr>
        <w:t>按照总局下发的信息安全规范，建设外联网段与税务专网信息交互接口，实现对如下业务报表数据访问功能。</w:t>
      </w:r>
    </w:p>
    <w:tbl>
      <w:tblPr>
        <w:tblStyle w:val="95"/>
        <w:tblW w:w="0" w:type="auto"/>
        <w:tblCellSpacing w:w="0" w:type="dxa"/>
        <w:tblInd w:w="241" w:type="dxa"/>
        <w:tblLayout w:type="autofit"/>
        <w:tblCellMar>
          <w:top w:w="15" w:type="dxa"/>
          <w:left w:w="15" w:type="dxa"/>
          <w:bottom w:w="15" w:type="dxa"/>
          <w:right w:w="15" w:type="dxa"/>
        </w:tblCellMar>
      </w:tblPr>
      <w:tblGrid>
        <w:gridCol w:w="1571"/>
        <w:gridCol w:w="2763"/>
        <w:gridCol w:w="4727"/>
      </w:tblGrid>
      <w:tr>
        <w:tblPrEx>
          <w:tblCellMar>
            <w:top w:w="15" w:type="dxa"/>
            <w:left w:w="15" w:type="dxa"/>
            <w:bottom w:w="15" w:type="dxa"/>
            <w:right w:w="15" w:type="dxa"/>
          </w:tblCellMar>
        </w:tblPrEx>
        <w:trPr>
          <w:trHeight w:val="288" w:hRule="atLeast"/>
          <w:tblCellSpacing w:w="0" w:type="dxa"/>
        </w:trPr>
        <w:tc>
          <w:tcPr>
            <w:tcW w:w="1649" w:type="dxa"/>
            <w:vMerge w:val="restart"/>
            <w:tcBorders>
              <w:top w:val="single" w:color="000000" w:sz="8" w:space="0"/>
              <w:left w:val="single" w:color="000000" w:sz="8" w:space="0"/>
              <w:bottom w:val="nil"/>
              <w:right w:val="single" w:color="000000" w:sz="8" w:space="0"/>
            </w:tcBorders>
            <w:noWrap w:val="0"/>
            <w:tcMar>
              <w:top w:w="0" w:type="dxa"/>
              <w:left w:w="118" w:type="dxa"/>
              <w:bottom w:w="0" w:type="dxa"/>
              <w:right w:w="118" w:type="dxa"/>
            </w:tcMar>
            <w:vAlign w:val="center"/>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前置处理子系统的建设与实施</w:t>
            </w:r>
          </w:p>
        </w:tc>
        <w:tc>
          <w:tcPr>
            <w:tcW w:w="2935" w:type="dxa"/>
            <w:tcBorders>
              <w:top w:val="single" w:color="000000" w:sz="8" w:space="0"/>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接入控制服务应用</w:t>
            </w:r>
          </w:p>
        </w:tc>
        <w:tc>
          <w:tcPr>
            <w:tcW w:w="5051" w:type="dxa"/>
            <w:tcBorders>
              <w:top w:val="single" w:color="000000" w:sz="8" w:space="0"/>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财务报表信息接入控制服务设计开发</w:t>
            </w:r>
          </w:p>
        </w:tc>
      </w:tr>
      <w:tr>
        <w:tblPrEx>
          <w:tblCellMar>
            <w:top w:w="15" w:type="dxa"/>
            <w:left w:w="15" w:type="dxa"/>
            <w:bottom w:w="15" w:type="dxa"/>
            <w:right w:w="15" w:type="dxa"/>
          </w:tblCellMar>
        </w:tblPrEx>
        <w:trPr>
          <w:trHeight w:val="288" w:hRule="atLeast"/>
          <w:tblCellSpacing w:w="0" w:type="dxa"/>
        </w:trPr>
        <w:tc>
          <w:tcPr>
            <w:vMerge w:val="continue"/>
            <w:tcBorders>
              <w:left w:val="single" w:color="000000" w:sz="8" w:space="0"/>
              <w:right w:val="single" w:color="000000" w:sz="8" w:space="0"/>
            </w:tcBorders>
            <w:vAlign w:val="center"/>
          </w:tcPr>
          <w:p>
            <w:pPr>
              <w:pStyle w:val="18"/>
              <w:rPr>
                <w:rFonts w:ascii="宋体" w:hAnsi="宋体" w:eastAsia="宋体" w:cs="宋体"/>
                <w:b w:val="0"/>
                <w:bCs w:val="0"/>
                <w:i w:val="0"/>
                <w:iCs w:val="0"/>
                <w:smallCaps w:val="0"/>
                <w:color w:val="000000"/>
                <w:sz w:val="28"/>
                <w:szCs w:val="28"/>
              </w:rPr>
            </w:pPr>
          </w:p>
        </w:tc>
        <w:tc>
          <w:tcPr>
            <w:tcW w:w="2935" w:type="dxa"/>
            <w:vMerge w:val="restart"/>
            <w:tcBorders>
              <w:bottom w:val="nil"/>
              <w:right w:val="single" w:color="000000" w:sz="8" w:space="0"/>
            </w:tcBorders>
            <w:noWrap w:val="0"/>
            <w:tcMar>
              <w:top w:w="0" w:type="dxa"/>
              <w:left w:w="108" w:type="dxa"/>
              <w:bottom w:w="0" w:type="dxa"/>
              <w:right w:w="118" w:type="dxa"/>
            </w:tcMar>
            <w:vAlign w:val="center"/>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前置服务协议适配应用</w:t>
            </w:r>
          </w:p>
        </w:tc>
        <w:tc>
          <w:tcPr>
            <w:tcW w:w="5051" w:type="dxa"/>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内部协议适配服务设计开发</w:t>
            </w:r>
          </w:p>
        </w:tc>
      </w:tr>
      <w:tr>
        <w:tblPrEx>
          <w:tblCellMar>
            <w:top w:w="15" w:type="dxa"/>
            <w:left w:w="15" w:type="dxa"/>
            <w:bottom w:w="15" w:type="dxa"/>
            <w:right w:w="15" w:type="dxa"/>
          </w:tblCellMar>
        </w:tblPrEx>
        <w:trPr>
          <w:trHeight w:val="288" w:hRule="atLeast"/>
          <w:tblCellSpacing w:w="0" w:type="dxa"/>
        </w:trPr>
        <w:tc>
          <w:tcPr>
            <w:vMerge w:val="continue"/>
            <w:tcBorders>
              <w:left w:val="single" w:color="000000" w:sz="8" w:space="0"/>
              <w:right w:val="single" w:color="000000" w:sz="8" w:space="0"/>
            </w:tcBorders>
            <w:vAlign w:val="center"/>
          </w:tcPr>
          <w:p>
            <w:pPr>
              <w:pStyle w:val="18"/>
              <w:rPr>
                <w:rFonts w:ascii="宋体" w:hAnsi="宋体" w:eastAsia="宋体" w:cs="宋体"/>
                <w:b w:val="0"/>
                <w:bCs w:val="0"/>
                <w:i w:val="0"/>
                <w:iCs w:val="0"/>
                <w:smallCaps w:val="0"/>
                <w:color w:val="000000"/>
                <w:sz w:val="28"/>
                <w:szCs w:val="28"/>
              </w:rPr>
            </w:pPr>
          </w:p>
        </w:tc>
        <w:tc>
          <w:tcPr>
            <w:vMerge w:val="continue"/>
            <w:tcBorders>
              <w:bottom w:val="single" w:color="000000" w:sz="8" w:space="0"/>
              <w:right w:val="single" w:color="000000" w:sz="8" w:space="0"/>
            </w:tcBorders>
            <w:vAlign w:val="center"/>
          </w:tcPr>
          <w:p>
            <w:pPr>
              <w:pStyle w:val="18"/>
              <w:rPr>
                <w:rFonts w:ascii="宋体" w:hAnsi="宋体" w:eastAsia="宋体" w:cs="宋体"/>
                <w:b w:val="0"/>
                <w:bCs w:val="0"/>
                <w:i w:val="0"/>
                <w:iCs w:val="0"/>
                <w:smallCaps w:val="0"/>
                <w:color w:val="000000"/>
                <w:sz w:val="28"/>
                <w:szCs w:val="28"/>
              </w:rPr>
            </w:pPr>
          </w:p>
        </w:tc>
        <w:tc>
          <w:tcPr>
            <w:tcW w:w="5051" w:type="dxa"/>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外部协议适配服务设计开发</w:t>
            </w:r>
          </w:p>
        </w:tc>
      </w:tr>
      <w:tr>
        <w:tblPrEx>
          <w:tblCellMar>
            <w:top w:w="15" w:type="dxa"/>
            <w:left w:w="15" w:type="dxa"/>
            <w:bottom w:w="15" w:type="dxa"/>
            <w:right w:w="15" w:type="dxa"/>
          </w:tblCellMar>
        </w:tblPrEx>
        <w:trPr>
          <w:trHeight w:val="288" w:hRule="atLeast"/>
          <w:tblCellSpacing w:w="0" w:type="dxa"/>
        </w:trPr>
        <w:tc>
          <w:tcPr>
            <w:vMerge w:val="continue"/>
            <w:tcBorders>
              <w:left w:val="single" w:color="000000" w:sz="8" w:space="0"/>
              <w:right w:val="single" w:color="000000" w:sz="8" w:space="0"/>
            </w:tcBorders>
            <w:vAlign w:val="center"/>
          </w:tcPr>
          <w:p>
            <w:pPr>
              <w:pStyle w:val="18"/>
              <w:rPr>
                <w:rFonts w:ascii="宋体" w:hAnsi="宋体" w:eastAsia="宋体" w:cs="宋体"/>
                <w:b w:val="0"/>
                <w:bCs w:val="0"/>
                <w:i w:val="0"/>
                <w:iCs w:val="0"/>
                <w:smallCaps w:val="0"/>
                <w:color w:val="000000"/>
                <w:sz w:val="28"/>
                <w:szCs w:val="28"/>
              </w:rPr>
            </w:pPr>
          </w:p>
        </w:tc>
        <w:tc>
          <w:tcPr>
            <w:tcW w:w="2935" w:type="dxa"/>
            <w:vMerge w:val="restart"/>
            <w:tcBorders>
              <w:bottom w:val="nil"/>
              <w:right w:val="single" w:color="000000" w:sz="8" w:space="0"/>
            </w:tcBorders>
            <w:noWrap w:val="0"/>
            <w:tcMar>
              <w:top w:w="0" w:type="dxa"/>
              <w:left w:w="108" w:type="dxa"/>
              <w:bottom w:w="0" w:type="dxa"/>
              <w:right w:w="118" w:type="dxa"/>
            </w:tcMar>
            <w:vAlign w:val="center"/>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财务报表数据落地和预处理设计开发</w:t>
            </w:r>
          </w:p>
        </w:tc>
        <w:tc>
          <w:tcPr>
            <w:tcW w:w="5051" w:type="dxa"/>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企业会计制度准则信息共享内部接口</w:t>
            </w:r>
          </w:p>
        </w:tc>
      </w:tr>
      <w:tr>
        <w:tblPrEx>
          <w:tblCellMar>
            <w:top w:w="15" w:type="dxa"/>
            <w:left w:w="15" w:type="dxa"/>
            <w:bottom w:w="15" w:type="dxa"/>
            <w:right w:w="15" w:type="dxa"/>
          </w:tblCellMar>
        </w:tblPrEx>
        <w:trPr>
          <w:trHeight w:val="288" w:hRule="atLeast"/>
          <w:tblCellSpacing w:w="0" w:type="dxa"/>
        </w:trPr>
        <w:tc>
          <w:tcPr>
            <w:vMerge w:val="continue"/>
            <w:tcBorders>
              <w:left w:val="single" w:color="000000" w:sz="8" w:space="0"/>
              <w:right w:val="single" w:color="000000" w:sz="8" w:space="0"/>
            </w:tcBorders>
            <w:vAlign w:val="center"/>
          </w:tcPr>
          <w:p>
            <w:pPr>
              <w:pStyle w:val="18"/>
              <w:rPr>
                <w:rFonts w:ascii="宋体" w:hAnsi="宋体" w:eastAsia="宋体" w:cs="宋体"/>
                <w:b w:val="0"/>
                <w:bCs w:val="0"/>
                <w:i w:val="0"/>
                <w:iCs w:val="0"/>
                <w:smallCaps w:val="0"/>
                <w:color w:val="000000"/>
                <w:sz w:val="28"/>
                <w:szCs w:val="28"/>
              </w:rPr>
            </w:pPr>
          </w:p>
        </w:tc>
        <w:tc>
          <w:tcPr>
            <w:vMerge w:val="continue"/>
            <w:tcBorders>
              <w:right w:val="single" w:color="000000" w:sz="8" w:space="0"/>
            </w:tcBorders>
            <w:vAlign w:val="center"/>
          </w:tcPr>
          <w:p>
            <w:pPr>
              <w:pStyle w:val="18"/>
              <w:rPr>
                <w:rFonts w:ascii="宋体" w:hAnsi="宋体" w:eastAsia="宋体" w:cs="宋体"/>
                <w:b w:val="0"/>
                <w:bCs w:val="0"/>
                <w:i w:val="0"/>
                <w:iCs w:val="0"/>
                <w:smallCaps w:val="0"/>
                <w:color w:val="000000"/>
                <w:sz w:val="28"/>
                <w:szCs w:val="28"/>
              </w:rPr>
            </w:pPr>
          </w:p>
        </w:tc>
        <w:tc>
          <w:tcPr>
            <w:tcW w:w="5051" w:type="dxa"/>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小企业会计制度准则信息共享内部接口</w:t>
            </w:r>
          </w:p>
        </w:tc>
      </w:tr>
      <w:tr>
        <w:tblPrEx>
          <w:tblCellMar>
            <w:top w:w="15" w:type="dxa"/>
            <w:left w:w="15" w:type="dxa"/>
            <w:bottom w:w="15" w:type="dxa"/>
            <w:right w:w="15" w:type="dxa"/>
          </w:tblCellMar>
        </w:tblPrEx>
        <w:trPr>
          <w:trHeight w:val="288" w:hRule="atLeast"/>
          <w:tblCellSpacing w:w="0" w:type="dxa"/>
        </w:trPr>
        <w:tc>
          <w:tcPr>
            <w:vMerge w:val="continue"/>
            <w:tcBorders>
              <w:left w:val="single" w:color="000000" w:sz="8" w:space="0"/>
              <w:right w:val="single" w:color="000000" w:sz="8" w:space="0"/>
            </w:tcBorders>
            <w:vAlign w:val="center"/>
          </w:tcPr>
          <w:p>
            <w:pPr>
              <w:pStyle w:val="18"/>
              <w:rPr>
                <w:rFonts w:ascii="宋体" w:hAnsi="宋体" w:eastAsia="宋体" w:cs="宋体"/>
                <w:b w:val="0"/>
                <w:bCs w:val="0"/>
                <w:i w:val="0"/>
                <w:iCs w:val="0"/>
                <w:smallCaps w:val="0"/>
                <w:color w:val="000000"/>
                <w:sz w:val="28"/>
                <w:szCs w:val="28"/>
              </w:rPr>
            </w:pPr>
          </w:p>
        </w:tc>
        <w:tc>
          <w:tcPr>
            <w:vMerge w:val="continue"/>
            <w:tcBorders>
              <w:right w:val="single" w:color="000000" w:sz="8" w:space="0"/>
            </w:tcBorders>
            <w:vAlign w:val="center"/>
          </w:tcPr>
          <w:p>
            <w:pPr>
              <w:pStyle w:val="18"/>
              <w:rPr>
                <w:rFonts w:ascii="宋体" w:hAnsi="宋体" w:eastAsia="宋体" w:cs="宋体"/>
                <w:b w:val="0"/>
                <w:bCs w:val="0"/>
                <w:i w:val="0"/>
                <w:iCs w:val="0"/>
                <w:smallCaps w:val="0"/>
                <w:color w:val="000000"/>
                <w:sz w:val="28"/>
                <w:szCs w:val="28"/>
              </w:rPr>
            </w:pPr>
          </w:p>
        </w:tc>
        <w:tc>
          <w:tcPr>
            <w:tcW w:w="5051" w:type="dxa"/>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民航会计制度准则信息共享内部接口</w:t>
            </w:r>
          </w:p>
        </w:tc>
      </w:tr>
      <w:tr>
        <w:tblPrEx>
          <w:tblCellMar>
            <w:top w:w="15" w:type="dxa"/>
            <w:left w:w="15" w:type="dxa"/>
            <w:bottom w:w="15" w:type="dxa"/>
            <w:right w:w="15" w:type="dxa"/>
          </w:tblCellMar>
        </w:tblPrEx>
        <w:trPr>
          <w:trHeight w:val="288" w:hRule="atLeast"/>
          <w:tblCellSpacing w:w="0" w:type="dxa"/>
        </w:trPr>
        <w:tc>
          <w:tcPr>
            <w:vMerge w:val="continue"/>
            <w:tcBorders>
              <w:left w:val="single" w:color="000000" w:sz="8" w:space="0"/>
              <w:right w:val="single" w:color="000000" w:sz="8" w:space="0"/>
            </w:tcBorders>
            <w:vAlign w:val="center"/>
          </w:tcPr>
          <w:p>
            <w:pPr>
              <w:pStyle w:val="18"/>
              <w:rPr>
                <w:rFonts w:ascii="宋体" w:hAnsi="宋体" w:eastAsia="宋体" w:cs="宋体"/>
                <w:b w:val="0"/>
                <w:bCs w:val="0"/>
                <w:i w:val="0"/>
                <w:iCs w:val="0"/>
                <w:smallCaps w:val="0"/>
                <w:color w:val="000000"/>
                <w:sz w:val="28"/>
                <w:szCs w:val="28"/>
              </w:rPr>
            </w:pPr>
          </w:p>
        </w:tc>
        <w:tc>
          <w:tcPr>
            <w:vMerge w:val="continue"/>
            <w:tcBorders>
              <w:right w:val="single" w:color="000000" w:sz="8" w:space="0"/>
            </w:tcBorders>
            <w:vAlign w:val="center"/>
          </w:tcPr>
          <w:p>
            <w:pPr>
              <w:pStyle w:val="18"/>
              <w:rPr>
                <w:rFonts w:ascii="宋体" w:hAnsi="宋体" w:eastAsia="宋体" w:cs="宋体"/>
                <w:b w:val="0"/>
                <w:bCs w:val="0"/>
                <w:i w:val="0"/>
                <w:iCs w:val="0"/>
                <w:smallCaps w:val="0"/>
                <w:color w:val="000000"/>
                <w:sz w:val="28"/>
                <w:szCs w:val="28"/>
              </w:rPr>
            </w:pPr>
          </w:p>
        </w:tc>
        <w:tc>
          <w:tcPr>
            <w:tcW w:w="5051" w:type="dxa"/>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企业会计制度准则信息共享_保险中介内部接口</w:t>
            </w:r>
          </w:p>
        </w:tc>
      </w:tr>
      <w:tr>
        <w:tblPrEx>
          <w:tblCellMar>
            <w:top w:w="15" w:type="dxa"/>
            <w:left w:w="15" w:type="dxa"/>
            <w:bottom w:w="15" w:type="dxa"/>
            <w:right w:w="15" w:type="dxa"/>
          </w:tblCellMar>
        </w:tblPrEx>
        <w:trPr>
          <w:trHeight w:val="288" w:hRule="atLeast"/>
          <w:tblCellSpacing w:w="0" w:type="dxa"/>
        </w:trPr>
        <w:tc>
          <w:tcPr>
            <w:vMerge w:val="continue"/>
            <w:tcBorders>
              <w:left w:val="single" w:color="000000" w:sz="8" w:space="0"/>
              <w:right w:val="single" w:color="000000" w:sz="8" w:space="0"/>
            </w:tcBorders>
            <w:vAlign w:val="center"/>
          </w:tcPr>
          <w:p>
            <w:pPr>
              <w:pStyle w:val="18"/>
              <w:rPr>
                <w:rFonts w:ascii="宋体" w:hAnsi="宋体" w:eastAsia="宋体" w:cs="宋体"/>
                <w:b w:val="0"/>
                <w:bCs w:val="0"/>
                <w:i w:val="0"/>
                <w:iCs w:val="0"/>
                <w:smallCaps w:val="0"/>
                <w:color w:val="000000"/>
                <w:sz w:val="28"/>
                <w:szCs w:val="28"/>
              </w:rPr>
            </w:pPr>
          </w:p>
        </w:tc>
        <w:tc>
          <w:tcPr>
            <w:vMerge w:val="continue"/>
            <w:tcBorders>
              <w:right w:val="single" w:color="000000" w:sz="8" w:space="0"/>
            </w:tcBorders>
            <w:vAlign w:val="center"/>
          </w:tcPr>
          <w:p>
            <w:pPr>
              <w:pStyle w:val="18"/>
              <w:rPr>
                <w:rFonts w:ascii="宋体" w:hAnsi="宋体" w:eastAsia="宋体" w:cs="宋体"/>
                <w:b w:val="0"/>
                <w:bCs w:val="0"/>
                <w:i w:val="0"/>
                <w:iCs w:val="0"/>
                <w:smallCaps w:val="0"/>
                <w:color w:val="000000"/>
                <w:sz w:val="28"/>
                <w:szCs w:val="28"/>
              </w:rPr>
            </w:pPr>
          </w:p>
        </w:tc>
        <w:tc>
          <w:tcPr>
            <w:tcW w:w="5051" w:type="dxa"/>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企业会计制度准则信息共享_商业银行内部接口</w:t>
            </w:r>
          </w:p>
        </w:tc>
      </w:tr>
      <w:tr>
        <w:tblPrEx>
          <w:tblCellMar>
            <w:top w:w="15" w:type="dxa"/>
            <w:left w:w="15" w:type="dxa"/>
            <w:bottom w:w="15" w:type="dxa"/>
            <w:right w:w="15" w:type="dxa"/>
          </w:tblCellMar>
        </w:tblPrEx>
        <w:trPr>
          <w:trHeight w:val="288" w:hRule="atLeast"/>
          <w:tblCellSpacing w:w="0" w:type="dxa"/>
        </w:trPr>
        <w:tc>
          <w:tcPr>
            <w:vMerge w:val="continue"/>
            <w:tcBorders>
              <w:left w:val="single" w:color="000000" w:sz="8" w:space="0"/>
              <w:right w:val="single" w:color="000000" w:sz="8" w:space="0"/>
            </w:tcBorders>
            <w:vAlign w:val="center"/>
          </w:tcPr>
          <w:p>
            <w:pPr>
              <w:pStyle w:val="18"/>
              <w:rPr>
                <w:rFonts w:ascii="宋体" w:hAnsi="宋体" w:eastAsia="宋体" w:cs="宋体"/>
                <w:b w:val="0"/>
                <w:bCs w:val="0"/>
                <w:i w:val="0"/>
                <w:iCs w:val="0"/>
                <w:smallCaps w:val="0"/>
                <w:color w:val="000000"/>
                <w:sz w:val="28"/>
                <w:szCs w:val="28"/>
              </w:rPr>
            </w:pPr>
          </w:p>
        </w:tc>
        <w:tc>
          <w:tcPr>
            <w:vMerge w:val="continue"/>
            <w:tcBorders>
              <w:right w:val="single" w:color="000000" w:sz="8" w:space="0"/>
            </w:tcBorders>
            <w:vAlign w:val="center"/>
          </w:tcPr>
          <w:p>
            <w:pPr>
              <w:pStyle w:val="18"/>
              <w:rPr>
                <w:rFonts w:ascii="宋体" w:hAnsi="宋体" w:eastAsia="宋体" w:cs="宋体"/>
                <w:b w:val="0"/>
                <w:bCs w:val="0"/>
                <w:i w:val="0"/>
                <w:iCs w:val="0"/>
                <w:smallCaps w:val="0"/>
                <w:color w:val="000000"/>
                <w:sz w:val="28"/>
                <w:szCs w:val="28"/>
              </w:rPr>
            </w:pPr>
          </w:p>
        </w:tc>
        <w:tc>
          <w:tcPr>
            <w:tcW w:w="5051" w:type="dxa"/>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企业会计制度准则信息共享_证券公司内部接口</w:t>
            </w:r>
          </w:p>
        </w:tc>
      </w:tr>
      <w:tr>
        <w:tblPrEx>
          <w:tblCellMar>
            <w:top w:w="15" w:type="dxa"/>
            <w:left w:w="15" w:type="dxa"/>
            <w:bottom w:w="15" w:type="dxa"/>
            <w:right w:w="15" w:type="dxa"/>
          </w:tblCellMar>
        </w:tblPrEx>
        <w:trPr>
          <w:trHeight w:val="288" w:hRule="atLeast"/>
          <w:tblCellSpacing w:w="0" w:type="dxa"/>
        </w:trPr>
        <w:tc>
          <w:tcPr>
            <w:vMerge w:val="continue"/>
            <w:tcBorders>
              <w:left w:val="single" w:color="000000" w:sz="8" w:space="0"/>
              <w:right w:val="single" w:color="000000" w:sz="8" w:space="0"/>
            </w:tcBorders>
            <w:vAlign w:val="center"/>
          </w:tcPr>
          <w:p>
            <w:pPr>
              <w:pStyle w:val="18"/>
              <w:rPr>
                <w:rFonts w:ascii="宋体" w:hAnsi="宋体" w:eastAsia="宋体" w:cs="宋体"/>
                <w:b w:val="0"/>
                <w:bCs w:val="0"/>
                <w:i w:val="0"/>
                <w:iCs w:val="0"/>
                <w:smallCaps w:val="0"/>
                <w:color w:val="000000"/>
                <w:sz w:val="28"/>
                <w:szCs w:val="28"/>
              </w:rPr>
            </w:pPr>
          </w:p>
        </w:tc>
        <w:tc>
          <w:tcPr>
            <w:vMerge w:val="continue"/>
            <w:tcBorders>
              <w:right w:val="single" w:color="000000" w:sz="8" w:space="0"/>
            </w:tcBorders>
            <w:vAlign w:val="center"/>
          </w:tcPr>
          <w:p>
            <w:pPr>
              <w:pStyle w:val="18"/>
              <w:rPr>
                <w:rFonts w:ascii="宋体" w:hAnsi="宋体" w:eastAsia="宋体" w:cs="宋体"/>
                <w:b w:val="0"/>
                <w:bCs w:val="0"/>
                <w:i w:val="0"/>
                <w:iCs w:val="0"/>
                <w:smallCaps w:val="0"/>
                <w:color w:val="000000"/>
                <w:sz w:val="28"/>
                <w:szCs w:val="28"/>
              </w:rPr>
            </w:pPr>
          </w:p>
        </w:tc>
        <w:tc>
          <w:tcPr>
            <w:tcW w:w="5051" w:type="dxa"/>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企业会计制度准则信息共享_保险公司内部接口</w:t>
            </w:r>
          </w:p>
        </w:tc>
      </w:tr>
      <w:tr>
        <w:tblPrEx>
          <w:tblCellMar>
            <w:top w:w="15" w:type="dxa"/>
            <w:left w:w="15" w:type="dxa"/>
            <w:bottom w:w="15" w:type="dxa"/>
            <w:right w:w="15" w:type="dxa"/>
          </w:tblCellMar>
        </w:tblPrEx>
        <w:trPr>
          <w:trHeight w:val="288" w:hRule="atLeast"/>
          <w:tblCellSpacing w:w="0" w:type="dxa"/>
        </w:trPr>
        <w:tc>
          <w:tcPr>
            <w:vMerge w:val="continue"/>
            <w:tcBorders>
              <w:left w:val="single" w:color="000000" w:sz="8" w:space="0"/>
              <w:right w:val="single" w:color="000000" w:sz="8" w:space="0"/>
            </w:tcBorders>
            <w:vAlign w:val="center"/>
          </w:tcPr>
          <w:p>
            <w:pPr>
              <w:pStyle w:val="18"/>
              <w:rPr>
                <w:rFonts w:ascii="宋体" w:hAnsi="宋体" w:eastAsia="宋体" w:cs="宋体"/>
                <w:b w:val="0"/>
                <w:bCs w:val="0"/>
                <w:i w:val="0"/>
                <w:iCs w:val="0"/>
                <w:smallCaps w:val="0"/>
                <w:color w:val="000000"/>
                <w:sz w:val="28"/>
                <w:szCs w:val="28"/>
              </w:rPr>
            </w:pPr>
          </w:p>
        </w:tc>
        <w:tc>
          <w:tcPr>
            <w:vMerge w:val="continue"/>
            <w:tcBorders>
              <w:right w:val="single" w:color="000000" w:sz="8" w:space="0"/>
            </w:tcBorders>
            <w:vAlign w:val="center"/>
          </w:tcPr>
          <w:p>
            <w:pPr>
              <w:pStyle w:val="18"/>
              <w:rPr>
                <w:rFonts w:ascii="宋体" w:hAnsi="宋体" w:eastAsia="宋体" w:cs="宋体"/>
                <w:b w:val="0"/>
                <w:bCs w:val="0"/>
                <w:i w:val="0"/>
                <w:iCs w:val="0"/>
                <w:smallCaps w:val="0"/>
                <w:color w:val="000000"/>
                <w:sz w:val="28"/>
                <w:szCs w:val="28"/>
              </w:rPr>
            </w:pPr>
          </w:p>
        </w:tc>
        <w:tc>
          <w:tcPr>
            <w:tcW w:w="5051" w:type="dxa"/>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企业会计制度准则信息共享_典当行业内部接口</w:t>
            </w:r>
          </w:p>
        </w:tc>
      </w:tr>
      <w:tr>
        <w:tblPrEx>
          <w:tblCellMar>
            <w:top w:w="15" w:type="dxa"/>
            <w:left w:w="15" w:type="dxa"/>
            <w:bottom w:w="15" w:type="dxa"/>
            <w:right w:w="15" w:type="dxa"/>
          </w:tblCellMar>
        </w:tblPrEx>
        <w:trPr>
          <w:trHeight w:val="288" w:hRule="atLeast"/>
          <w:tblCellSpacing w:w="0" w:type="dxa"/>
        </w:trPr>
        <w:tc>
          <w:tcPr>
            <w:vMerge w:val="continue"/>
            <w:tcBorders>
              <w:left w:val="single" w:color="000000" w:sz="8" w:space="0"/>
              <w:right w:val="single" w:color="000000" w:sz="8" w:space="0"/>
            </w:tcBorders>
            <w:vAlign w:val="center"/>
          </w:tcPr>
          <w:p>
            <w:pPr>
              <w:pStyle w:val="18"/>
              <w:rPr>
                <w:rFonts w:ascii="宋体" w:hAnsi="宋体" w:eastAsia="宋体" w:cs="宋体"/>
                <w:b w:val="0"/>
                <w:bCs w:val="0"/>
                <w:i w:val="0"/>
                <w:iCs w:val="0"/>
                <w:smallCaps w:val="0"/>
                <w:color w:val="000000"/>
                <w:sz w:val="28"/>
                <w:szCs w:val="28"/>
              </w:rPr>
            </w:pPr>
          </w:p>
        </w:tc>
        <w:tc>
          <w:tcPr>
            <w:vMerge w:val="continue"/>
            <w:tcBorders>
              <w:right w:val="single" w:color="000000" w:sz="8" w:space="0"/>
            </w:tcBorders>
            <w:vAlign w:val="center"/>
          </w:tcPr>
          <w:p>
            <w:pPr>
              <w:pStyle w:val="18"/>
              <w:rPr>
                <w:rFonts w:ascii="宋体" w:hAnsi="宋体" w:eastAsia="宋体" w:cs="宋体"/>
                <w:b w:val="0"/>
                <w:bCs w:val="0"/>
                <w:i w:val="0"/>
                <w:iCs w:val="0"/>
                <w:smallCaps w:val="0"/>
                <w:color w:val="000000"/>
                <w:sz w:val="28"/>
                <w:szCs w:val="28"/>
              </w:rPr>
            </w:pPr>
          </w:p>
        </w:tc>
        <w:tc>
          <w:tcPr>
            <w:tcW w:w="5051" w:type="dxa"/>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企业会计制度准则信息共享_担保企业会计核算办法内部接口</w:t>
            </w:r>
          </w:p>
        </w:tc>
      </w:tr>
      <w:tr>
        <w:tblPrEx>
          <w:tblCellMar>
            <w:top w:w="15" w:type="dxa"/>
            <w:left w:w="15" w:type="dxa"/>
            <w:bottom w:w="15" w:type="dxa"/>
            <w:right w:w="15" w:type="dxa"/>
          </w:tblCellMar>
        </w:tblPrEx>
        <w:trPr>
          <w:trHeight w:val="288" w:hRule="atLeast"/>
          <w:tblCellSpacing w:w="0" w:type="dxa"/>
        </w:trPr>
        <w:tc>
          <w:tcPr>
            <w:vMerge w:val="continue"/>
            <w:tcBorders>
              <w:left w:val="single" w:color="000000" w:sz="8" w:space="0"/>
              <w:right w:val="single" w:color="000000" w:sz="8" w:space="0"/>
            </w:tcBorders>
            <w:vAlign w:val="center"/>
          </w:tcPr>
          <w:p>
            <w:pPr>
              <w:pStyle w:val="18"/>
              <w:rPr>
                <w:rFonts w:ascii="宋体" w:hAnsi="宋体" w:eastAsia="宋体" w:cs="宋体"/>
                <w:b w:val="0"/>
                <w:bCs w:val="0"/>
                <w:i w:val="0"/>
                <w:iCs w:val="0"/>
                <w:smallCaps w:val="0"/>
                <w:color w:val="000000"/>
                <w:sz w:val="28"/>
                <w:szCs w:val="28"/>
              </w:rPr>
            </w:pPr>
          </w:p>
        </w:tc>
        <w:tc>
          <w:tcPr>
            <w:vMerge w:val="continue"/>
            <w:tcBorders>
              <w:bottom w:val="single" w:color="000000" w:sz="8" w:space="0"/>
              <w:right w:val="single" w:color="000000" w:sz="8" w:space="0"/>
            </w:tcBorders>
            <w:vAlign w:val="center"/>
          </w:tcPr>
          <w:p>
            <w:pPr>
              <w:pStyle w:val="18"/>
              <w:rPr>
                <w:rFonts w:ascii="宋体" w:hAnsi="宋体" w:eastAsia="宋体" w:cs="宋体"/>
                <w:b w:val="0"/>
                <w:bCs w:val="0"/>
                <w:i w:val="0"/>
                <w:iCs w:val="0"/>
                <w:smallCaps w:val="0"/>
                <w:color w:val="000000"/>
                <w:sz w:val="28"/>
                <w:szCs w:val="28"/>
              </w:rPr>
            </w:pPr>
          </w:p>
        </w:tc>
        <w:tc>
          <w:tcPr>
            <w:tcW w:w="5051" w:type="dxa"/>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企业会计制度准则信息共享_金融企业内部接口</w:t>
            </w:r>
          </w:p>
        </w:tc>
      </w:tr>
      <w:tr>
        <w:tblPrEx>
          <w:tblCellMar>
            <w:top w:w="15" w:type="dxa"/>
            <w:left w:w="15" w:type="dxa"/>
            <w:bottom w:w="15" w:type="dxa"/>
            <w:right w:w="15" w:type="dxa"/>
          </w:tblCellMar>
        </w:tblPrEx>
        <w:trPr>
          <w:trHeight w:val="288" w:hRule="atLeast"/>
          <w:tblCellSpacing w:w="0" w:type="dxa"/>
        </w:trPr>
        <w:tc>
          <w:tcPr>
            <w:vMerge w:val="continue"/>
            <w:tcBorders>
              <w:left w:val="single" w:color="000000" w:sz="8" w:space="0"/>
              <w:right w:val="single" w:color="000000" w:sz="8" w:space="0"/>
            </w:tcBorders>
            <w:vAlign w:val="center"/>
          </w:tcPr>
          <w:p>
            <w:pPr>
              <w:pStyle w:val="18"/>
              <w:rPr>
                <w:rFonts w:ascii="宋体" w:hAnsi="宋体" w:eastAsia="宋体" w:cs="宋体"/>
                <w:b w:val="0"/>
                <w:bCs w:val="0"/>
                <w:i w:val="0"/>
                <w:iCs w:val="0"/>
                <w:smallCaps w:val="0"/>
                <w:color w:val="000000"/>
                <w:sz w:val="28"/>
                <w:szCs w:val="28"/>
              </w:rPr>
            </w:pPr>
          </w:p>
        </w:tc>
        <w:tc>
          <w:tcPr>
            <w:tcW w:w="2935" w:type="dxa"/>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市监部门企业设立数据落地和预处理设计开发</w:t>
            </w:r>
          </w:p>
        </w:tc>
        <w:tc>
          <w:tcPr>
            <w:tcW w:w="5051" w:type="dxa"/>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市监部门企业设立内部接口</w:t>
            </w:r>
          </w:p>
        </w:tc>
      </w:tr>
      <w:tr>
        <w:tblPrEx>
          <w:tblCellMar>
            <w:top w:w="15" w:type="dxa"/>
            <w:left w:w="15" w:type="dxa"/>
            <w:bottom w:w="15" w:type="dxa"/>
            <w:right w:w="15" w:type="dxa"/>
          </w:tblCellMar>
        </w:tblPrEx>
        <w:trPr>
          <w:trHeight w:val="288" w:hRule="atLeast"/>
          <w:tblCellSpacing w:w="0" w:type="dxa"/>
        </w:trPr>
        <w:tc>
          <w:tcPr>
            <w:vMerge w:val="continue"/>
            <w:tcBorders>
              <w:left w:val="single" w:color="000000" w:sz="8" w:space="0"/>
              <w:bottom w:val="single" w:color="000000" w:sz="8" w:space="0"/>
              <w:right w:val="single" w:color="000000" w:sz="8" w:space="0"/>
            </w:tcBorders>
            <w:vAlign w:val="center"/>
          </w:tcPr>
          <w:p>
            <w:pPr>
              <w:pStyle w:val="18"/>
              <w:rPr>
                <w:rFonts w:ascii="宋体" w:hAnsi="宋体" w:eastAsia="宋体" w:cs="宋体"/>
                <w:b w:val="0"/>
                <w:bCs w:val="0"/>
                <w:i w:val="0"/>
                <w:iCs w:val="0"/>
                <w:smallCaps w:val="0"/>
                <w:color w:val="000000"/>
                <w:sz w:val="28"/>
                <w:szCs w:val="28"/>
              </w:rPr>
            </w:pPr>
          </w:p>
        </w:tc>
        <w:tc>
          <w:tcPr>
            <w:tcW w:w="2935" w:type="dxa"/>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市监部门个体设立数据落地和预处理设计开发</w:t>
            </w:r>
          </w:p>
        </w:tc>
        <w:tc>
          <w:tcPr>
            <w:tcW w:w="5051" w:type="dxa"/>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市监部门个体设立内部接口</w:t>
            </w:r>
          </w:p>
        </w:tc>
      </w:tr>
    </w:tbl>
    <w:p>
      <w:pPr>
        <w:pStyle w:val="93"/>
        <w:spacing w:before="0" w:after="0" w:line="360" w:lineRule="auto"/>
        <w:ind w:left="640" w:right="0"/>
        <w:jc w:val="both"/>
        <w:rPr>
          <w:rFonts w:ascii="Calibri" w:hAnsi="Calibri" w:eastAsia="Calibri" w:cs="Calibri"/>
          <w:sz w:val="21"/>
          <w:szCs w:val="21"/>
        </w:rPr>
      </w:pPr>
      <w:r>
        <w:rPr>
          <w:rFonts w:ascii="仿宋_GB2312" w:hAnsi="仿宋_GB2312" w:eastAsia="仿宋_GB2312" w:cs="仿宋_GB2312"/>
          <w:sz w:val="28"/>
          <w:szCs w:val="28"/>
        </w:rPr>
        <w:t>1.2交换中心子系统</w:t>
      </w:r>
    </w:p>
    <w:p>
      <w:pPr>
        <w:pStyle w:val="93"/>
        <w:spacing w:before="0" w:after="0" w:line="360" w:lineRule="auto"/>
        <w:ind w:left="480" w:right="0"/>
        <w:jc w:val="both"/>
        <w:rPr>
          <w:rFonts w:ascii="Calibri" w:hAnsi="Calibri" w:eastAsia="Calibri" w:cs="Calibri"/>
          <w:sz w:val="21"/>
          <w:szCs w:val="21"/>
        </w:rPr>
      </w:pPr>
      <w:r>
        <w:rPr>
          <w:rFonts w:ascii="仿宋_GB2312" w:hAnsi="仿宋_GB2312" w:eastAsia="仿宋_GB2312" w:cs="仿宋_GB2312"/>
          <w:sz w:val="28"/>
          <w:szCs w:val="28"/>
        </w:rPr>
        <w:t>财务报表信息处理应用需处理的业务如下：</w:t>
      </w:r>
    </w:p>
    <w:tbl>
      <w:tblPr>
        <w:tblStyle w:val="95"/>
        <w:tblW w:w="8276" w:type="dxa"/>
        <w:tblCellSpacing w:w="0" w:type="dxa"/>
        <w:tblInd w:w="241" w:type="dxa"/>
        <w:tblLayout w:type="autofit"/>
        <w:tblCellMar>
          <w:top w:w="15" w:type="dxa"/>
          <w:left w:w="15" w:type="dxa"/>
          <w:bottom w:w="15" w:type="dxa"/>
          <w:right w:w="15" w:type="dxa"/>
        </w:tblCellMar>
      </w:tblPr>
      <w:tblGrid>
        <w:gridCol w:w="2683"/>
        <w:gridCol w:w="5593"/>
      </w:tblGrid>
      <w:tr>
        <w:tblPrEx>
          <w:tblCellMar>
            <w:top w:w="15" w:type="dxa"/>
            <w:left w:w="15" w:type="dxa"/>
            <w:bottom w:w="15" w:type="dxa"/>
            <w:right w:w="15" w:type="dxa"/>
          </w:tblCellMar>
        </w:tblPrEx>
        <w:trPr>
          <w:trHeight w:val="288" w:hRule="atLeast"/>
          <w:tblCellSpacing w:w="0" w:type="dxa"/>
        </w:trPr>
        <w:tc>
          <w:tcPr>
            <w:tcW w:w="2825" w:type="dxa"/>
            <w:tcBorders>
              <w:top w:val="single" w:color="000000" w:sz="8" w:space="0"/>
              <w:left w:val="single" w:color="000000" w:sz="8" w:space="0"/>
              <w:bottom w:val="single" w:color="000000" w:sz="8" w:space="0"/>
              <w:right w:val="single" w:color="000000" w:sz="8" w:space="0"/>
            </w:tcBorders>
            <w:noWrap w:val="0"/>
            <w:tcMar>
              <w:top w:w="0" w:type="dxa"/>
              <w:left w:w="118" w:type="dxa"/>
              <w:bottom w:w="0" w:type="dxa"/>
              <w:right w:w="118" w:type="dxa"/>
            </w:tcMar>
            <w:vAlign w:val="center"/>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数据抽取同步服务</w:t>
            </w:r>
          </w:p>
        </w:tc>
        <w:tc>
          <w:tcPr>
            <w:tcW w:w="5933" w:type="dxa"/>
            <w:tcBorders>
              <w:top w:val="single" w:color="000000" w:sz="8" w:space="0"/>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数据抽取同步服务</w:t>
            </w:r>
          </w:p>
        </w:tc>
      </w:tr>
      <w:tr>
        <w:tblPrEx>
          <w:tblCellMar>
            <w:top w:w="15" w:type="dxa"/>
            <w:left w:w="15" w:type="dxa"/>
            <w:bottom w:w="15" w:type="dxa"/>
            <w:right w:w="15" w:type="dxa"/>
          </w:tblCellMar>
        </w:tblPrEx>
        <w:trPr>
          <w:trHeight w:val="288" w:hRule="atLeast"/>
          <w:tblCellSpacing w:w="0" w:type="dxa"/>
        </w:trPr>
        <w:tc>
          <w:tcPr>
            <w:tcW w:w="2825" w:type="dxa"/>
            <w:tcBorders>
              <w:left w:val="single" w:color="000000" w:sz="8" w:space="0"/>
              <w:bottom w:val="single" w:color="000000" w:sz="8" w:space="0"/>
              <w:right w:val="single" w:color="000000" w:sz="8" w:space="0"/>
            </w:tcBorders>
            <w:noWrap w:val="0"/>
            <w:tcMar>
              <w:top w:w="0" w:type="dxa"/>
              <w:left w:w="118" w:type="dxa"/>
              <w:bottom w:w="0" w:type="dxa"/>
              <w:right w:w="118" w:type="dxa"/>
            </w:tcMar>
            <w:vAlign w:val="center"/>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数据处理服务</w:t>
            </w:r>
          </w:p>
        </w:tc>
        <w:tc>
          <w:tcPr>
            <w:tcW w:w="5933" w:type="dxa"/>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数据处理服务</w:t>
            </w:r>
          </w:p>
        </w:tc>
      </w:tr>
      <w:tr>
        <w:tblPrEx>
          <w:tblCellMar>
            <w:top w:w="15" w:type="dxa"/>
            <w:left w:w="15" w:type="dxa"/>
            <w:bottom w:w="15" w:type="dxa"/>
            <w:right w:w="15" w:type="dxa"/>
          </w:tblCellMar>
        </w:tblPrEx>
        <w:trPr>
          <w:trHeight w:val="288" w:hRule="atLeast"/>
          <w:tblCellSpacing w:w="0" w:type="dxa"/>
        </w:trPr>
        <w:tc>
          <w:tcPr>
            <w:tcW w:w="2825" w:type="dxa"/>
            <w:vMerge w:val="restart"/>
            <w:tcBorders>
              <w:left w:val="single" w:color="000000" w:sz="8" w:space="0"/>
              <w:bottom w:val="nil"/>
              <w:right w:val="single" w:color="000000" w:sz="8" w:space="0"/>
            </w:tcBorders>
            <w:noWrap w:val="0"/>
            <w:tcMar>
              <w:top w:w="0" w:type="dxa"/>
              <w:left w:w="118" w:type="dxa"/>
              <w:bottom w:w="0" w:type="dxa"/>
              <w:right w:w="118" w:type="dxa"/>
            </w:tcMar>
            <w:vAlign w:val="center"/>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财务报表信息加工和预处理设计开发</w:t>
            </w:r>
          </w:p>
        </w:tc>
        <w:tc>
          <w:tcPr>
            <w:tcW w:w="5933" w:type="dxa"/>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企业会计制度准则_资产负债表数据落地和预处理设计开发</w:t>
            </w:r>
          </w:p>
        </w:tc>
      </w:tr>
      <w:tr>
        <w:tblPrEx>
          <w:tblCellMar>
            <w:top w:w="15" w:type="dxa"/>
            <w:left w:w="15" w:type="dxa"/>
            <w:bottom w:w="15" w:type="dxa"/>
            <w:right w:w="15" w:type="dxa"/>
          </w:tblCellMar>
        </w:tblPrEx>
        <w:trPr>
          <w:trHeight w:val="288" w:hRule="atLeast"/>
          <w:tblCellSpacing w:w="0" w:type="dxa"/>
        </w:trPr>
        <w:tc>
          <w:tcPr>
            <w:vMerge w:val="continue"/>
            <w:tcBorders>
              <w:left w:val="single" w:color="000000" w:sz="8" w:space="0"/>
              <w:right w:val="single" w:color="000000" w:sz="8" w:space="0"/>
            </w:tcBorders>
            <w:vAlign w:val="center"/>
          </w:tcPr>
          <w:p>
            <w:pPr>
              <w:pStyle w:val="18"/>
              <w:rPr>
                <w:rFonts w:ascii="宋体" w:hAnsi="宋体" w:eastAsia="宋体" w:cs="宋体"/>
                <w:b w:val="0"/>
                <w:bCs w:val="0"/>
                <w:i w:val="0"/>
                <w:iCs w:val="0"/>
                <w:smallCaps w:val="0"/>
                <w:color w:val="000000"/>
                <w:sz w:val="28"/>
                <w:szCs w:val="28"/>
              </w:rPr>
            </w:pPr>
          </w:p>
        </w:tc>
        <w:tc>
          <w:tcPr>
            <w:tcW w:w="5933" w:type="dxa"/>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企业会计制度准则_利润表数据落地和预处理设计开发</w:t>
            </w:r>
          </w:p>
        </w:tc>
      </w:tr>
      <w:tr>
        <w:tblPrEx>
          <w:tblCellMar>
            <w:top w:w="15" w:type="dxa"/>
            <w:left w:w="15" w:type="dxa"/>
            <w:bottom w:w="15" w:type="dxa"/>
            <w:right w:w="15" w:type="dxa"/>
          </w:tblCellMar>
        </w:tblPrEx>
        <w:trPr>
          <w:trHeight w:val="288" w:hRule="atLeast"/>
          <w:tblCellSpacing w:w="0" w:type="dxa"/>
        </w:trPr>
        <w:tc>
          <w:tcPr>
            <w:vMerge w:val="continue"/>
            <w:tcBorders>
              <w:left w:val="single" w:color="000000" w:sz="8" w:space="0"/>
              <w:right w:val="single" w:color="000000" w:sz="8" w:space="0"/>
            </w:tcBorders>
            <w:vAlign w:val="center"/>
          </w:tcPr>
          <w:p>
            <w:pPr>
              <w:pStyle w:val="18"/>
              <w:rPr>
                <w:rFonts w:ascii="宋体" w:hAnsi="宋体" w:eastAsia="宋体" w:cs="宋体"/>
                <w:b w:val="0"/>
                <w:bCs w:val="0"/>
                <w:i w:val="0"/>
                <w:iCs w:val="0"/>
                <w:smallCaps w:val="0"/>
                <w:color w:val="000000"/>
                <w:sz w:val="28"/>
                <w:szCs w:val="28"/>
              </w:rPr>
            </w:pPr>
          </w:p>
        </w:tc>
        <w:tc>
          <w:tcPr>
            <w:tcW w:w="5933" w:type="dxa"/>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小企业会计制度准则资产负债表数据落地和预处理设计开发</w:t>
            </w:r>
          </w:p>
        </w:tc>
      </w:tr>
      <w:tr>
        <w:tblPrEx>
          <w:tblCellMar>
            <w:top w:w="15" w:type="dxa"/>
            <w:left w:w="15" w:type="dxa"/>
            <w:bottom w:w="15" w:type="dxa"/>
            <w:right w:w="15" w:type="dxa"/>
          </w:tblCellMar>
        </w:tblPrEx>
        <w:trPr>
          <w:trHeight w:val="288" w:hRule="atLeast"/>
          <w:tblCellSpacing w:w="0" w:type="dxa"/>
        </w:trPr>
        <w:tc>
          <w:tcPr>
            <w:vMerge w:val="continue"/>
            <w:tcBorders>
              <w:left w:val="single" w:color="000000" w:sz="8" w:space="0"/>
              <w:right w:val="single" w:color="000000" w:sz="8" w:space="0"/>
            </w:tcBorders>
            <w:vAlign w:val="center"/>
          </w:tcPr>
          <w:p>
            <w:pPr>
              <w:pStyle w:val="18"/>
              <w:rPr>
                <w:rFonts w:ascii="宋体" w:hAnsi="宋体" w:eastAsia="宋体" w:cs="宋体"/>
                <w:b w:val="0"/>
                <w:bCs w:val="0"/>
                <w:i w:val="0"/>
                <w:iCs w:val="0"/>
                <w:smallCaps w:val="0"/>
                <w:color w:val="000000"/>
                <w:sz w:val="28"/>
                <w:szCs w:val="28"/>
              </w:rPr>
            </w:pPr>
          </w:p>
        </w:tc>
        <w:tc>
          <w:tcPr>
            <w:tcW w:w="5933" w:type="dxa"/>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小企业会计制度准则利润表数据落地和预处理设计开发</w:t>
            </w:r>
          </w:p>
        </w:tc>
      </w:tr>
      <w:tr>
        <w:tblPrEx>
          <w:tblCellMar>
            <w:top w:w="15" w:type="dxa"/>
            <w:left w:w="15" w:type="dxa"/>
            <w:bottom w:w="15" w:type="dxa"/>
            <w:right w:w="15" w:type="dxa"/>
          </w:tblCellMar>
        </w:tblPrEx>
        <w:trPr>
          <w:trHeight w:val="288" w:hRule="atLeast"/>
          <w:tblCellSpacing w:w="0" w:type="dxa"/>
        </w:trPr>
        <w:tc>
          <w:tcPr>
            <w:vMerge w:val="continue"/>
            <w:tcBorders>
              <w:left w:val="single" w:color="000000" w:sz="8" w:space="0"/>
              <w:right w:val="single" w:color="000000" w:sz="8" w:space="0"/>
            </w:tcBorders>
            <w:vAlign w:val="center"/>
          </w:tcPr>
          <w:p>
            <w:pPr>
              <w:pStyle w:val="18"/>
              <w:rPr>
                <w:rFonts w:ascii="宋体" w:hAnsi="宋体" w:eastAsia="宋体" w:cs="宋体"/>
                <w:b w:val="0"/>
                <w:bCs w:val="0"/>
                <w:i w:val="0"/>
                <w:iCs w:val="0"/>
                <w:smallCaps w:val="0"/>
                <w:color w:val="000000"/>
                <w:sz w:val="28"/>
                <w:szCs w:val="28"/>
              </w:rPr>
            </w:pPr>
          </w:p>
        </w:tc>
        <w:tc>
          <w:tcPr>
            <w:tcW w:w="5933" w:type="dxa"/>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民航会计制度准则资产负债表数据落地和预处理设计开发</w:t>
            </w:r>
          </w:p>
        </w:tc>
      </w:tr>
      <w:tr>
        <w:tblPrEx>
          <w:tblCellMar>
            <w:top w:w="15" w:type="dxa"/>
            <w:left w:w="15" w:type="dxa"/>
            <w:bottom w:w="15" w:type="dxa"/>
            <w:right w:w="15" w:type="dxa"/>
          </w:tblCellMar>
        </w:tblPrEx>
        <w:trPr>
          <w:trHeight w:val="288" w:hRule="atLeast"/>
          <w:tblCellSpacing w:w="0" w:type="dxa"/>
        </w:trPr>
        <w:tc>
          <w:tcPr>
            <w:vMerge w:val="continue"/>
            <w:tcBorders>
              <w:left w:val="single" w:color="000000" w:sz="8" w:space="0"/>
              <w:right w:val="single" w:color="000000" w:sz="8" w:space="0"/>
            </w:tcBorders>
            <w:vAlign w:val="center"/>
          </w:tcPr>
          <w:p>
            <w:pPr>
              <w:pStyle w:val="18"/>
              <w:rPr>
                <w:rFonts w:ascii="宋体" w:hAnsi="宋体" w:eastAsia="宋体" w:cs="宋体"/>
                <w:b w:val="0"/>
                <w:bCs w:val="0"/>
                <w:i w:val="0"/>
                <w:iCs w:val="0"/>
                <w:smallCaps w:val="0"/>
                <w:color w:val="000000"/>
                <w:sz w:val="28"/>
                <w:szCs w:val="28"/>
              </w:rPr>
            </w:pPr>
          </w:p>
        </w:tc>
        <w:tc>
          <w:tcPr>
            <w:tcW w:w="5933" w:type="dxa"/>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民航会计制度准则利润表数据落地和预处理设计开发</w:t>
            </w:r>
          </w:p>
        </w:tc>
      </w:tr>
      <w:tr>
        <w:tblPrEx>
          <w:tblCellMar>
            <w:top w:w="15" w:type="dxa"/>
            <w:left w:w="15" w:type="dxa"/>
            <w:bottom w:w="15" w:type="dxa"/>
            <w:right w:w="15" w:type="dxa"/>
          </w:tblCellMar>
        </w:tblPrEx>
        <w:trPr>
          <w:trHeight w:val="288" w:hRule="atLeast"/>
          <w:tblCellSpacing w:w="0" w:type="dxa"/>
        </w:trPr>
        <w:tc>
          <w:tcPr>
            <w:vMerge w:val="continue"/>
            <w:tcBorders>
              <w:left w:val="single" w:color="000000" w:sz="8" w:space="0"/>
              <w:right w:val="single" w:color="000000" w:sz="8" w:space="0"/>
            </w:tcBorders>
            <w:vAlign w:val="center"/>
          </w:tcPr>
          <w:p>
            <w:pPr>
              <w:pStyle w:val="18"/>
              <w:rPr>
                <w:rFonts w:ascii="宋体" w:hAnsi="宋体" w:eastAsia="宋体" w:cs="宋体"/>
                <w:b w:val="0"/>
                <w:bCs w:val="0"/>
                <w:i w:val="0"/>
                <w:iCs w:val="0"/>
                <w:smallCaps w:val="0"/>
                <w:color w:val="000000"/>
                <w:sz w:val="28"/>
                <w:szCs w:val="28"/>
              </w:rPr>
            </w:pPr>
          </w:p>
        </w:tc>
        <w:tc>
          <w:tcPr>
            <w:tcW w:w="5933" w:type="dxa"/>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企业会计制度准则_保险中介资产负债表数据落地和预处理设计开发</w:t>
            </w:r>
          </w:p>
        </w:tc>
      </w:tr>
      <w:tr>
        <w:tblPrEx>
          <w:tblCellMar>
            <w:top w:w="15" w:type="dxa"/>
            <w:left w:w="15" w:type="dxa"/>
            <w:bottom w:w="15" w:type="dxa"/>
            <w:right w:w="15" w:type="dxa"/>
          </w:tblCellMar>
        </w:tblPrEx>
        <w:trPr>
          <w:trHeight w:val="288" w:hRule="atLeast"/>
          <w:tblCellSpacing w:w="0" w:type="dxa"/>
        </w:trPr>
        <w:tc>
          <w:tcPr>
            <w:vMerge w:val="continue"/>
            <w:tcBorders>
              <w:left w:val="single" w:color="000000" w:sz="8" w:space="0"/>
              <w:right w:val="single" w:color="000000" w:sz="8" w:space="0"/>
            </w:tcBorders>
            <w:vAlign w:val="center"/>
          </w:tcPr>
          <w:p>
            <w:pPr>
              <w:pStyle w:val="18"/>
              <w:rPr>
                <w:rFonts w:ascii="宋体" w:hAnsi="宋体" w:eastAsia="宋体" w:cs="宋体"/>
                <w:b w:val="0"/>
                <w:bCs w:val="0"/>
                <w:i w:val="0"/>
                <w:iCs w:val="0"/>
                <w:smallCaps w:val="0"/>
                <w:color w:val="000000"/>
                <w:sz w:val="28"/>
                <w:szCs w:val="28"/>
              </w:rPr>
            </w:pPr>
          </w:p>
        </w:tc>
        <w:tc>
          <w:tcPr>
            <w:tcW w:w="5933" w:type="dxa"/>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企业会计制度准则_保险中介利润表数据落地和预处理设计开发</w:t>
            </w:r>
          </w:p>
        </w:tc>
      </w:tr>
      <w:tr>
        <w:tblPrEx>
          <w:tblCellMar>
            <w:top w:w="15" w:type="dxa"/>
            <w:left w:w="15" w:type="dxa"/>
            <w:bottom w:w="15" w:type="dxa"/>
            <w:right w:w="15" w:type="dxa"/>
          </w:tblCellMar>
        </w:tblPrEx>
        <w:trPr>
          <w:trHeight w:val="288" w:hRule="atLeast"/>
          <w:tblCellSpacing w:w="0" w:type="dxa"/>
        </w:trPr>
        <w:tc>
          <w:tcPr>
            <w:vMerge w:val="continue"/>
            <w:tcBorders>
              <w:left w:val="single" w:color="000000" w:sz="8" w:space="0"/>
              <w:right w:val="single" w:color="000000" w:sz="8" w:space="0"/>
            </w:tcBorders>
            <w:vAlign w:val="center"/>
          </w:tcPr>
          <w:p>
            <w:pPr>
              <w:pStyle w:val="18"/>
              <w:rPr>
                <w:rFonts w:ascii="宋体" w:hAnsi="宋体" w:eastAsia="宋体" w:cs="宋体"/>
                <w:b w:val="0"/>
                <w:bCs w:val="0"/>
                <w:i w:val="0"/>
                <w:iCs w:val="0"/>
                <w:smallCaps w:val="0"/>
                <w:color w:val="000000"/>
                <w:sz w:val="28"/>
                <w:szCs w:val="28"/>
              </w:rPr>
            </w:pPr>
          </w:p>
        </w:tc>
        <w:tc>
          <w:tcPr>
            <w:tcW w:w="5933" w:type="dxa"/>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企业会计制度准则_商业银行资产负债表数据落地和预处理设计开发</w:t>
            </w:r>
          </w:p>
        </w:tc>
      </w:tr>
      <w:tr>
        <w:tblPrEx>
          <w:tblCellMar>
            <w:top w:w="15" w:type="dxa"/>
            <w:left w:w="15" w:type="dxa"/>
            <w:bottom w:w="15" w:type="dxa"/>
            <w:right w:w="15" w:type="dxa"/>
          </w:tblCellMar>
        </w:tblPrEx>
        <w:trPr>
          <w:trHeight w:val="288" w:hRule="atLeast"/>
          <w:tblCellSpacing w:w="0" w:type="dxa"/>
        </w:trPr>
        <w:tc>
          <w:tcPr>
            <w:vMerge w:val="continue"/>
            <w:tcBorders>
              <w:left w:val="single" w:color="000000" w:sz="8" w:space="0"/>
              <w:right w:val="single" w:color="000000" w:sz="8" w:space="0"/>
            </w:tcBorders>
            <w:vAlign w:val="center"/>
          </w:tcPr>
          <w:p>
            <w:pPr>
              <w:pStyle w:val="18"/>
              <w:rPr>
                <w:rFonts w:ascii="宋体" w:hAnsi="宋体" w:eastAsia="宋体" w:cs="宋体"/>
                <w:b w:val="0"/>
                <w:bCs w:val="0"/>
                <w:i w:val="0"/>
                <w:iCs w:val="0"/>
                <w:smallCaps w:val="0"/>
                <w:color w:val="000000"/>
                <w:sz w:val="28"/>
                <w:szCs w:val="28"/>
              </w:rPr>
            </w:pPr>
          </w:p>
        </w:tc>
        <w:tc>
          <w:tcPr>
            <w:tcW w:w="5933" w:type="dxa"/>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企业会计制度准则_商业银行利润表数据落地和预处理设计开发</w:t>
            </w:r>
          </w:p>
        </w:tc>
      </w:tr>
      <w:tr>
        <w:tblPrEx>
          <w:tblCellMar>
            <w:top w:w="15" w:type="dxa"/>
            <w:left w:w="15" w:type="dxa"/>
            <w:bottom w:w="15" w:type="dxa"/>
            <w:right w:w="15" w:type="dxa"/>
          </w:tblCellMar>
        </w:tblPrEx>
        <w:trPr>
          <w:trHeight w:val="288" w:hRule="atLeast"/>
          <w:tblCellSpacing w:w="0" w:type="dxa"/>
        </w:trPr>
        <w:tc>
          <w:tcPr>
            <w:vMerge w:val="continue"/>
            <w:tcBorders>
              <w:left w:val="single" w:color="000000" w:sz="8" w:space="0"/>
              <w:right w:val="single" w:color="000000" w:sz="8" w:space="0"/>
            </w:tcBorders>
            <w:vAlign w:val="center"/>
          </w:tcPr>
          <w:p>
            <w:pPr>
              <w:pStyle w:val="18"/>
              <w:rPr>
                <w:rFonts w:ascii="宋体" w:hAnsi="宋体" w:eastAsia="宋体" w:cs="宋体"/>
                <w:b w:val="0"/>
                <w:bCs w:val="0"/>
                <w:i w:val="0"/>
                <w:iCs w:val="0"/>
                <w:smallCaps w:val="0"/>
                <w:color w:val="000000"/>
                <w:sz w:val="28"/>
                <w:szCs w:val="28"/>
              </w:rPr>
            </w:pPr>
          </w:p>
        </w:tc>
        <w:tc>
          <w:tcPr>
            <w:tcW w:w="5933" w:type="dxa"/>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企业会计制度准则_证券公司资产负债表数据落地和预处理设计开发</w:t>
            </w:r>
          </w:p>
        </w:tc>
      </w:tr>
      <w:tr>
        <w:tblPrEx>
          <w:tblCellMar>
            <w:top w:w="15" w:type="dxa"/>
            <w:left w:w="15" w:type="dxa"/>
            <w:bottom w:w="15" w:type="dxa"/>
            <w:right w:w="15" w:type="dxa"/>
          </w:tblCellMar>
        </w:tblPrEx>
        <w:trPr>
          <w:trHeight w:val="288" w:hRule="atLeast"/>
          <w:tblCellSpacing w:w="0" w:type="dxa"/>
        </w:trPr>
        <w:tc>
          <w:tcPr>
            <w:vMerge w:val="continue"/>
            <w:tcBorders>
              <w:left w:val="single" w:color="000000" w:sz="8" w:space="0"/>
              <w:right w:val="single" w:color="000000" w:sz="8" w:space="0"/>
            </w:tcBorders>
            <w:vAlign w:val="center"/>
          </w:tcPr>
          <w:p>
            <w:pPr>
              <w:pStyle w:val="18"/>
              <w:rPr>
                <w:rFonts w:ascii="宋体" w:hAnsi="宋体" w:eastAsia="宋体" w:cs="宋体"/>
                <w:b w:val="0"/>
                <w:bCs w:val="0"/>
                <w:i w:val="0"/>
                <w:iCs w:val="0"/>
                <w:smallCaps w:val="0"/>
                <w:color w:val="000000"/>
                <w:sz w:val="28"/>
                <w:szCs w:val="28"/>
              </w:rPr>
            </w:pPr>
          </w:p>
        </w:tc>
        <w:tc>
          <w:tcPr>
            <w:tcW w:w="5933" w:type="dxa"/>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企业会计制度准则_证券公司利润表数据落地和预处理设计开发</w:t>
            </w:r>
          </w:p>
        </w:tc>
      </w:tr>
      <w:tr>
        <w:tblPrEx>
          <w:tblCellMar>
            <w:top w:w="15" w:type="dxa"/>
            <w:left w:w="15" w:type="dxa"/>
            <w:bottom w:w="15" w:type="dxa"/>
            <w:right w:w="15" w:type="dxa"/>
          </w:tblCellMar>
        </w:tblPrEx>
        <w:trPr>
          <w:trHeight w:val="288" w:hRule="atLeast"/>
          <w:tblCellSpacing w:w="0" w:type="dxa"/>
        </w:trPr>
        <w:tc>
          <w:tcPr>
            <w:vMerge w:val="continue"/>
            <w:tcBorders>
              <w:left w:val="single" w:color="000000" w:sz="8" w:space="0"/>
              <w:right w:val="single" w:color="000000" w:sz="8" w:space="0"/>
            </w:tcBorders>
            <w:vAlign w:val="center"/>
          </w:tcPr>
          <w:p>
            <w:pPr>
              <w:pStyle w:val="18"/>
              <w:rPr>
                <w:rFonts w:ascii="宋体" w:hAnsi="宋体" w:eastAsia="宋体" w:cs="宋体"/>
                <w:b w:val="0"/>
                <w:bCs w:val="0"/>
                <w:i w:val="0"/>
                <w:iCs w:val="0"/>
                <w:smallCaps w:val="0"/>
                <w:color w:val="000000"/>
                <w:sz w:val="28"/>
                <w:szCs w:val="28"/>
              </w:rPr>
            </w:pPr>
          </w:p>
        </w:tc>
        <w:tc>
          <w:tcPr>
            <w:tcW w:w="5933" w:type="dxa"/>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企业会计制度准则_保险公司资产负债表数据落地和预处理设计开发</w:t>
            </w:r>
          </w:p>
        </w:tc>
      </w:tr>
      <w:tr>
        <w:tblPrEx>
          <w:tblCellMar>
            <w:top w:w="15" w:type="dxa"/>
            <w:left w:w="15" w:type="dxa"/>
            <w:bottom w:w="15" w:type="dxa"/>
            <w:right w:w="15" w:type="dxa"/>
          </w:tblCellMar>
        </w:tblPrEx>
        <w:trPr>
          <w:trHeight w:val="288" w:hRule="atLeast"/>
          <w:tblCellSpacing w:w="0" w:type="dxa"/>
        </w:trPr>
        <w:tc>
          <w:tcPr>
            <w:vMerge w:val="continue"/>
            <w:tcBorders>
              <w:left w:val="single" w:color="000000" w:sz="8" w:space="0"/>
              <w:right w:val="single" w:color="000000" w:sz="8" w:space="0"/>
            </w:tcBorders>
            <w:vAlign w:val="center"/>
          </w:tcPr>
          <w:p>
            <w:pPr>
              <w:pStyle w:val="18"/>
              <w:rPr>
                <w:rFonts w:ascii="宋体" w:hAnsi="宋体" w:eastAsia="宋体" w:cs="宋体"/>
                <w:b w:val="0"/>
                <w:bCs w:val="0"/>
                <w:i w:val="0"/>
                <w:iCs w:val="0"/>
                <w:smallCaps w:val="0"/>
                <w:color w:val="000000"/>
                <w:sz w:val="28"/>
                <w:szCs w:val="28"/>
              </w:rPr>
            </w:pPr>
          </w:p>
        </w:tc>
        <w:tc>
          <w:tcPr>
            <w:tcW w:w="5933" w:type="dxa"/>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企业会计制度准则_保险公司利润表数据落地和预处理设计开发</w:t>
            </w:r>
          </w:p>
        </w:tc>
      </w:tr>
      <w:tr>
        <w:tblPrEx>
          <w:tblCellMar>
            <w:top w:w="15" w:type="dxa"/>
            <w:left w:w="15" w:type="dxa"/>
            <w:bottom w:w="15" w:type="dxa"/>
            <w:right w:w="15" w:type="dxa"/>
          </w:tblCellMar>
        </w:tblPrEx>
        <w:trPr>
          <w:trHeight w:val="288" w:hRule="atLeast"/>
          <w:tblCellSpacing w:w="0" w:type="dxa"/>
        </w:trPr>
        <w:tc>
          <w:tcPr>
            <w:vMerge w:val="continue"/>
            <w:tcBorders>
              <w:left w:val="single" w:color="000000" w:sz="8" w:space="0"/>
              <w:right w:val="single" w:color="000000" w:sz="8" w:space="0"/>
            </w:tcBorders>
            <w:vAlign w:val="center"/>
          </w:tcPr>
          <w:p>
            <w:pPr>
              <w:pStyle w:val="18"/>
              <w:rPr>
                <w:rFonts w:ascii="宋体" w:hAnsi="宋体" w:eastAsia="宋体" w:cs="宋体"/>
                <w:b w:val="0"/>
                <w:bCs w:val="0"/>
                <w:i w:val="0"/>
                <w:iCs w:val="0"/>
                <w:smallCaps w:val="0"/>
                <w:color w:val="000000"/>
                <w:sz w:val="28"/>
                <w:szCs w:val="28"/>
              </w:rPr>
            </w:pPr>
          </w:p>
        </w:tc>
        <w:tc>
          <w:tcPr>
            <w:tcW w:w="5933" w:type="dxa"/>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企业会计制度准则_典当行业资产负债表数据落地和预处理设计开发</w:t>
            </w:r>
          </w:p>
        </w:tc>
      </w:tr>
      <w:tr>
        <w:tblPrEx>
          <w:tblCellMar>
            <w:top w:w="15" w:type="dxa"/>
            <w:left w:w="15" w:type="dxa"/>
            <w:bottom w:w="15" w:type="dxa"/>
            <w:right w:w="15" w:type="dxa"/>
          </w:tblCellMar>
        </w:tblPrEx>
        <w:trPr>
          <w:trHeight w:val="288" w:hRule="atLeast"/>
          <w:tblCellSpacing w:w="0" w:type="dxa"/>
        </w:trPr>
        <w:tc>
          <w:tcPr>
            <w:vMerge w:val="continue"/>
            <w:tcBorders>
              <w:left w:val="single" w:color="000000" w:sz="8" w:space="0"/>
              <w:right w:val="single" w:color="000000" w:sz="8" w:space="0"/>
            </w:tcBorders>
            <w:vAlign w:val="center"/>
          </w:tcPr>
          <w:p>
            <w:pPr>
              <w:pStyle w:val="18"/>
              <w:rPr>
                <w:rFonts w:ascii="宋体" w:hAnsi="宋体" w:eastAsia="宋体" w:cs="宋体"/>
                <w:b w:val="0"/>
                <w:bCs w:val="0"/>
                <w:i w:val="0"/>
                <w:iCs w:val="0"/>
                <w:smallCaps w:val="0"/>
                <w:color w:val="000000"/>
                <w:sz w:val="28"/>
                <w:szCs w:val="28"/>
              </w:rPr>
            </w:pPr>
          </w:p>
        </w:tc>
        <w:tc>
          <w:tcPr>
            <w:tcW w:w="5933" w:type="dxa"/>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企业会计制度准则_典当行业利润表数据落地和预处理设计开发</w:t>
            </w:r>
          </w:p>
        </w:tc>
      </w:tr>
      <w:tr>
        <w:tblPrEx>
          <w:tblCellMar>
            <w:top w:w="15" w:type="dxa"/>
            <w:left w:w="15" w:type="dxa"/>
            <w:bottom w:w="15" w:type="dxa"/>
            <w:right w:w="15" w:type="dxa"/>
          </w:tblCellMar>
        </w:tblPrEx>
        <w:trPr>
          <w:trHeight w:val="288" w:hRule="atLeast"/>
          <w:tblCellSpacing w:w="0" w:type="dxa"/>
        </w:trPr>
        <w:tc>
          <w:tcPr>
            <w:vMerge w:val="continue"/>
            <w:tcBorders>
              <w:left w:val="single" w:color="000000" w:sz="8" w:space="0"/>
              <w:right w:val="single" w:color="000000" w:sz="8" w:space="0"/>
            </w:tcBorders>
            <w:vAlign w:val="center"/>
          </w:tcPr>
          <w:p>
            <w:pPr>
              <w:pStyle w:val="18"/>
              <w:rPr>
                <w:rFonts w:ascii="宋体" w:hAnsi="宋体" w:eastAsia="宋体" w:cs="宋体"/>
                <w:b w:val="0"/>
                <w:bCs w:val="0"/>
                <w:i w:val="0"/>
                <w:iCs w:val="0"/>
                <w:smallCaps w:val="0"/>
                <w:color w:val="000000"/>
                <w:sz w:val="28"/>
                <w:szCs w:val="28"/>
              </w:rPr>
            </w:pPr>
          </w:p>
        </w:tc>
        <w:tc>
          <w:tcPr>
            <w:tcW w:w="5933" w:type="dxa"/>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企业会计制度准则_担保企业会计核算办法资产负债表数据落地和预处理设计开发</w:t>
            </w:r>
          </w:p>
        </w:tc>
      </w:tr>
      <w:tr>
        <w:tblPrEx>
          <w:tblCellMar>
            <w:top w:w="15" w:type="dxa"/>
            <w:left w:w="15" w:type="dxa"/>
            <w:bottom w:w="15" w:type="dxa"/>
            <w:right w:w="15" w:type="dxa"/>
          </w:tblCellMar>
        </w:tblPrEx>
        <w:trPr>
          <w:trHeight w:val="288" w:hRule="atLeast"/>
          <w:tblCellSpacing w:w="0" w:type="dxa"/>
        </w:trPr>
        <w:tc>
          <w:tcPr>
            <w:vMerge w:val="continue"/>
            <w:tcBorders>
              <w:left w:val="single" w:color="000000" w:sz="8" w:space="0"/>
              <w:right w:val="single" w:color="000000" w:sz="8" w:space="0"/>
            </w:tcBorders>
            <w:vAlign w:val="center"/>
          </w:tcPr>
          <w:p>
            <w:pPr>
              <w:pStyle w:val="18"/>
              <w:rPr>
                <w:rFonts w:ascii="宋体" w:hAnsi="宋体" w:eastAsia="宋体" w:cs="宋体"/>
                <w:b w:val="0"/>
                <w:bCs w:val="0"/>
                <w:i w:val="0"/>
                <w:iCs w:val="0"/>
                <w:smallCaps w:val="0"/>
                <w:color w:val="000000"/>
                <w:sz w:val="28"/>
                <w:szCs w:val="28"/>
              </w:rPr>
            </w:pPr>
          </w:p>
        </w:tc>
        <w:tc>
          <w:tcPr>
            <w:tcW w:w="5933" w:type="dxa"/>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企业会计制度准则_担保企业会计核算办法利润表数据落地和预处理设计开发</w:t>
            </w:r>
          </w:p>
        </w:tc>
      </w:tr>
      <w:tr>
        <w:tblPrEx>
          <w:tblCellMar>
            <w:top w:w="15" w:type="dxa"/>
            <w:left w:w="15" w:type="dxa"/>
            <w:bottom w:w="15" w:type="dxa"/>
            <w:right w:w="15" w:type="dxa"/>
          </w:tblCellMar>
        </w:tblPrEx>
        <w:trPr>
          <w:trHeight w:val="288" w:hRule="atLeast"/>
          <w:tblCellSpacing w:w="0" w:type="dxa"/>
        </w:trPr>
        <w:tc>
          <w:tcPr>
            <w:vMerge w:val="continue"/>
            <w:tcBorders>
              <w:left w:val="single" w:color="000000" w:sz="8" w:space="0"/>
              <w:right w:val="single" w:color="000000" w:sz="8" w:space="0"/>
            </w:tcBorders>
            <w:vAlign w:val="center"/>
          </w:tcPr>
          <w:p>
            <w:pPr>
              <w:pStyle w:val="18"/>
              <w:rPr>
                <w:rFonts w:ascii="宋体" w:hAnsi="宋体" w:eastAsia="宋体" w:cs="宋体"/>
                <w:b w:val="0"/>
                <w:bCs w:val="0"/>
                <w:i w:val="0"/>
                <w:iCs w:val="0"/>
                <w:smallCaps w:val="0"/>
                <w:color w:val="000000"/>
                <w:sz w:val="28"/>
                <w:szCs w:val="28"/>
              </w:rPr>
            </w:pPr>
          </w:p>
        </w:tc>
        <w:tc>
          <w:tcPr>
            <w:tcW w:w="5933" w:type="dxa"/>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企业会计制度准则_金融企业资产负债表数据落地和预处理设计开发</w:t>
            </w:r>
          </w:p>
        </w:tc>
      </w:tr>
      <w:tr>
        <w:tblPrEx>
          <w:tblCellMar>
            <w:top w:w="15" w:type="dxa"/>
            <w:left w:w="15" w:type="dxa"/>
            <w:bottom w:w="15" w:type="dxa"/>
            <w:right w:w="15" w:type="dxa"/>
          </w:tblCellMar>
        </w:tblPrEx>
        <w:trPr>
          <w:trHeight w:val="288" w:hRule="atLeast"/>
          <w:tblCellSpacing w:w="0" w:type="dxa"/>
        </w:trPr>
        <w:tc>
          <w:tcPr>
            <w:vMerge w:val="continue"/>
            <w:tcBorders>
              <w:left w:val="single" w:color="000000" w:sz="8" w:space="0"/>
              <w:bottom w:val="single" w:color="000000" w:sz="8" w:space="0"/>
              <w:right w:val="single" w:color="000000" w:sz="8" w:space="0"/>
            </w:tcBorders>
            <w:vAlign w:val="center"/>
          </w:tcPr>
          <w:p>
            <w:pPr>
              <w:pStyle w:val="18"/>
              <w:rPr>
                <w:rFonts w:ascii="宋体" w:hAnsi="宋体" w:eastAsia="宋体" w:cs="宋体"/>
                <w:b w:val="0"/>
                <w:bCs w:val="0"/>
                <w:i w:val="0"/>
                <w:iCs w:val="0"/>
                <w:smallCaps w:val="0"/>
                <w:color w:val="000000"/>
                <w:sz w:val="28"/>
                <w:szCs w:val="28"/>
              </w:rPr>
            </w:pPr>
          </w:p>
        </w:tc>
        <w:tc>
          <w:tcPr>
            <w:tcW w:w="5933" w:type="dxa"/>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企业会计制度准则_金融企业利润表数据落地和预处理设计开发</w:t>
            </w:r>
          </w:p>
        </w:tc>
      </w:tr>
      <w:tr>
        <w:tblPrEx>
          <w:tblCellMar>
            <w:top w:w="15" w:type="dxa"/>
            <w:left w:w="15" w:type="dxa"/>
            <w:bottom w:w="15" w:type="dxa"/>
            <w:right w:w="15" w:type="dxa"/>
          </w:tblCellMar>
        </w:tblPrEx>
        <w:trPr>
          <w:trHeight w:val="288" w:hRule="atLeast"/>
          <w:tblCellSpacing w:w="0" w:type="dxa"/>
        </w:trPr>
        <w:tc>
          <w:tcPr>
            <w:tcW w:w="2825" w:type="dxa"/>
            <w:vMerge w:val="restart"/>
            <w:tcBorders>
              <w:left w:val="single" w:color="000000" w:sz="8" w:space="0"/>
              <w:bottom w:val="nil"/>
              <w:right w:val="single" w:color="000000" w:sz="8" w:space="0"/>
            </w:tcBorders>
            <w:noWrap w:val="0"/>
            <w:tcMar>
              <w:top w:w="0" w:type="dxa"/>
              <w:left w:w="118" w:type="dxa"/>
              <w:bottom w:w="0" w:type="dxa"/>
              <w:right w:w="118" w:type="dxa"/>
            </w:tcMar>
            <w:vAlign w:val="center"/>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市监设立信息加工和预处理设计开发</w:t>
            </w:r>
          </w:p>
        </w:tc>
        <w:tc>
          <w:tcPr>
            <w:tcW w:w="5933" w:type="dxa"/>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市监部门企业设立数据落地和预处理设计开发</w:t>
            </w:r>
          </w:p>
        </w:tc>
      </w:tr>
      <w:tr>
        <w:tblPrEx>
          <w:tblCellMar>
            <w:top w:w="15" w:type="dxa"/>
            <w:left w:w="15" w:type="dxa"/>
            <w:bottom w:w="15" w:type="dxa"/>
            <w:right w:w="15" w:type="dxa"/>
          </w:tblCellMar>
        </w:tblPrEx>
        <w:trPr>
          <w:trHeight w:val="288" w:hRule="atLeast"/>
          <w:tblCellSpacing w:w="0" w:type="dxa"/>
        </w:trPr>
        <w:tc>
          <w:tcPr>
            <w:vMerge w:val="continue"/>
            <w:tcBorders>
              <w:left w:val="single" w:color="000000" w:sz="8" w:space="0"/>
              <w:bottom w:val="single" w:color="000000" w:sz="8" w:space="0"/>
              <w:right w:val="single" w:color="000000" w:sz="8" w:space="0"/>
            </w:tcBorders>
            <w:vAlign w:val="center"/>
          </w:tcPr>
          <w:p>
            <w:pPr>
              <w:pStyle w:val="18"/>
              <w:rPr>
                <w:rFonts w:ascii="宋体" w:hAnsi="宋体" w:eastAsia="宋体" w:cs="宋体"/>
                <w:b w:val="0"/>
                <w:bCs w:val="0"/>
                <w:i w:val="0"/>
                <w:iCs w:val="0"/>
                <w:smallCaps w:val="0"/>
                <w:color w:val="000000"/>
                <w:sz w:val="28"/>
                <w:szCs w:val="28"/>
              </w:rPr>
            </w:pPr>
          </w:p>
        </w:tc>
        <w:tc>
          <w:tcPr>
            <w:tcW w:w="5933" w:type="dxa"/>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市监部门个体设立数据落地和预处理设计开发</w:t>
            </w:r>
          </w:p>
        </w:tc>
      </w:tr>
    </w:tbl>
    <w:p>
      <w:pPr>
        <w:pStyle w:val="93"/>
        <w:spacing w:before="0" w:after="0" w:line="360" w:lineRule="auto"/>
        <w:ind w:left="640" w:right="0"/>
        <w:jc w:val="both"/>
        <w:rPr>
          <w:rFonts w:ascii="Calibri" w:hAnsi="Calibri" w:eastAsia="Calibri" w:cs="Calibri"/>
          <w:sz w:val="21"/>
          <w:szCs w:val="21"/>
        </w:rPr>
      </w:pPr>
      <w:r>
        <w:rPr>
          <w:rFonts w:ascii="仿宋_GB2312" w:hAnsi="仿宋_GB2312" w:eastAsia="仿宋_GB2312" w:cs="仿宋_GB2312"/>
          <w:sz w:val="28"/>
          <w:szCs w:val="28"/>
        </w:rPr>
        <w:t>1.3应用管理子系统财务报表信息查询抽取</w:t>
      </w:r>
    </w:p>
    <w:p>
      <w:pPr>
        <w:pStyle w:val="93"/>
        <w:spacing w:before="0" w:after="0" w:line="360" w:lineRule="auto"/>
        <w:ind w:left="480" w:right="0"/>
        <w:jc w:val="both"/>
        <w:rPr>
          <w:rFonts w:ascii="Calibri" w:hAnsi="Calibri" w:eastAsia="Calibri" w:cs="Calibri"/>
          <w:sz w:val="21"/>
          <w:szCs w:val="21"/>
        </w:rPr>
      </w:pPr>
      <w:r>
        <w:rPr>
          <w:rFonts w:ascii="仿宋_GB2312" w:hAnsi="仿宋_GB2312" w:eastAsia="仿宋_GB2312" w:cs="仿宋_GB2312"/>
          <w:sz w:val="28"/>
          <w:szCs w:val="28"/>
        </w:rPr>
        <w:t>在接收到交换中心的查询请求后，查询管理决策一包数据仓库的数据库。</w:t>
      </w:r>
    </w:p>
    <w:tbl>
      <w:tblPr>
        <w:tblStyle w:val="95"/>
        <w:tblW w:w="8276" w:type="dxa"/>
        <w:tblCellSpacing w:w="0" w:type="dxa"/>
        <w:tblInd w:w="241" w:type="dxa"/>
        <w:tblLayout w:type="autofit"/>
        <w:tblCellMar>
          <w:top w:w="15" w:type="dxa"/>
          <w:left w:w="15" w:type="dxa"/>
          <w:bottom w:w="15" w:type="dxa"/>
          <w:right w:w="15" w:type="dxa"/>
        </w:tblCellMar>
      </w:tblPr>
      <w:tblGrid>
        <w:gridCol w:w="2156"/>
        <w:gridCol w:w="6120"/>
      </w:tblGrid>
      <w:tr>
        <w:tblPrEx>
          <w:tblCellMar>
            <w:top w:w="15" w:type="dxa"/>
            <w:left w:w="15" w:type="dxa"/>
            <w:bottom w:w="15" w:type="dxa"/>
            <w:right w:w="15" w:type="dxa"/>
          </w:tblCellMar>
        </w:tblPrEx>
        <w:trPr>
          <w:trHeight w:val="288" w:hRule="atLeast"/>
          <w:tblCellSpacing w:w="0" w:type="dxa"/>
        </w:trPr>
        <w:tc>
          <w:tcPr>
            <w:tcW w:w="2263" w:type="dxa"/>
            <w:vMerge w:val="restart"/>
            <w:tcBorders>
              <w:top w:val="single" w:color="000000" w:sz="8" w:space="0"/>
              <w:left w:val="single" w:color="000000" w:sz="8" w:space="0"/>
              <w:bottom w:val="nil"/>
              <w:right w:val="single" w:color="000000" w:sz="8" w:space="0"/>
            </w:tcBorders>
            <w:noWrap w:val="0"/>
            <w:tcMar>
              <w:top w:w="0" w:type="dxa"/>
              <w:left w:w="118" w:type="dxa"/>
              <w:bottom w:w="0" w:type="dxa"/>
              <w:right w:w="118" w:type="dxa"/>
            </w:tcMar>
            <w:vAlign w:val="center"/>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财务报表数据获取</w:t>
            </w:r>
          </w:p>
        </w:tc>
        <w:tc>
          <w:tcPr>
            <w:tcW w:w="6495" w:type="dxa"/>
            <w:tcBorders>
              <w:top w:val="single" w:color="000000" w:sz="8" w:space="0"/>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企业会计制度准则_资产负债表信息查询抽取数据转换编码实现</w:t>
            </w:r>
          </w:p>
        </w:tc>
      </w:tr>
      <w:tr>
        <w:tblPrEx>
          <w:tblCellMar>
            <w:top w:w="15" w:type="dxa"/>
            <w:left w:w="15" w:type="dxa"/>
            <w:bottom w:w="15" w:type="dxa"/>
            <w:right w:w="15" w:type="dxa"/>
          </w:tblCellMar>
        </w:tblPrEx>
        <w:trPr>
          <w:trHeight w:val="288" w:hRule="atLeast"/>
          <w:tblCellSpacing w:w="0" w:type="dxa"/>
        </w:trPr>
        <w:tc>
          <w:tcPr>
            <w:vMerge w:val="continue"/>
            <w:tcBorders>
              <w:left w:val="single" w:color="000000" w:sz="8" w:space="0"/>
              <w:right w:val="single" w:color="000000" w:sz="8" w:space="0"/>
            </w:tcBorders>
            <w:vAlign w:val="center"/>
          </w:tcPr>
          <w:p>
            <w:pPr>
              <w:pStyle w:val="18"/>
              <w:rPr>
                <w:rFonts w:ascii="宋体" w:hAnsi="宋体" w:eastAsia="宋体" w:cs="宋体"/>
                <w:b w:val="0"/>
                <w:bCs w:val="0"/>
                <w:i w:val="0"/>
                <w:iCs w:val="0"/>
                <w:smallCaps w:val="0"/>
                <w:color w:val="000000"/>
                <w:sz w:val="28"/>
                <w:szCs w:val="28"/>
              </w:rPr>
            </w:pPr>
          </w:p>
        </w:tc>
        <w:tc>
          <w:tcPr>
            <w:tcW w:w="6495" w:type="dxa"/>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企业会计制度准则_利润表信息查询抽取数据转换编码实现</w:t>
            </w:r>
          </w:p>
        </w:tc>
      </w:tr>
      <w:tr>
        <w:tblPrEx>
          <w:tblCellMar>
            <w:top w:w="15" w:type="dxa"/>
            <w:left w:w="15" w:type="dxa"/>
            <w:bottom w:w="15" w:type="dxa"/>
            <w:right w:w="15" w:type="dxa"/>
          </w:tblCellMar>
        </w:tblPrEx>
        <w:trPr>
          <w:trHeight w:val="288" w:hRule="atLeast"/>
          <w:tblCellSpacing w:w="0" w:type="dxa"/>
        </w:trPr>
        <w:tc>
          <w:tcPr>
            <w:vMerge w:val="continue"/>
            <w:tcBorders>
              <w:left w:val="single" w:color="000000" w:sz="8" w:space="0"/>
              <w:right w:val="single" w:color="000000" w:sz="8" w:space="0"/>
            </w:tcBorders>
            <w:vAlign w:val="center"/>
          </w:tcPr>
          <w:p>
            <w:pPr>
              <w:pStyle w:val="18"/>
              <w:rPr>
                <w:rFonts w:ascii="宋体" w:hAnsi="宋体" w:eastAsia="宋体" w:cs="宋体"/>
                <w:b w:val="0"/>
                <w:bCs w:val="0"/>
                <w:i w:val="0"/>
                <w:iCs w:val="0"/>
                <w:smallCaps w:val="0"/>
                <w:color w:val="000000"/>
                <w:sz w:val="28"/>
                <w:szCs w:val="28"/>
              </w:rPr>
            </w:pPr>
          </w:p>
        </w:tc>
        <w:tc>
          <w:tcPr>
            <w:tcW w:w="6495" w:type="dxa"/>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小企业会计制度准则资产负债表信息查询抽取数据转换编码实现</w:t>
            </w:r>
          </w:p>
        </w:tc>
      </w:tr>
      <w:tr>
        <w:tblPrEx>
          <w:tblCellMar>
            <w:top w:w="15" w:type="dxa"/>
            <w:left w:w="15" w:type="dxa"/>
            <w:bottom w:w="15" w:type="dxa"/>
            <w:right w:w="15" w:type="dxa"/>
          </w:tblCellMar>
        </w:tblPrEx>
        <w:trPr>
          <w:trHeight w:val="288" w:hRule="atLeast"/>
          <w:tblCellSpacing w:w="0" w:type="dxa"/>
        </w:trPr>
        <w:tc>
          <w:tcPr>
            <w:vMerge w:val="continue"/>
            <w:tcBorders>
              <w:left w:val="single" w:color="000000" w:sz="8" w:space="0"/>
              <w:right w:val="single" w:color="000000" w:sz="8" w:space="0"/>
            </w:tcBorders>
            <w:vAlign w:val="center"/>
          </w:tcPr>
          <w:p>
            <w:pPr>
              <w:pStyle w:val="18"/>
              <w:rPr>
                <w:rFonts w:ascii="宋体" w:hAnsi="宋体" w:eastAsia="宋体" w:cs="宋体"/>
                <w:b w:val="0"/>
                <w:bCs w:val="0"/>
                <w:i w:val="0"/>
                <w:iCs w:val="0"/>
                <w:smallCaps w:val="0"/>
                <w:color w:val="000000"/>
                <w:sz w:val="28"/>
                <w:szCs w:val="28"/>
              </w:rPr>
            </w:pPr>
          </w:p>
        </w:tc>
        <w:tc>
          <w:tcPr>
            <w:tcW w:w="6495" w:type="dxa"/>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小企业会计制度准则利润表信息查询抽取数据转换编码实现</w:t>
            </w:r>
          </w:p>
        </w:tc>
      </w:tr>
      <w:tr>
        <w:tblPrEx>
          <w:tblCellMar>
            <w:top w:w="15" w:type="dxa"/>
            <w:left w:w="15" w:type="dxa"/>
            <w:bottom w:w="15" w:type="dxa"/>
            <w:right w:w="15" w:type="dxa"/>
          </w:tblCellMar>
        </w:tblPrEx>
        <w:trPr>
          <w:trHeight w:val="288" w:hRule="atLeast"/>
          <w:tblCellSpacing w:w="0" w:type="dxa"/>
        </w:trPr>
        <w:tc>
          <w:tcPr>
            <w:vMerge w:val="continue"/>
            <w:tcBorders>
              <w:left w:val="single" w:color="000000" w:sz="8" w:space="0"/>
              <w:right w:val="single" w:color="000000" w:sz="8" w:space="0"/>
            </w:tcBorders>
            <w:vAlign w:val="center"/>
          </w:tcPr>
          <w:p>
            <w:pPr>
              <w:pStyle w:val="18"/>
              <w:rPr>
                <w:rFonts w:ascii="宋体" w:hAnsi="宋体" w:eastAsia="宋体" w:cs="宋体"/>
                <w:b w:val="0"/>
                <w:bCs w:val="0"/>
                <w:i w:val="0"/>
                <w:iCs w:val="0"/>
                <w:smallCaps w:val="0"/>
                <w:color w:val="000000"/>
                <w:sz w:val="28"/>
                <w:szCs w:val="28"/>
              </w:rPr>
            </w:pPr>
          </w:p>
        </w:tc>
        <w:tc>
          <w:tcPr>
            <w:tcW w:w="6495" w:type="dxa"/>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民航会计制度准则资产负债表信息查询抽取数据转换编码实现</w:t>
            </w:r>
          </w:p>
        </w:tc>
      </w:tr>
      <w:tr>
        <w:tblPrEx>
          <w:tblCellMar>
            <w:top w:w="15" w:type="dxa"/>
            <w:left w:w="15" w:type="dxa"/>
            <w:bottom w:w="15" w:type="dxa"/>
            <w:right w:w="15" w:type="dxa"/>
          </w:tblCellMar>
        </w:tblPrEx>
        <w:trPr>
          <w:trHeight w:val="288" w:hRule="atLeast"/>
          <w:tblCellSpacing w:w="0" w:type="dxa"/>
        </w:trPr>
        <w:tc>
          <w:tcPr>
            <w:vMerge w:val="continue"/>
            <w:tcBorders>
              <w:left w:val="single" w:color="000000" w:sz="8" w:space="0"/>
              <w:right w:val="single" w:color="000000" w:sz="8" w:space="0"/>
            </w:tcBorders>
            <w:vAlign w:val="center"/>
          </w:tcPr>
          <w:p>
            <w:pPr>
              <w:pStyle w:val="18"/>
              <w:rPr>
                <w:rFonts w:ascii="宋体" w:hAnsi="宋体" w:eastAsia="宋体" w:cs="宋体"/>
                <w:b w:val="0"/>
                <w:bCs w:val="0"/>
                <w:i w:val="0"/>
                <w:iCs w:val="0"/>
                <w:smallCaps w:val="0"/>
                <w:color w:val="000000"/>
                <w:sz w:val="28"/>
                <w:szCs w:val="28"/>
              </w:rPr>
            </w:pPr>
          </w:p>
        </w:tc>
        <w:tc>
          <w:tcPr>
            <w:tcW w:w="6495" w:type="dxa"/>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民航会计制度准则利润表信息查询抽取数据转换编码实现</w:t>
            </w:r>
          </w:p>
        </w:tc>
      </w:tr>
      <w:tr>
        <w:tblPrEx>
          <w:tblCellMar>
            <w:top w:w="15" w:type="dxa"/>
            <w:left w:w="15" w:type="dxa"/>
            <w:bottom w:w="15" w:type="dxa"/>
            <w:right w:w="15" w:type="dxa"/>
          </w:tblCellMar>
        </w:tblPrEx>
        <w:trPr>
          <w:trHeight w:val="288" w:hRule="atLeast"/>
          <w:tblCellSpacing w:w="0" w:type="dxa"/>
        </w:trPr>
        <w:tc>
          <w:tcPr>
            <w:vMerge w:val="continue"/>
            <w:tcBorders>
              <w:left w:val="single" w:color="000000" w:sz="8" w:space="0"/>
              <w:right w:val="single" w:color="000000" w:sz="8" w:space="0"/>
            </w:tcBorders>
            <w:vAlign w:val="center"/>
          </w:tcPr>
          <w:p>
            <w:pPr>
              <w:pStyle w:val="18"/>
              <w:rPr>
                <w:rFonts w:ascii="宋体" w:hAnsi="宋体" w:eastAsia="宋体" w:cs="宋体"/>
                <w:b w:val="0"/>
                <w:bCs w:val="0"/>
                <w:i w:val="0"/>
                <w:iCs w:val="0"/>
                <w:smallCaps w:val="0"/>
                <w:color w:val="000000"/>
                <w:sz w:val="28"/>
                <w:szCs w:val="28"/>
              </w:rPr>
            </w:pPr>
          </w:p>
        </w:tc>
        <w:tc>
          <w:tcPr>
            <w:tcW w:w="6495" w:type="dxa"/>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企业会计制度准则_保险中介资产负债表信息查询抽取数据转换编码实现</w:t>
            </w:r>
          </w:p>
        </w:tc>
      </w:tr>
      <w:tr>
        <w:tblPrEx>
          <w:tblCellMar>
            <w:top w:w="15" w:type="dxa"/>
            <w:left w:w="15" w:type="dxa"/>
            <w:bottom w:w="15" w:type="dxa"/>
            <w:right w:w="15" w:type="dxa"/>
          </w:tblCellMar>
        </w:tblPrEx>
        <w:trPr>
          <w:trHeight w:val="288" w:hRule="atLeast"/>
          <w:tblCellSpacing w:w="0" w:type="dxa"/>
        </w:trPr>
        <w:tc>
          <w:tcPr>
            <w:vMerge w:val="continue"/>
            <w:tcBorders>
              <w:left w:val="single" w:color="000000" w:sz="8" w:space="0"/>
              <w:right w:val="single" w:color="000000" w:sz="8" w:space="0"/>
            </w:tcBorders>
            <w:vAlign w:val="center"/>
          </w:tcPr>
          <w:p>
            <w:pPr>
              <w:pStyle w:val="18"/>
              <w:rPr>
                <w:rFonts w:ascii="宋体" w:hAnsi="宋体" w:eastAsia="宋体" w:cs="宋体"/>
                <w:b w:val="0"/>
                <w:bCs w:val="0"/>
                <w:i w:val="0"/>
                <w:iCs w:val="0"/>
                <w:smallCaps w:val="0"/>
                <w:color w:val="000000"/>
                <w:sz w:val="28"/>
                <w:szCs w:val="28"/>
              </w:rPr>
            </w:pPr>
          </w:p>
        </w:tc>
        <w:tc>
          <w:tcPr>
            <w:tcW w:w="6495" w:type="dxa"/>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企业会计制度准则_保险中介利润表信息查询抽取数据转换编码实现</w:t>
            </w:r>
          </w:p>
        </w:tc>
      </w:tr>
      <w:tr>
        <w:tblPrEx>
          <w:tblCellMar>
            <w:top w:w="15" w:type="dxa"/>
            <w:left w:w="15" w:type="dxa"/>
            <w:bottom w:w="15" w:type="dxa"/>
            <w:right w:w="15" w:type="dxa"/>
          </w:tblCellMar>
        </w:tblPrEx>
        <w:trPr>
          <w:trHeight w:val="288" w:hRule="atLeast"/>
          <w:tblCellSpacing w:w="0" w:type="dxa"/>
        </w:trPr>
        <w:tc>
          <w:tcPr>
            <w:vMerge w:val="continue"/>
            <w:tcBorders>
              <w:left w:val="single" w:color="000000" w:sz="8" w:space="0"/>
              <w:right w:val="single" w:color="000000" w:sz="8" w:space="0"/>
            </w:tcBorders>
            <w:vAlign w:val="center"/>
          </w:tcPr>
          <w:p>
            <w:pPr>
              <w:pStyle w:val="18"/>
              <w:rPr>
                <w:rFonts w:ascii="宋体" w:hAnsi="宋体" w:eastAsia="宋体" w:cs="宋体"/>
                <w:b w:val="0"/>
                <w:bCs w:val="0"/>
                <w:i w:val="0"/>
                <w:iCs w:val="0"/>
                <w:smallCaps w:val="0"/>
                <w:color w:val="000000"/>
                <w:sz w:val="28"/>
                <w:szCs w:val="28"/>
              </w:rPr>
            </w:pPr>
          </w:p>
        </w:tc>
        <w:tc>
          <w:tcPr>
            <w:tcW w:w="6495" w:type="dxa"/>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企业会计制度准则_商业银行资产负债表信息查询抽取数据转换编码实现</w:t>
            </w:r>
          </w:p>
        </w:tc>
      </w:tr>
      <w:tr>
        <w:tblPrEx>
          <w:tblCellMar>
            <w:top w:w="15" w:type="dxa"/>
            <w:left w:w="15" w:type="dxa"/>
            <w:bottom w:w="15" w:type="dxa"/>
            <w:right w:w="15" w:type="dxa"/>
          </w:tblCellMar>
        </w:tblPrEx>
        <w:trPr>
          <w:trHeight w:val="288" w:hRule="atLeast"/>
          <w:tblCellSpacing w:w="0" w:type="dxa"/>
        </w:trPr>
        <w:tc>
          <w:tcPr>
            <w:vMerge w:val="continue"/>
            <w:tcBorders>
              <w:left w:val="single" w:color="000000" w:sz="8" w:space="0"/>
              <w:right w:val="single" w:color="000000" w:sz="8" w:space="0"/>
            </w:tcBorders>
            <w:vAlign w:val="center"/>
          </w:tcPr>
          <w:p>
            <w:pPr>
              <w:pStyle w:val="18"/>
              <w:rPr>
                <w:rFonts w:ascii="宋体" w:hAnsi="宋体" w:eastAsia="宋体" w:cs="宋体"/>
                <w:b w:val="0"/>
                <w:bCs w:val="0"/>
                <w:i w:val="0"/>
                <w:iCs w:val="0"/>
                <w:smallCaps w:val="0"/>
                <w:color w:val="000000"/>
                <w:sz w:val="28"/>
                <w:szCs w:val="28"/>
              </w:rPr>
            </w:pPr>
          </w:p>
        </w:tc>
        <w:tc>
          <w:tcPr>
            <w:tcW w:w="6495" w:type="dxa"/>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企业会计制度准则_商业银行利润表信息查询抽取数据转换编码实现</w:t>
            </w:r>
          </w:p>
        </w:tc>
      </w:tr>
      <w:tr>
        <w:tblPrEx>
          <w:tblCellMar>
            <w:top w:w="15" w:type="dxa"/>
            <w:left w:w="15" w:type="dxa"/>
            <w:bottom w:w="15" w:type="dxa"/>
            <w:right w:w="15" w:type="dxa"/>
          </w:tblCellMar>
        </w:tblPrEx>
        <w:trPr>
          <w:trHeight w:val="288" w:hRule="atLeast"/>
          <w:tblCellSpacing w:w="0" w:type="dxa"/>
        </w:trPr>
        <w:tc>
          <w:tcPr>
            <w:vMerge w:val="continue"/>
            <w:tcBorders>
              <w:left w:val="single" w:color="000000" w:sz="8" w:space="0"/>
              <w:right w:val="single" w:color="000000" w:sz="8" w:space="0"/>
            </w:tcBorders>
            <w:vAlign w:val="center"/>
          </w:tcPr>
          <w:p>
            <w:pPr>
              <w:pStyle w:val="18"/>
              <w:rPr>
                <w:rFonts w:ascii="宋体" w:hAnsi="宋体" w:eastAsia="宋体" w:cs="宋体"/>
                <w:b w:val="0"/>
                <w:bCs w:val="0"/>
                <w:i w:val="0"/>
                <w:iCs w:val="0"/>
                <w:smallCaps w:val="0"/>
                <w:color w:val="000000"/>
                <w:sz w:val="28"/>
                <w:szCs w:val="28"/>
              </w:rPr>
            </w:pPr>
          </w:p>
        </w:tc>
        <w:tc>
          <w:tcPr>
            <w:tcW w:w="6495" w:type="dxa"/>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企业会计制度准则_证券公司资产负债表信息查询抽取数据转换编码实现</w:t>
            </w:r>
          </w:p>
        </w:tc>
      </w:tr>
      <w:tr>
        <w:tblPrEx>
          <w:tblCellMar>
            <w:top w:w="15" w:type="dxa"/>
            <w:left w:w="15" w:type="dxa"/>
            <w:bottom w:w="15" w:type="dxa"/>
            <w:right w:w="15" w:type="dxa"/>
          </w:tblCellMar>
        </w:tblPrEx>
        <w:trPr>
          <w:trHeight w:val="288" w:hRule="atLeast"/>
          <w:tblCellSpacing w:w="0" w:type="dxa"/>
        </w:trPr>
        <w:tc>
          <w:tcPr>
            <w:vMerge w:val="continue"/>
            <w:tcBorders>
              <w:left w:val="single" w:color="000000" w:sz="8" w:space="0"/>
              <w:right w:val="single" w:color="000000" w:sz="8" w:space="0"/>
            </w:tcBorders>
            <w:vAlign w:val="center"/>
          </w:tcPr>
          <w:p>
            <w:pPr>
              <w:pStyle w:val="18"/>
              <w:rPr>
                <w:rFonts w:ascii="宋体" w:hAnsi="宋体" w:eastAsia="宋体" w:cs="宋体"/>
                <w:b w:val="0"/>
                <w:bCs w:val="0"/>
                <w:i w:val="0"/>
                <w:iCs w:val="0"/>
                <w:smallCaps w:val="0"/>
                <w:color w:val="000000"/>
                <w:sz w:val="28"/>
                <w:szCs w:val="28"/>
              </w:rPr>
            </w:pPr>
          </w:p>
        </w:tc>
        <w:tc>
          <w:tcPr>
            <w:tcW w:w="6495" w:type="dxa"/>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企业会计制度准则_证券公司利润表信息查询抽取数据转换编码实现</w:t>
            </w:r>
          </w:p>
        </w:tc>
      </w:tr>
      <w:tr>
        <w:tblPrEx>
          <w:tblCellMar>
            <w:top w:w="15" w:type="dxa"/>
            <w:left w:w="15" w:type="dxa"/>
            <w:bottom w:w="15" w:type="dxa"/>
            <w:right w:w="15" w:type="dxa"/>
          </w:tblCellMar>
        </w:tblPrEx>
        <w:trPr>
          <w:trHeight w:val="288" w:hRule="atLeast"/>
          <w:tblCellSpacing w:w="0" w:type="dxa"/>
        </w:trPr>
        <w:tc>
          <w:tcPr>
            <w:vMerge w:val="continue"/>
            <w:tcBorders>
              <w:left w:val="single" w:color="000000" w:sz="8" w:space="0"/>
              <w:right w:val="single" w:color="000000" w:sz="8" w:space="0"/>
            </w:tcBorders>
            <w:vAlign w:val="center"/>
          </w:tcPr>
          <w:p>
            <w:pPr>
              <w:pStyle w:val="18"/>
              <w:rPr>
                <w:rFonts w:ascii="宋体" w:hAnsi="宋体" w:eastAsia="宋体" w:cs="宋体"/>
                <w:b w:val="0"/>
                <w:bCs w:val="0"/>
                <w:i w:val="0"/>
                <w:iCs w:val="0"/>
                <w:smallCaps w:val="0"/>
                <w:color w:val="000000"/>
                <w:sz w:val="28"/>
                <w:szCs w:val="28"/>
              </w:rPr>
            </w:pPr>
          </w:p>
        </w:tc>
        <w:tc>
          <w:tcPr>
            <w:tcW w:w="6495" w:type="dxa"/>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企业会计制度准则_保险公司资产负债表信息查询抽取数据转换编码实现</w:t>
            </w:r>
          </w:p>
        </w:tc>
      </w:tr>
      <w:tr>
        <w:tblPrEx>
          <w:tblCellMar>
            <w:top w:w="15" w:type="dxa"/>
            <w:left w:w="15" w:type="dxa"/>
            <w:bottom w:w="15" w:type="dxa"/>
            <w:right w:w="15" w:type="dxa"/>
          </w:tblCellMar>
        </w:tblPrEx>
        <w:trPr>
          <w:trHeight w:val="276" w:hRule="atLeast"/>
          <w:tblCellSpacing w:w="0" w:type="dxa"/>
        </w:trPr>
        <w:tc>
          <w:tcPr>
            <w:vMerge w:val="continue"/>
            <w:tcBorders>
              <w:left w:val="single" w:color="000000" w:sz="8" w:space="0"/>
              <w:right w:val="single" w:color="000000" w:sz="8" w:space="0"/>
            </w:tcBorders>
            <w:vAlign w:val="center"/>
          </w:tcPr>
          <w:p>
            <w:pPr>
              <w:pStyle w:val="18"/>
              <w:rPr>
                <w:rFonts w:ascii="宋体" w:hAnsi="宋体" w:eastAsia="宋体" w:cs="宋体"/>
                <w:b w:val="0"/>
                <w:bCs w:val="0"/>
                <w:i w:val="0"/>
                <w:iCs w:val="0"/>
                <w:smallCaps w:val="0"/>
                <w:color w:val="000000"/>
                <w:sz w:val="28"/>
                <w:szCs w:val="28"/>
              </w:rPr>
            </w:pPr>
          </w:p>
        </w:tc>
        <w:tc>
          <w:tcPr>
            <w:tcW w:w="6495" w:type="dxa"/>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企业会计制度准则_保险公司利润表信息查询抽取数据转换编码实现</w:t>
            </w:r>
          </w:p>
        </w:tc>
      </w:tr>
      <w:tr>
        <w:tblPrEx>
          <w:tblCellMar>
            <w:top w:w="15" w:type="dxa"/>
            <w:left w:w="15" w:type="dxa"/>
            <w:bottom w:w="15" w:type="dxa"/>
            <w:right w:w="15" w:type="dxa"/>
          </w:tblCellMar>
        </w:tblPrEx>
        <w:trPr>
          <w:trHeight w:val="288" w:hRule="atLeast"/>
          <w:tblCellSpacing w:w="0" w:type="dxa"/>
        </w:trPr>
        <w:tc>
          <w:tcPr>
            <w:vMerge w:val="continue"/>
            <w:tcBorders>
              <w:left w:val="single" w:color="000000" w:sz="8" w:space="0"/>
              <w:right w:val="single" w:color="000000" w:sz="8" w:space="0"/>
            </w:tcBorders>
            <w:vAlign w:val="center"/>
          </w:tcPr>
          <w:p>
            <w:pPr>
              <w:pStyle w:val="18"/>
              <w:rPr>
                <w:rFonts w:ascii="宋体" w:hAnsi="宋体" w:eastAsia="宋体" w:cs="宋体"/>
                <w:b w:val="0"/>
                <w:bCs w:val="0"/>
                <w:i w:val="0"/>
                <w:iCs w:val="0"/>
                <w:smallCaps w:val="0"/>
                <w:color w:val="000000"/>
                <w:sz w:val="28"/>
                <w:szCs w:val="28"/>
              </w:rPr>
            </w:pPr>
          </w:p>
        </w:tc>
        <w:tc>
          <w:tcPr>
            <w:tcW w:w="6495" w:type="dxa"/>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企业会计制度准则_典当行业资产负债表信息查询抽取数据转换编码实现</w:t>
            </w:r>
          </w:p>
        </w:tc>
      </w:tr>
      <w:tr>
        <w:tblPrEx>
          <w:tblCellMar>
            <w:top w:w="15" w:type="dxa"/>
            <w:left w:w="15" w:type="dxa"/>
            <w:bottom w:w="15" w:type="dxa"/>
            <w:right w:w="15" w:type="dxa"/>
          </w:tblCellMar>
        </w:tblPrEx>
        <w:trPr>
          <w:trHeight w:val="288" w:hRule="atLeast"/>
          <w:tblCellSpacing w:w="0" w:type="dxa"/>
        </w:trPr>
        <w:tc>
          <w:tcPr>
            <w:vMerge w:val="continue"/>
            <w:tcBorders>
              <w:left w:val="single" w:color="000000" w:sz="8" w:space="0"/>
              <w:right w:val="single" w:color="000000" w:sz="8" w:space="0"/>
            </w:tcBorders>
            <w:vAlign w:val="center"/>
          </w:tcPr>
          <w:p>
            <w:pPr>
              <w:pStyle w:val="18"/>
              <w:rPr>
                <w:rFonts w:ascii="宋体" w:hAnsi="宋体" w:eastAsia="宋体" w:cs="宋体"/>
                <w:b w:val="0"/>
                <w:bCs w:val="0"/>
                <w:i w:val="0"/>
                <w:iCs w:val="0"/>
                <w:smallCaps w:val="0"/>
                <w:color w:val="000000"/>
                <w:sz w:val="28"/>
                <w:szCs w:val="28"/>
              </w:rPr>
            </w:pPr>
          </w:p>
        </w:tc>
        <w:tc>
          <w:tcPr>
            <w:tcW w:w="6495" w:type="dxa"/>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企业会计制度准则_典当行业利润表信息查询抽取数据转换编码实现</w:t>
            </w:r>
          </w:p>
        </w:tc>
      </w:tr>
      <w:tr>
        <w:tblPrEx>
          <w:tblCellMar>
            <w:top w:w="15" w:type="dxa"/>
            <w:left w:w="15" w:type="dxa"/>
            <w:bottom w:w="15" w:type="dxa"/>
            <w:right w:w="15" w:type="dxa"/>
          </w:tblCellMar>
        </w:tblPrEx>
        <w:trPr>
          <w:trHeight w:val="288" w:hRule="atLeast"/>
          <w:tblCellSpacing w:w="0" w:type="dxa"/>
        </w:trPr>
        <w:tc>
          <w:tcPr>
            <w:vMerge w:val="continue"/>
            <w:tcBorders>
              <w:left w:val="single" w:color="000000" w:sz="8" w:space="0"/>
              <w:right w:val="single" w:color="000000" w:sz="8" w:space="0"/>
            </w:tcBorders>
            <w:vAlign w:val="center"/>
          </w:tcPr>
          <w:p>
            <w:pPr>
              <w:pStyle w:val="18"/>
              <w:rPr>
                <w:rFonts w:ascii="宋体" w:hAnsi="宋体" w:eastAsia="宋体" w:cs="宋体"/>
                <w:b w:val="0"/>
                <w:bCs w:val="0"/>
                <w:i w:val="0"/>
                <w:iCs w:val="0"/>
                <w:smallCaps w:val="0"/>
                <w:color w:val="000000"/>
                <w:sz w:val="28"/>
                <w:szCs w:val="28"/>
              </w:rPr>
            </w:pPr>
          </w:p>
        </w:tc>
        <w:tc>
          <w:tcPr>
            <w:tcW w:w="6495" w:type="dxa"/>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企业会计制度准则_担保企业会计核算办法资产负债表信息查询抽取数据转换编码实现</w:t>
            </w:r>
          </w:p>
        </w:tc>
      </w:tr>
      <w:tr>
        <w:tblPrEx>
          <w:tblCellMar>
            <w:top w:w="15" w:type="dxa"/>
            <w:left w:w="15" w:type="dxa"/>
            <w:bottom w:w="15" w:type="dxa"/>
            <w:right w:w="15" w:type="dxa"/>
          </w:tblCellMar>
        </w:tblPrEx>
        <w:trPr>
          <w:trHeight w:val="288" w:hRule="atLeast"/>
          <w:tblCellSpacing w:w="0" w:type="dxa"/>
        </w:trPr>
        <w:tc>
          <w:tcPr>
            <w:vMerge w:val="continue"/>
            <w:tcBorders>
              <w:left w:val="single" w:color="000000" w:sz="8" w:space="0"/>
              <w:right w:val="single" w:color="000000" w:sz="8" w:space="0"/>
            </w:tcBorders>
            <w:vAlign w:val="center"/>
          </w:tcPr>
          <w:p>
            <w:pPr>
              <w:pStyle w:val="18"/>
              <w:rPr>
                <w:rFonts w:ascii="宋体" w:hAnsi="宋体" w:eastAsia="宋体" w:cs="宋体"/>
                <w:b w:val="0"/>
                <w:bCs w:val="0"/>
                <w:i w:val="0"/>
                <w:iCs w:val="0"/>
                <w:smallCaps w:val="0"/>
                <w:color w:val="000000"/>
                <w:sz w:val="28"/>
                <w:szCs w:val="28"/>
              </w:rPr>
            </w:pPr>
          </w:p>
        </w:tc>
        <w:tc>
          <w:tcPr>
            <w:tcW w:w="6495" w:type="dxa"/>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企业会计制度准则_担保企业会计核算办法利润表信息查询抽取数据转换编码实现</w:t>
            </w:r>
          </w:p>
        </w:tc>
      </w:tr>
      <w:tr>
        <w:tblPrEx>
          <w:tblCellMar>
            <w:top w:w="15" w:type="dxa"/>
            <w:left w:w="15" w:type="dxa"/>
            <w:bottom w:w="15" w:type="dxa"/>
            <w:right w:w="15" w:type="dxa"/>
          </w:tblCellMar>
        </w:tblPrEx>
        <w:trPr>
          <w:trHeight w:val="288" w:hRule="atLeast"/>
          <w:tblCellSpacing w:w="0" w:type="dxa"/>
        </w:trPr>
        <w:tc>
          <w:tcPr>
            <w:vMerge w:val="continue"/>
            <w:tcBorders>
              <w:left w:val="single" w:color="000000" w:sz="8" w:space="0"/>
              <w:right w:val="single" w:color="000000" w:sz="8" w:space="0"/>
            </w:tcBorders>
            <w:vAlign w:val="center"/>
          </w:tcPr>
          <w:p>
            <w:pPr>
              <w:pStyle w:val="18"/>
              <w:rPr>
                <w:rFonts w:ascii="宋体" w:hAnsi="宋体" w:eastAsia="宋体" w:cs="宋体"/>
                <w:b w:val="0"/>
                <w:bCs w:val="0"/>
                <w:i w:val="0"/>
                <w:iCs w:val="0"/>
                <w:smallCaps w:val="0"/>
                <w:color w:val="000000"/>
                <w:sz w:val="28"/>
                <w:szCs w:val="28"/>
              </w:rPr>
            </w:pPr>
          </w:p>
        </w:tc>
        <w:tc>
          <w:tcPr>
            <w:tcW w:w="6495" w:type="dxa"/>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企业会计制度准则_金融企业资产负债表信息查询抽取数据转换编码实现</w:t>
            </w:r>
          </w:p>
        </w:tc>
      </w:tr>
      <w:tr>
        <w:tblPrEx>
          <w:tblCellMar>
            <w:top w:w="15" w:type="dxa"/>
            <w:left w:w="15" w:type="dxa"/>
            <w:bottom w:w="15" w:type="dxa"/>
            <w:right w:w="15" w:type="dxa"/>
          </w:tblCellMar>
        </w:tblPrEx>
        <w:trPr>
          <w:trHeight w:val="288" w:hRule="atLeast"/>
          <w:tblCellSpacing w:w="0" w:type="dxa"/>
        </w:trPr>
        <w:tc>
          <w:tcPr>
            <w:vMerge w:val="continue"/>
            <w:tcBorders>
              <w:left w:val="single" w:color="000000" w:sz="8" w:space="0"/>
              <w:bottom w:val="single" w:color="000000" w:sz="8" w:space="0"/>
              <w:right w:val="single" w:color="000000" w:sz="8" w:space="0"/>
            </w:tcBorders>
            <w:vAlign w:val="center"/>
          </w:tcPr>
          <w:p>
            <w:pPr>
              <w:pStyle w:val="18"/>
              <w:rPr>
                <w:rFonts w:ascii="宋体" w:hAnsi="宋体" w:eastAsia="宋体" w:cs="宋体"/>
                <w:b w:val="0"/>
                <w:bCs w:val="0"/>
                <w:i w:val="0"/>
                <w:iCs w:val="0"/>
                <w:smallCaps w:val="0"/>
                <w:color w:val="000000"/>
                <w:sz w:val="28"/>
                <w:szCs w:val="28"/>
              </w:rPr>
            </w:pPr>
          </w:p>
        </w:tc>
        <w:tc>
          <w:tcPr>
            <w:tcW w:w="6495" w:type="dxa"/>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企业会计制度准则_金融企业利润表信息查询抽取数据转换编码实现</w:t>
            </w:r>
          </w:p>
        </w:tc>
      </w:tr>
      <w:tr>
        <w:tblPrEx>
          <w:tblCellMar>
            <w:top w:w="15" w:type="dxa"/>
            <w:left w:w="15" w:type="dxa"/>
            <w:bottom w:w="15" w:type="dxa"/>
            <w:right w:w="15" w:type="dxa"/>
          </w:tblCellMar>
        </w:tblPrEx>
        <w:trPr>
          <w:trHeight w:val="288" w:hRule="atLeast"/>
          <w:tblCellSpacing w:w="0" w:type="dxa"/>
        </w:trPr>
        <w:tc>
          <w:tcPr>
            <w:tcW w:w="2263" w:type="dxa"/>
            <w:vMerge w:val="restart"/>
            <w:tcBorders>
              <w:left w:val="single" w:color="000000" w:sz="8" w:space="0"/>
              <w:bottom w:val="nil"/>
              <w:right w:val="single" w:color="000000" w:sz="8" w:space="0"/>
            </w:tcBorders>
            <w:noWrap w:val="0"/>
            <w:tcMar>
              <w:top w:w="0" w:type="dxa"/>
              <w:left w:w="118" w:type="dxa"/>
              <w:bottom w:w="0" w:type="dxa"/>
              <w:right w:w="118" w:type="dxa"/>
            </w:tcMar>
            <w:vAlign w:val="center"/>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共享财务报表数据查询统计</w:t>
            </w:r>
          </w:p>
        </w:tc>
        <w:tc>
          <w:tcPr>
            <w:tcW w:w="6495" w:type="dxa"/>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企业会计制度准则共享信息明细查询</w:t>
            </w:r>
          </w:p>
        </w:tc>
      </w:tr>
      <w:tr>
        <w:tblPrEx>
          <w:tblCellMar>
            <w:top w:w="15" w:type="dxa"/>
            <w:left w:w="15" w:type="dxa"/>
            <w:bottom w:w="15" w:type="dxa"/>
            <w:right w:w="15" w:type="dxa"/>
          </w:tblCellMar>
        </w:tblPrEx>
        <w:trPr>
          <w:trHeight w:val="288" w:hRule="atLeast"/>
          <w:tblCellSpacing w:w="0" w:type="dxa"/>
        </w:trPr>
        <w:tc>
          <w:tcPr>
            <w:vMerge w:val="continue"/>
            <w:tcBorders>
              <w:left w:val="single" w:color="000000" w:sz="8" w:space="0"/>
              <w:right w:val="single" w:color="000000" w:sz="8" w:space="0"/>
            </w:tcBorders>
            <w:vAlign w:val="center"/>
          </w:tcPr>
          <w:p>
            <w:pPr>
              <w:pStyle w:val="18"/>
              <w:rPr>
                <w:rFonts w:ascii="宋体" w:hAnsi="宋体" w:eastAsia="宋体" w:cs="宋体"/>
                <w:b w:val="0"/>
                <w:bCs w:val="0"/>
                <w:i w:val="0"/>
                <w:iCs w:val="0"/>
                <w:smallCaps w:val="0"/>
                <w:color w:val="000000"/>
                <w:sz w:val="28"/>
                <w:szCs w:val="28"/>
              </w:rPr>
            </w:pPr>
          </w:p>
        </w:tc>
        <w:tc>
          <w:tcPr>
            <w:tcW w:w="6495" w:type="dxa"/>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小企业会计制度准则信息查询统计</w:t>
            </w:r>
          </w:p>
        </w:tc>
      </w:tr>
      <w:tr>
        <w:tblPrEx>
          <w:tblCellMar>
            <w:top w:w="15" w:type="dxa"/>
            <w:left w:w="15" w:type="dxa"/>
            <w:bottom w:w="15" w:type="dxa"/>
            <w:right w:w="15" w:type="dxa"/>
          </w:tblCellMar>
        </w:tblPrEx>
        <w:trPr>
          <w:trHeight w:val="288" w:hRule="atLeast"/>
          <w:tblCellSpacing w:w="0" w:type="dxa"/>
        </w:trPr>
        <w:tc>
          <w:tcPr>
            <w:vMerge w:val="continue"/>
            <w:tcBorders>
              <w:left w:val="single" w:color="000000" w:sz="8" w:space="0"/>
              <w:right w:val="single" w:color="000000" w:sz="8" w:space="0"/>
            </w:tcBorders>
            <w:vAlign w:val="center"/>
          </w:tcPr>
          <w:p>
            <w:pPr>
              <w:pStyle w:val="18"/>
              <w:rPr>
                <w:rFonts w:ascii="宋体" w:hAnsi="宋体" w:eastAsia="宋体" w:cs="宋体"/>
                <w:b w:val="0"/>
                <w:bCs w:val="0"/>
                <w:i w:val="0"/>
                <w:iCs w:val="0"/>
                <w:smallCaps w:val="0"/>
                <w:color w:val="000000"/>
                <w:sz w:val="28"/>
                <w:szCs w:val="28"/>
              </w:rPr>
            </w:pPr>
          </w:p>
        </w:tc>
        <w:tc>
          <w:tcPr>
            <w:tcW w:w="6495" w:type="dxa"/>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小企业会计制度准则共享信息明细查询</w:t>
            </w:r>
          </w:p>
        </w:tc>
      </w:tr>
      <w:tr>
        <w:tblPrEx>
          <w:tblCellMar>
            <w:top w:w="15" w:type="dxa"/>
            <w:left w:w="15" w:type="dxa"/>
            <w:bottom w:w="15" w:type="dxa"/>
            <w:right w:w="15" w:type="dxa"/>
          </w:tblCellMar>
        </w:tblPrEx>
        <w:trPr>
          <w:trHeight w:val="288" w:hRule="atLeast"/>
          <w:tblCellSpacing w:w="0" w:type="dxa"/>
        </w:trPr>
        <w:tc>
          <w:tcPr>
            <w:vMerge w:val="continue"/>
            <w:tcBorders>
              <w:left w:val="single" w:color="000000" w:sz="8" w:space="0"/>
              <w:right w:val="single" w:color="000000" w:sz="8" w:space="0"/>
            </w:tcBorders>
            <w:vAlign w:val="center"/>
          </w:tcPr>
          <w:p>
            <w:pPr>
              <w:pStyle w:val="18"/>
              <w:rPr>
                <w:rFonts w:ascii="宋体" w:hAnsi="宋体" w:eastAsia="宋体" w:cs="宋体"/>
                <w:b w:val="0"/>
                <w:bCs w:val="0"/>
                <w:i w:val="0"/>
                <w:iCs w:val="0"/>
                <w:smallCaps w:val="0"/>
                <w:color w:val="000000"/>
                <w:sz w:val="28"/>
                <w:szCs w:val="28"/>
              </w:rPr>
            </w:pPr>
          </w:p>
        </w:tc>
        <w:tc>
          <w:tcPr>
            <w:tcW w:w="6495" w:type="dxa"/>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民航会计制度准则信息查询统计</w:t>
            </w:r>
          </w:p>
        </w:tc>
      </w:tr>
      <w:tr>
        <w:tblPrEx>
          <w:tblCellMar>
            <w:top w:w="15" w:type="dxa"/>
            <w:left w:w="15" w:type="dxa"/>
            <w:bottom w:w="15" w:type="dxa"/>
            <w:right w:w="15" w:type="dxa"/>
          </w:tblCellMar>
        </w:tblPrEx>
        <w:trPr>
          <w:trHeight w:val="288" w:hRule="atLeast"/>
          <w:tblCellSpacing w:w="0" w:type="dxa"/>
        </w:trPr>
        <w:tc>
          <w:tcPr>
            <w:vMerge w:val="continue"/>
            <w:tcBorders>
              <w:left w:val="single" w:color="000000" w:sz="8" w:space="0"/>
              <w:right w:val="single" w:color="000000" w:sz="8" w:space="0"/>
            </w:tcBorders>
            <w:vAlign w:val="center"/>
          </w:tcPr>
          <w:p>
            <w:pPr>
              <w:pStyle w:val="18"/>
              <w:rPr>
                <w:rFonts w:ascii="宋体" w:hAnsi="宋体" w:eastAsia="宋体" w:cs="宋体"/>
                <w:b w:val="0"/>
                <w:bCs w:val="0"/>
                <w:i w:val="0"/>
                <w:iCs w:val="0"/>
                <w:smallCaps w:val="0"/>
                <w:color w:val="000000"/>
                <w:sz w:val="28"/>
                <w:szCs w:val="28"/>
              </w:rPr>
            </w:pPr>
          </w:p>
        </w:tc>
        <w:tc>
          <w:tcPr>
            <w:tcW w:w="6495" w:type="dxa"/>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民航会计制度准则共享信息明细查询</w:t>
            </w:r>
          </w:p>
        </w:tc>
      </w:tr>
      <w:tr>
        <w:tblPrEx>
          <w:tblCellMar>
            <w:top w:w="15" w:type="dxa"/>
            <w:left w:w="15" w:type="dxa"/>
            <w:bottom w:w="15" w:type="dxa"/>
            <w:right w:w="15" w:type="dxa"/>
          </w:tblCellMar>
        </w:tblPrEx>
        <w:trPr>
          <w:trHeight w:val="288" w:hRule="atLeast"/>
          <w:tblCellSpacing w:w="0" w:type="dxa"/>
        </w:trPr>
        <w:tc>
          <w:tcPr>
            <w:vMerge w:val="continue"/>
            <w:tcBorders>
              <w:left w:val="single" w:color="000000" w:sz="8" w:space="0"/>
              <w:right w:val="single" w:color="000000" w:sz="8" w:space="0"/>
            </w:tcBorders>
            <w:vAlign w:val="center"/>
          </w:tcPr>
          <w:p>
            <w:pPr>
              <w:pStyle w:val="18"/>
              <w:rPr>
                <w:rFonts w:ascii="宋体" w:hAnsi="宋体" w:eastAsia="宋体" w:cs="宋体"/>
                <w:b w:val="0"/>
                <w:bCs w:val="0"/>
                <w:i w:val="0"/>
                <w:iCs w:val="0"/>
                <w:smallCaps w:val="0"/>
                <w:color w:val="000000"/>
                <w:sz w:val="28"/>
                <w:szCs w:val="28"/>
              </w:rPr>
            </w:pPr>
          </w:p>
        </w:tc>
        <w:tc>
          <w:tcPr>
            <w:tcW w:w="6495" w:type="dxa"/>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企业会计制度准则信息查询统计</w:t>
            </w:r>
          </w:p>
        </w:tc>
      </w:tr>
      <w:tr>
        <w:tblPrEx>
          <w:tblCellMar>
            <w:top w:w="15" w:type="dxa"/>
            <w:left w:w="15" w:type="dxa"/>
            <w:bottom w:w="15" w:type="dxa"/>
            <w:right w:w="15" w:type="dxa"/>
          </w:tblCellMar>
        </w:tblPrEx>
        <w:trPr>
          <w:trHeight w:val="288" w:hRule="atLeast"/>
          <w:tblCellSpacing w:w="0" w:type="dxa"/>
        </w:trPr>
        <w:tc>
          <w:tcPr>
            <w:vMerge w:val="continue"/>
            <w:tcBorders>
              <w:left w:val="single" w:color="000000" w:sz="8" w:space="0"/>
              <w:right w:val="single" w:color="000000" w:sz="8" w:space="0"/>
            </w:tcBorders>
            <w:vAlign w:val="center"/>
          </w:tcPr>
          <w:p>
            <w:pPr>
              <w:pStyle w:val="18"/>
              <w:rPr>
                <w:rFonts w:ascii="宋体" w:hAnsi="宋体" w:eastAsia="宋体" w:cs="宋体"/>
                <w:b w:val="0"/>
                <w:bCs w:val="0"/>
                <w:i w:val="0"/>
                <w:iCs w:val="0"/>
                <w:smallCaps w:val="0"/>
                <w:color w:val="000000"/>
                <w:sz w:val="28"/>
                <w:szCs w:val="28"/>
              </w:rPr>
            </w:pPr>
          </w:p>
        </w:tc>
        <w:tc>
          <w:tcPr>
            <w:tcW w:w="6495" w:type="dxa"/>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企业会计制度准则共享信息明细查询</w:t>
            </w:r>
          </w:p>
        </w:tc>
      </w:tr>
      <w:tr>
        <w:tblPrEx>
          <w:tblCellMar>
            <w:top w:w="15" w:type="dxa"/>
            <w:left w:w="15" w:type="dxa"/>
            <w:bottom w:w="15" w:type="dxa"/>
            <w:right w:w="15" w:type="dxa"/>
          </w:tblCellMar>
        </w:tblPrEx>
        <w:trPr>
          <w:trHeight w:val="288" w:hRule="atLeast"/>
          <w:tblCellSpacing w:w="0" w:type="dxa"/>
        </w:trPr>
        <w:tc>
          <w:tcPr>
            <w:vMerge w:val="continue"/>
            <w:tcBorders>
              <w:left w:val="single" w:color="000000" w:sz="8" w:space="0"/>
              <w:right w:val="single" w:color="000000" w:sz="8" w:space="0"/>
            </w:tcBorders>
            <w:vAlign w:val="center"/>
          </w:tcPr>
          <w:p>
            <w:pPr>
              <w:pStyle w:val="18"/>
              <w:rPr>
                <w:rFonts w:ascii="宋体" w:hAnsi="宋体" w:eastAsia="宋体" w:cs="宋体"/>
                <w:b w:val="0"/>
                <w:bCs w:val="0"/>
                <w:i w:val="0"/>
                <w:iCs w:val="0"/>
                <w:smallCaps w:val="0"/>
                <w:color w:val="000000"/>
                <w:sz w:val="28"/>
                <w:szCs w:val="28"/>
              </w:rPr>
            </w:pPr>
          </w:p>
        </w:tc>
        <w:tc>
          <w:tcPr>
            <w:tcW w:w="6495" w:type="dxa"/>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企业会计制度准则信息查询统计</w:t>
            </w:r>
          </w:p>
        </w:tc>
      </w:tr>
      <w:tr>
        <w:tblPrEx>
          <w:tblCellMar>
            <w:top w:w="15" w:type="dxa"/>
            <w:left w:w="15" w:type="dxa"/>
            <w:bottom w:w="15" w:type="dxa"/>
            <w:right w:w="15" w:type="dxa"/>
          </w:tblCellMar>
        </w:tblPrEx>
        <w:trPr>
          <w:trHeight w:val="288" w:hRule="atLeast"/>
          <w:tblCellSpacing w:w="0" w:type="dxa"/>
        </w:trPr>
        <w:tc>
          <w:tcPr>
            <w:vMerge w:val="continue"/>
            <w:tcBorders>
              <w:left w:val="single" w:color="000000" w:sz="8" w:space="0"/>
              <w:right w:val="single" w:color="000000" w:sz="8" w:space="0"/>
            </w:tcBorders>
            <w:vAlign w:val="center"/>
          </w:tcPr>
          <w:p>
            <w:pPr>
              <w:pStyle w:val="18"/>
              <w:rPr>
                <w:rFonts w:ascii="宋体" w:hAnsi="宋体" w:eastAsia="宋体" w:cs="宋体"/>
                <w:b w:val="0"/>
                <w:bCs w:val="0"/>
                <w:i w:val="0"/>
                <w:iCs w:val="0"/>
                <w:smallCaps w:val="0"/>
                <w:color w:val="000000"/>
                <w:sz w:val="28"/>
                <w:szCs w:val="28"/>
              </w:rPr>
            </w:pPr>
          </w:p>
        </w:tc>
        <w:tc>
          <w:tcPr>
            <w:tcW w:w="6495" w:type="dxa"/>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企业会计制度准则共享信息明细查询</w:t>
            </w:r>
          </w:p>
        </w:tc>
      </w:tr>
      <w:tr>
        <w:tblPrEx>
          <w:tblCellMar>
            <w:top w:w="15" w:type="dxa"/>
            <w:left w:w="15" w:type="dxa"/>
            <w:bottom w:w="15" w:type="dxa"/>
            <w:right w:w="15" w:type="dxa"/>
          </w:tblCellMar>
        </w:tblPrEx>
        <w:trPr>
          <w:trHeight w:val="288" w:hRule="atLeast"/>
          <w:tblCellSpacing w:w="0" w:type="dxa"/>
        </w:trPr>
        <w:tc>
          <w:tcPr>
            <w:vMerge w:val="continue"/>
            <w:tcBorders>
              <w:left w:val="single" w:color="000000" w:sz="8" w:space="0"/>
              <w:right w:val="single" w:color="000000" w:sz="8" w:space="0"/>
            </w:tcBorders>
            <w:vAlign w:val="center"/>
          </w:tcPr>
          <w:p>
            <w:pPr>
              <w:pStyle w:val="18"/>
              <w:rPr>
                <w:rFonts w:ascii="宋体" w:hAnsi="宋体" w:eastAsia="宋体" w:cs="宋体"/>
                <w:b w:val="0"/>
                <w:bCs w:val="0"/>
                <w:i w:val="0"/>
                <w:iCs w:val="0"/>
                <w:smallCaps w:val="0"/>
                <w:color w:val="000000"/>
                <w:sz w:val="28"/>
                <w:szCs w:val="28"/>
              </w:rPr>
            </w:pPr>
          </w:p>
        </w:tc>
        <w:tc>
          <w:tcPr>
            <w:tcW w:w="6495" w:type="dxa"/>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企业会计制度准则信息查询统计</w:t>
            </w:r>
          </w:p>
        </w:tc>
      </w:tr>
      <w:tr>
        <w:tblPrEx>
          <w:tblCellMar>
            <w:top w:w="15" w:type="dxa"/>
            <w:left w:w="15" w:type="dxa"/>
            <w:bottom w:w="15" w:type="dxa"/>
            <w:right w:w="15" w:type="dxa"/>
          </w:tblCellMar>
        </w:tblPrEx>
        <w:trPr>
          <w:trHeight w:val="288" w:hRule="atLeast"/>
          <w:tblCellSpacing w:w="0" w:type="dxa"/>
        </w:trPr>
        <w:tc>
          <w:tcPr>
            <w:vMerge w:val="continue"/>
            <w:tcBorders>
              <w:left w:val="single" w:color="000000" w:sz="8" w:space="0"/>
              <w:right w:val="single" w:color="000000" w:sz="8" w:space="0"/>
            </w:tcBorders>
            <w:vAlign w:val="center"/>
          </w:tcPr>
          <w:p>
            <w:pPr>
              <w:pStyle w:val="18"/>
              <w:rPr>
                <w:rFonts w:ascii="宋体" w:hAnsi="宋体" w:eastAsia="宋体" w:cs="宋体"/>
                <w:b w:val="0"/>
                <w:bCs w:val="0"/>
                <w:i w:val="0"/>
                <w:iCs w:val="0"/>
                <w:smallCaps w:val="0"/>
                <w:color w:val="000000"/>
                <w:sz w:val="28"/>
                <w:szCs w:val="28"/>
              </w:rPr>
            </w:pPr>
          </w:p>
        </w:tc>
        <w:tc>
          <w:tcPr>
            <w:tcW w:w="6495" w:type="dxa"/>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企业会计制度准则共享信息明细查询</w:t>
            </w:r>
          </w:p>
        </w:tc>
      </w:tr>
      <w:tr>
        <w:tblPrEx>
          <w:tblCellMar>
            <w:top w:w="15" w:type="dxa"/>
            <w:left w:w="15" w:type="dxa"/>
            <w:bottom w:w="15" w:type="dxa"/>
            <w:right w:w="15" w:type="dxa"/>
          </w:tblCellMar>
        </w:tblPrEx>
        <w:trPr>
          <w:trHeight w:val="288" w:hRule="atLeast"/>
          <w:tblCellSpacing w:w="0" w:type="dxa"/>
        </w:trPr>
        <w:tc>
          <w:tcPr>
            <w:vMerge w:val="continue"/>
            <w:tcBorders>
              <w:left w:val="single" w:color="000000" w:sz="8" w:space="0"/>
              <w:right w:val="single" w:color="000000" w:sz="8" w:space="0"/>
            </w:tcBorders>
            <w:vAlign w:val="center"/>
          </w:tcPr>
          <w:p>
            <w:pPr>
              <w:pStyle w:val="18"/>
              <w:rPr>
                <w:rFonts w:ascii="宋体" w:hAnsi="宋体" w:eastAsia="宋体" w:cs="宋体"/>
                <w:b w:val="0"/>
                <w:bCs w:val="0"/>
                <w:i w:val="0"/>
                <w:iCs w:val="0"/>
                <w:smallCaps w:val="0"/>
                <w:color w:val="000000"/>
                <w:sz w:val="28"/>
                <w:szCs w:val="28"/>
              </w:rPr>
            </w:pPr>
          </w:p>
        </w:tc>
        <w:tc>
          <w:tcPr>
            <w:tcW w:w="6495" w:type="dxa"/>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企业会计制度准则信息查询统计</w:t>
            </w:r>
          </w:p>
        </w:tc>
      </w:tr>
      <w:tr>
        <w:tblPrEx>
          <w:tblCellMar>
            <w:top w:w="15" w:type="dxa"/>
            <w:left w:w="15" w:type="dxa"/>
            <w:bottom w:w="15" w:type="dxa"/>
            <w:right w:w="15" w:type="dxa"/>
          </w:tblCellMar>
        </w:tblPrEx>
        <w:trPr>
          <w:trHeight w:val="288" w:hRule="atLeast"/>
          <w:tblCellSpacing w:w="0" w:type="dxa"/>
        </w:trPr>
        <w:tc>
          <w:tcPr>
            <w:vMerge w:val="continue"/>
            <w:tcBorders>
              <w:left w:val="single" w:color="000000" w:sz="8" w:space="0"/>
              <w:right w:val="single" w:color="000000" w:sz="8" w:space="0"/>
            </w:tcBorders>
            <w:vAlign w:val="center"/>
          </w:tcPr>
          <w:p>
            <w:pPr>
              <w:pStyle w:val="18"/>
              <w:rPr>
                <w:rFonts w:ascii="宋体" w:hAnsi="宋体" w:eastAsia="宋体" w:cs="宋体"/>
                <w:b w:val="0"/>
                <w:bCs w:val="0"/>
                <w:i w:val="0"/>
                <w:iCs w:val="0"/>
                <w:smallCaps w:val="0"/>
                <w:color w:val="000000"/>
                <w:sz w:val="28"/>
                <w:szCs w:val="28"/>
              </w:rPr>
            </w:pPr>
          </w:p>
        </w:tc>
        <w:tc>
          <w:tcPr>
            <w:tcW w:w="6495" w:type="dxa"/>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企业会计制度准则共享信息明细查询</w:t>
            </w:r>
          </w:p>
        </w:tc>
      </w:tr>
      <w:tr>
        <w:tblPrEx>
          <w:tblCellMar>
            <w:top w:w="15" w:type="dxa"/>
            <w:left w:w="15" w:type="dxa"/>
            <w:bottom w:w="15" w:type="dxa"/>
            <w:right w:w="15" w:type="dxa"/>
          </w:tblCellMar>
        </w:tblPrEx>
        <w:trPr>
          <w:trHeight w:val="288" w:hRule="atLeast"/>
          <w:tblCellSpacing w:w="0" w:type="dxa"/>
        </w:trPr>
        <w:tc>
          <w:tcPr>
            <w:vMerge w:val="continue"/>
            <w:tcBorders>
              <w:left w:val="single" w:color="000000" w:sz="8" w:space="0"/>
              <w:right w:val="single" w:color="000000" w:sz="8" w:space="0"/>
            </w:tcBorders>
            <w:vAlign w:val="center"/>
          </w:tcPr>
          <w:p>
            <w:pPr>
              <w:pStyle w:val="18"/>
              <w:rPr>
                <w:rFonts w:ascii="宋体" w:hAnsi="宋体" w:eastAsia="宋体" w:cs="宋体"/>
                <w:b w:val="0"/>
                <w:bCs w:val="0"/>
                <w:i w:val="0"/>
                <w:iCs w:val="0"/>
                <w:smallCaps w:val="0"/>
                <w:color w:val="000000"/>
                <w:sz w:val="28"/>
                <w:szCs w:val="28"/>
              </w:rPr>
            </w:pPr>
          </w:p>
        </w:tc>
        <w:tc>
          <w:tcPr>
            <w:tcW w:w="6495" w:type="dxa"/>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企业会计制度准则信息查询统计</w:t>
            </w:r>
          </w:p>
        </w:tc>
      </w:tr>
      <w:tr>
        <w:tblPrEx>
          <w:tblCellMar>
            <w:top w:w="15" w:type="dxa"/>
            <w:left w:w="15" w:type="dxa"/>
            <w:bottom w:w="15" w:type="dxa"/>
            <w:right w:w="15" w:type="dxa"/>
          </w:tblCellMar>
        </w:tblPrEx>
        <w:trPr>
          <w:trHeight w:val="288" w:hRule="atLeast"/>
          <w:tblCellSpacing w:w="0" w:type="dxa"/>
        </w:trPr>
        <w:tc>
          <w:tcPr>
            <w:vMerge w:val="continue"/>
            <w:tcBorders>
              <w:left w:val="single" w:color="000000" w:sz="8" w:space="0"/>
              <w:right w:val="single" w:color="000000" w:sz="8" w:space="0"/>
            </w:tcBorders>
            <w:vAlign w:val="center"/>
          </w:tcPr>
          <w:p>
            <w:pPr>
              <w:pStyle w:val="18"/>
              <w:rPr>
                <w:rFonts w:ascii="宋体" w:hAnsi="宋体" w:eastAsia="宋体" w:cs="宋体"/>
                <w:b w:val="0"/>
                <w:bCs w:val="0"/>
                <w:i w:val="0"/>
                <w:iCs w:val="0"/>
                <w:smallCaps w:val="0"/>
                <w:color w:val="000000"/>
                <w:sz w:val="28"/>
                <w:szCs w:val="28"/>
              </w:rPr>
            </w:pPr>
          </w:p>
        </w:tc>
        <w:tc>
          <w:tcPr>
            <w:tcW w:w="6495" w:type="dxa"/>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企业会计制度准则共享信息明细查询</w:t>
            </w:r>
          </w:p>
        </w:tc>
      </w:tr>
      <w:tr>
        <w:tblPrEx>
          <w:tblCellMar>
            <w:top w:w="15" w:type="dxa"/>
            <w:left w:w="15" w:type="dxa"/>
            <w:bottom w:w="15" w:type="dxa"/>
            <w:right w:w="15" w:type="dxa"/>
          </w:tblCellMar>
        </w:tblPrEx>
        <w:trPr>
          <w:trHeight w:val="288" w:hRule="atLeast"/>
          <w:tblCellSpacing w:w="0" w:type="dxa"/>
        </w:trPr>
        <w:tc>
          <w:tcPr>
            <w:vMerge w:val="continue"/>
            <w:tcBorders>
              <w:left w:val="single" w:color="000000" w:sz="8" w:space="0"/>
              <w:right w:val="single" w:color="000000" w:sz="8" w:space="0"/>
            </w:tcBorders>
            <w:vAlign w:val="center"/>
          </w:tcPr>
          <w:p>
            <w:pPr>
              <w:pStyle w:val="18"/>
              <w:rPr>
                <w:rFonts w:ascii="宋体" w:hAnsi="宋体" w:eastAsia="宋体" w:cs="宋体"/>
                <w:b w:val="0"/>
                <w:bCs w:val="0"/>
                <w:i w:val="0"/>
                <w:iCs w:val="0"/>
                <w:smallCaps w:val="0"/>
                <w:color w:val="000000"/>
                <w:sz w:val="28"/>
                <w:szCs w:val="28"/>
              </w:rPr>
            </w:pPr>
          </w:p>
        </w:tc>
        <w:tc>
          <w:tcPr>
            <w:tcW w:w="6495" w:type="dxa"/>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企业会计制度准则信息共享_担保企业会计核算办法查询统计</w:t>
            </w:r>
          </w:p>
        </w:tc>
      </w:tr>
      <w:tr>
        <w:tblPrEx>
          <w:tblCellMar>
            <w:top w:w="15" w:type="dxa"/>
            <w:left w:w="15" w:type="dxa"/>
            <w:bottom w:w="15" w:type="dxa"/>
            <w:right w:w="15" w:type="dxa"/>
          </w:tblCellMar>
        </w:tblPrEx>
        <w:trPr>
          <w:trHeight w:val="288" w:hRule="atLeast"/>
          <w:tblCellSpacing w:w="0" w:type="dxa"/>
        </w:trPr>
        <w:tc>
          <w:tcPr>
            <w:vMerge w:val="continue"/>
            <w:tcBorders>
              <w:left w:val="single" w:color="000000" w:sz="8" w:space="0"/>
              <w:right w:val="single" w:color="000000" w:sz="8" w:space="0"/>
            </w:tcBorders>
            <w:vAlign w:val="center"/>
          </w:tcPr>
          <w:p>
            <w:pPr>
              <w:pStyle w:val="18"/>
              <w:rPr>
                <w:rFonts w:ascii="宋体" w:hAnsi="宋体" w:eastAsia="宋体" w:cs="宋体"/>
                <w:b w:val="0"/>
                <w:bCs w:val="0"/>
                <w:i w:val="0"/>
                <w:iCs w:val="0"/>
                <w:smallCaps w:val="0"/>
                <w:color w:val="000000"/>
                <w:sz w:val="28"/>
                <w:szCs w:val="28"/>
              </w:rPr>
            </w:pPr>
          </w:p>
        </w:tc>
        <w:tc>
          <w:tcPr>
            <w:tcW w:w="6495" w:type="dxa"/>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企业会计制度准则_担保企业会计核算办法共享信息明细查询</w:t>
            </w:r>
          </w:p>
        </w:tc>
      </w:tr>
      <w:tr>
        <w:tblPrEx>
          <w:tblCellMar>
            <w:top w:w="15" w:type="dxa"/>
            <w:left w:w="15" w:type="dxa"/>
            <w:bottom w:w="15" w:type="dxa"/>
            <w:right w:w="15" w:type="dxa"/>
          </w:tblCellMar>
        </w:tblPrEx>
        <w:trPr>
          <w:trHeight w:val="288" w:hRule="atLeast"/>
          <w:tblCellSpacing w:w="0" w:type="dxa"/>
        </w:trPr>
        <w:tc>
          <w:tcPr>
            <w:vMerge w:val="continue"/>
            <w:tcBorders>
              <w:left w:val="single" w:color="000000" w:sz="8" w:space="0"/>
              <w:right w:val="single" w:color="000000" w:sz="8" w:space="0"/>
            </w:tcBorders>
            <w:vAlign w:val="center"/>
          </w:tcPr>
          <w:p>
            <w:pPr>
              <w:pStyle w:val="18"/>
              <w:rPr>
                <w:rFonts w:ascii="宋体" w:hAnsi="宋体" w:eastAsia="宋体" w:cs="宋体"/>
                <w:b w:val="0"/>
                <w:bCs w:val="0"/>
                <w:i w:val="0"/>
                <w:iCs w:val="0"/>
                <w:smallCaps w:val="0"/>
                <w:color w:val="000000"/>
                <w:sz w:val="28"/>
                <w:szCs w:val="28"/>
              </w:rPr>
            </w:pPr>
          </w:p>
        </w:tc>
        <w:tc>
          <w:tcPr>
            <w:tcW w:w="6495" w:type="dxa"/>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企业会计制度准则信息共享_金融企业查询统计</w:t>
            </w:r>
          </w:p>
        </w:tc>
      </w:tr>
      <w:tr>
        <w:tblPrEx>
          <w:tblCellMar>
            <w:top w:w="15" w:type="dxa"/>
            <w:left w:w="15" w:type="dxa"/>
            <w:bottom w:w="15" w:type="dxa"/>
            <w:right w:w="15" w:type="dxa"/>
          </w:tblCellMar>
        </w:tblPrEx>
        <w:trPr>
          <w:trHeight w:val="288" w:hRule="atLeast"/>
          <w:tblCellSpacing w:w="0" w:type="dxa"/>
        </w:trPr>
        <w:tc>
          <w:tcPr>
            <w:vMerge w:val="continue"/>
            <w:tcBorders>
              <w:left w:val="single" w:color="000000" w:sz="8" w:space="0"/>
              <w:bottom w:val="single" w:color="000000" w:sz="8" w:space="0"/>
              <w:right w:val="single" w:color="000000" w:sz="8" w:space="0"/>
            </w:tcBorders>
            <w:vAlign w:val="center"/>
          </w:tcPr>
          <w:p>
            <w:pPr>
              <w:pStyle w:val="18"/>
              <w:rPr>
                <w:rFonts w:ascii="宋体" w:hAnsi="宋体" w:eastAsia="宋体" w:cs="宋体"/>
                <w:b w:val="0"/>
                <w:bCs w:val="0"/>
                <w:i w:val="0"/>
                <w:iCs w:val="0"/>
                <w:smallCaps w:val="0"/>
                <w:color w:val="000000"/>
                <w:sz w:val="28"/>
                <w:szCs w:val="28"/>
              </w:rPr>
            </w:pPr>
          </w:p>
        </w:tc>
        <w:tc>
          <w:tcPr>
            <w:tcW w:w="6495" w:type="dxa"/>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企业会计制度准则_金融企业共享信息明细查询</w:t>
            </w:r>
          </w:p>
        </w:tc>
      </w:tr>
    </w:tbl>
    <w:p>
      <w:pPr>
        <w:pStyle w:val="93"/>
        <w:spacing w:before="0" w:after="0" w:line="360" w:lineRule="auto"/>
        <w:ind w:left="640" w:right="0"/>
        <w:jc w:val="both"/>
        <w:rPr>
          <w:rFonts w:ascii="Calibri" w:hAnsi="Calibri" w:eastAsia="Calibri" w:cs="Calibri"/>
          <w:sz w:val="21"/>
          <w:szCs w:val="21"/>
        </w:rPr>
      </w:pPr>
      <w:r>
        <w:rPr>
          <w:rFonts w:ascii="仿宋_GB2312" w:hAnsi="仿宋_GB2312" w:eastAsia="仿宋_GB2312" w:cs="仿宋_GB2312"/>
          <w:sz w:val="28"/>
          <w:szCs w:val="28"/>
        </w:rPr>
        <w:t>1.4应用管理子系统财务报表共享信息查询统计</w:t>
      </w:r>
    </w:p>
    <w:p>
      <w:pPr>
        <w:pStyle w:val="93"/>
        <w:spacing w:before="0" w:after="0" w:line="360" w:lineRule="auto"/>
        <w:ind w:left="480" w:right="0"/>
        <w:jc w:val="both"/>
        <w:rPr>
          <w:rFonts w:ascii="Calibri" w:hAnsi="Calibri" w:eastAsia="Calibri" w:cs="Calibri"/>
          <w:sz w:val="21"/>
          <w:szCs w:val="21"/>
        </w:rPr>
      </w:pPr>
      <w:r>
        <w:rPr>
          <w:rFonts w:ascii="仿宋_GB2312" w:hAnsi="仿宋_GB2312" w:eastAsia="仿宋_GB2312" w:cs="仿宋_GB2312"/>
          <w:sz w:val="28"/>
          <w:szCs w:val="28"/>
        </w:rPr>
        <w:t>用于查询共享给市监部门的数据信息，可按多个维度进行统计汇总，并支持下钻明细查询。</w:t>
      </w:r>
    </w:p>
    <w:tbl>
      <w:tblPr>
        <w:tblStyle w:val="95"/>
        <w:tblW w:w="8927" w:type="dxa"/>
        <w:tblCellSpacing w:w="0" w:type="dxa"/>
        <w:tblInd w:w="241" w:type="dxa"/>
        <w:tblLayout w:type="autofit"/>
        <w:tblCellMar>
          <w:top w:w="15" w:type="dxa"/>
          <w:left w:w="15" w:type="dxa"/>
          <w:bottom w:w="15" w:type="dxa"/>
          <w:right w:w="15" w:type="dxa"/>
        </w:tblCellMar>
      </w:tblPr>
      <w:tblGrid>
        <w:gridCol w:w="1185"/>
        <w:gridCol w:w="7742"/>
      </w:tblGrid>
      <w:tr>
        <w:tblPrEx>
          <w:tblCellMar>
            <w:top w:w="15" w:type="dxa"/>
            <w:left w:w="15" w:type="dxa"/>
            <w:bottom w:w="15" w:type="dxa"/>
            <w:right w:w="15" w:type="dxa"/>
          </w:tblCellMar>
        </w:tblPrEx>
        <w:trPr>
          <w:trHeight w:val="288" w:hRule="atLeast"/>
          <w:tblCellSpacing w:w="0" w:type="dxa"/>
        </w:trPr>
        <w:tc>
          <w:tcPr>
            <w:tcW w:w="1224" w:type="dxa"/>
            <w:tcBorders>
              <w:top w:val="single" w:color="000000" w:sz="8" w:space="0"/>
              <w:left w:val="single" w:color="000000" w:sz="8" w:space="0"/>
              <w:bottom w:val="single" w:color="000000" w:sz="8" w:space="0"/>
              <w:right w:val="single" w:color="000000" w:sz="8" w:space="0"/>
            </w:tcBorders>
            <w:noWrap w:val="0"/>
            <w:tcMar>
              <w:top w:w="0" w:type="dxa"/>
              <w:left w:w="118" w:type="dxa"/>
              <w:bottom w:w="0" w:type="dxa"/>
              <w:right w:w="118" w:type="dxa"/>
            </w:tcMar>
            <w:vAlign w:val="top"/>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1</w:t>
            </w:r>
          </w:p>
        </w:tc>
        <w:tc>
          <w:tcPr>
            <w:tcW w:w="8185" w:type="dxa"/>
            <w:tcBorders>
              <w:top w:val="single" w:color="000000" w:sz="8" w:space="0"/>
              <w:bottom w:val="single" w:color="000000" w:sz="8" w:space="0"/>
              <w:right w:val="single" w:color="000000" w:sz="8" w:space="0"/>
            </w:tcBorders>
            <w:noWrap w:val="0"/>
            <w:tcMar>
              <w:top w:w="0" w:type="dxa"/>
              <w:left w:w="108" w:type="dxa"/>
              <w:bottom w:w="0" w:type="dxa"/>
              <w:right w:w="118" w:type="dxa"/>
            </w:tcMar>
            <w:vAlign w:val="bottom"/>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企业会计制度准则信息查询统计</w:t>
            </w:r>
          </w:p>
        </w:tc>
      </w:tr>
      <w:tr>
        <w:tblPrEx>
          <w:tblCellMar>
            <w:top w:w="15" w:type="dxa"/>
            <w:left w:w="15" w:type="dxa"/>
            <w:bottom w:w="15" w:type="dxa"/>
            <w:right w:w="15" w:type="dxa"/>
          </w:tblCellMar>
        </w:tblPrEx>
        <w:trPr>
          <w:trHeight w:val="288" w:hRule="atLeast"/>
          <w:tblCellSpacing w:w="0" w:type="dxa"/>
        </w:trPr>
        <w:tc>
          <w:tcPr>
            <w:tcW w:w="1224" w:type="dxa"/>
            <w:tcBorders>
              <w:left w:val="single" w:color="000000" w:sz="8" w:space="0"/>
              <w:bottom w:val="single" w:color="000000" w:sz="8" w:space="0"/>
              <w:right w:val="single" w:color="000000" w:sz="8" w:space="0"/>
            </w:tcBorders>
            <w:noWrap w:val="0"/>
            <w:tcMar>
              <w:top w:w="0" w:type="dxa"/>
              <w:left w:w="118" w:type="dxa"/>
              <w:bottom w:w="0" w:type="dxa"/>
              <w:right w:w="118" w:type="dxa"/>
            </w:tcMar>
            <w:vAlign w:val="top"/>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2</w:t>
            </w:r>
          </w:p>
        </w:tc>
        <w:tc>
          <w:tcPr>
            <w:tcW w:w="8185" w:type="dxa"/>
            <w:tcBorders>
              <w:bottom w:val="single" w:color="000000" w:sz="8" w:space="0"/>
              <w:right w:val="single" w:color="000000" w:sz="8" w:space="0"/>
            </w:tcBorders>
            <w:noWrap w:val="0"/>
            <w:tcMar>
              <w:top w:w="0" w:type="dxa"/>
              <w:left w:w="108" w:type="dxa"/>
              <w:bottom w:w="0" w:type="dxa"/>
              <w:right w:w="118" w:type="dxa"/>
            </w:tcMar>
            <w:vAlign w:val="bottom"/>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企业会计制度准则共享信息明细查询</w:t>
            </w:r>
          </w:p>
        </w:tc>
      </w:tr>
      <w:tr>
        <w:tblPrEx>
          <w:tblCellMar>
            <w:top w:w="15" w:type="dxa"/>
            <w:left w:w="15" w:type="dxa"/>
            <w:bottom w:w="15" w:type="dxa"/>
            <w:right w:w="15" w:type="dxa"/>
          </w:tblCellMar>
        </w:tblPrEx>
        <w:trPr>
          <w:trHeight w:val="288" w:hRule="atLeast"/>
          <w:tblCellSpacing w:w="0" w:type="dxa"/>
        </w:trPr>
        <w:tc>
          <w:tcPr>
            <w:tcW w:w="1224" w:type="dxa"/>
            <w:tcBorders>
              <w:left w:val="single" w:color="000000" w:sz="8" w:space="0"/>
              <w:bottom w:val="single" w:color="000000" w:sz="8" w:space="0"/>
              <w:right w:val="single" w:color="000000" w:sz="8" w:space="0"/>
            </w:tcBorders>
            <w:noWrap w:val="0"/>
            <w:tcMar>
              <w:top w:w="0" w:type="dxa"/>
              <w:left w:w="118" w:type="dxa"/>
              <w:bottom w:w="0" w:type="dxa"/>
              <w:right w:w="118" w:type="dxa"/>
            </w:tcMar>
            <w:vAlign w:val="top"/>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3</w:t>
            </w:r>
          </w:p>
        </w:tc>
        <w:tc>
          <w:tcPr>
            <w:tcW w:w="8185" w:type="dxa"/>
            <w:tcBorders>
              <w:bottom w:val="single" w:color="000000" w:sz="8" w:space="0"/>
              <w:right w:val="single" w:color="000000" w:sz="8" w:space="0"/>
            </w:tcBorders>
            <w:noWrap w:val="0"/>
            <w:tcMar>
              <w:top w:w="0" w:type="dxa"/>
              <w:left w:w="108" w:type="dxa"/>
              <w:bottom w:w="0" w:type="dxa"/>
              <w:right w:w="118" w:type="dxa"/>
            </w:tcMar>
            <w:vAlign w:val="bottom"/>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小企业会计制度准则信息查询统计</w:t>
            </w:r>
          </w:p>
        </w:tc>
      </w:tr>
      <w:tr>
        <w:tblPrEx>
          <w:tblCellMar>
            <w:top w:w="15" w:type="dxa"/>
            <w:left w:w="15" w:type="dxa"/>
            <w:bottom w:w="15" w:type="dxa"/>
            <w:right w:w="15" w:type="dxa"/>
          </w:tblCellMar>
        </w:tblPrEx>
        <w:trPr>
          <w:trHeight w:val="288" w:hRule="atLeast"/>
          <w:tblCellSpacing w:w="0" w:type="dxa"/>
        </w:trPr>
        <w:tc>
          <w:tcPr>
            <w:tcW w:w="1224" w:type="dxa"/>
            <w:tcBorders>
              <w:left w:val="single" w:color="000000" w:sz="8" w:space="0"/>
              <w:bottom w:val="single" w:color="000000" w:sz="8" w:space="0"/>
              <w:right w:val="single" w:color="000000" w:sz="8" w:space="0"/>
            </w:tcBorders>
            <w:noWrap w:val="0"/>
            <w:tcMar>
              <w:top w:w="0" w:type="dxa"/>
              <w:left w:w="118" w:type="dxa"/>
              <w:bottom w:w="0" w:type="dxa"/>
              <w:right w:w="118" w:type="dxa"/>
            </w:tcMar>
            <w:vAlign w:val="top"/>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4</w:t>
            </w:r>
          </w:p>
        </w:tc>
        <w:tc>
          <w:tcPr>
            <w:tcW w:w="8185" w:type="dxa"/>
            <w:tcBorders>
              <w:bottom w:val="single" w:color="000000" w:sz="8" w:space="0"/>
              <w:right w:val="single" w:color="000000" w:sz="8" w:space="0"/>
            </w:tcBorders>
            <w:noWrap w:val="0"/>
            <w:tcMar>
              <w:top w:w="0" w:type="dxa"/>
              <w:left w:w="108" w:type="dxa"/>
              <w:bottom w:w="0" w:type="dxa"/>
              <w:right w:w="118" w:type="dxa"/>
            </w:tcMar>
            <w:vAlign w:val="bottom"/>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小企业会计制度准则共享信息明细查询</w:t>
            </w:r>
          </w:p>
        </w:tc>
      </w:tr>
      <w:tr>
        <w:tblPrEx>
          <w:tblCellMar>
            <w:top w:w="15" w:type="dxa"/>
            <w:left w:w="15" w:type="dxa"/>
            <w:bottom w:w="15" w:type="dxa"/>
            <w:right w:w="15" w:type="dxa"/>
          </w:tblCellMar>
        </w:tblPrEx>
        <w:trPr>
          <w:trHeight w:val="288" w:hRule="atLeast"/>
          <w:tblCellSpacing w:w="0" w:type="dxa"/>
        </w:trPr>
        <w:tc>
          <w:tcPr>
            <w:tcW w:w="1224" w:type="dxa"/>
            <w:tcBorders>
              <w:left w:val="single" w:color="000000" w:sz="8" w:space="0"/>
              <w:bottom w:val="single" w:color="000000" w:sz="8" w:space="0"/>
              <w:right w:val="single" w:color="000000" w:sz="8" w:space="0"/>
            </w:tcBorders>
            <w:noWrap w:val="0"/>
            <w:tcMar>
              <w:top w:w="0" w:type="dxa"/>
              <w:left w:w="118" w:type="dxa"/>
              <w:bottom w:w="0" w:type="dxa"/>
              <w:right w:w="118" w:type="dxa"/>
            </w:tcMar>
            <w:vAlign w:val="top"/>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5</w:t>
            </w:r>
          </w:p>
        </w:tc>
        <w:tc>
          <w:tcPr>
            <w:tcW w:w="8185" w:type="dxa"/>
            <w:tcBorders>
              <w:bottom w:val="single" w:color="000000" w:sz="8" w:space="0"/>
              <w:right w:val="single" w:color="000000" w:sz="8" w:space="0"/>
            </w:tcBorders>
            <w:noWrap w:val="0"/>
            <w:tcMar>
              <w:top w:w="0" w:type="dxa"/>
              <w:left w:w="108" w:type="dxa"/>
              <w:bottom w:w="0" w:type="dxa"/>
              <w:right w:w="118" w:type="dxa"/>
            </w:tcMar>
            <w:vAlign w:val="bottom"/>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民航会计制度准则信息查询统计</w:t>
            </w:r>
          </w:p>
        </w:tc>
      </w:tr>
      <w:tr>
        <w:tblPrEx>
          <w:tblCellMar>
            <w:top w:w="15" w:type="dxa"/>
            <w:left w:w="15" w:type="dxa"/>
            <w:bottom w:w="15" w:type="dxa"/>
            <w:right w:w="15" w:type="dxa"/>
          </w:tblCellMar>
        </w:tblPrEx>
        <w:trPr>
          <w:trHeight w:val="288" w:hRule="atLeast"/>
          <w:tblCellSpacing w:w="0" w:type="dxa"/>
        </w:trPr>
        <w:tc>
          <w:tcPr>
            <w:tcW w:w="1224" w:type="dxa"/>
            <w:tcBorders>
              <w:left w:val="single" w:color="000000" w:sz="8" w:space="0"/>
              <w:bottom w:val="single" w:color="000000" w:sz="8" w:space="0"/>
              <w:right w:val="single" w:color="000000" w:sz="8" w:space="0"/>
            </w:tcBorders>
            <w:noWrap w:val="0"/>
            <w:tcMar>
              <w:top w:w="0" w:type="dxa"/>
              <w:left w:w="118" w:type="dxa"/>
              <w:bottom w:w="0" w:type="dxa"/>
              <w:right w:w="118" w:type="dxa"/>
            </w:tcMar>
            <w:vAlign w:val="top"/>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6</w:t>
            </w:r>
          </w:p>
        </w:tc>
        <w:tc>
          <w:tcPr>
            <w:tcW w:w="8185" w:type="dxa"/>
            <w:tcBorders>
              <w:bottom w:val="single" w:color="000000" w:sz="8" w:space="0"/>
              <w:right w:val="single" w:color="000000" w:sz="8" w:space="0"/>
            </w:tcBorders>
            <w:noWrap w:val="0"/>
            <w:tcMar>
              <w:top w:w="0" w:type="dxa"/>
              <w:left w:w="108" w:type="dxa"/>
              <w:bottom w:w="0" w:type="dxa"/>
              <w:right w:w="118" w:type="dxa"/>
            </w:tcMar>
            <w:vAlign w:val="bottom"/>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民航会计制度准则共享信息明细查询</w:t>
            </w:r>
          </w:p>
        </w:tc>
      </w:tr>
      <w:tr>
        <w:tblPrEx>
          <w:tblCellMar>
            <w:top w:w="15" w:type="dxa"/>
            <w:left w:w="15" w:type="dxa"/>
            <w:bottom w:w="15" w:type="dxa"/>
            <w:right w:w="15" w:type="dxa"/>
          </w:tblCellMar>
        </w:tblPrEx>
        <w:trPr>
          <w:trHeight w:val="288" w:hRule="atLeast"/>
          <w:tblCellSpacing w:w="0" w:type="dxa"/>
        </w:trPr>
        <w:tc>
          <w:tcPr>
            <w:tcW w:w="1224" w:type="dxa"/>
            <w:tcBorders>
              <w:left w:val="single" w:color="000000" w:sz="8" w:space="0"/>
              <w:bottom w:val="single" w:color="000000" w:sz="8" w:space="0"/>
              <w:right w:val="single" w:color="000000" w:sz="8" w:space="0"/>
            </w:tcBorders>
            <w:noWrap w:val="0"/>
            <w:tcMar>
              <w:top w:w="0" w:type="dxa"/>
              <w:left w:w="118" w:type="dxa"/>
              <w:bottom w:w="0" w:type="dxa"/>
              <w:right w:w="118" w:type="dxa"/>
            </w:tcMar>
            <w:vAlign w:val="top"/>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7</w:t>
            </w:r>
          </w:p>
        </w:tc>
        <w:tc>
          <w:tcPr>
            <w:tcW w:w="8185" w:type="dxa"/>
            <w:tcBorders>
              <w:bottom w:val="single" w:color="000000" w:sz="8" w:space="0"/>
              <w:right w:val="single" w:color="000000" w:sz="8" w:space="0"/>
            </w:tcBorders>
            <w:noWrap w:val="0"/>
            <w:tcMar>
              <w:top w:w="0" w:type="dxa"/>
              <w:left w:w="108" w:type="dxa"/>
              <w:bottom w:w="0" w:type="dxa"/>
              <w:right w:w="118" w:type="dxa"/>
            </w:tcMar>
            <w:vAlign w:val="bottom"/>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企业会计制度准则信息查询统计</w:t>
            </w:r>
          </w:p>
        </w:tc>
      </w:tr>
      <w:tr>
        <w:tblPrEx>
          <w:tblCellMar>
            <w:top w:w="15" w:type="dxa"/>
            <w:left w:w="15" w:type="dxa"/>
            <w:bottom w:w="15" w:type="dxa"/>
            <w:right w:w="15" w:type="dxa"/>
          </w:tblCellMar>
        </w:tblPrEx>
        <w:trPr>
          <w:trHeight w:val="288" w:hRule="atLeast"/>
          <w:tblCellSpacing w:w="0" w:type="dxa"/>
        </w:trPr>
        <w:tc>
          <w:tcPr>
            <w:tcW w:w="1224" w:type="dxa"/>
            <w:tcBorders>
              <w:left w:val="single" w:color="000000" w:sz="8" w:space="0"/>
              <w:bottom w:val="single" w:color="000000" w:sz="8" w:space="0"/>
              <w:right w:val="single" w:color="000000" w:sz="8" w:space="0"/>
            </w:tcBorders>
            <w:noWrap w:val="0"/>
            <w:tcMar>
              <w:top w:w="0" w:type="dxa"/>
              <w:left w:w="118" w:type="dxa"/>
              <w:bottom w:w="0" w:type="dxa"/>
              <w:right w:w="118" w:type="dxa"/>
            </w:tcMar>
            <w:vAlign w:val="top"/>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8</w:t>
            </w:r>
          </w:p>
        </w:tc>
        <w:tc>
          <w:tcPr>
            <w:tcW w:w="8185" w:type="dxa"/>
            <w:tcBorders>
              <w:bottom w:val="single" w:color="000000" w:sz="8" w:space="0"/>
              <w:right w:val="single" w:color="000000" w:sz="8" w:space="0"/>
            </w:tcBorders>
            <w:noWrap w:val="0"/>
            <w:tcMar>
              <w:top w:w="0" w:type="dxa"/>
              <w:left w:w="108" w:type="dxa"/>
              <w:bottom w:w="0" w:type="dxa"/>
              <w:right w:w="118" w:type="dxa"/>
            </w:tcMar>
            <w:vAlign w:val="bottom"/>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企业会计制度准则共享信息明细查询</w:t>
            </w:r>
          </w:p>
        </w:tc>
      </w:tr>
      <w:tr>
        <w:tblPrEx>
          <w:tblCellMar>
            <w:top w:w="15" w:type="dxa"/>
            <w:left w:w="15" w:type="dxa"/>
            <w:bottom w:w="15" w:type="dxa"/>
            <w:right w:w="15" w:type="dxa"/>
          </w:tblCellMar>
        </w:tblPrEx>
        <w:trPr>
          <w:trHeight w:val="288" w:hRule="atLeast"/>
          <w:tblCellSpacing w:w="0" w:type="dxa"/>
        </w:trPr>
        <w:tc>
          <w:tcPr>
            <w:tcW w:w="1224" w:type="dxa"/>
            <w:tcBorders>
              <w:left w:val="single" w:color="000000" w:sz="8" w:space="0"/>
              <w:bottom w:val="single" w:color="000000" w:sz="8" w:space="0"/>
              <w:right w:val="single" w:color="000000" w:sz="8" w:space="0"/>
            </w:tcBorders>
            <w:noWrap w:val="0"/>
            <w:tcMar>
              <w:top w:w="0" w:type="dxa"/>
              <w:left w:w="118" w:type="dxa"/>
              <w:bottom w:w="0" w:type="dxa"/>
              <w:right w:w="118" w:type="dxa"/>
            </w:tcMar>
            <w:vAlign w:val="top"/>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9</w:t>
            </w:r>
          </w:p>
        </w:tc>
        <w:tc>
          <w:tcPr>
            <w:tcW w:w="8185" w:type="dxa"/>
            <w:tcBorders>
              <w:bottom w:val="single" w:color="000000" w:sz="8" w:space="0"/>
              <w:right w:val="single" w:color="000000" w:sz="8" w:space="0"/>
            </w:tcBorders>
            <w:noWrap w:val="0"/>
            <w:tcMar>
              <w:top w:w="0" w:type="dxa"/>
              <w:left w:w="108" w:type="dxa"/>
              <w:bottom w:w="0" w:type="dxa"/>
              <w:right w:w="118" w:type="dxa"/>
            </w:tcMar>
            <w:vAlign w:val="bottom"/>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企业会计制度准则信息查询统计</w:t>
            </w:r>
          </w:p>
        </w:tc>
      </w:tr>
      <w:tr>
        <w:tblPrEx>
          <w:tblCellMar>
            <w:top w:w="15" w:type="dxa"/>
            <w:left w:w="15" w:type="dxa"/>
            <w:bottom w:w="15" w:type="dxa"/>
            <w:right w:w="15" w:type="dxa"/>
          </w:tblCellMar>
        </w:tblPrEx>
        <w:trPr>
          <w:trHeight w:val="288" w:hRule="atLeast"/>
          <w:tblCellSpacing w:w="0" w:type="dxa"/>
        </w:trPr>
        <w:tc>
          <w:tcPr>
            <w:tcW w:w="1224" w:type="dxa"/>
            <w:tcBorders>
              <w:left w:val="single" w:color="000000" w:sz="8" w:space="0"/>
              <w:bottom w:val="single" w:color="000000" w:sz="8" w:space="0"/>
              <w:right w:val="single" w:color="000000" w:sz="8" w:space="0"/>
            </w:tcBorders>
            <w:noWrap w:val="0"/>
            <w:tcMar>
              <w:top w:w="0" w:type="dxa"/>
              <w:left w:w="118" w:type="dxa"/>
              <w:bottom w:w="0" w:type="dxa"/>
              <w:right w:w="118" w:type="dxa"/>
            </w:tcMar>
            <w:vAlign w:val="top"/>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10</w:t>
            </w:r>
          </w:p>
        </w:tc>
        <w:tc>
          <w:tcPr>
            <w:tcW w:w="8185" w:type="dxa"/>
            <w:tcBorders>
              <w:bottom w:val="single" w:color="000000" w:sz="8" w:space="0"/>
              <w:right w:val="single" w:color="000000" w:sz="8" w:space="0"/>
            </w:tcBorders>
            <w:noWrap w:val="0"/>
            <w:tcMar>
              <w:top w:w="0" w:type="dxa"/>
              <w:left w:w="108" w:type="dxa"/>
              <w:bottom w:w="0" w:type="dxa"/>
              <w:right w:w="118" w:type="dxa"/>
            </w:tcMar>
            <w:vAlign w:val="bottom"/>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企业会计制度准则共享信息明细查询</w:t>
            </w:r>
          </w:p>
        </w:tc>
      </w:tr>
      <w:tr>
        <w:tblPrEx>
          <w:tblCellMar>
            <w:top w:w="15" w:type="dxa"/>
            <w:left w:w="15" w:type="dxa"/>
            <w:bottom w:w="15" w:type="dxa"/>
            <w:right w:w="15" w:type="dxa"/>
          </w:tblCellMar>
        </w:tblPrEx>
        <w:trPr>
          <w:trHeight w:val="288" w:hRule="atLeast"/>
          <w:tblCellSpacing w:w="0" w:type="dxa"/>
        </w:trPr>
        <w:tc>
          <w:tcPr>
            <w:tcW w:w="1224" w:type="dxa"/>
            <w:tcBorders>
              <w:left w:val="single" w:color="000000" w:sz="8" w:space="0"/>
              <w:bottom w:val="single" w:color="000000" w:sz="8" w:space="0"/>
              <w:right w:val="single" w:color="000000" w:sz="8" w:space="0"/>
            </w:tcBorders>
            <w:noWrap w:val="0"/>
            <w:tcMar>
              <w:top w:w="0" w:type="dxa"/>
              <w:left w:w="118" w:type="dxa"/>
              <w:bottom w:w="0" w:type="dxa"/>
              <w:right w:w="118" w:type="dxa"/>
            </w:tcMar>
            <w:vAlign w:val="top"/>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11</w:t>
            </w:r>
          </w:p>
        </w:tc>
        <w:tc>
          <w:tcPr>
            <w:tcW w:w="8185" w:type="dxa"/>
            <w:tcBorders>
              <w:bottom w:val="single" w:color="000000" w:sz="8" w:space="0"/>
              <w:right w:val="single" w:color="000000" w:sz="8" w:space="0"/>
            </w:tcBorders>
            <w:noWrap w:val="0"/>
            <w:tcMar>
              <w:top w:w="0" w:type="dxa"/>
              <w:left w:w="108" w:type="dxa"/>
              <w:bottom w:w="0" w:type="dxa"/>
              <w:right w:w="118" w:type="dxa"/>
            </w:tcMar>
            <w:vAlign w:val="bottom"/>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企业会计制度准则信息查询统计</w:t>
            </w:r>
          </w:p>
        </w:tc>
      </w:tr>
      <w:tr>
        <w:tblPrEx>
          <w:tblCellMar>
            <w:top w:w="15" w:type="dxa"/>
            <w:left w:w="15" w:type="dxa"/>
            <w:bottom w:w="15" w:type="dxa"/>
            <w:right w:w="15" w:type="dxa"/>
          </w:tblCellMar>
        </w:tblPrEx>
        <w:trPr>
          <w:trHeight w:val="288" w:hRule="atLeast"/>
          <w:tblCellSpacing w:w="0" w:type="dxa"/>
        </w:trPr>
        <w:tc>
          <w:tcPr>
            <w:tcW w:w="1224" w:type="dxa"/>
            <w:tcBorders>
              <w:left w:val="single" w:color="000000" w:sz="8" w:space="0"/>
              <w:bottom w:val="single" w:color="000000" w:sz="8" w:space="0"/>
              <w:right w:val="single" w:color="000000" w:sz="8" w:space="0"/>
            </w:tcBorders>
            <w:noWrap w:val="0"/>
            <w:tcMar>
              <w:top w:w="0" w:type="dxa"/>
              <w:left w:w="118" w:type="dxa"/>
              <w:bottom w:w="0" w:type="dxa"/>
              <w:right w:w="118" w:type="dxa"/>
            </w:tcMar>
            <w:vAlign w:val="top"/>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12</w:t>
            </w:r>
          </w:p>
        </w:tc>
        <w:tc>
          <w:tcPr>
            <w:tcW w:w="8185" w:type="dxa"/>
            <w:tcBorders>
              <w:bottom w:val="single" w:color="000000" w:sz="8" w:space="0"/>
              <w:right w:val="single" w:color="000000" w:sz="8" w:space="0"/>
            </w:tcBorders>
            <w:noWrap w:val="0"/>
            <w:tcMar>
              <w:top w:w="0" w:type="dxa"/>
              <w:left w:w="108" w:type="dxa"/>
              <w:bottom w:w="0" w:type="dxa"/>
              <w:right w:w="118" w:type="dxa"/>
            </w:tcMar>
            <w:vAlign w:val="bottom"/>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企业会计制度准则共享信息明细查询</w:t>
            </w:r>
          </w:p>
        </w:tc>
      </w:tr>
      <w:tr>
        <w:tblPrEx>
          <w:tblCellMar>
            <w:top w:w="15" w:type="dxa"/>
            <w:left w:w="15" w:type="dxa"/>
            <w:bottom w:w="15" w:type="dxa"/>
            <w:right w:w="15" w:type="dxa"/>
          </w:tblCellMar>
        </w:tblPrEx>
        <w:trPr>
          <w:trHeight w:val="288" w:hRule="atLeast"/>
          <w:tblCellSpacing w:w="0" w:type="dxa"/>
        </w:trPr>
        <w:tc>
          <w:tcPr>
            <w:tcW w:w="1224" w:type="dxa"/>
            <w:tcBorders>
              <w:left w:val="single" w:color="000000" w:sz="8" w:space="0"/>
              <w:bottom w:val="single" w:color="000000" w:sz="8" w:space="0"/>
              <w:right w:val="single" w:color="000000" w:sz="8" w:space="0"/>
            </w:tcBorders>
            <w:noWrap w:val="0"/>
            <w:tcMar>
              <w:top w:w="0" w:type="dxa"/>
              <w:left w:w="118" w:type="dxa"/>
              <w:bottom w:w="0" w:type="dxa"/>
              <w:right w:w="118" w:type="dxa"/>
            </w:tcMar>
            <w:vAlign w:val="top"/>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13</w:t>
            </w:r>
          </w:p>
        </w:tc>
        <w:tc>
          <w:tcPr>
            <w:tcW w:w="8185" w:type="dxa"/>
            <w:tcBorders>
              <w:bottom w:val="single" w:color="000000" w:sz="8" w:space="0"/>
              <w:right w:val="single" w:color="000000" w:sz="8" w:space="0"/>
            </w:tcBorders>
            <w:noWrap w:val="0"/>
            <w:tcMar>
              <w:top w:w="0" w:type="dxa"/>
              <w:left w:w="108" w:type="dxa"/>
              <w:bottom w:w="0" w:type="dxa"/>
              <w:right w:w="118" w:type="dxa"/>
            </w:tcMar>
            <w:vAlign w:val="bottom"/>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企业会计制度准则信息查询统计</w:t>
            </w:r>
          </w:p>
        </w:tc>
      </w:tr>
      <w:tr>
        <w:tblPrEx>
          <w:tblCellMar>
            <w:top w:w="15" w:type="dxa"/>
            <w:left w:w="15" w:type="dxa"/>
            <w:bottom w:w="15" w:type="dxa"/>
            <w:right w:w="15" w:type="dxa"/>
          </w:tblCellMar>
        </w:tblPrEx>
        <w:trPr>
          <w:trHeight w:val="288" w:hRule="atLeast"/>
          <w:tblCellSpacing w:w="0" w:type="dxa"/>
        </w:trPr>
        <w:tc>
          <w:tcPr>
            <w:tcW w:w="1224" w:type="dxa"/>
            <w:tcBorders>
              <w:left w:val="single" w:color="000000" w:sz="8" w:space="0"/>
              <w:bottom w:val="single" w:color="000000" w:sz="8" w:space="0"/>
              <w:right w:val="single" w:color="000000" w:sz="8" w:space="0"/>
            </w:tcBorders>
            <w:noWrap w:val="0"/>
            <w:tcMar>
              <w:top w:w="0" w:type="dxa"/>
              <w:left w:w="118" w:type="dxa"/>
              <w:bottom w:w="0" w:type="dxa"/>
              <w:right w:w="118" w:type="dxa"/>
            </w:tcMar>
            <w:vAlign w:val="top"/>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14</w:t>
            </w:r>
          </w:p>
        </w:tc>
        <w:tc>
          <w:tcPr>
            <w:tcW w:w="8185" w:type="dxa"/>
            <w:tcBorders>
              <w:bottom w:val="single" w:color="000000" w:sz="8" w:space="0"/>
              <w:right w:val="single" w:color="000000" w:sz="8" w:space="0"/>
            </w:tcBorders>
            <w:noWrap w:val="0"/>
            <w:tcMar>
              <w:top w:w="0" w:type="dxa"/>
              <w:left w:w="108" w:type="dxa"/>
              <w:bottom w:w="0" w:type="dxa"/>
              <w:right w:w="118" w:type="dxa"/>
            </w:tcMar>
            <w:vAlign w:val="bottom"/>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企业会计制度准则共享信息明细查询</w:t>
            </w:r>
          </w:p>
        </w:tc>
      </w:tr>
      <w:tr>
        <w:tblPrEx>
          <w:tblCellMar>
            <w:top w:w="15" w:type="dxa"/>
            <w:left w:w="15" w:type="dxa"/>
            <w:bottom w:w="15" w:type="dxa"/>
            <w:right w:w="15" w:type="dxa"/>
          </w:tblCellMar>
        </w:tblPrEx>
        <w:trPr>
          <w:trHeight w:val="288" w:hRule="atLeast"/>
          <w:tblCellSpacing w:w="0" w:type="dxa"/>
        </w:trPr>
        <w:tc>
          <w:tcPr>
            <w:tcW w:w="1224" w:type="dxa"/>
            <w:tcBorders>
              <w:left w:val="single" w:color="000000" w:sz="8" w:space="0"/>
              <w:bottom w:val="single" w:color="000000" w:sz="8" w:space="0"/>
              <w:right w:val="single" w:color="000000" w:sz="8" w:space="0"/>
            </w:tcBorders>
            <w:noWrap w:val="0"/>
            <w:tcMar>
              <w:top w:w="0" w:type="dxa"/>
              <w:left w:w="118" w:type="dxa"/>
              <w:bottom w:w="0" w:type="dxa"/>
              <w:right w:w="118" w:type="dxa"/>
            </w:tcMar>
            <w:vAlign w:val="top"/>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15</w:t>
            </w:r>
          </w:p>
        </w:tc>
        <w:tc>
          <w:tcPr>
            <w:tcW w:w="8185" w:type="dxa"/>
            <w:tcBorders>
              <w:bottom w:val="single" w:color="000000" w:sz="8" w:space="0"/>
              <w:right w:val="single" w:color="000000" w:sz="8" w:space="0"/>
            </w:tcBorders>
            <w:noWrap w:val="0"/>
            <w:tcMar>
              <w:top w:w="0" w:type="dxa"/>
              <w:left w:w="108" w:type="dxa"/>
              <w:bottom w:w="0" w:type="dxa"/>
              <w:right w:w="118" w:type="dxa"/>
            </w:tcMar>
            <w:vAlign w:val="bottom"/>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企业会计制度准则信息查询统计</w:t>
            </w:r>
          </w:p>
        </w:tc>
      </w:tr>
      <w:tr>
        <w:tblPrEx>
          <w:tblCellMar>
            <w:top w:w="15" w:type="dxa"/>
            <w:left w:w="15" w:type="dxa"/>
            <w:bottom w:w="15" w:type="dxa"/>
            <w:right w:w="15" w:type="dxa"/>
          </w:tblCellMar>
        </w:tblPrEx>
        <w:trPr>
          <w:trHeight w:val="288" w:hRule="atLeast"/>
          <w:tblCellSpacing w:w="0" w:type="dxa"/>
        </w:trPr>
        <w:tc>
          <w:tcPr>
            <w:tcW w:w="1224" w:type="dxa"/>
            <w:tcBorders>
              <w:left w:val="single" w:color="000000" w:sz="8" w:space="0"/>
              <w:bottom w:val="single" w:color="000000" w:sz="8" w:space="0"/>
              <w:right w:val="single" w:color="000000" w:sz="8" w:space="0"/>
            </w:tcBorders>
            <w:noWrap w:val="0"/>
            <w:tcMar>
              <w:top w:w="0" w:type="dxa"/>
              <w:left w:w="118" w:type="dxa"/>
              <w:bottom w:w="0" w:type="dxa"/>
              <w:right w:w="118" w:type="dxa"/>
            </w:tcMar>
            <w:vAlign w:val="top"/>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16</w:t>
            </w:r>
          </w:p>
        </w:tc>
        <w:tc>
          <w:tcPr>
            <w:tcW w:w="8185" w:type="dxa"/>
            <w:tcBorders>
              <w:bottom w:val="single" w:color="000000" w:sz="8" w:space="0"/>
              <w:right w:val="single" w:color="000000" w:sz="8" w:space="0"/>
            </w:tcBorders>
            <w:noWrap w:val="0"/>
            <w:tcMar>
              <w:top w:w="0" w:type="dxa"/>
              <w:left w:w="108" w:type="dxa"/>
              <w:bottom w:w="0" w:type="dxa"/>
              <w:right w:w="118" w:type="dxa"/>
            </w:tcMar>
            <w:vAlign w:val="bottom"/>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企业会计制度准则共享信息明细查询</w:t>
            </w:r>
          </w:p>
        </w:tc>
      </w:tr>
      <w:tr>
        <w:tblPrEx>
          <w:tblCellMar>
            <w:top w:w="15" w:type="dxa"/>
            <w:left w:w="15" w:type="dxa"/>
            <w:bottom w:w="15" w:type="dxa"/>
            <w:right w:w="15" w:type="dxa"/>
          </w:tblCellMar>
        </w:tblPrEx>
        <w:trPr>
          <w:trHeight w:val="288" w:hRule="atLeast"/>
          <w:tblCellSpacing w:w="0" w:type="dxa"/>
        </w:trPr>
        <w:tc>
          <w:tcPr>
            <w:tcW w:w="1224" w:type="dxa"/>
            <w:tcBorders>
              <w:left w:val="single" w:color="000000" w:sz="8" w:space="0"/>
              <w:bottom w:val="single" w:color="000000" w:sz="8" w:space="0"/>
              <w:right w:val="single" w:color="000000" w:sz="8" w:space="0"/>
            </w:tcBorders>
            <w:noWrap w:val="0"/>
            <w:tcMar>
              <w:top w:w="0" w:type="dxa"/>
              <w:left w:w="118" w:type="dxa"/>
              <w:bottom w:w="0" w:type="dxa"/>
              <w:right w:w="118" w:type="dxa"/>
            </w:tcMar>
            <w:vAlign w:val="top"/>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17</w:t>
            </w:r>
          </w:p>
        </w:tc>
        <w:tc>
          <w:tcPr>
            <w:tcW w:w="8185" w:type="dxa"/>
            <w:tcBorders>
              <w:bottom w:val="single" w:color="000000" w:sz="8" w:space="0"/>
              <w:right w:val="single" w:color="000000" w:sz="8" w:space="0"/>
            </w:tcBorders>
            <w:noWrap w:val="0"/>
            <w:tcMar>
              <w:top w:w="0" w:type="dxa"/>
              <w:left w:w="108" w:type="dxa"/>
              <w:bottom w:w="0" w:type="dxa"/>
              <w:right w:w="118" w:type="dxa"/>
            </w:tcMar>
            <w:vAlign w:val="bottom"/>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企业会计制度准则信息共享_担保企业会计核算办法查询统计</w:t>
            </w:r>
          </w:p>
        </w:tc>
      </w:tr>
      <w:tr>
        <w:tblPrEx>
          <w:tblCellMar>
            <w:top w:w="15" w:type="dxa"/>
            <w:left w:w="15" w:type="dxa"/>
            <w:bottom w:w="15" w:type="dxa"/>
            <w:right w:w="15" w:type="dxa"/>
          </w:tblCellMar>
        </w:tblPrEx>
        <w:trPr>
          <w:trHeight w:val="288" w:hRule="atLeast"/>
          <w:tblCellSpacing w:w="0" w:type="dxa"/>
        </w:trPr>
        <w:tc>
          <w:tcPr>
            <w:tcW w:w="1224" w:type="dxa"/>
            <w:tcBorders>
              <w:left w:val="single" w:color="000000" w:sz="8" w:space="0"/>
              <w:bottom w:val="single" w:color="000000" w:sz="8" w:space="0"/>
              <w:right w:val="single" w:color="000000" w:sz="8" w:space="0"/>
            </w:tcBorders>
            <w:noWrap w:val="0"/>
            <w:tcMar>
              <w:top w:w="0" w:type="dxa"/>
              <w:left w:w="118" w:type="dxa"/>
              <w:bottom w:w="0" w:type="dxa"/>
              <w:right w:w="118" w:type="dxa"/>
            </w:tcMar>
            <w:vAlign w:val="top"/>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18</w:t>
            </w:r>
          </w:p>
        </w:tc>
        <w:tc>
          <w:tcPr>
            <w:tcW w:w="8185" w:type="dxa"/>
            <w:tcBorders>
              <w:bottom w:val="single" w:color="000000" w:sz="8" w:space="0"/>
              <w:right w:val="single" w:color="000000" w:sz="8" w:space="0"/>
            </w:tcBorders>
            <w:noWrap w:val="0"/>
            <w:tcMar>
              <w:top w:w="0" w:type="dxa"/>
              <w:left w:w="108" w:type="dxa"/>
              <w:bottom w:w="0" w:type="dxa"/>
              <w:right w:w="118" w:type="dxa"/>
            </w:tcMar>
            <w:vAlign w:val="bottom"/>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企业会计制度准则_担保企业会计核算办法共享信息明细查询</w:t>
            </w:r>
          </w:p>
        </w:tc>
      </w:tr>
      <w:tr>
        <w:tblPrEx>
          <w:tblCellMar>
            <w:top w:w="15" w:type="dxa"/>
            <w:left w:w="15" w:type="dxa"/>
            <w:bottom w:w="15" w:type="dxa"/>
            <w:right w:w="15" w:type="dxa"/>
          </w:tblCellMar>
        </w:tblPrEx>
        <w:trPr>
          <w:trHeight w:val="288" w:hRule="atLeast"/>
          <w:tblCellSpacing w:w="0" w:type="dxa"/>
        </w:trPr>
        <w:tc>
          <w:tcPr>
            <w:tcW w:w="1224" w:type="dxa"/>
            <w:tcBorders>
              <w:left w:val="single" w:color="000000" w:sz="8" w:space="0"/>
              <w:bottom w:val="single" w:color="000000" w:sz="8" w:space="0"/>
              <w:right w:val="single" w:color="000000" w:sz="8" w:space="0"/>
            </w:tcBorders>
            <w:noWrap w:val="0"/>
            <w:tcMar>
              <w:top w:w="0" w:type="dxa"/>
              <w:left w:w="118" w:type="dxa"/>
              <w:bottom w:w="0" w:type="dxa"/>
              <w:right w:w="118" w:type="dxa"/>
            </w:tcMar>
            <w:vAlign w:val="top"/>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19</w:t>
            </w:r>
          </w:p>
        </w:tc>
        <w:tc>
          <w:tcPr>
            <w:tcW w:w="8185" w:type="dxa"/>
            <w:tcBorders>
              <w:bottom w:val="single" w:color="000000" w:sz="8" w:space="0"/>
              <w:right w:val="single" w:color="000000" w:sz="8" w:space="0"/>
            </w:tcBorders>
            <w:noWrap w:val="0"/>
            <w:tcMar>
              <w:top w:w="0" w:type="dxa"/>
              <w:left w:w="108" w:type="dxa"/>
              <w:bottom w:w="0" w:type="dxa"/>
              <w:right w:w="118" w:type="dxa"/>
            </w:tcMar>
            <w:vAlign w:val="bottom"/>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企业会计制度准则信息共享_金融企业查询统计</w:t>
            </w:r>
          </w:p>
        </w:tc>
      </w:tr>
      <w:tr>
        <w:tblPrEx>
          <w:tblCellMar>
            <w:top w:w="15" w:type="dxa"/>
            <w:left w:w="15" w:type="dxa"/>
            <w:bottom w:w="15" w:type="dxa"/>
            <w:right w:w="15" w:type="dxa"/>
          </w:tblCellMar>
        </w:tblPrEx>
        <w:trPr>
          <w:trHeight w:val="288" w:hRule="atLeast"/>
          <w:tblCellSpacing w:w="0" w:type="dxa"/>
        </w:trPr>
        <w:tc>
          <w:tcPr>
            <w:tcW w:w="1224" w:type="dxa"/>
            <w:tcBorders>
              <w:left w:val="single" w:color="000000" w:sz="8" w:space="0"/>
              <w:bottom w:val="single" w:color="000000" w:sz="8" w:space="0"/>
              <w:right w:val="single" w:color="000000" w:sz="8" w:space="0"/>
            </w:tcBorders>
            <w:noWrap w:val="0"/>
            <w:tcMar>
              <w:top w:w="0" w:type="dxa"/>
              <w:left w:w="118" w:type="dxa"/>
              <w:bottom w:w="0" w:type="dxa"/>
              <w:right w:w="118" w:type="dxa"/>
            </w:tcMar>
            <w:vAlign w:val="top"/>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20</w:t>
            </w:r>
          </w:p>
        </w:tc>
        <w:tc>
          <w:tcPr>
            <w:tcW w:w="8185" w:type="dxa"/>
            <w:tcBorders>
              <w:bottom w:val="single" w:color="000000" w:sz="8" w:space="0"/>
              <w:right w:val="single" w:color="000000" w:sz="8" w:space="0"/>
            </w:tcBorders>
            <w:noWrap w:val="0"/>
            <w:tcMar>
              <w:top w:w="0" w:type="dxa"/>
              <w:left w:w="108" w:type="dxa"/>
              <w:bottom w:w="0" w:type="dxa"/>
              <w:right w:w="118" w:type="dxa"/>
            </w:tcMar>
            <w:vAlign w:val="bottom"/>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企业会计制度准则_金融企业共享信息明细查询</w:t>
            </w:r>
          </w:p>
        </w:tc>
      </w:tr>
    </w:tbl>
    <w:p>
      <w:pPr>
        <w:pStyle w:val="93"/>
        <w:spacing w:before="0" w:after="0" w:line="360" w:lineRule="auto"/>
        <w:ind w:left="640" w:right="0"/>
        <w:jc w:val="both"/>
        <w:rPr>
          <w:rFonts w:ascii="Calibri" w:hAnsi="Calibri" w:eastAsia="Calibri" w:cs="Calibri"/>
          <w:sz w:val="21"/>
          <w:szCs w:val="21"/>
        </w:rPr>
      </w:pPr>
      <w:r>
        <w:rPr>
          <w:rFonts w:ascii="仿宋_GB2312" w:hAnsi="仿宋_GB2312" w:eastAsia="仿宋_GB2312" w:cs="仿宋_GB2312"/>
          <w:sz w:val="28"/>
          <w:szCs w:val="28"/>
        </w:rPr>
        <w:t>1.5服务接口子系统</w:t>
      </w:r>
    </w:p>
    <w:p>
      <w:pPr>
        <w:pStyle w:val="93"/>
        <w:spacing w:before="0" w:after="0" w:line="360" w:lineRule="auto"/>
        <w:ind w:left="0" w:right="0" w:firstLine="640"/>
        <w:jc w:val="both"/>
        <w:rPr>
          <w:rFonts w:ascii="Calibri" w:hAnsi="Calibri" w:eastAsia="Calibri" w:cs="Calibri"/>
          <w:sz w:val="21"/>
          <w:szCs w:val="21"/>
        </w:rPr>
      </w:pPr>
      <w:r>
        <w:rPr>
          <w:rFonts w:ascii="仿宋_GB2312" w:hAnsi="仿宋_GB2312" w:eastAsia="仿宋_GB2312" w:cs="仿宋_GB2312"/>
          <w:sz w:val="28"/>
          <w:szCs w:val="28"/>
        </w:rPr>
        <w:t>为了降低与外部系统的耦合性，进行解耦处理，设置开发本接口。交换中心子系统对市场监管部门查询请求信息业务报文进行校验、分析和处理后，将处理后的报文转交至市场监管部门共享示范区户设立信息外部接口，利用外部接口的跨系统交互功能将报文发送至外部信息交换系统，获取事件处理结果。</w:t>
      </w:r>
    </w:p>
    <w:tbl>
      <w:tblPr>
        <w:tblStyle w:val="95"/>
        <w:tblW w:w="0" w:type="auto"/>
        <w:tblCellSpacing w:w="0" w:type="dxa"/>
        <w:tblInd w:w="241" w:type="dxa"/>
        <w:tblLayout w:type="autofit"/>
        <w:tblCellMar>
          <w:top w:w="15" w:type="dxa"/>
          <w:left w:w="15" w:type="dxa"/>
          <w:bottom w:w="15" w:type="dxa"/>
          <w:right w:w="15" w:type="dxa"/>
        </w:tblCellMar>
      </w:tblPr>
      <w:tblGrid>
        <w:gridCol w:w="2256"/>
        <w:gridCol w:w="6805"/>
      </w:tblGrid>
      <w:tr>
        <w:tblPrEx>
          <w:tblCellMar>
            <w:top w:w="15" w:type="dxa"/>
            <w:left w:w="15" w:type="dxa"/>
            <w:bottom w:w="15" w:type="dxa"/>
            <w:right w:w="15" w:type="dxa"/>
          </w:tblCellMar>
        </w:tblPrEx>
        <w:trPr>
          <w:trHeight w:val="288" w:hRule="atLeast"/>
          <w:tblCellSpacing w:w="0" w:type="dxa"/>
        </w:trPr>
        <w:tc>
          <w:tcPr>
            <w:vMerge w:val="restart"/>
            <w:tcBorders>
              <w:top w:val="single" w:color="000000" w:sz="8" w:space="0"/>
              <w:left w:val="single" w:color="000000" w:sz="8" w:space="0"/>
              <w:bottom w:val="nil"/>
              <w:right w:val="single" w:color="000000" w:sz="8" w:space="0"/>
            </w:tcBorders>
            <w:noWrap/>
            <w:tcMar>
              <w:top w:w="0" w:type="dxa"/>
              <w:left w:w="118" w:type="dxa"/>
              <w:bottom w:w="0" w:type="dxa"/>
              <w:right w:w="118" w:type="dxa"/>
            </w:tcMar>
            <w:vAlign w:val="center"/>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财务报表服务接口</w:t>
            </w:r>
          </w:p>
        </w:tc>
        <w:tc>
          <w:tcPr>
            <w:tcBorders>
              <w:top w:val="single" w:color="000000" w:sz="8" w:space="0"/>
              <w:bottom w:val="single" w:color="000000" w:sz="8" w:space="0"/>
              <w:right w:val="single" w:color="000000" w:sz="8" w:space="0"/>
            </w:tcBorders>
            <w:noWrap/>
            <w:tcMar>
              <w:top w:w="0" w:type="dxa"/>
              <w:left w:w="108" w:type="dxa"/>
              <w:bottom w:w="0" w:type="dxa"/>
              <w:right w:w="118" w:type="dxa"/>
            </w:tcMar>
            <w:vAlign w:val="center"/>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企业会计制度准则信息共享外部接口</w:t>
            </w:r>
          </w:p>
        </w:tc>
      </w:tr>
      <w:tr>
        <w:tblPrEx>
          <w:tblCellMar>
            <w:top w:w="15" w:type="dxa"/>
            <w:left w:w="15" w:type="dxa"/>
            <w:bottom w:w="15" w:type="dxa"/>
            <w:right w:w="15" w:type="dxa"/>
          </w:tblCellMar>
        </w:tblPrEx>
        <w:trPr>
          <w:trHeight w:val="288" w:hRule="atLeast"/>
          <w:tblCellSpacing w:w="0" w:type="dxa"/>
        </w:trPr>
        <w:tc>
          <w:tcPr>
            <w:vMerge w:val="continue"/>
            <w:tcBorders>
              <w:left w:val="single" w:color="000000" w:sz="8" w:space="0"/>
              <w:right w:val="single" w:color="000000" w:sz="8" w:space="0"/>
            </w:tcBorders>
            <w:vAlign w:val="center"/>
          </w:tcPr>
          <w:p>
            <w:pPr>
              <w:pStyle w:val="18"/>
              <w:rPr>
                <w:rFonts w:ascii="宋体" w:hAnsi="宋体" w:eastAsia="宋体" w:cs="宋体"/>
                <w:b w:val="0"/>
                <w:bCs w:val="0"/>
                <w:i w:val="0"/>
                <w:iCs w:val="0"/>
                <w:smallCaps w:val="0"/>
                <w:color w:val="000000"/>
                <w:sz w:val="28"/>
                <w:szCs w:val="28"/>
              </w:rPr>
            </w:pPr>
          </w:p>
        </w:tc>
        <w:tc>
          <w:tcPr>
            <w:tcBorders>
              <w:bottom w:val="single" w:color="000000" w:sz="8" w:space="0"/>
              <w:right w:val="single" w:color="000000" w:sz="8" w:space="0"/>
            </w:tcBorders>
            <w:noWrap/>
            <w:tcMar>
              <w:top w:w="0" w:type="dxa"/>
              <w:left w:w="108" w:type="dxa"/>
              <w:bottom w:w="0" w:type="dxa"/>
              <w:right w:w="118" w:type="dxa"/>
            </w:tcMar>
            <w:vAlign w:val="center"/>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小企业会计制度准则信息共享外部接口</w:t>
            </w:r>
          </w:p>
        </w:tc>
      </w:tr>
      <w:tr>
        <w:tblPrEx>
          <w:tblCellMar>
            <w:top w:w="15" w:type="dxa"/>
            <w:left w:w="15" w:type="dxa"/>
            <w:bottom w:w="15" w:type="dxa"/>
            <w:right w:w="15" w:type="dxa"/>
          </w:tblCellMar>
        </w:tblPrEx>
        <w:trPr>
          <w:trHeight w:val="288" w:hRule="atLeast"/>
          <w:tblCellSpacing w:w="0" w:type="dxa"/>
        </w:trPr>
        <w:tc>
          <w:tcPr>
            <w:vMerge w:val="continue"/>
            <w:tcBorders>
              <w:left w:val="single" w:color="000000" w:sz="8" w:space="0"/>
              <w:right w:val="single" w:color="000000" w:sz="8" w:space="0"/>
            </w:tcBorders>
            <w:vAlign w:val="center"/>
          </w:tcPr>
          <w:p>
            <w:pPr>
              <w:pStyle w:val="18"/>
              <w:rPr>
                <w:rFonts w:ascii="宋体" w:hAnsi="宋体" w:eastAsia="宋体" w:cs="宋体"/>
                <w:b w:val="0"/>
                <w:bCs w:val="0"/>
                <w:i w:val="0"/>
                <w:iCs w:val="0"/>
                <w:smallCaps w:val="0"/>
                <w:color w:val="000000"/>
                <w:sz w:val="28"/>
                <w:szCs w:val="28"/>
              </w:rPr>
            </w:pPr>
          </w:p>
        </w:tc>
        <w:tc>
          <w:tcPr>
            <w:tcBorders>
              <w:bottom w:val="single" w:color="000000" w:sz="8" w:space="0"/>
              <w:right w:val="single" w:color="000000" w:sz="8" w:space="0"/>
            </w:tcBorders>
            <w:noWrap/>
            <w:tcMar>
              <w:top w:w="0" w:type="dxa"/>
              <w:left w:w="108" w:type="dxa"/>
              <w:bottom w:w="0" w:type="dxa"/>
              <w:right w:w="118" w:type="dxa"/>
            </w:tcMar>
            <w:vAlign w:val="center"/>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民航会计制度准则信息共享外部接口</w:t>
            </w:r>
          </w:p>
        </w:tc>
      </w:tr>
      <w:tr>
        <w:tblPrEx>
          <w:tblCellMar>
            <w:top w:w="15" w:type="dxa"/>
            <w:left w:w="15" w:type="dxa"/>
            <w:bottom w:w="15" w:type="dxa"/>
            <w:right w:w="15" w:type="dxa"/>
          </w:tblCellMar>
        </w:tblPrEx>
        <w:trPr>
          <w:trHeight w:val="288" w:hRule="atLeast"/>
          <w:tblCellSpacing w:w="0" w:type="dxa"/>
        </w:trPr>
        <w:tc>
          <w:tcPr>
            <w:vMerge w:val="continue"/>
            <w:tcBorders>
              <w:left w:val="single" w:color="000000" w:sz="8" w:space="0"/>
              <w:right w:val="single" w:color="000000" w:sz="8" w:space="0"/>
            </w:tcBorders>
            <w:vAlign w:val="center"/>
          </w:tcPr>
          <w:p>
            <w:pPr>
              <w:pStyle w:val="18"/>
              <w:rPr>
                <w:rFonts w:ascii="宋体" w:hAnsi="宋体" w:eastAsia="宋体" w:cs="宋体"/>
                <w:b w:val="0"/>
                <w:bCs w:val="0"/>
                <w:i w:val="0"/>
                <w:iCs w:val="0"/>
                <w:smallCaps w:val="0"/>
                <w:color w:val="000000"/>
                <w:sz w:val="28"/>
                <w:szCs w:val="28"/>
              </w:rPr>
            </w:pPr>
          </w:p>
        </w:tc>
        <w:tc>
          <w:tcPr>
            <w:tcBorders>
              <w:bottom w:val="single" w:color="000000" w:sz="8" w:space="0"/>
              <w:right w:val="single" w:color="000000" w:sz="8" w:space="0"/>
            </w:tcBorders>
            <w:noWrap/>
            <w:tcMar>
              <w:top w:w="0" w:type="dxa"/>
              <w:left w:w="108" w:type="dxa"/>
              <w:bottom w:w="0" w:type="dxa"/>
              <w:right w:w="118" w:type="dxa"/>
            </w:tcMar>
            <w:vAlign w:val="center"/>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企业会计制度准则信息共享_保险中介外部接口</w:t>
            </w:r>
          </w:p>
        </w:tc>
      </w:tr>
      <w:tr>
        <w:tblPrEx>
          <w:tblCellMar>
            <w:top w:w="15" w:type="dxa"/>
            <w:left w:w="15" w:type="dxa"/>
            <w:bottom w:w="15" w:type="dxa"/>
            <w:right w:w="15" w:type="dxa"/>
          </w:tblCellMar>
        </w:tblPrEx>
        <w:trPr>
          <w:trHeight w:val="288" w:hRule="atLeast"/>
          <w:tblCellSpacing w:w="0" w:type="dxa"/>
        </w:trPr>
        <w:tc>
          <w:tcPr>
            <w:vMerge w:val="continue"/>
            <w:tcBorders>
              <w:left w:val="single" w:color="000000" w:sz="8" w:space="0"/>
              <w:right w:val="single" w:color="000000" w:sz="8" w:space="0"/>
            </w:tcBorders>
            <w:vAlign w:val="center"/>
          </w:tcPr>
          <w:p>
            <w:pPr>
              <w:pStyle w:val="18"/>
              <w:rPr>
                <w:rFonts w:ascii="宋体" w:hAnsi="宋体" w:eastAsia="宋体" w:cs="宋体"/>
                <w:b w:val="0"/>
                <w:bCs w:val="0"/>
                <w:i w:val="0"/>
                <w:iCs w:val="0"/>
                <w:smallCaps w:val="0"/>
                <w:color w:val="000000"/>
                <w:sz w:val="28"/>
                <w:szCs w:val="28"/>
              </w:rPr>
            </w:pPr>
          </w:p>
        </w:tc>
        <w:tc>
          <w:tcPr>
            <w:tcBorders>
              <w:bottom w:val="single" w:color="000000" w:sz="8" w:space="0"/>
              <w:right w:val="single" w:color="000000" w:sz="8" w:space="0"/>
            </w:tcBorders>
            <w:noWrap/>
            <w:tcMar>
              <w:top w:w="0" w:type="dxa"/>
              <w:left w:w="108" w:type="dxa"/>
              <w:bottom w:w="0" w:type="dxa"/>
              <w:right w:w="118" w:type="dxa"/>
            </w:tcMar>
            <w:vAlign w:val="center"/>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企业会计制度准则信息共享_商业银行外部接口</w:t>
            </w:r>
          </w:p>
        </w:tc>
      </w:tr>
      <w:tr>
        <w:tblPrEx>
          <w:tblCellMar>
            <w:top w:w="15" w:type="dxa"/>
            <w:left w:w="15" w:type="dxa"/>
            <w:bottom w:w="15" w:type="dxa"/>
            <w:right w:w="15" w:type="dxa"/>
          </w:tblCellMar>
        </w:tblPrEx>
        <w:trPr>
          <w:trHeight w:val="288" w:hRule="atLeast"/>
          <w:tblCellSpacing w:w="0" w:type="dxa"/>
        </w:trPr>
        <w:tc>
          <w:tcPr>
            <w:vMerge w:val="continue"/>
            <w:tcBorders>
              <w:left w:val="single" w:color="000000" w:sz="8" w:space="0"/>
              <w:right w:val="single" w:color="000000" w:sz="8" w:space="0"/>
            </w:tcBorders>
            <w:vAlign w:val="center"/>
          </w:tcPr>
          <w:p>
            <w:pPr>
              <w:pStyle w:val="18"/>
              <w:rPr>
                <w:rFonts w:ascii="宋体" w:hAnsi="宋体" w:eastAsia="宋体" w:cs="宋体"/>
                <w:b w:val="0"/>
                <w:bCs w:val="0"/>
                <w:i w:val="0"/>
                <w:iCs w:val="0"/>
                <w:smallCaps w:val="0"/>
                <w:color w:val="000000"/>
                <w:sz w:val="28"/>
                <w:szCs w:val="28"/>
              </w:rPr>
            </w:pPr>
          </w:p>
        </w:tc>
        <w:tc>
          <w:tcPr>
            <w:tcBorders>
              <w:bottom w:val="single" w:color="000000" w:sz="8" w:space="0"/>
              <w:right w:val="single" w:color="000000" w:sz="8" w:space="0"/>
            </w:tcBorders>
            <w:noWrap/>
            <w:tcMar>
              <w:top w:w="0" w:type="dxa"/>
              <w:left w:w="108" w:type="dxa"/>
              <w:bottom w:w="0" w:type="dxa"/>
              <w:right w:w="118" w:type="dxa"/>
            </w:tcMar>
            <w:vAlign w:val="center"/>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企业会计制度准则信息共享_证券公司外部接口</w:t>
            </w:r>
          </w:p>
        </w:tc>
      </w:tr>
      <w:tr>
        <w:tblPrEx>
          <w:tblCellMar>
            <w:top w:w="15" w:type="dxa"/>
            <w:left w:w="15" w:type="dxa"/>
            <w:bottom w:w="15" w:type="dxa"/>
            <w:right w:w="15" w:type="dxa"/>
          </w:tblCellMar>
        </w:tblPrEx>
        <w:trPr>
          <w:trHeight w:val="288" w:hRule="atLeast"/>
          <w:tblCellSpacing w:w="0" w:type="dxa"/>
        </w:trPr>
        <w:tc>
          <w:tcPr>
            <w:vMerge w:val="continue"/>
            <w:tcBorders>
              <w:left w:val="single" w:color="000000" w:sz="8" w:space="0"/>
              <w:right w:val="single" w:color="000000" w:sz="8" w:space="0"/>
            </w:tcBorders>
            <w:vAlign w:val="center"/>
          </w:tcPr>
          <w:p>
            <w:pPr>
              <w:pStyle w:val="18"/>
              <w:rPr>
                <w:rFonts w:ascii="宋体" w:hAnsi="宋体" w:eastAsia="宋体" w:cs="宋体"/>
                <w:b w:val="0"/>
                <w:bCs w:val="0"/>
                <w:i w:val="0"/>
                <w:iCs w:val="0"/>
                <w:smallCaps w:val="0"/>
                <w:color w:val="000000"/>
                <w:sz w:val="28"/>
                <w:szCs w:val="28"/>
              </w:rPr>
            </w:pPr>
          </w:p>
        </w:tc>
        <w:tc>
          <w:tcPr>
            <w:tcBorders>
              <w:bottom w:val="single" w:color="000000" w:sz="8" w:space="0"/>
              <w:right w:val="single" w:color="000000" w:sz="8" w:space="0"/>
            </w:tcBorders>
            <w:noWrap/>
            <w:tcMar>
              <w:top w:w="0" w:type="dxa"/>
              <w:left w:w="108" w:type="dxa"/>
              <w:bottom w:w="0" w:type="dxa"/>
              <w:right w:w="118" w:type="dxa"/>
            </w:tcMar>
            <w:vAlign w:val="center"/>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企业会计制度准则信息共享_保险公司外部接口</w:t>
            </w:r>
          </w:p>
        </w:tc>
      </w:tr>
      <w:tr>
        <w:tblPrEx>
          <w:tblCellMar>
            <w:top w:w="15" w:type="dxa"/>
            <w:left w:w="15" w:type="dxa"/>
            <w:bottom w:w="15" w:type="dxa"/>
            <w:right w:w="15" w:type="dxa"/>
          </w:tblCellMar>
        </w:tblPrEx>
        <w:trPr>
          <w:trHeight w:val="288" w:hRule="atLeast"/>
          <w:tblCellSpacing w:w="0" w:type="dxa"/>
        </w:trPr>
        <w:tc>
          <w:tcPr>
            <w:vMerge w:val="continue"/>
            <w:tcBorders>
              <w:left w:val="single" w:color="000000" w:sz="8" w:space="0"/>
              <w:right w:val="single" w:color="000000" w:sz="8" w:space="0"/>
            </w:tcBorders>
            <w:vAlign w:val="center"/>
          </w:tcPr>
          <w:p>
            <w:pPr>
              <w:pStyle w:val="18"/>
              <w:rPr>
                <w:rFonts w:ascii="宋体" w:hAnsi="宋体" w:eastAsia="宋体" w:cs="宋体"/>
                <w:b w:val="0"/>
                <w:bCs w:val="0"/>
                <w:i w:val="0"/>
                <w:iCs w:val="0"/>
                <w:smallCaps w:val="0"/>
                <w:color w:val="000000"/>
                <w:sz w:val="28"/>
                <w:szCs w:val="28"/>
              </w:rPr>
            </w:pPr>
          </w:p>
        </w:tc>
        <w:tc>
          <w:tcPr>
            <w:tcBorders>
              <w:bottom w:val="single" w:color="000000" w:sz="8" w:space="0"/>
              <w:right w:val="single" w:color="000000" w:sz="8" w:space="0"/>
            </w:tcBorders>
            <w:noWrap/>
            <w:tcMar>
              <w:top w:w="0" w:type="dxa"/>
              <w:left w:w="108" w:type="dxa"/>
              <w:bottom w:w="0" w:type="dxa"/>
              <w:right w:w="118" w:type="dxa"/>
            </w:tcMar>
            <w:vAlign w:val="center"/>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企业会计制度准则信息共享_典当行业外部接口</w:t>
            </w:r>
          </w:p>
        </w:tc>
      </w:tr>
      <w:tr>
        <w:tblPrEx>
          <w:tblCellMar>
            <w:top w:w="15" w:type="dxa"/>
            <w:left w:w="15" w:type="dxa"/>
            <w:bottom w:w="15" w:type="dxa"/>
            <w:right w:w="15" w:type="dxa"/>
          </w:tblCellMar>
        </w:tblPrEx>
        <w:trPr>
          <w:trHeight w:val="288" w:hRule="atLeast"/>
          <w:tblCellSpacing w:w="0" w:type="dxa"/>
        </w:trPr>
        <w:tc>
          <w:tcPr>
            <w:vMerge w:val="continue"/>
            <w:tcBorders>
              <w:left w:val="single" w:color="000000" w:sz="8" w:space="0"/>
              <w:right w:val="single" w:color="000000" w:sz="8" w:space="0"/>
            </w:tcBorders>
            <w:vAlign w:val="center"/>
          </w:tcPr>
          <w:p>
            <w:pPr>
              <w:pStyle w:val="18"/>
              <w:rPr>
                <w:rFonts w:ascii="宋体" w:hAnsi="宋体" w:eastAsia="宋体" w:cs="宋体"/>
                <w:b w:val="0"/>
                <w:bCs w:val="0"/>
                <w:i w:val="0"/>
                <w:iCs w:val="0"/>
                <w:smallCaps w:val="0"/>
                <w:color w:val="000000"/>
                <w:sz w:val="28"/>
                <w:szCs w:val="28"/>
              </w:rPr>
            </w:pPr>
          </w:p>
        </w:tc>
        <w:tc>
          <w:tcPr>
            <w:tcBorders>
              <w:bottom w:val="single" w:color="000000" w:sz="8" w:space="0"/>
              <w:right w:val="single" w:color="000000" w:sz="8" w:space="0"/>
            </w:tcBorders>
            <w:noWrap/>
            <w:tcMar>
              <w:top w:w="0" w:type="dxa"/>
              <w:left w:w="108" w:type="dxa"/>
              <w:bottom w:w="0" w:type="dxa"/>
              <w:right w:w="118" w:type="dxa"/>
            </w:tcMar>
            <w:vAlign w:val="center"/>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企业会计制度准则信息共享_担保企业会计核算办法外部接口</w:t>
            </w:r>
          </w:p>
        </w:tc>
      </w:tr>
      <w:tr>
        <w:tblPrEx>
          <w:tblCellMar>
            <w:top w:w="15" w:type="dxa"/>
            <w:left w:w="15" w:type="dxa"/>
            <w:bottom w:w="15" w:type="dxa"/>
            <w:right w:w="15" w:type="dxa"/>
          </w:tblCellMar>
        </w:tblPrEx>
        <w:trPr>
          <w:trHeight w:val="288" w:hRule="atLeast"/>
          <w:tblCellSpacing w:w="0" w:type="dxa"/>
        </w:trPr>
        <w:tc>
          <w:tcPr>
            <w:vMerge w:val="continue"/>
            <w:tcBorders>
              <w:left w:val="single" w:color="000000" w:sz="8" w:space="0"/>
              <w:bottom w:val="single" w:color="000000" w:sz="8" w:space="0"/>
              <w:right w:val="single" w:color="000000" w:sz="8" w:space="0"/>
            </w:tcBorders>
            <w:vAlign w:val="center"/>
          </w:tcPr>
          <w:p>
            <w:pPr>
              <w:pStyle w:val="18"/>
              <w:rPr>
                <w:rFonts w:ascii="宋体" w:hAnsi="宋体" w:eastAsia="宋体" w:cs="宋体"/>
                <w:b w:val="0"/>
                <w:bCs w:val="0"/>
                <w:i w:val="0"/>
                <w:iCs w:val="0"/>
                <w:smallCaps w:val="0"/>
                <w:color w:val="000000"/>
                <w:sz w:val="28"/>
                <w:szCs w:val="28"/>
              </w:rPr>
            </w:pPr>
          </w:p>
        </w:tc>
        <w:tc>
          <w:tcPr>
            <w:tcBorders>
              <w:bottom w:val="single" w:color="000000" w:sz="8" w:space="0"/>
              <w:right w:val="single" w:color="000000" w:sz="8" w:space="0"/>
            </w:tcBorders>
            <w:noWrap/>
            <w:tcMar>
              <w:top w:w="0" w:type="dxa"/>
              <w:left w:w="108" w:type="dxa"/>
              <w:bottom w:w="0" w:type="dxa"/>
              <w:right w:w="118" w:type="dxa"/>
            </w:tcMar>
            <w:vAlign w:val="center"/>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企业会计制度准则信息共享_金融企业外部接口</w:t>
            </w:r>
          </w:p>
        </w:tc>
      </w:tr>
      <w:tr>
        <w:tblPrEx>
          <w:tblCellMar>
            <w:top w:w="15" w:type="dxa"/>
            <w:left w:w="15" w:type="dxa"/>
            <w:bottom w:w="15" w:type="dxa"/>
            <w:right w:w="15" w:type="dxa"/>
          </w:tblCellMar>
        </w:tblPrEx>
        <w:trPr>
          <w:trHeight w:val="288" w:hRule="atLeast"/>
          <w:tblCellSpacing w:w="0" w:type="dxa"/>
        </w:trPr>
        <w:tc>
          <w:tcPr>
            <w:vMerge w:val="restart"/>
            <w:tcBorders>
              <w:left w:val="single" w:color="000000" w:sz="8" w:space="0"/>
              <w:bottom w:val="nil"/>
              <w:right w:val="single" w:color="000000" w:sz="8" w:space="0"/>
            </w:tcBorders>
            <w:noWrap/>
            <w:tcMar>
              <w:top w:w="0" w:type="dxa"/>
              <w:left w:w="118" w:type="dxa"/>
              <w:bottom w:w="0" w:type="dxa"/>
              <w:right w:w="118" w:type="dxa"/>
            </w:tcMar>
            <w:vAlign w:val="center"/>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信息共享接口</w:t>
            </w:r>
          </w:p>
        </w:tc>
        <w:tc>
          <w:tcPr>
            <w:tcBorders>
              <w:bottom w:val="single" w:color="000000" w:sz="8" w:space="0"/>
              <w:right w:val="single" w:color="000000" w:sz="8" w:space="0"/>
            </w:tcBorders>
            <w:noWrap/>
            <w:tcMar>
              <w:top w:w="0" w:type="dxa"/>
              <w:left w:w="108" w:type="dxa"/>
              <w:bottom w:w="0" w:type="dxa"/>
              <w:right w:w="118" w:type="dxa"/>
            </w:tcMar>
            <w:vAlign w:val="center"/>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企业设立共享信息外部接口</w:t>
            </w:r>
          </w:p>
        </w:tc>
      </w:tr>
      <w:tr>
        <w:tblPrEx>
          <w:tblCellMar>
            <w:top w:w="15" w:type="dxa"/>
            <w:left w:w="15" w:type="dxa"/>
            <w:bottom w:w="15" w:type="dxa"/>
            <w:right w:w="15" w:type="dxa"/>
          </w:tblCellMar>
        </w:tblPrEx>
        <w:trPr>
          <w:trHeight w:val="288" w:hRule="atLeast"/>
          <w:tblCellSpacing w:w="0" w:type="dxa"/>
        </w:trPr>
        <w:tc>
          <w:tcPr>
            <w:vMerge w:val="continue"/>
            <w:tcBorders>
              <w:left w:val="single" w:color="000000" w:sz="8" w:space="0"/>
              <w:bottom w:val="single" w:color="000000" w:sz="8" w:space="0"/>
              <w:right w:val="single" w:color="000000" w:sz="8" w:space="0"/>
            </w:tcBorders>
            <w:vAlign w:val="center"/>
          </w:tcPr>
          <w:p>
            <w:pPr>
              <w:pStyle w:val="18"/>
              <w:rPr>
                <w:rFonts w:ascii="宋体" w:hAnsi="宋体" w:eastAsia="宋体" w:cs="宋体"/>
                <w:b w:val="0"/>
                <w:bCs w:val="0"/>
                <w:i w:val="0"/>
                <w:iCs w:val="0"/>
                <w:smallCaps w:val="0"/>
                <w:color w:val="000000"/>
                <w:sz w:val="28"/>
                <w:szCs w:val="28"/>
              </w:rPr>
            </w:pPr>
          </w:p>
        </w:tc>
        <w:tc>
          <w:tcPr>
            <w:tcBorders>
              <w:bottom w:val="single" w:color="000000" w:sz="8" w:space="0"/>
              <w:right w:val="single" w:color="000000" w:sz="8" w:space="0"/>
            </w:tcBorders>
            <w:noWrap/>
            <w:tcMar>
              <w:top w:w="0" w:type="dxa"/>
              <w:left w:w="108" w:type="dxa"/>
              <w:bottom w:w="0" w:type="dxa"/>
              <w:right w:w="118" w:type="dxa"/>
            </w:tcMar>
            <w:vAlign w:val="center"/>
          </w:tcPr>
          <w:p>
            <w:pPr>
              <w:pStyle w:val="93"/>
              <w:spacing w:before="0" w:after="0"/>
              <w:ind w:left="0" w:right="0"/>
              <w:rPr>
                <w:rFonts w:ascii="Calibri" w:hAnsi="Calibri" w:eastAsia="Calibri" w:cs="Calibri"/>
                <w:b w:val="0"/>
                <w:bCs w:val="0"/>
                <w:i w:val="0"/>
                <w:iCs w:val="0"/>
                <w:smallCaps w:val="0"/>
                <w:color w:val="000000"/>
                <w:sz w:val="21"/>
                <w:szCs w:val="21"/>
              </w:rPr>
            </w:pPr>
            <w:r>
              <w:rPr>
                <w:rFonts w:ascii="宋体" w:hAnsi="宋体" w:eastAsia="宋体" w:cs="宋体"/>
                <w:b w:val="0"/>
                <w:bCs w:val="0"/>
                <w:i w:val="0"/>
                <w:iCs w:val="0"/>
                <w:smallCaps w:val="0"/>
                <w:color w:val="000000"/>
                <w:sz w:val="28"/>
                <w:szCs w:val="28"/>
              </w:rPr>
              <w:t>个体设立共享信息外部接口</w:t>
            </w:r>
          </w:p>
        </w:tc>
      </w:tr>
    </w:tbl>
    <w:p>
      <w:pPr>
        <w:pStyle w:val="93"/>
        <w:spacing w:before="0" w:after="0" w:line="360" w:lineRule="auto"/>
        <w:ind w:left="640" w:right="0"/>
        <w:jc w:val="both"/>
        <w:rPr>
          <w:rFonts w:ascii="Calibri" w:hAnsi="Calibri" w:eastAsia="Calibri" w:cs="Calibri"/>
          <w:sz w:val="21"/>
          <w:szCs w:val="21"/>
        </w:rPr>
      </w:pPr>
      <w:r>
        <w:rPr>
          <w:rFonts w:ascii="仿宋_GB2312" w:hAnsi="仿宋_GB2312" w:eastAsia="仿宋_GB2312" w:cs="仿宋_GB2312"/>
          <w:sz w:val="28"/>
          <w:szCs w:val="28"/>
        </w:rPr>
        <w:t>1.6新电局智能开业场景支撑</w:t>
      </w:r>
    </w:p>
    <w:p>
      <w:pPr>
        <w:pStyle w:val="93"/>
        <w:spacing w:before="0" w:after="0" w:line="360" w:lineRule="auto"/>
        <w:ind w:left="0" w:right="0"/>
        <w:jc w:val="both"/>
        <w:rPr>
          <w:rFonts w:ascii="Calibri" w:hAnsi="Calibri" w:eastAsia="Calibri" w:cs="Calibri"/>
          <w:sz w:val="21"/>
          <w:szCs w:val="21"/>
        </w:rPr>
      </w:pPr>
      <w:r>
        <w:rPr>
          <w:rFonts w:ascii="仿宋_GB2312" w:hAnsi="仿宋_GB2312" w:eastAsia="仿宋_GB2312" w:cs="仿宋_GB2312"/>
          <w:sz w:val="28"/>
          <w:szCs w:val="28"/>
        </w:rPr>
        <w:t>1.6.1数据同步链路建设</w:t>
      </w:r>
    </w:p>
    <w:p>
      <w:pPr>
        <w:pStyle w:val="93"/>
        <w:spacing w:before="0" w:after="0" w:line="360" w:lineRule="auto"/>
        <w:ind w:left="210" w:right="0" w:firstLine="640"/>
        <w:jc w:val="both"/>
        <w:rPr>
          <w:rFonts w:ascii="Calibri" w:hAnsi="Calibri" w:eastAsia="Calibri" w:cs="Calibri"/>
          <w:sz w:val="21"/>
          <w:szCs w:val="21"/>
        </w:rPr>
      </w:pPr>
      <w:r>
        <w:rPr>
          <w:rFonts w:ascii="仿宋_GB2312" w:hAnsi="仿宋_GB2312" w:eastAsia="仿宋_GB2312" w:cs="仿宋_GB2312"/>
          <w:sz w:val="28"/>
          <w:szCs w:val="28"/>
        </w:rPr>
        <w:t>#搭建数据同步应用服务器，按照总局方案搭建数据同步链路SS96_2,源端为ORACLE数据库，目标端为应用系统云上汇聚区Postgre数据库。</w:t>
      </w:r>
    </w:p>
    <w:p>
      <w:pPr>
        <w:pStyle w:val="93"/>
        <w:spacing w:before="0" w:after="0" w:line="360" w:lineRule="auto"/>
        <w:ind w:left="0" w:right="0"/>
        <w:jc w:val="both"/>
        <w:rPr>
          <w:rFonts w:ascii="Calibri" w:hAnsi="Calibri" w:eastAsia="Calibri" w:cs="Calibri"/>
          <w:sz w:val="21"/>
          <w:szCs w:val="21"/>
        </w:rPr>
      </w:pPr>
      <w:r>
        <w:rPr>
          <w:rFonts w:ascii="仿宋_GB2312" w:hAnsi="仿宋_GB2312" w:eastAsia="仿宋_GB2312" w:cs="仿宋_GB2312"/>
          <w:sz w:val="28"/>
          <w:szCs w:val="28"/>
        </w:rPr>
        <w:t>1.6.2数据初始化与增量同步</w:t>
      </w:r>
    </w:p>
    <w:p>
      <w:pPr>
        <w:pStyle w:val="93"/>
        <w:spacing w:before="0" w:after="0" w:line="360" w:lineRule="auto"/>
        <w:ind w:left="210" w:right="0" w:firstLine="640"/>
        <w:jc w:val="both"/>
        <w:rPr>
          <w:rFonts w:ascii="Calibri" w:hAnsi="Calibri" w:eastAsia="Calibri" w:cs="Calibri"/>
          <w:sz w:val="21"/>
          <w:szCs w:val="21"/>
        </w:rPr>
      </w:pPr>
      <w:r>
        <w:rPr>
          <w:rFonts w:ascii="仿宋_GB2312" w:hAnsi="仿宋_GB2312" w:eastAsia="仿宋_GB2312" w:cs="仿宋_GB2312"/>
          <w:sz w:val="28"/>
          <w:szCs w:val="28"/>
        </w:rPr>
        <w:t>#对下面的数据表进行全量数据初始化;</w:t>
      </w:r>
    </w:p>
    <w:p>
      <w:pPr>
        <w:pStyle w:val="93"/>
        <w:spacing w:before="0" w:after="0" w:line="360" w:lineRule="auto"/>
        <w:ind w:left="210" w:right="0" w:firstLine="640"/>
        <w:jc w:val="both"/>
        <w:rPr>
          <w:rFonts w:ascii="Calibri" w:hAnsi="Calibri" w:eastAsia="Calibri" w:cs="Calibri"/>
          <w:sz w:val="21"/>
          <w:szCs w:val="21"/>
        </w:rPr>
      </w:pPr>
      <w:r>
        <w:rPr>
          <w:rFonts w:ascii="仿宋_GB2312" w:hAnsi="仿宋_GB2312" w:eastAsia="仿宋_GB2312" w:cs="仿宋_GB2312"/>
          <w:sz w:val="28"/>
          <w:szCs w:val="28"/>
        </w:rPr>
        <w:t>#实现实时增量数据同步;</w:t>
      </w:r>
    </w:p>
    <w:p>
      <w:pPr>
        <w:pStyle w:val="93"/>
        <w:spacing w:before="0" w:after="0" w:line="360" w:lineRule="auto"/>
        <w:ind w:left="210" w:right="0" w:firstLine="640"/>
        <w:jc w:val="both"/>
        <w:rPr>
          <w:rFonts w:ascii="Calibri" w:hAnsi="Calibri" w:eastAsia="Calibri" w:cs="Calibri"/>
          <w:sz w:val="21"/>
          <w:szCs w:val="21"/>
        </w:rPr>
      </w:pPr>
      <w:r>
        <w:rPr>
          <w:rFonts w:ascii="仿宋_GB2312" w:hAnsi="仿宋_GB2312" w:eastAsia="仿宋_GB2312" w:cs="仿宋_GB2312"/>
          <w:sz w:val="28"/>
          <w:szCs w:val="28"/>
        </w:rPr>
        <w:t>#每天三次监控数同步情况，并及时进行问题处理。</w:t>
      </w:r>
    </w:p>
    <w:tbl>
      <w:tblPr>
        <w:tblStyle w:val="95"/>
        <w:tblW w:w="4020" w:type="dxa"/>
        <w:jc w:val="center"/>
        <w:tblCellSpacing w:w="0" w:type="dxa"/>
        <w:tblLayout w:type="autofit"/>
        <w:tblCellMar>
          <w:top w:w="15" w:type="dxa"/>
          <w:left w:w="15" w:type="dxa"/>
          <w:bottom w:w="15" w:type="dxa"/>
          <w:right w:w="15" w:type="dxa"/>
        </w:tblCellMar>
      </w:tblPr>
      <w:tblGrid>
        <w:gridCol w:w="621"/>
        <w:gridCol w:w="3399"/>
      </w:tblGrid>
      <w:tr>
        <w:tblPrEx>
          <w:tblCellMar>
            <w:top w:w="15" w:type="dxa"/>
            <w:left w:w="15" w:type="dxa"/>
            <w:bottom w:w="15" w:type="dxa"/>
            <w:right w:w="15" w:type="dxa"/>
          </w:tblCellMar>
        </w:tblPrEx>
        <w:trPr>
          <w:trHeight w:val="276" w:hRule="atLeast"/>
          <w:tblCellSpacing w:w="0" w:type="dxa"/>
          <w:jc w:val="center"/>
        </w:trPr>
        <w:tc>
          <w:tcPr>
            <w:tcW w:w="1196" w:type="dxa"/>
            <w:tcBorders>
              <w:top w:val="single" w:color="000000" w:sz="8" w:space="0"/>
              <w:left w:val="single" w:color="000000" w:sz="8" w:space="0"/>
              <w:bottom w:val="single" w:color="000000" w:sz="8" w:space="0"/>
              <w:right w:val="single" w:color="000000" w:sz="8" w:space="0"/>
            </w:tcBorders>
            <w:noWrap w:val="0"/>
            <w:tcMar>
              <w:top w:w="0" w:type="dxa"/>
              <w:left w:w="118" w:type="dxa"/>
              <w:bottom w:w="0" w:type="dxa"/>
              <w:right w:w="118" w:type="dxa"/>
            </w:tcMar>
            <w:vAlign w:val="bottom"/>
          </w:tcPr>
          <w:p>
            <w:pPr>
              <w:pStyle w:val="93"/>
              <w:spacing w:before="0" w:after="0"/>
              <w:ind w:left="0" w:right="0"/>
              <w:rPr>
                <w:rFonts w:ascii="Calibri" w:hAnsi="Calibri" w:eastAsia="Calibri" w:cs="Calibri"/>
                <w:b w:val="0"/>
                <w:bCs w:val="0"/>
                <w:i w:val="0"/>
                <w:iCs w:val="0"/>
                <w:smallCaps w:val="0"/>
                <w:color w:val="000000"/>
                <w:sz w:val="21"/>
                <w:szCs w:val="21"/>
              </w:rPr>
            </w:pPr>
            <w:r>
              <w:rPr>
                <w:rFonts w:ascii="等线" w:hAnsi="等线" w:eastAsia="等线" w:cs="等线"/>
                <w:b w:val="0"/>
                <w:bCs w:val="0"/>
                <w:i w:val="0"/>
                <w:iCs w:val="0"/>
                <w:smallCaps w:val="0"/>
                <w:color w:val="000000"/>
                <w:sz w:val="22"/>
                <w:szCs w:val="22"/>
              </w:rPr>
              <w:t>序号</w:t>
            </w:r>
          </w:p>
        </w:tc>
        <w:tc>
          <w:tcPr>
            <w:tcW w:w="3306" w:type="dxa"/>
            <w:tcBorders>
              <w:top w:val="single" w:color="000000" w:sz="8" w:space="0"/>
              <w:bottom w:val="single" w:color="000000" w:sz="8" w:space="0"/>
              <w:right w:val="single" w:color="000000" w:sz="8" w:space="0"/>
            </w:tcBorders>
            <w:noWrap w:val="0"/>
            <w:tcMar>
              <w:top w:w="0" w:type="dxa"/>
              <w:left w:w="108" w:type="dxa"/>
              <w:bottom w:w="0" w:type="dxa"/>
              <w:right w:w="118" w:type="dxa"/>
            </w:tcMar>
            <w:vAlign w:val="bottom"/>
          </w:tcPr>
          <w:p>
            <w:pPr>
              <w:pStyle w:val="93"/>
              <w:spacing w:before="0" w:after="0"/>
              <w:ind w:left="0" w:right="0"/>
              <w:rPr>
                <w:rFonts w:ascii="Calibri" w:hAnsi="Calibri" w:eastAsia="Calibri" w:cs="Calibri"/>
                <w:b w:val="0"/>
                <w:bCs w:val="0"/>
                <w:i w:val="0"/>
                <w:iCs w:val="0"/>
                <w:smallCaps w:val="0"/>
                <w:color w:val="000000"/>
                <w:sz w:val="21"/>
                <w:szCs w:val="21"/>
              </w:rPr>
            </w:pPr>
            <w:r>
              <w:rPr>
                <w:rFonts w:ascii="等线" w:hAnsi="等线" w:eastAsia="等线" w:cs="等线"/>
                <w:b w:val="0"/>
                <w:bCs w:val="0"/>
                <w:i w:val="0"/>
                <w:iCs w:val="0"/>
                <w:smallCaps w:val="0"/>
                <w:color w:val="000000"/>
                <w:sz w:val="22"/>
                <w:szCs w:val="22"/>
              </w:rPr>
              <w:t>表名</w:t>
            </w:r>
          </w:p>
        </w:tc>
      </w:tr>
      <w:tr>
        <w:tblPrEx>
          <w:tblCellMar>
            <w:top w:w="15" w:type="dxa"/>
            <w:left w:w="15" w:type="dxa"/>
            <w:bottom w:w="15" w:type="dxa"/>
            <w:right w:w="15" w:type="dxa"/>
          </w:tblCellMar>
        </w:tblPrEx>
        <w:trPr>
          <w:trHeight w:val="276" w:hRule="atLeast"/>
          <w:tblCellSpacing w:w="0" w:type="dxa"/>
          <w:jc w:val="center"/>
        </w:trPr>
        <w:tc>
          <w:tcPr>
            <w:tcW w:w="1196" w:type="dxa"/>
            <w:tcBorders>
              <w:left w:val="single" w:color="000000" w:sz="8" w:space="0"/>
              <w:bottom w:val="single" w:color="000000" w:sz="8" w:space="0"/>
              <w:right w:val="single" w:color="000000" w:sz="8" w:space="0"/>
            </w:tcBorders>
            <w:noWrap w:val="0"/>
            <w:tcMar>
              <w:top w:w="0" w:type="dxa"/>
              <w:left w:w="118" w:type="dxa"/>
              <w:bottom w:w="0" w:type="dxa"/>
              <w:right w:w="118" w:type="dxa"/>
            </w:tcMar>
            <w:vAlign w:val="bottom"/>
          </w:tcPr>
          <w:p>
            <w:pPr>
              <w:pStyle w:val="93"/>
              <w:spacing w:before="0" w:after="0"/>
              <w:ind w:left="0" w:right="0"/>
              <w:jc w:val="right"/>
              <w:rPr>
                <w:rFonts w:ascii="Calibri" w:hAnsi="Calibri" w:eastAsia="Calibri" w:cs="Calibri"/>
                <w:b w:val="0"/>
                <w:bCs w:val="0"/>
                <w:i w:val="0"/>
                <w:iCs w:val="0"/>
                <w:smallCaps w:val="0"/>
                <w:color w:val="000000"/>
                <w:sz w:val="21"/>
                <w:szCs w:val="21"/>
              </w:rPr>
            </w:pPr>
            <w:r>
              <w:rPr>
                <w:rFonts w:ascii="等线" w:hAnsi="等线" w:eastAsia="等线" w:cs="等线"/>
                <w:b w:val="0"/>
                <w:bCs w:val="0"/>
                <w:i w:val="0"/>
                <w:iCs w:val="0"/>
                <w:smallCaps w:val="0"/>
                <w:color w:val="000000"/>
                <w:sz w:val="22"/>
                <w:szCs w:val="22"/>
              </w:rPr>
              <w:t>1</w:t>
            </w:r>
          </w:p>
        </w:tc>
        <w:tc>
          <w:tcPr>
            <w:tcW w:w="3306" w:type="dxa"/>
            <w:tcBorders>
              <w:bottom w:val="single" w:color="000000" w:sz="8" w:space="0"/>
              <w:right w:val="single" w:color="000000" w:sz="8" w:space="0"/>
            </w:tcBorders>
            <w:noWrap w:val="0"/>
            <w:tcMar>
              <w:top w:w="0" w:type="dxa"/>
              <w:left w:w="108" w:type="dxa"/>
              <w:bottom w:w="0" w:type="dxa"/>
              <w:right w:w="118" w:type="dxa"/>
            </w:tcMar>
            <w:vAlign w:val="bottom"/>
          </w:tcPr>
          <w:p>
            <w:pPr>
              <w:pStyle w:val="93"/>
              <w:spacing w:before="0" w:after="0"/>
              <w:ind w:left="0" w:right="0"/>
              <w:rPr>
                <w:rFonts w:ascii="Calibri" w:hAnsi="Calibri" w:eastAsia="Calibri" w:cs="Calibri"/>
                <w:b w:val="0"/>
                <w:bCs w:val="0"/>
                <w:i w:val="0"/>
                <w:iCs w:val="0"/>
                <w:smallCaps w:val="0"/>
                <w:color w:val="000000"/>
                <w:sz w:val="21"/>
                <w:szCs w:val="21"/>
              </w:rPr>
            </w:pPr>
            <w:r>
              <w:rPr>
                <w:rFonts w:ascii="等线" w:hAnsi="等线" w:eastAsia="等线" w:cs="等线"/>
                <w:b w:val="0"/>
                <w:bCs w:val="0"/>
                <w:i w:val="0"/>
                <w:iCs w:val="0"/>
                <w:smallCaps w:val="0"/>
                <w:color w:val="000000"/>
                <w:sz w:val="22"/>
                <w:szCs w:val="22"/>
              </w:rPr>
              <w:t>GSJH_JYZX_GGXX</w:t>
            </w:r>
          </w:p>
        </w:tc>
      </w:tr>
      <w:tr>
        <w:tblPrEx>
          <w:tblCellMar>
            <w:top w:w="15" w:type="dxa"/>
            <w:left w:w="15" w:type="dxa"/>
            <w:bottom w:w="15" w:type="dxa"/>
            <w:right w:w="15" w:type="dxa"/>
          </w:tblCellMar>
        </w:tblPrEx>
        <w:trPr>
          <w:trHeight w:val="276" w:hRule="atLeast"/>
          <w:tblCellSpacing w:w="0" w:type="dxa"/>
          <w:jc w:val="center"/>
        </w:trPr>
        <w:tc>
          <w:tcPr>
            <w:tcW w:w="1196" w:type="dxa"/>
            <w:tcBorders>
              <w:left w:val="single" w:color="000000" w:sz="8" w:space="0"/>
              <w:bottom w:val="single" w:color="000000" w:sz="8" w:space="0"/>
              <w:right w:val="single" w:color="000000" w:sz="8" w:space="0"/>
            </w:tcBorders>
            <w:noWrap w:val="0"/>
            <w:tcMar>
              <w:top w:w="0" w:type="dxa"/>
              <w:left w:w="118" w:type="dxa"/>
              <w:bottom w:w="0" w:type="dxa"/>
              <w:right w:w="118" w:type="dxa"/>
            </w:tcMar>
            <w:vAlign w:val="bottom"/>
          </w:tcPr>
          <w:p>
            <w:pPr>
              <w:pStyle w:val="93"/>
              <w:spacing w:before="0" w:after="0"/>
              <w:ind w:left="0" w:right="0"/>
              <w:jc w:val="right"/>
              <w:rPr>
                <w:rFonts w:ascii="Calibri" w:hAnsi="Calibri" w:eastAsia="Calibri" w:cs="Calibri"/>
                <w:b w:val="0"/>
                <w:bCs w:val="0"/>
                <w:i w:val="0"/>
                <w:iCs w:val="0"/>
                <w:smallCaps w:val="0"/>
                <w:color w:val="000000"/>
                <w:sz w:val="21"/>
                <w:szCs w:val="21"/>
              </w:rPr>
            </w:pPr>
            <w:r>
              <w:rPr>
                <w:rFonts w:ascii="等线" w:hAnsi="等线" w:eastAsia="等线" w:cs="等线"/>
                <w:b w:val="0"/>
                <w:bCs w:val="0"/>
                <w:i w:val="0"/>
                <w:iCs w:val="0"/>
                <w:smallCaps w:val="0"/>
                <w:color w:val="000000"/>
                <w:sz w:val="22"/>
                <w:szCs w:val="22"/>
              </w:rPr>
              <w:t>2</w:t>
            </w:r>
          </w:p>
        </w:tc>
        <w:tc>
          <w:tcPr>
            <w:tcW w:w="3306" w:type="dxa"/>
            <w:tcBorders>
              <w:bottom w:val="single" w:color="000000" w:sz="8" w:space="0"/>
              <w:right w:val="single" w:color="000000" w:sz="8" w:space="0"/>
            </w:tcBorders>
            <w:noWrap w:val="0"/>
            <w:tcMar>
              <w:top w:w="0" w:type="dxa"/>
              <w:left w:w="108" w:type="dxa"/>
              <w:bottom w:w="0" w:type="dxa"/>
              <w:right w:w="118" w:type="dxa"/>
            </w:tcMar>
            <w:vAlign w:val="bottom"/>
          </w:tcPr>
          <w:p>
            <w:pPr>
              <w:pStyle w:val="93"/>
              <w:spacing w:before="0" w:after="0"/>
              <w:ind w:left="0" w:right="0"/>
              <w:rPr>
                <w:rFonts w:ascii="Calibri" w:hAnsi="Calibri" w:eastAsia="Calibri" w:cs="Calibri"/>
                <w:b w:val="0"/>
                <w:bCs w:val="0"/>
                <w:i w:val="0"/>
                <w:iCs w:val="0"/>
                <w:smallCaps w:val="0"/>
                <w:color w:val="000000"/>
                <w:sz w:val="21"/>
                <w:szCs w:val="21"/>
              </w:rPr>
            </w:pPr>
            <w:r>
              <w:rPr>
                <w:rFonts w:ascii="等线" w:hAnsi="等线" w:eastAsia="等线" w:cs="等线"/>
                <w:b w:val="0"/>
                <w:bCs w:val="0"/>
                <w:i w:val="0"/>
                <w:iCs w:val="0"/>
                <w:smallCaps w:val="0"/>
                <w:color w:val="000000"/>
                <w:sz w:val="22"/>
                <w:szCs w:val="22"/>
              </w:rPr>
              <w:t>WBJH_GS_WBS_FHYXX</w:t>
            </w:r>
          </w:p>
        </w:tc>
      </w:tr>
      <w:tr>
        <w:tblPrEx>
          <w:tblCellMar>
            <w:top w:w="15" w:type="dxa"/>
            <w:left w:w="15" w:type="dxa"/>
            <w:bottom w:w="15" w:type="dxa"/>
            <w:right w:w="15" w:type="dxa"/>
          </w:tblCellMar>
        </w:tblPrEx>
        <w:trPr>
          <w:trHeight w:val="276" w:hRule="atLeast"/>
          <w:tblCellSpacing w:w="0" w:type="dxa"/>
          <w:jc w:val="center"/>
        </w:trPr>
        <w:tc>
          <w:tcPr>
            <w:tcW w:w="1196" w:type="dxa"/>
            <w:tcBorders>
              <w:left w:val="single" w:color="000000" w:sz="8" w:space="0"/>
              <w:bottom w:val="single" w:color="000000" w:sz="8" w:space="0"/>
              <w:right w:val="single" w:color="000000" w:sz="8" w:space="0"/>
            </w:tcBorders>
            <w:noWrap w:val="0"/>
            <w:tcMar>
              <w:top w:w="0" w:type="dxa"/>
              <w:left w:w="118" w:type="dxa"/>
              <w:bottom w:w="0" w:type="dxa"/>
              <w:right w:w="118" w:type="dxa"/>
            </w:tcMar>
            <w:vAlign w:val="bottom"/>
          </w:tcPr>
          <w:p>
            <w:pPr>
              <w:pStyle w:val="93"/>
              <w:spacing w:before="0" w:after="0"/>
              <w:ind w:left="0" w:right="0"/>
              <w:jc w:val="right"/>
              <w:rPr>
                <w:rFonts w:ascii="Calibri" w:hAnsi="Calibri" w:eastAsia="Calibri" w:cs="Calibri"/>
                <w:b w:val="0"/>
                <w:bCs w:val="0"/>
                <w:i w:val="0"/>
                <w:iCs w:val="0"/>
                <w:smallCaps w:val="0"/>
                <w:color w:val="000000"/>
                <w:sz w:val="21"/>
                <w:szCs w:val="21"/>
              </w:rPr>
            </w:pPr>
            <w:r>
              <w:rPr>
                <w:rFonts w:ascii="等线" w:hAnsi="等线" w:eastAsia="等线" w:cs="等线"/>
                <w:b w:val="0"/>
                <w:bCs w:val="0"/>
                <w:i w:val="0"/>
                <w:iCs w:val="0"/>
                <w:smallCaps w:val="0"/>
                <w:color w:val="000000"/>
                <w:sz w:val="22"/>
                <w:szCs w:val="22"/>
              </w:rPr>
              <w:t>3</w:t>
            </w:r>
          </w:p>
        </w:tc>
        <w:tc>
          <w:tcPr>
            <w:tcW w:w="3306" w:type="dxa"/>
            <w:tcBorders>
              <w:bottom w:val="single" w:color="000000" w:sz="8" w:space="0"/>
              <w:right w:val="single" w:color="000000" w:sz="8" w:space="0"/>
            </w:tcBorders>
            <w:noWrap w:val="0"/>
            <w:tcMar>
              <w:top w:w="0" w:type="dxa"/>
              <w:left w:w="108" w:type="dxa"/>
              <w:bottom w:w="0" w:type="dxa"/>
              <w:right w:w="118" w:type="dxa"/>
            </w:tcMar>
            <w:vAlign w:val="bottom"/>
          </w:tcPr>
          <w:p>
            <w:pPr>
              <w:pStyle w:val="93"/>
              <w:spacing w:before="0" w:after="0"/>
              <w:ind w:left="0" w:right="0"/>
              <w:rPr>
                <w:rFonts w:ascii="Calibri" w:hAnsi="Calibri" w:eastAsia="Calibri" w:cs="Calibri"/>
                <w:b w:val="0"/>
                <w:bCs w:val="0"/>
                <w:i w:val="0"/>
                <w:iCs w:val="0"/>
                <w:smallCaps w:val="0"/>
                <w:color w:val="000000"/>
                <w:sz w:val="21"/>
                <w:szCs w:val="21"/>
              </w:rPr>
            </w:pPr>
            <w:r>
              <w:rPr>
                <w:rFonts w:ascii="等线" w:hAnsi="等线" w:eastAsia="等线" w:cs="等线"/>
                <w:b w:val="0"/>
                <w:bCs w:val="0"/>
                <w:i w:val="0"/>
                <w:iCs w:val="0"/>
                <w:smallCaps w:val="0"/>
                <w:color w:val="000000"/>
                <w:sz w:val="22"/>
                <w:szCs w:val="22"/>
              </w:rPr>
              <w:t>WBJH_GS_WBS_JTJYXX</w:t>
            </w:r>
          </w:p>
        </w:tc>
      </w:tr>
      <w:tr>
        <w:tblPrEx>
          <w:tblCellMar>
            <w:top w:w="15" w:type="dxa"/>
            <w:left w:w="15" w:type="dxa"/>
            <w:bottom w:w="15" w:type="dxa"/>
            <w:right w:w="15" w:type="dxa"/>
          </w:tblCellMar>
        </w:tblPrEx>
        <w:trPr>
          <w:trHeight w:val="276" w:hRule="atLeast"/>
          <w:tblCellSpacing w:w="0" w:type="dxa"/>
          <w:jc w:val="center"/>
        </w:trPr>
        <w:tc>
          <w:tcPr>
            <w:tcW w:w="1196" w:type="dxa"/>
            <w:tcBorders>
              <w:left w:val="single" w:color="000000" w:sz="8" w:space="0"/>
              <w:bottom w:val="single" w:color="000000" w:sz="8" w:space="0"/>
              <w:right w:val="single" w:color="000000" w:sz="8" w:space="0"/>
            </w:tcBorders>
            <w:noWrap w:val="0"/>
            <w:tcMar>
              <w:top w:w="0" w:type="dxa"/>
              <w:left w:w="118" w:type="dxa"/>
              <w:bottom w:w="0" w:type="dxa"/>
              <w:right w:w="118" w:type="dxa"/>
            </w:tcMar>
            <w:vAlign w:val="bottom"/>
          </w:tcPr>
          <w:p>
            <w:pPr>
              <w:pStyle w:val="93"/>
              <w:spacing w:before="0" w:after="0"/>
              <w:ind w:left="0" w:right="0"/>
              <w:jc w:val="right"/>
              <w:rPr>
                <w:rFonts w:ascii="Calibri" w:hAnsi="Calibri" w:eastAsia="Calibri" w:cs="Calibri"/>
                <w:b w:val="0"/>
                <w:bCs w:val="0"/>
                <w:i w:val="0"/>
                <w:iCs w:val="0"/>
                <w:smallCaps w:val="0"/>
                <w:color w:val="000000"/>
                <w:sz w:val="21"/>
                <w:szCs w:val="21"/>
              </w:rPr>
            </w:pPr>
            <w:r>
              <w:rPr>
                <w:rFonts w:ascii="等线" w:hAnsi="等线" w:eastAsia="等线" w:cs="等线"/>
                <w:b w:val="0"/>
                <w:bCs w:val="0"/>
                <w:i w:val="0"/>
                <w:iCs w:val="0"/>
                <w:smallCaps w:val="0"/>
                <w:color w:val="000000"/>
                <w:sz w:val="22"/>
                <w:szCs w:val="22"/>
              </w:rPr>
              <w:t>4</w:t>
            </w:r>
          </w:p>
        </w:tc>
        <w:tc>
          <w:tcPr>
            <w:tcW w:w="3306" w:type="dxa"/>
            <w:tcBorders>
              <w:bottom w:val="single" w:color="000000" w:sz="8" w:space="0"/>
              <w:right w:val="single" w:color="000000" w:sz="8" w:space="0"/>
            </w:tcBorders>
            <w:noWrap w:val="0"/>
            <w:tcMar>
              <w:top w:w="0" w:type="dxa"/>
              <w:left w:w="108" w:type="dxa"/>
              <w:bottom w:w="0" w:type="dxa"/>
              <w:right w:w="118" w:type="dxa"/>
            </w:tcMar>
            <w:vAlign w:val="bottom"/>
          </w:tcPr>
          <w:p>
            <w:pPr>
              <w:pStyle w:val="93"/>
              <w:spacing w:before="0" w:after="0"/>
              <w:ind w:left="0" w:right="0"/>
              <w:rPr>
                <w:rFonts w:ascii="Calibri" w:hAnsi="Calibri" w:eastAsia="Calibri" w:cs="Calibri"/>
                <w:b w:val="0"/>
                <w:bCs w:val="0"/>
                <w:i w:val="0"/>
                <w:iCs w:val="0"/>
                <w:smallCaps w:val="0"/>
                <w:color w:val="000000"/>
                <w:sz w:val="21"/>
                <w:szCs w:val="21"/>
              </w:rPr>
            </w:pPr>
            <w:r>
              <w:rPr>
                <w:rFonts w:ascii="等线" w:hAnsi="等线" w:eastAsia="等线" w:cs="等线"/>
                <w:b w:val="0"/>
                <w:bCs w:val="0"/>
                <w:i w:val="0"/>
                <w:iCs w:val="0"/>
                <w:smallCaps w:val="0"/>
                <w:color w:val="000000"/>
                <w:sz w:val="22"/>
                <w:szCs w:val="22"/>
              </w:rPr>
              <w:t>WBJH_GS_WBS_TZFXX</w:t>
            </w:r>
          </w:p>
        </w:tc>
      </w:tr>
      <w:tr>
        <w:tblPrEx>
          <w:tblCellMar>
            <w:top w:w="15" w:type="dxa"/>
            <w:left w:w="15" w:type="dxa"/>
            <w:bottom w:w="15" w:type="dxa"/>
            <w:right w:w="15" w:type="dxa"/>
          </w:tblCellMar>
        </w:tblPrEx>
        <w:trPr>
          <w:trHeight w:val="276" w:hRule="atLeast"/>
          <w:tblCellSpacing w:w="0" w:type="dxa"/>
          <w:jc w:val="center"/>
        </w:trPr>
        <w:tc>
          <w:tcPr>
            <w:tcW w:w="1196" w:type="dxa"/>
            <w:tcBorders>
              <w:left w:val="single" w:color="000000" w:sz="8" w:space="0"/>
              <w:bottom w:val="single" w:color="000000" w:sz="8" w:space="0"/>
              <w:right w:val="single" w:color="000000" w:sz="8" w:space="0"/>
            </w:tcBorders>
            <w:noWrap w:val="0"/>
            <w:tcMar>
              <w:top w:w="0" w:type="dxa"/>
              <w:left w:w="118" w:type="dxa"/>
              <w:bottom w:w="0" w:type="dxa"/>
              <w:right w:w="118" w:type="dxa"/>
            </w:tcMar>
            <w:vAlign w:val="bottom"/>
          </w:tcPr>
          <w:p>
            <w:pPr>
              <w:pStyle w:val="93"/>
              <w:spacing w:before="0" w:after="0"/>
              <w:ind w:left="0" w:right="0"/>
              <w:jc w:val="right"/>
              <w:rPr>
                <w:rFonts w:ascii="Calibri" w:hAnsi="Calibri" w:eastAsia="Calibri" w:cs="Calibri"/>
                <w:b w:val="0"/>
                <w:bCs w:val="0"/>
                <w:i w:val="0"/>
                <w:iCs w:val="0"/>
                <w:smallCaps w:val="0"/>
                <w:color w:val="000000"/>
                <w:sz w:val="21"/>
                <w:szCs w:val="21"/>
              </w:rPr>
            </w:pPr>
            <w:r>
              <w:rPr>
                <w:rFonts w:ascii="等线" w:hAnsi="等线" w:eastAsia="等线" w:cs="等线"/>
                <w:b w:val="0"/>
                <w:bCs w:val="0"/>
                <w:i w:val="0"/>
                <w:iCs w:val="0"/>
                <w:smallCaps w:val="0"/>
                <w:color w:val="000000"/>
                <w:sz w:val="22"/>
                <w:szCs w:val="22"/>
              </w:rPr>
              <w:t>5</w:t>
            </w:r>
          </w:p>
        </w:tc>
        <w:tc>
          <w:tcPr>
            <w:tcW w:w="3306" w:type="dxa"/>
            <w:tcBorders>
              <w:bottom w:val="single" w:color="000000" w:sz="8" w:space="0"/>
              <w:right w:val="single" w:color="000000" w:sz="8" w:space="0"/>
            </w:tcBorders>
            <w:noWrap w:val="0"/>
            <w:tcMar>
              <w:top w:w="0" w:type="dxa"/>
              <w:left w:w="108" w:type="dxa"/>
              <w:bottom w:w="0" w:type="dxa"/>
              <w:right w:w="118" w:type="dxa"/>
            </w:tcMar>
            <w:vAlign w:val="bottom"/>
          </w:tcPr>
          <w:p>
            <w:pPr>
              <w:pStyle w:val="93"/>
              <w:spacing w:before="0" w:after="0"/>
              <w:ind w:left="0" w:right="0"/>
              <w:rPr>
                <w:rFonts w:ascii="Calibri" w:hAnsi="Calibri" w:eastAsia="Calibri" w:cs="Calibri"/>
                <w:b w:val="0"/>
                <w:bCs w:val="0"/>
                <w:i w:val="0"/>
                <w:iCs w:val="0"/>
                <w:smallCaps w:val="0"/>
                <w:color w:val="000000"/>
                <w:sz w:val="21"/>
                <w:szCs w:val="21"/>
              </w:rPr>
            </w:pPr>
            <w:r>
              <w:rPr>
                <w:rFonts w:ascii="等线" w:hAnsi="等线" w:eastAsia="等线" w:cs="等线"/>
                <w:b w:val="0"/>
                <w:bCs w:val="0"/>
                <w:i w:val="0"/>
                <w:iCs w:val="0"/>
                <w:smallCaps w:val="0"/>
                <w:color w:val="000000"/>
                <w:sz w:val="22"/>
                <w:szCs w:val="22"/>
              </w:rPr>
              <w:t>WBJH_GS_WBS_TZZEXX</w:t>
            </w:r>
          </w:p>
        </w:tc>
      </w:tr>
      <w:tr>
        <w:tblPrEx>
          <w:tblCellMar>
            <w:top w:w="15" w:type="dxa"/>
            <w:left w:w="15" w:type="dxa"/>
            <w:bottom w:w="15" w:type="dxa"/>
            <w:right w:w="15" w:type="dxa"/>
          </w:tblCellMar>
        </w:tblPrEx>
        <w:trPr>
          <w:trHeight w:val="276" w:hRule="atLeast"/>
          <w:tblCellSpacing w:w="0" w:type="dxa"/>
          <w:jc w:val="center"/>
        </w:trPr>
        <w:tc>
          <w:tcPr>
            <w:tcW w:w="1196" w:type="dxa"/>
            <w:tcBorders>
              <w:left w:val="single" w:color="000000" w:sz="8" w:space="0"/>
              <w:bottom w:val="single" w:color="000000" w:sz="8" w:space="0"/>
              <w:right w:val="single" w:color="000000" w:sz="8" w:space="0"/>
            </w:tcBorders>
            <w:noWrap w:val="0"/>
            <w:tcMar>
              <w:top w:w="0" w:type="dxa"/>
              <w:left w:w="118" w:type="dxa"/>
              <w:bottom w:w="0" w:type="dxa"/>
              <w:right w:w="118" w:type="dxa"/>
            </w:tcMar>
            <w:vAlign w:val="bottom"/>
          </w:tcPr>
          <w:p>
            <w:pPr>
              <w:pStyle w:val="93"/>
              <w:spacing w:before="0" w:after="0"/>
              <w:ind w:left="0" w:right="0"/>
              <w:jc w:val="right"/>
              <w:rPr>
                <w:rFonts w:ascii="Calibri" w:hAnsi="Calibri" w:eastAsia="Calibri" w:cs="Calibri"/>
                <w:b w:val="0"/>
                <w:bCs w:val="0"/>
                <w:i w:val="0"/>
                <w:iCs w:val="0"/>
                <w:smallCaps w:val="0"/>
                <w:color w:val="000000"/>
                <w:sz w:val="21"/>
                <w:szCs w:val="21"/>
              </w:rPr>
            </w:pPr>
            <w:r>
              <w:rPr>
                <w:rFonts w:ascii="等线" w:hAnsi="等线" w:eastAsia="等线" w:cs="等线"/>
                <w:b w:val="0"/>
                <w:bCs w:val="0"/>
                <w:i w:val="0"/>
                <w:iCs w:val="0"/>
                <w:smallCaps w:val="0"/>
                <w:color w:val="000000"/>
                <w:sz w:val="22"/>
                <w:szCs w:val="22"/>
              </w:rPr>
              <w:t>6</w:t>
            </w:r>
          </w:p>
        </w:tc>
        <w:tc>
          <w:tcPr>
            <w:tcW w:w="3306" w:type="dxa"/>
            <w:tcBorders>
              <w:bottom w:val="single" w:color="000000" w:sz="8" w:space="0"/>
              <w:right w:val="single" w:color="000000" w:sz="8" w:space="0"/>
            </w:tcBorders>
            <w:noWrap w:val="0"/>
            <w:tcMar>
              <w:top w:w="0" w:type="dxa"/>
              <w:left w:w="108" w:type="dxa"/>
              <w:bottom w:w="0" w:type="dxa"/>
              <w:right w:w="118" w:type="dxa"/>
            </w:tcMar>
            <w:vAlign w:val="bottom"/>
          </w:tcPr>
          <w:p>
            <w:pPr>
              <w:pStyle w:val="93"/>
              <w:spacing w:before="0" w:after="0"/>
              <w:ind w:left="0" w:right="0"/>
              <w:rPr>
                <w:rFonts w:ascii="Calibri" w:hAnsi="Calibri" w:eastAsia="Calibri" w:cs="Calibri"/>
                <w:b w:val="0"/>
                <w:bCs w:val="0"/>
                <w:i w:val="0"/>
                <w:iCs w:val="0"/>
                <w:smallCaps w:val="0"/>
                <w:color w:val="000000"/>
                <w:sz w:val="21"/>
                <w:szCs w:val="21"/>
              </w:rPr>
            </w:pPr>
            <w:r>
              <w:rPr>
                <w:rFonts w:ascii="等线" w:hAnsi="等线" w:eastAsia="等线" w:cs="等线"/>
                <w:b w:val="0"/>
                <w:bCs w:val="0"/>
                <w:i w:val="0"/>
                <w:iCs w:val="0"/>
                <w:smallCaps w:val="0"/>
                <w:color w:val="000000"/>
                <w:sz w:val="22"/>
                <w:szCs w:val="22"/>
              </w:rPr>
              <w:t>WBJH_GS_WBS_ZXSWHHR</w:t>
            </w:r>
          </w:p>
        </w:tc>
      </w:tr>
      <w:tr>
        <w:tblPrEx>
          <w:tblCellMar>
            <w:top w:w="15" w:type="dxa"/>
            <w:left w:w="15" w:type="dxa"/>
            <w:bottom w:w="15" w:type="dxa"/>
            <w:right w:w="15" w:type="dxa"/>
          </w:tblCellMar>
        </w:tblPrEx>
        <w:trPr>
          <w:trHeight w:val="276" w:hRule="atLeast"/>
          <w:tblCellSpacing w:w="0" w:type="dxa"/>
          <w:jc w:val="center"/>
        </w:trPr>
        <w:tc>
          <w:tcPr>
            <w:tcW w:w="1196" w:type="dxa"/>
            <w:tcBorders>
              <w:left w:val="single" w:color="000000" w:sz="8" w:space="0"/>
              <w:bottom w:val="single" w:color="000000" w:sz="8" w:space="0"/>
              <w:right w:val="single" w:color="000000" w:sz="8" w:space="0"/>
            </w:tcBorders>
            <w:noWrap w:val="0"/>
            <w:tcMar>
              <w:top w:w="0" w:type="dxa"/>
              <w:left w:w="118" w:type="dxa"/>
              <w:bottom w:w="0" w:type="dxa"/>
              <w:right w:w="118" w:type="dxa"/>
            </w:tcMar>
            <w:vAlign w:val="bottom"/>
          </w:tcPr>
          <w:p>
            <w:pPr>
              <w:pStyle w:val="93"/>
              <w:spacing w:before="0" w:after="0"/>
              <w:ind w:left="0" w:right="0"/>
              <w:jc w:val="right"/>
              <w:rPr>
                <w:rFonts w:ascii="Calibri" w:hAnsi="Calibri" w:eastAsia="Calibri" w:cs="Calibri"/>
                <w:b w:val="0"/>
                <w:bCs w:val="0"/>
                <w:i w:val="0"/>
                <w:iCs w:val="0"/>
                <w:smallCaps w:val="0"/>
                <w:color w:val="000000"/>
                <w:sz w:val="21"/>
                <w:szCs w:val="21"/>
              </w:rPr>
            </w:pPr>
            <w:r>
              <w:rPr>
                <w:rFonts w:ascii="等线" w:hAnsi="等线" w:eastAsia="等线" w:cs="等线"/>
                <w:b w:val="0"/>
                <w:bCs w:val="0"/>
                <w:i w:val="0"/>
                <w:iCs w:val="0"/>
                <w:smallCaps w:val="0"/>
                <w:color w:val="000000"/>
                <w:sz w:val="22"/>
                <w:szCs w:val="22"/>
              </w:rPr>
              <w:t>7</w:t>
            </w:r>
          </w:p>
        </w:tc>
        <w:tc>
          <w:tcPr>
            <w:tcW w:w="3306" w:type="dxa"/>
            <w:tcBorders>
              <w:bottom w:val="single" w:color="000000" w:sz="8" w:space="0"/>
              <w:right w:val="single" w:color="000000" w:sz="8" w:space="0"/>
            </w:tcBorders>
            <w:noWrap w:val="0"/>
            <w:tcMar>
              <w:top w:w="0" w:type="dxa"/>
              <w:left w:w="108" w:type="dxa"/>
              <w:bottom w:w="0" w:type="dxa"/>
              <w:right w:w="118" w:type="dxa"/>
            </w:tcMar>
            <w:vAlign w:val="bottom"/>
          </w:tcPr>
          <w:p>
            <w:pPr>
              <w:pStyle w:val="93"/>
              <w:spacing w:before="0" w:after="0"/>
              <w:ind w:left="0" w:right="0"/>
              <w:rPr>
                <w:rFonts w:ascii="Calibri" w:hAnsi="Calibri" w:eastAsia="Calibri" w:cs="Calibri"/>
                <w:b w:val="0"/>
                <w:bCs w:val="0"/>
                <w:i w:val="0"/>
                <w:iCs w:val="0"/>
                <w:smallCaps w:val="0"/>
                <w:color w:val="000000"/>
                <w:sz w:val="21"/>
                <w:szCs w:val="21"/>
              </w:rPr>
            </w:pPr>
            <w:r>
              <w:rPr>
                <w:rFonts w:ascii="等线" w:hAnsi="等线" w:eastAsia="等线" w:cs="等线"/>
                <w:b w:val="0"/>
                <w:bCs w:val="0"/>
                <w:i w:val="0"/>
                <w:iCs w:val="0"/>
                <w:smallCaps w:val="0"/>
                <w:color w:val="000000"/>
                <w:sz w:val="22"/>
                <w:szCs w:val="22"/>
              </w:rPr>
              <w:t>WBJH_GS_WBS_WPDB</w:t>
            </w:r>
          </w:p>
        </w:tc>
      </w:tr>
      <w:tr>
        <w:tblPrEx>
          <w:tblCellMar>
            <w:top w:w="15" w:type="dxa"/>
            <w:left w:w="15" w:type="dxa"/>
            <w:bottom w:w="15" w:type="dxa"/>
            <w:right w:w="15" w:type="dxa"/>
          </w:tblCellMar>
        </w:tblPrEx>
        <w:trPr>
          <w:trHeight w:val="276" w:hRule="atLeast"/>
          <w:tblCellSpacing w:w="0" w:type="dxa"/>
          <w:jc w:val="center"/>
        </w:trPr>
        <w:tc>
          <w:tcPr>
            <w:tcW w:w="1196" w:type="dxa"/>
            <w:tcBorders>
              <w:left w:val="single" w:color="000000" w:sz="8" w:space="0"/>
              <w:bottom w:val="single" w:color="000000" w:sz="8" w:space="0"/>
              <w:right w:val="single" w:color="000000" w:sz="8" w:space="0"/>
            </w:tcBorders>
            <w:noWrap w:val="0"/>
            <w:tcMar>
              <w:top w:w="0" w:type="dxa"/>
              <w:left w:w="118" w:type="dxa"/>
              <w:bottom w:w="0" w:type="dxa"/>
              <w:right w:w="118" w:type="dxa"/>
            </w:tcMar>
            <w:vAlign w:val="bottom"/>
          </w:tcPr>
          <w:p>
            <w:pPr>
              <w:pStyle w:val="93"/>
              <w:spacing w:before="0" w:after="0"/>
              <w:ind w:left="0" w:right="0"/>
              <w:jc w:val="right"/>
              <w:rPr>
                <w:rFonts w:ascii="Calibri" w:hAnsi="Calibri" w:eastAsia="Calibri" w:cs="Calibri"/>
                <w:b w:val="0"/>
                <w:bCs w:val="0"/>
                <w:i w:val="0"/>
                <w:iCs w:val="0"/>
                <w:smallCaps w:val="0"/>
                <w:color w:val="000000"/>
                <w:sz w:val="21"/>
                <w:szCs w:val="21"/>
              </w:rPr>
            </w:pPr>
            <w:r>
              <w:rPr>
                <w:rFonts w:ascii="等线" w:hAnsi="等线" w:eastAsia="等线" w:cs="等线"/>
                <w:b w:val="0"/>
                <w:bCs w:val="0"/>
                <w:i w:val="0"/>
                <w:iCs w:val="0"/>
                <w:smallCaps w:val="0"/>
                <w:color w:val="000000"/>
                <w:sz w:val="22"/>
                <w:szCs w:val="22"/>
              </w:rPr>
              <w:t>8</w:t>
            </w:r>
          </w:p>
        </w:tc>
        <w:tc>
          <w:tcPr>
            <w:tcW w:w="3306" w:type="dxa"/>
            <w:tcBorders>
              <w:bottom w:val="single" w:color="000000" w:sz="8" w:space="0"/>
              <w:right w:val="single" w:color="000000" w:sz="8" w:space="0"/>
            </w:tcBorders>
            <w:noWrap w:val="0"/>
            <w:tcMar>
              <w:top w:w="0" w:type="dxa"/>
              <w:left w:w="108" w:type="dxa"/>
              <w:bottom w:w="0" w:type="dxa"/>
              <w:right w:w="118" w:type="dxa"/>
            </w:tcMar>
            <w:vAlign w:val="bottom"/>
          </w:tcPr>
          <w:p>
            <w:pPr>
              <w:pStyle w:val="93"/>
              <w:spacing w:before="0" w:after="0"/>
              <w:ind w:left="0" w:right="0"/>
              <w:rPr>
                <w:rFonts w:ascii="Calibri" w:hAnsi="Calibri" w:eastAsia="Calibri" w:cs="Calibri"/>
                <w:b w:val="0"/>
                <w:bCs w:val="0"/>
                <w:i w:val="0"/>
                <w:iCs w:val="0"/>
                <w:smallCaps w:val="0"/>
                <w:color w:val="000000"/>
                <w:sz w:val="21"/>
                <w:szCs w:val="21"/>
              </w:rPr>
            </w:pPr>
            <w:r>
              <w:rPr>
                <w:rFonts w:ascii="等线" w:hAnsi="等线" w:eastAsia="等线" w:cs="等线"/>
                <w:b w:val="0"/>
                <w:bCs w:val="0"/>
                <w:i w:val="0"/>
                <w:iCs w:val="0"/>
                <w:smallCaps w:val="0"/>
                <w:color w:val="000000"/>
                <w:sz w:val="22"/>
                <w:szCs w:val="22"/>
              </w:rPr>
              <w:t>WBJH_GS_WBS_ZZZBX</w:t>
            </w:r>
          </w:p>
        </w:tc>
      </w:tr>
      <w:tr>
        <w:tblPrEx>
          <w:tblCellMar>
            <w:top w:w="15" w:type="dxa"/>
            <w:left w:w="15" w:type="dxa"/>
            <w:bottom w:w="15" w:type="dxa"/>
            <w:right w:w="15" w:type="dxa"/>
          </w:tblCellMar>
        </w:tblPrEx>
        <w:trPr>
          <w:trHeight w:val="276" w:hRule="atLeast"/>
          <w:tblCellSpacing w:w="0" w:type="dxa"/>
          <w:jc w:val="center"/>
        </w:trPr>
        <w:tc>
          <w:tcPr>
            <w:tcW w:w="1196" w:type="dxa"/>
            <w:tcBorders>
              <w:left w:val="single" w:color="000000" w:sz="8" w:space="0"/>
              <w:bottom w:val="single" w:color="000000" w:sz="8" w:space="0"/>
              <w:right w:val="single" w:color="000000" w:sz="8" w:space="0"/>
            </w:tcBorders>
            <w:noWrap w:val="0"/>
            <w:tcMar>
              <w:top w:w="0" w:type="dxa"/>
              <w:left w:w="118" w:type="dxa"/>
              <w:bottom w:w="0" w:type="dxa"/>
              <w:right w:w="118" w:type="dxa"/>
            </w:tcMar>
            <w:vAlign w:val="bottom"/>
          </w:tcPr>
          <w:p>
            <w:pPr>
              <w:pStyle w:val="93"/>
              <w:spacing w:before="0" w:after="0"/>
              <w:ind w:left="0" w:right="0"/>
              <w:jc w:val="right"/>
              <w:rPr>
                <w:rFonts w:ascii="Calibri" w:hAnsi="Calibri" w:eastAsia="Calibri" w:cs="Calibri"/>
                <w:b w:val="0"/>
                <w:bCs w:val="0"/>
                <w:i w:val="0"/>
                <w:iCs w:val="0"/>
                <w:smallCaps w:val="0"/>
                <w:color w:val="000000"/>
                <w:sz w:val="21"/>
                <w:szCs w:val="21"/>
              </w:rPr>
            </w:pPr>
            <w:r>
              <w:rPr>
                <w:rFonts w:ascii="等线" w:hAnsi="等线" w:eastAsia="等线" w:cs="等线"/>
                <w:b w:val="0"/>
                <w:bCs w:val="0"/>
                <w:i w:val="0"/>
                <w:iCs w:val="0"/>
                <w:smallCaps w:val="0"/>
                <w:color w:val="000000"/>
                <w:sz w:val="22"/>
                <w:szCs w:val="22"/>
              </w:rPr>
              <w:t>9</w:t>
            </w:r>
          </w:p>
        </w:tc>
        <w:tc>
          <w:tcPr>
            <w:tcW w:w="3306" w:type="dxa"/>
            <w:tcBorders>
              <w:bottom w:val="single" w:color="000000" w:sz="8" w:space="0"/>
              <w:right w:val="single" w:color="000000" w:sz="8" w:space="0"/>
            </w:tcBorders>
            <w:noWrap w:val="0"/>
            <w:tcMar>
              <w:top w:w="0" w:type="dxa"/>
              <w:left w:w="108" w:type="dxa"/>
              <w:bottom w:w="0" w:type="dxa"/>
              <w:right w:w="118" w:type="dxa"/>
            </w:tcMar>
            <w:vAlign w:val="bottom"/>
          </w:tcPr>
          <w:p>
            <w:pPr>
              <w:pStyle w:val="93"/>
              <w:spacing w:before="0" w:after="0"/>
              <w:ind w:left="0" w:right="0"/>
              <w:rPr>
                <w:rFonts w:ascii="Calibri" w:hAnsi="Calibri" w:eastAsia="Calibri" w:cs="Calibri"/>
                <w:b w:val="0"/>
                <w:bCs w:val="0"/>
                <w:i w:val="0"/>
                <w:iCs w:val="0"/>
                <w:smallCaps w:val="0"/>
                <w:color w:val="000000"/>
                <w:sz w:val="21"/>
                <w:szCs w:val="21"/>
              </w:rPr>
            </w:pPr>
            <w:r>
              <w:rPr>
                <w:rFonts w:ascii="等线" w:hAnsi="等线" w:eastAsia="等线" w:cs="等线"/>
                <w:b w:val="0"/>
                <w:bCs w:val="0"/>
                <w:i w:val="0"/>
                <w:iCs w:val="0"/>
                <w:smallCaps w:val="0"/>
                <w:color w:val="000000"/>
                <w:sz w:val="22"/>
                <w:szCs w:val="22"/>
              </w:rPr>
              <w:t>WBJH_GS_WBS_FZJGXX</w:t>
            </w:r>
          </w:p>
        </w:tc>
      </w:tr>
      <w:tr>
        <w:tblPrEx>
          <w:tblCellMar>
            <w:top w:w="15" w:type="dxa"/>
            <w:left w:w="15" w:type="dxa"/>
            <w:bottom w:w="15" w:type="dxa"/>
            <w:right w:w="15" w:type="dxa"/>
          </w:tblCellMar>
        </w:tblPrEx>
        <w:trPr>
          <w:trHeight w:val="276" w:hRule="atLeast"/>
          <w:tblCellSpacing w:w="0" w:type="dxa"/>
          <w:jc w:val="center"/>
        </w:trPr>
        <w:tc>
          <w:tcPr>
            <w:tcW w:w="1196" w:type="dxa"/>
            <w:tcBorders>
              <w:left w:val="single" w:color="000000" w:sz="8" w:space="0"/>
              <w:bottom w:val="single" w:color="000000" w:sz="8" w:space="0"/>
              <w:right w:val="single" w:color="000000" w:sz="8" w:space="0"/>
            </w:tcBorders>
            <w:noWrap w:val="0"/>
            <w:tcMar>
              <w:top w:w="0" w:type="dxa"/>
              <w:left w:w="118" w:type="dxa"/>
              <w:bottom w:w="0" w:type="dxa"/>
              <w:right w:w="118" w:type="dxa"/>
            </w:tcMar>
            <w:vAlign w:val="bottom"/>
          </w:tcPr>
          <w:p>
            <w:pPr>
              <w:pStyle w:val="93"/>
              <w:spacing w:before="0" w:after="0"/>
              <w:ind w:left="0" w:right="0"/>
              <w:jc w:val="right"/>
              <w:rPr>
                <w:rFonts w:ascii="Calibri" w:hAnsi="Calibri" w:eastAsia="Calibri" w:cs="Calibri"/>
                <w:b w:val="0"/>
                <w:bCs w:val="0"/>
                <w:i w:val="0"/>
                <w:iCs w:val="0"/>
                <w:smallCaps w:val="0"/>
                <w:color w:val="000000"/>
                <w:sz w:val="21"/>
                <w:szCs w:val="21"/>
              </w:rPr>
            </w:pPr>
            <w:r>
              <w:rPr>
                <w:rFonts w:ascii="等线" w:hAnsi="等线" w:eastAsia="等线" w:cs="等线"/>
                <w:b w:val="0"/>
                <w:bCs w:val="0"/>
                <w:i w:val="0"/>
                <w:iCs w:val="0"/>
                <w:smallCaps w:val="0"/>
                <w:color w:val="000000"/>
                <w:sz w:val="22"/>
                <w:szCs w:val="22"/>
              </w:rPr>
              <w:t>10</w:t>
            </w:r>
          </w:p>
        </w:tc>
        <w:tc>
          <w:tcPr>
            <w:tcW w:w="3306" w:type="dxa"/>
            <w:tcBorders>
              <w:bottom w:val="single" w:color="000000" w:sz="8" w:space="0"/>
              <w:right w:val="single" w:color="000000" w:sz="8" w:space="0"/>
            </w:tcBorders>
            <w:noWrap w:val="0"/>
            <w:tcMar>
              <w:top w:w="0" w:type="dxa"/>
              <w:left w:w="108" w:type="dxa"/>
              <w:bottom w:w="0" w:type="dxa"/>
              <w:right w:w="118" w:type="dxa"/>
            </w:tcMar>
            <w:vAlign w:val="bottom"/>
          </w:tcPr>
          <w:p>
            <w:pPr>
              <w:pStyle w:val="93"/>
              <w:spacing w:before="0" w:after="0"/>
              <w:ind w:left="0" w:right="0"/>
              <w:rPr>
                <w:rFonts w:ascii="Calibri" w:hAnsi="Calibri" w:eastAsia="Calibri" w:cs="Calibri"/>
                <w:b w:val="0"/>
                <w:bCs w:val="0"/>
                <w:i w:val="0"/>
                <w:iCs w:val="0"/>
                <w:smallCaps w:val="0"/>
                <w:color w:val="000000"/>
                <w:sz w:val="21"/>
                <w:szCs w:val="21"/>
              </w:rPr>
            </w:pPr>
            <w:r>
              <w:rPr>
                <w:rFonts w:ascii="等线" w:hAnsi="等线" w:eastAsia="等线" w:cs="等线"/>
                <w:b w:val="0"/>
                <w:bCs w:val="0"/>
                <w:i w:val="0"/>
                <w:iCs w:val="0"/>
                <w:smallCaps w:val="0"/>
                <w:color w:val="000000"/>
                <w:sz w:val="22"/>
                <w:szCs w:val="22"/>
              </w:rPr>
              <w:t>WBJH_CJ_SJ_FZJGXX</w:t>
            </w:r>
          </w:p>
        </w:tc>
      </w:tr>
      <w:tr>
        <w:tblPrEx>
          <w:tblCellMar>
            <w:top w:w="15" w:type="dxa"/>
            <w:left w:w="15" w:type="dxa"/>
            <w:bottom w:w="15" w:type="dxa"/>
            <w:right w:w="15" w:type="dxa"/>
          </w:tblCellMar>
        </w:tblPrEx>
        <w:trPr>
          <w:trHeight w:val="276" w:hRule="atLeast"/>
          <w:tblCellSpacing w:w="0" w:type="dxa"/>
          <w:jc w:val="center"/>
        </w:trPr>
        <w:tc>
          <w:tcPr>
            <w:tcW w:w="1196" w:type="dxa"/>
            <w:tcBorders>
              <w:left w:val="single" w:color="000000" w:sz="8" w:space="0"/>
              <w:bottom w:val="single" w:color="000000" w:sz="8" w:space="0"/>
              <w:right w:val="single" w:color="000000" w:sz="8" w:space="0"/>
            </w:tcBorders>
            <w:noWrap w:val="0"/>
            <w:tcMar>
              <w:top w:w="0" w:type="dxa"/>
              <w:left w:w="118" w:type="dxa"/>
              <w:bottom w:w="0" w:type="dxa"/>
              <w:right w:w="118" w:type="dxa"/>
            </w:tcMar>
            <w:vAlign w:val="bottom"/>
          </w:tcPr>
          <w:p>
            <w:pPr>
              <w:pStyle w:val="93"/>
              <w:spacing w:before="0" w:after="0"/>
              <w:ind w:left="0" w:right="0"/>
              <w:jc w:val="right"/>
              <w:rPr>
                <w:rFonts w:ascii="Calibri" w:hAnsi="Calibri" w:eastAsia="Calibri" w:cs="Calibri"/>
                <w:b w:val="0"/>
                <w:bCs w:val="0"/>
                <w:i w:val="0"/>
                <w:iCs w:val="0"/>
                <w:smallCaps w:val="0"/>
                <w:color w:val="000000"/>
                <w:sz w:val="21"/>
                <w:szCs w:val="21"/>
              </w:rPr>
            </w:pPr>
            <w:r>
              <w:rPr>
                <w:rFonts w:ascii="等线" w:hAnsi="等线" w:eastAsia="等线" w:cs="等线"/>
                <w:b w:val="0"/>
                <w:bCs w:val="0"/>
                <w:i w:val="0"/>
                <w:iCs w:val="0"/>
                <w:smallCaps w:val="0"/>
                <w:color w:val="000000"/>
                <w:sz w:val="22"/>
                <w:szCs w:val="22"/>
              </w:rPr>
              <w:t>11</w:t>
            </w:r>
          </w:p>
        </w:tc>
        <w:tc>
          <w:tcPr>
            <w:tcW w:w="3306" w:type="dxa"/>
            <w:tcBorders>
              <w:bottom w:val="single" w:color="000000" w:sz="8" w:space="0"/>
              <w:right w:val="single" w:color="000000" w:sz="8" w:space="0"/>
            </w:tcBorders>
            <w:noWrap w:val="0"/>
            <w:tcMar>
              <w:top w:w="0" w:type="dxa"/>
              <w:left w:w="108" w:type="dxa"/>
              <w:bottom w:w="0" w:type="dxa"/>
              <w:right w:w="118" w:type="dxa"/>
            </w:tcMar>
            <w:vAlign w:val="bottom"/>
          </w:tcPr>
          <w:p>
            <w:pPr>
              <w:pStyle w:val="93"/>
              <w:spacing w:before="0" w:after="0"/>
              <w:ind w:left="0" w:right="0"/>
              <w:rPr>
                <w:rFonts w:ascii="Calibri" w:hAnsi="Calibri" w:eastAsia="Calibri" w:cs="Calibri"/>
                <w:b w:val="0"/>
                <w:bCs w:val="0"/>
                <w:i w:val="0"/>
                <w:iCs w:val="0"/>
                <w:smallCaps w:val="0"/>
                <w:color w:val="000000"/>
                <w:sz w:val="21"/>
                <w:szCs w:val="21"/>
              </w:rPr>
            </w:pPr>
            <w:r>
              <w:rPr>
                <w:rFonts w:ascii="等线" w:hAnsi="等线" w:eastAsia="等线" w:cs="等线"/>
                <w:b w:val="0"/>
                <w:bCs w:val="0"/>
                <w:i w:val="0"/>
                <w:iCs w:val="0"/>
                <w:smallCaps w:val="0"/>
                <w:color w:val="000000"/>
                <w:sz w:val="22"/>
                <w:szCs w:val="22"/>
              </w:rPr>
              <w:t>DJ_WBJH_HB_XKZ_JBXX</w:t>
            </w:r>
          </w:p>
        </w:tc>
      </w:tr>
      <w:tr>
        <w:tblPrEx>
          <w:tblCellMar>
            <w:top w:w="15" w:type="dxa"/>
            <w:left w:w="15" w:type="dxa"/>
            <w:bottom w:w="15" w:type="dxa"/>
            <w:right w:w="15" w:type="dxa"/>
          </w:tblCellMar>
        </w:tblPrEx>
        <w:trPr>
          <w:trHeight w:val="276" w:hRule="atLeast"/>
          <w:tblCellSpacing w:w="0" w:type="dxa"/>
          <w:jc w:val="center"/>
        </w:trPr>
        <w:tc>
          <w:tcPr>
            <w:tcW w:w="1196" w:type="dxa"/>
            <w:tcBorders>
              <w:left w:val="single" w:color="000000" w:sz="8" w:space="0"/>
              <w:bottom w:val="single" w:color="000000" w:sz="8" w:space="0"/>
              <w:right w:val="single" w:color="000000" w:sz="8" w:space="0"/>
            </w:tcBorders>
            <w:noWrap w:val="0"/>
            <w:tcMar>
              <w:top w:w="0" w:type="dxa"/>
              <w:left w:w="118" w:type="dxa"/>
              <w:bottom w:w="0" w:type="dxa"/>
              <w:right w:w="118" w:type="dxa"/>
            </w:tcMar>
            <w:vAlign w:val="bottom"/>
          </w:tcPr>
          <w:p>
            <w:pPr>
              <w:pStyle w:val="93"/>
              <w:spacing w:before="0" w:after="0"/>
              <w:ind w:left="0" w:right="0"/>
              <w:jc w:val="right"/>
              <w:rPr>
                <w:rFonts w:ascii="Calibri" w:hAnsi="Calibri" w:eastAsia="Calibri" w:cs="Calibri"/>
                <w:b w:val="0"/>
                <w:bCs w:val="0"/>
                <w:i w:val="0"/>
                <w:iCs w:val="0"/>
                <w:smallCaps w:val="0"/>
                <w:color w:val="000000"/>
                <w:sz w:val="21"/>
                <w:szCs w:val="21"/>
              </w:rPr>
            </w:pPr>
            <w:r>
              <w:rPr>
                <w:rFonts w:ascii="等线" w:hAnsi="等线" w:eastAsia="等线" w:cs="等线"/>
                <w:b w:val="0"/>
                <w:bCs w:val="0"/>
                <w:i w:val="0"/>
                <w:iCs w:val="0"/>
                <w:smallCaps w:val="0"/>
                <w:color w:val="000000"/>
                <w:sz w:val="22"/>
                <w:szCs w:val="22"/>
              </w:rPr>
              <w:t>12</w:t>
            </w:r>
          </w:p>
        </w:tc>
        <w:tc>
          <w:tcPr>
            <w:tcW w:w="3306" w:type="dxa"/>
            <w:tcBorders>
              <w:bottom w:val="single" w:color="000000" w:sz="8" w:space="0"/>
              <w:right w:val="single" w:color="000000" w:sz="8" w:space="0"/>
            </w:tcBorders>
            <w:noWrap w:val="0"/>
            <w:tcMar>
              <w:top w:w="0" w:type="dxa"/>
              <w:left w:w="108" w:type="dxa"/>
              <w:bottom w:w="0" w:type="dxa"/>
              <w:right w:w="118" w:type="dxa"/>
            </w:tcMar>
            <w:vAlign w:val="bottom"/>
          </w:tcPr>
          <w:p>
            <w:pPr>
              <w:pStyle w:val="93"/>
              <w:spacing w:before="0" w:after="0"/>
              <w:ind w:left="0" w:right="0"/>
              <w:rPr>
                <w:rFonts w:ascii="Calibri" w:hAnsi="Calibri" w:eastAsia="Calibri" w:cs="Calibri"/>
                <w:b w:val="0"/>
                <w:bCs w:val="0"/>
                <w:i w:val="0"/>
                <w:iCs w:val="0"/>
                <w:smallCaps w:val="0"/>
                <w:color w:val="000000"/>
                <w:sz w:val="21"/>
                <w:szCs w:val="21"/>
              </w:rPr>
            </w:pPr>
            <w:r>
              <w:rPr>
                <w:rFonts w:ascii="等线" w:hAnsi="等线" w:eastAsia="等线" w:cs="等线"/>
                <w:b w:val="0"/>
                <w:bCs w:val="0"/>
                <w:i w:val="0"/>
                <w:iCs w:val="0"/>
                <w:smallCaps w:val="0"/>
                <w:color w:val="000000"/>
                <w:sz w:val="22"/>
                <w:szCs w:val="22"/>
              </w:rPr>
              <w:t>DJ_WBJH_HB_XKZ_DQPFXKXZ</w:t>
            </w:r>
          </w:p>
        </w:tc>
      </w:tr>
      <w:tr>
        <w:tblPrEx>
          <w:tblCellMar>
            <w:top w:w="15" w:type="dxa"/>
            <w:left w:w="15" w:type="dxa"/>
            <w:bottom w:w="15" w:type="dxa"/>
            <w:right w:w="15" w:type="dxa"/>
          </w:tblCellMar>
        </w:tblPrEx>
        <w:trPr>
          <w:trHeight w:val="276" w:hRule="atLeast"/>
          <w:tblCellSpacing w:w="0" w:type="dxa"/>
          <w:jc w:val="center"/>
        </w:trPr>
        <w:tc>
          <w:tcPr>
            <w:tcW w:w="1196" w:type="dxa"/>
            <w:tcBorders>
              <w:left w:val="single" w:color="000000" w:sz="8" w:space="0"/>
              <w:bottom w:val="single" w:color="000000" w:sz="8" w:space="0"/>
              <w:right w:val="single" w:color="000000" w:sz="8" w:space="0"/>
            </w:tcBorders>
            <w:noWrap w:val="0"/>
            <w:tcMar>
              <w:top w:w="0" w:type="dxa"/>
              <w:left w:w="118" w:type="dxa"/>
              <w:bottom w:w="0" w:type="dxa"/>
              <w:right w:w="118" w:type="dxa"/>
            </w:tcMar>
            <w:vAlign w:val="bottom"/>
          </w:tcPr>
          <w:p>
            <w:pPr>
              <w:pStyle w:val="93"/>
              <w:spacing w:before="0" w:after="0"/>
              <w:ind w:left="0" w:right="0"/>
              <w:jc w:val="right"/>
              <w:rPr>
                <w:rFonts w:ascii="Calibri" w:hAnsi="Calibri" w:eastAsia="Calibri" w:cs="Calibri"/>
                <w:b w:val="0"/>
                <w:bCs w:val="0"/>
                <w:i w:val="0"/>
                <w:iCs w:val="0"/>
                <w:smallCaps w:val="0"/>
                <w:color w:val="000000"/>
                <w:sz w:val="21"/>
                <w:szCs w:val="21"/>
              </w:rPr>
            </w:pPr>
            <w:r>
              <w:rPr>
                <w:rFonts w:ascii="等线" w:hAnsi="等线" w:eastAsia="等线" w:cs="等线"/>
                <w:b w:val="0"/>
                <w:bCs w:val="0"/>
                <w:i w:val="0"/>
                <w:iCs w:val="0"/>
                <w:smallCaps w:val="0"/>
                <w:color w:val="000000"/>
                <w:sz w:val="22"/>
                <w:szCs w:val="22"/>
              </w:rPr>
              <w:t>13</w:t>
            </w:r>
          </w:p>
        </w:tc>
        <w:tc>
          <w:tcPr>
            <w:tcW w:w="3306" w:type="dxa"/>
            <w:tcBorders>
              <w:bottom w:val="single" w:color="000000" w:sz="8" w:space="0"/>
              <w:right w:val="single" w:color="000000" w:sz="8" w:space="0"/>
            </w:tcBorders>
            <w:noWrap w:val="0"/>
            <w:tcMar>
              <w:top w:w="0" w:type="dxa"/>
              <w:left w:w="108" w:type="dxa"/>
              <w:bottom w:w="0" w:type="dxa"/>
              <w:right w:w="118" w:type="dxa"/>
            </w:tcMar>
            <w:vAlign w:val="bottom"/>
          </w:tcPr>
          <w:p>
            <w:pPr>
              <w:pStyle w:val="93"/>
              <w:spacing w:before="0" w:after="0"/>
              <w:ind w:left="0" w:right="0"/>
              <w:rPr>
                <w:rFonts w:ascii="Calibri" w:hAnsi="Calibri" w:eastAsia="Calibri" w:cs="Calibri"/>
                <w:b w:val="0"/>
                <w:bCs w:val="0"/>
                <w:i w:val="0"/>
                <w:iCs w:val="0"/>
                <w:smallCaps w:val="0"/>
                <w:color w:val="000000"/>
                <w:sz w:val="21"/>
                <w:szCs w:val="21"/>
              </w:rPr>
            </w:pPr>
            <w:r>
              <w:rPr>
                <w:rFonts w:ascii="等线" w:hAnsi="等线" w:eastAsia="等线" w:cs="等线"/>
                <w:b w:val="0"/>
                <w:bCs w:val="0"/>
                <w:i w:val="0"/>
                <w:iCs w:val="0"/>
                <w:smallCaps w:val="0"/>
                <w:color w:val="000000"/>
                <w:sz w:val="22"/>
                <w:szCs w:val="22"/>
              </w:rPr>
              <w:t>DJ_WBJH_HB_XKZ_FSPFXKXZ</w:t>
            </w:r>
          </w:p>
        </w:tc>
      </w:tr>
      <w:tr>
        <w:tblPrEx>
          <w:tblCellMar>
            <w:top w:w="15" w:type="dxa"/>
            <w:left w:w="15" w:type="dxa"/>
            <w:bottom w:w="15" w:type="dxa"/>
            <w:right w:w="15" w:type="dxa"/>
          </w:tblCellMar>
        </w:tblPrEx>
        <w:trPr>
          <w:trHeight w:val="276" w:hRule="atLeast"/>
          <w:tblCellSpacing w:w="0" w:type="dxa"/>
          <w:jc w:val="center"/>
        </w:trPr>
        <w:tc>
          <w:tcPr>
            <w:tcW w:w="1196" w:type="dxa"/>
            <w:tcBorders>
              <w:left w:val="single" w:color="000000" w:sz="8" w:space="0"/>
              <w:bottom w:val="single" w:color="000000" w:sz="8" w:space="0"/>
              <w:right w:val="single" w:color="000000" w:sz="8" w:space="0"/>
            </w:tcBorders>
            <w:noWrap w:val="0"/>
            <w:tcMar>
              <w:top w:w="0" w:type="dxa"/>
              <w:left w:w="118" w:type="dxa"/>
              <w:bottom w:w="0" w:type="dxa"/>
              <w:right w:w="118" w:type="dxa"/>
            </w:tcMar>
            <w:vAlign w:val="bottom"/>
          </w:tcPr>
          <w:p>
            <w:pPr>
              <w:pStyle w:val="93"/>
              <w:spacing w:before="0" w:after="0"/>
              <w:ind w:left="0" w:right="0"/>
              <w:jc w:val="right"/>
              <w:rPr>
                <w:rFonts w:ascii="Calibri" w:hAnsi="Calibri" w:eastAsia="Calibri" w:cs="Calibri"/>
                <w:b w:val="0"/>
                <w:bCs w:val="0"/>
                <w:i w:val="0"/>
                <w:iCs w:val="0"/>
                <w:smallCaps w:val="0"/>
                <w:color w:val="000000"/>
                <w:sz w:val="21"/>
                <w:szCs w:val="21"/>
              </w:rPr>
            </w:pPr>
            <w:r>
              <w:rPr>
                <w:rFonts w:ascii="等线" w:hAnsi="等线" w:eastAsia="等线" w:cs="等线"/>
                <w:b w:val="0"/>
                <w:bCs w:val="0"/>
                <w:i w:val="0"/>
                <w:iCs w:val="0"/>
                <w:smallCaps w:val="0"/>
                <w:color w:val="000000"/>
                <w:sz w:val="22"/>
                <w:szCs w:val="22"/>
              </w:rPr>
              <w:t>14</w:t>
            </w:r>
          </w:p>
        </w:tc>
        <w:tc>
          <w:tcPr>
            <w:tcW w:w="3306" w:type="dxa"/>
            <w:tcBorders>
              <w:bottom w:val="single" w:color="000000" w:sz="8" w:space="0"/>
              <w:right w:val="single" w:color="000000" w:sz="8" w:space="0"/>
            </w:tcBorders>
            <w:noWrap w:val="0"/>
            <w:tcMar>
              <w:top w:w="0" w:type="dxa"/>
              <w:left w:w="108" w:type="dxa"/>
              <w:bottom w:w="0" w:type="dxa"/>
              <w:right w:w="118" w:type="dxa"/>
            </w:tcMar>
            <w:vAlign w:val="bottom"/>
          </w:tcPr>
          <w:p>
            <w:pPr>
              <w:pStyle w:val="93"/>
              <w:spacing w:before="0" w:after="0"/>
              <w:ind w:left="0" w:right="0"/>
              <w:rPr>
                <w:rFonts w:ascii="Calibri" w:hAnsi="Calibri" w:eastAsia="Calibri" w:cs="Calibri"/>
                <w:b w:val="0"/>
                <w:bCs w:val="0"/>
                <w:i w:val="0"/>
                <w:iCs w:val="0"/>
                <w:smallCaps w:val="0"/>
                <w:color w:val="000000"/>
                <w:sz w:val="21"/>
                <w:szCs w:val="21"/>
              </w:rPr>
            </w:pPr>
            <w:r>
              <w:rPr>
                <w:rFonts w:ascii="等线" w:hAnsi="等线" w:eastAsia="等线" w:cs="等线"/>
                <w:b w:val="0"/>
                <w:bCs w:val="0"/>
                <w:i w:val="0"/>
                <w:iCs w:val="0"/>
                <w:smallCaps w:val="0"/>
                <w:color w:val="000000"/>
                <w:sz w:val="22"/>
                <w:szCs w:val="22"/>
              </w:rPr>
              <w:t>DJ_WBJH_HB_XKZ_FSPFXKXZ</w:t>
            </w:r>
          </w:p>
        </w:tc>
      </w:tr>
      <w:tr>
        <w:tblPrEx>
          <w:tblCellMar>
            <w:top w:w="15" w:type="dxa"/>
            <w:left w:w="15" w:type="dxa"/>
            <w:bottom w:w="15" w:type="dxa"/>
            <w:right w:w="15" w:type="dxa"/>
          </w:tblCellMar>
        </w:tblPrEx>
        <w:trPr>
          <w:trHeight w:val="276" w:hRule="atLeast"/>
          <w:tblCellSpacing w:w="0" w:type="dxa"/>
          <w:jc w:val="center"/>
        </w:trPr>
        <w:tc>
          <w:tcPr>
            <w:tcW w:w="1196" w:type="dxa"/>
            <w:tcBorders>
              <w:left w:val="single" w:color="000000" w:sz="8" w:space="0"/>
              <w:bottom w:val="single" w:color="000000" w:sz="8" w:space="0"/>
              <w:right w:val="single" w:color="000000" w:sz="8" w:space="0"/>
            </w:tcBorders>
            <w:noWrap w:val="0"/>
            <w:tcMar>
              <w:top w:w="0" w:type="dxa"/>
              <w:left w:w="118" w:type="dxa"/>
              <w:bottom w:w="0" w:type="dxa"/>
              <w:right w:w="118" w:type="dxa"/>
            </w:tcMar>
            <w:vAlign w:val="bottom"/>
          </w:tcPr>
          <w:p>
            <w:pPr>
              <w:pStyle w:val="93"/>
              <w:spacing w:before="0" w:after="0"/>
              <w:ind w:left="0" w:right="0"/>
              <w:jc w:val="right"/>
              <w:rPr>
                <w:rFonts w:ascii="Calibri" w:hAnsi="Calibri" w:eastAsia="Calibri" w:cs="Calibri"/>
                <w:b w:val="0"/>
                <w:bCs w:val="0"/>
                <w:i w:val="0"/>
                <w:iCs w:val="0"/>
                <w:smallCaps w:val="0"/>
                <w:color w:val="000000"/>
                <w:sz w:val="21"/>
                <w:szCs w:val="21"/>
              </w:rPr>
            </w:pPr>
            <w:r>
              <w:rPr>
                <w:rFonts w:ascii="等线" w:hAnsi="等线" w:eastAsia="等线" w:cs="等线"/>
                <w:b w:val="0"/>
                <w:bCs w:val="0"/>
                <w:i w:val="0"/>
                <w:iCs w:val="0"/>
                <w:smallCaps w:val="0"/>
                <w:color w:val="000000"/>
                <w:sz w:val="22"/>
                <w:szCs w:val="22"/>
              </w:rPr>
              <w:t>15</w:t>
            </w:r>
          </w:p>
        </w:tc>
        <w:tc>
          <w:tcPr>
            <w:tcW w:w="3306" w:type="dxa"/>
            <w:tcBorders>
              <w:bottom w:val="single" w:color="000000" w:sz="8" w:space="0"/>
              <w:right w:val="single" w:color="000000" w:sz="8" w:space="0"/>
            </w:tcBorders>
            <w:noWrap w:val="0"/>
            <w:tcMar>
              <w:top w:w="0" w:type="dxa"/>
              <w:left w:w="108" w:type="dxa"/>
              <w:bottom w:w="0" w:type="dxa"/>
              <w:right w:w="118" w:type="dxa"/>
            </w:tcMar>
            <w:vAlign w:val="bottom"/>
          </w:tcPr>
          <w:p>
            <w:pPr>
              <w:pStyle w:val="93"/>
              <w:spacing w:before="0" w:after="0"/>
              <w:ind w:left="0" w:right="0"/>
              <w:rPr>
                <w:rFonts w:ascii="Calibri" w:hAnsi="Calibri" w:eastAsia="Calibri" w:cs="Calibri"/>
                <w:b w:val="0"/>
                <w:bCs w:val="0"/>
                <w:i w:val="0"/>
                <w:iCs w:val="0"/>
                <w:smallCaps w:val="0"/>
                <w:color w:val="000000"/>
                <w:sz w:val="21"/>
                <w:szCs w:val="21"/>
              </w:rPr>
            </w:pPr>
            <w:r>
              <w:rPr>
                <w:rFonts w:ascii="等线" w:hAnsi="等线" w:eastAsia="等线" w:cs="等线"/>
                <w:b w:val="0"/>
                <w:bCs w:val="0"/>
                <w:i w:val="0"/>
                <w:iCs w:val="0"/>
                <w:smallCaps w:val="0"/>
                <w:color w:val="000000"/>
                <w:sz w:val="22"/>
                <w:szCs w:val="22"/>
              </w:rPr>
              <w:t>DJ_WBJH_HB_XKZ_SPKF</w:t>
            </w:r>
          </w:p>
        </w:tc>
      </w:tr>
      <w:tr>
        <w:tblPrEx>
          <w:tblCellMar>
            <w:top w:w="15" w:type="dxa"/>
            <w:left w:w="15" w:type="dxa"/>
            <w:bottom w:w="15" w:type="dxa"/>
            <w:right w:w="15" w:type="dxa"/>
          </w:tblCellMar>
        </w:tblPrEx>
        <w:trPr>
          <w:trHeight w:val="276" w:hRule="atLeast"/>
          <w:tblCellSpacing w:w="0" w:type="dxa"/>
          <w:jc w:val="center"/>
        </w:trPr>
        <w:tc>
          <w:tcPr>
            <w:tcW w:w="1196" w:type="dxa"/>
            <w:tcBorders>
              <w:left w:val="single" w:color="000000" w:sz="8" w:space="0"/>
              <w:bottom w:val="single" w:color="000000" w:sz="8" w:space="0"/>
              <w:right w:val="single" w:color="000000" w:sz="8" w:space="0"/>
            </w:tcBorders>
            <w:noWrap w:val="0"/>
            <w:tcMar>
              <w:top w:w="0" w:type="dxa"/>
              <w:left w:w="118" w:type="dxa"/>
              <w:bottom w:w="0" w:type="dxa"/>
              <w:right w:w="118" w:type="dxa"/>
            </w:tcMar>
            <w:vAlign w:val="bottom"/>
          </w:tcPr>
          <w:p>
            <w:pPr>
              <w:pStyle w:val="93"/>
              <w:spacing w:before="0" w:after="0"/>
              <w:ind w:left="0" w:right="0"/>
              <w:jc w:val="right"/>
              <w:rPr>
                <w:rFonts w:ascii="Calibri" w:hAnsi="Calibri" w:eastAsia="Calibri" w:cs="Calibri"/>
                <w:b w:val="0"/>
                <w:bCs w:val="0"/>
                <w:i w:val="0"/>
                <w:iCs w:val="0"/>
                <w:smallCaps w:val="0"/>
                <w:color w:val="000000"/>
                <w:sz w:val="21"/>
                <w:szCs w:val="21"/>
              </w:rPr>
            </w:pPr>
            <w:r>
              <w:rPr>
                <w:rFonts w:ascii="等线" w:hAnsi="等线" w:eastAsia="等线" w:cs="等线"/>
                <w:b w:val="0"/>
                <w:bCs w:val="0"/>
                <w:i w:val="0"/>
                <w:iCs w:val="0"/>
                <w:smallCaps w:val="0"/>
                <w:color w:val="000000"/>
                <w:sz w:val="22"/>
                <w:szCs w:val="22"/>
              </w:rPr>
              <w:t>16</w:t>
            </w:r>
          </w:p>
        </w:tc>
        <w:tc>
          <w:tcPr>
            <w:tcW w:w="3306" w:type="dxa"/>
            <w:tcBorders>
              <w:bottom w:val="single" w:color="000000" w:sz="8" w:space="0"/>
              <w:right w:val="single" w:color="000000" w:sz="8" w:space="0"/>
            </w:tcBorders>
            <w:noWrap w:val="0"/>
            <w:tcMar>
              <w:top w:w="0" w:type="dxa"/>
              <w:left w:w="108" w:type="dxa"/>
              <w:bottom w:w="0" w:type="dxa"/>
              <w:right w:w="118" w:type="dxa"/>
            </w:tcMar>
            <w:vAlign w:val="bottom"/>
          </w:tcPr>
          <w:p>
            <w:pPr>
              <w:pStyle w:val="93"/>
              <w:spacing w:before="0" w:after="0"/>
              <w:ind w:left="0" w:right="0"/>
              <w:rPr>
                <w:rFonts w:ascii="Calibri" w:hAnsi="Calibri" w:eastAsia="Calibri" w:cs="Calibri"/>
                <w:b w:val="0"/>
                <w:bCs w:val="0"/>
                <w:i w:val="0"/>
                <w:iCs w:val="0"/>
                <w:smallCaps w:val="0"/>
                <w:color w:val="000000"/>
                <w:sz w:val="21"/>
                <w:szCs w:val="21"/>
              </w:rPr>
            </w:pPr>
            <w:r>
              <w:rPr>
                <w:rFonts w:ascii="等线" w:hAnsi="等线" w:eastAsia="等线" w:cs="等线"/>
                <w:b w:val="0"/>
                <w:bCs w:val="0"/>
                <w:i w:val="0"/>
                <w:iCs w:val="0"/>
                <w:smallCaps w:val="0"/>
                <w:color w:val="000000"/>
                <w:sz w:val="22"/>
                <w:szCs w:val="22"/>
              </w:rPr>
              <w:t>HBJH_JC_ZDJC</w:t>
            </w:r>
          </w:p>
        </w:tc>
      </w:tr>
      <w:tr>
        <w:tblPrEx>
          <w:tblCellMar>
            <w:top w:w="15" w:type="dxa"/>
            <w:left w:w="15" w:type="dxa"/>
            <w:bottom w:w="15" w:type="dxa"/>
            <w:right w:w="15" w:type="dxa"/>
          </w:tblCellMar>
        </w:tblPrEx>
        <w:trPr>
          <w:trHeight w:val="276" w:hRule="atLeast"/>
          <w:tblCellSpacing w:w="0" w:type="dxa"/>
          <w:jc w:val="center"/>
        </w:trPr>
        <w:tc>
          <w:tcPr>
            <w:tcW w:w="1196" w:type="dxa"/>
            <w:tcBorders>
              <w:left w:val="single" w:color="000000" w:sz="8" w:space="0"/>
              <w:bottom w:val="single" w:color="000000" w:sz="8" w:space="0"/>
              <w:right w:val="single" w:color="000000" w:sz="8" w:space="0"/>
            </w:tcBorders>
            <w:noWrap w:val="0"/>
            <w:tcMar>
              <w:top w:w="0" w:type="dxa"/>
              <w:left w:w="118" w:type="dxa"/>
              <w:bottom w:w="0" w:type="dxa"/>
              <w:right w:w="118" w:type="dxa"/>
            </w:tcMar>
            <w:vAlign w:val="bottom"/>
          </w:tcPr>
          <w:p>
            <w:pPr>
              <w:pStyle w:val="93"/>
              <w:spacing w:before="0" w:after="0"/>
              <w:ind w:left="0" w:right="0"/>
              <w:jc w:val="right"/>
              <w:rPr>
                <w:rFonts w:ascii="Calibri" w:hAnsi="Calibri" w:eastAsia="Calibri" w:cs="Calibri"/>
                <w:b w:val="0"/>
                <w:bCs w:val="0"/>
                <w:i w:val="0"/>
                <w:iCs w:val="0"/>
                <w:smallCaps w:val="0"/>
                <w:color w:val="000000"/>
                <w:sz w:val="21"/>
                <w:szCs w:val="21"/>
              </w:rPr>
            </w:pPr>
            <w:r>
              <w:rPr>
                <w:rFonts w:ascii="等线" w:hAnsi="等线" w:eastAsia="等线" w:cs="等线"/>
                <w:b w:val="0"/>
                <w:bCs w:val="0"/>
                <w:i w:val="0"/>
                <w:iCs w:val="0"/>
                <w:smallCaps w:val="0"/>
                <w:color w:val="000000"/>
                <w:sz w:val="22"/>
                <w:szCs w:val="22"/>
              </w:rPr>
              <w:t>17</w:t>
            </w:r>
          </w:p>
        </w:tc>
        <w:tc>
          <w:tcPr>
            <w:tcW w:w="3306" w:type="dxa"/>
            <w:tcBorders>
              <w:bottom w:val="single" w:color="000000" w:sz="8" w:space="0"/>
              <w:right w:val="single" w:color="000000" w:sz="8" w:space="0"/>
            </w:tcBorders>
            <w:noWrap w:val="0"/>
            <w:tcMar>
              <w:top w:w="0" w:type="dxa"/>
              <w:left w:w="108" w:type="dxa"/>
              <w:bottom w:w="0" w:type="dxa"/>
              <w:right w:w="118" w:type="dxa"/>
            </w:tcMar>
            <w:vAlign w:val="bottom"/>
          </w:tcPr>
          <w:p>
            <w:pPr>
              <w:pStyle w:val="93"/>
              <w:spacing w:before="0" w:after="0"/>
              <w:ind w:left="0" w:right="0"/>
              <w:rPr>
                <w:rFonts w:ascii="Calibri" w:hAnsi="Calibri" w:eastAsia="Calibri" w:cs="Calibri"/>
                <w:b w:val="0"/>
                <w:bCs w:val="0"/>
                <w:i w:val="0"/>
                <w:iCs w:val="0"/>
                <w:smallCaps w:val="0"/>
                <w:color w:val="000000"/>
                <w:sz w:val="21"/>
                <w:szCs w:val="21"/>
              </w:rPr>
            </w:pPr>
            <w:r>
              <w:rPr>
                <w:rFonts w:ascii="等线" w:hAnsi="等线" w:eastAsia="等线" w:cs="等线"/>
                <w:b w:val="0"/>
                <w:bCs w:val="0"/>
                <w:i w:val="0"/>
                <w:iCs w:val="0"/>
                <w:smallCaps w:val="0"/>
                <w:color w:val="000000"/>
                <w:sz w:val="22"/>
                <w:szCs w:val="22"/>
              </w:rPr>
              <w:t>HBJH_JC_SGJC</w:t>
            </w:r>
          </w:p>
        </w:tc>
      </w:tr>
      <w:tr>
        <w:tblPrEx>
          <w:tblCellMar>
            <w:top w:w="15" w:type="dxa"/>
            <w:left w:w="15" w:type="dxa"/>
            <w:bottom w:w="15" w:type="dxa"/>
            <w:right w:w="15" w:type="dxa"/>
          </w:tblCellMar>
        </w:tblPrEx>
        <w:trPr>
          <w:trHeight w:val="276" w:hRule="atLeast"/>
          <w:tblCellSpacing w:w="0" w:type="dxa"/>
          <w:jc w:val="center"/>
        </w:trPr>
        <w:tc>
          <w:tcPr>
            <w:tcW w:w="1196" w:type="dxa"/>
            <w:tcBorders>
              <w:left w:val="single" w:color="000000" w:sz="8" w:space="0"/>
              <w:bottom w:val="single" w:color="000000" w:sz="8" w:space="0"/>
              <w:right w:val="single" w:color="000000" w:sz="8" w:space="0"/>
            </w:tcBorders>
            <w:noWrap w:val="0"/>
            <w:tcMar>
              <w:top w:w="0" w:type="dxa"/>
              <w:left w:w="118" w:type="dxa"/>
              <w:bottom w:w="0" w:type="dxa"/>
              <w:right w:w="118" w:type="dxa"/>
            </w:tcMar>
            <w:vAlign w:val="bottom"/>
          </w:tcPr>
          <w:p>
            <w:pPr>
              <w:pStyle w:val="93"/>
              <w:spacing w:before="0" w:after="0"/>
              <w:ind w:left="0" w:right="0"/>
              <w:jc w:val="right"/>
              <w:rPr>
                <w:rFonts w:ascii="Calibri" w:hAnsi="Calibri" w:eastAsia="Calibri" w:cs="Calibri"/>
                <w:b w:val="0"/>
                <w:bCs w:val="0"/>
                <w:i w:val="0"/>
                <w:iCs w:val="0"/>
                <w:smallCaps w:val="0"/>
                <w:color w:val="000000"/>
                <w:sz w:val="21"/>
                <w:szCs w:val="21"/>
              </w:rPr>
            </w:pPr>
            <w:r>
              <w:rPr>
                <w:rFonts w:ascii="等线" w:hAnsi="等线" w:eastAsia="等线" w:cs="等线"/>
                <w:b w:val="0"/>
                <w:bCs w:val="0"/>
                <w:i w:val="0"/>
                <w:iCs w:val="0"/>
                <w:smallCaps w:val="0"/>
                <w:color w:val="000000"/>
                <w:sz w:val="22"/>
                <w:szCs w:val="22"/>
              </w:rPr>
              <w:t>18</w:t>
            </w:r>
          </w:p>
        </w:tc>
        <w:tc>
          <w:tcPr>
            <w:tcW w:w="3306" w:type="dxa"/>
            <w:tcBorders>
              <w:bottom w:val="single" w:color="000000" w:sz="8" w:space="0"/>
              <w:right w:val="single" w:color="000000" w:sz="8" w:space="0"/>
            </w:tcBorders>
            <w:noWrap w:val="0"/>
            <w:tcMar>
              <w:top w:w="0" w:type="dxa"/>
              <w:left w:w="108" w:type="dxa"/>
              <w:bottom w:w="0" w:type="dxa"/>
              <w:right w:w="118" w:type="dxa"/>
            </w:tcMar>
            <w:vAlign w:val="bottom"/>
          </w:tcPr>
          <w:p>
            <w:pPr>
              <w:pStyle w:val="93"/>
              <w:spacing w:before="0" w:after="0"/>
              <w:ind w:left="0" w:right="0"/>
              <w:rPr>
                <w:rFonts w:ascii="Calibri" w:hAnsi="Calibri" w:eastAsia="Calibri" w:cs="Calibri"/>
                <w:b w:val="0"/>
                <w:bCs w:val="0"/>
                <w:i w:val="0"/>
                <w:iCs w:val="0"/>
                <w:smallCaps w:val="0"/>
                <w:color w:val="000000"/>
                <w:sz w:val="21"/>
                <w:szCs w:val="21"/>
              </w:rPr>
            </w:pPr>
            <w:r>
              <w:rPr>
                <w:rFonts w:ascii="等线" w:hAnsi="等线" w:eastAsia="等线" w:cs="等线"/>
                <w:b w:val="0"/>
                <w:bCs w:val="0"/>
                <w:i w:val="0"/>
                <w:iCs w:val="0"/>
                <w:smallCaps w:val="0"/>
                <w:color w:val="000000"/>
                <w:sz w:val="22"/>
                <w:szCs w:val="22"/>
              </w:rPr>
              <w:t>WBJH_ZJFWZX_HGZDZCX</w:t>
            </w:r>
          </w:p>
        </w:tc>
      </w:tr>
      <w:tr>
        <w:tblPrEx>
          <w:tblCellMar>
            <w:top w:w="15" w:type="dxa"/>
            <w:left w:w="15" w:type="dxa"/>
            <w:bottom w:w="15" w:type="dxa"/>
            <w:right w:w="15" w:type="dxa"/>
          </w:tblCellMar>
        </w:tblPrEx>
        <w:trPr>
          <w:trHeight w:val="276" w:hRule="atLeast"/>
          <w:tblCellSpacing w:w="0" w:type="dxa"/>
          <w:jc w:val="center"/>
        </w:trPr>
        <w:tc>
          <w:tcPr>
            <w:tcW w:w="1196" w:type="dxa"/>
            <w:tcBorders>
              <w:left w:val="single" w:color="000000" w:sz="8" w:space="0"/>
              <w:bottom w:val="single" w:color="000000" w:sz="8" w:space="0"/>
              <w:right w:val="single" w:color="000000" w:sz="8" w:space="0"/>
            </w:tcBorders>
            <w:noWrap w:val="0"/>
            <w:tcMar>
              <w:top w:w="0" w:type="dxa"/>
              <w:left w:w="118" w:type="dxa"/>
              <w:bottom w:w="0" w:type="dxa"/>
              <w:right w:w="118" w:type="dxa"/>
            </w:tcMar>
            <w:vAlign w:val="bottom"/>
          </w:tcPr>
          <w:p>
            <w:pPr>
              <w:pStyle w:val="93"/>
              <w:spacing w:before="0" w:after="0"/>
              <w:ind w:left="0" w:right="0"/>
              <w:jc w:val="right"/>
              <w:rPr>
                <w:rFonts w:ascii="Calibri" w:hAnsi="Calibri" w:eastAsia="Calibri" w:cs="Calibri"/>
                <w:b w:val="0"/>
                <w:bCs w:val="0"/>
                <w:i w:val="0"/>
                <w:iCs w:val="0"/>
                <w:smallCaps w:val="0"/>
                <w:color w:val="000000"/>
                <w:sz w:val="21"/>
                <w:szCs w:val="21"/>
              </w:rPr>
            </w:pPr>
            <w:r>
              <w:rPr>
                <w:rFonts w:ascii="等线" w:hAnsi="等线" w:eastAsia="等线" w:cs="等线"/>
                <w:b w:val="0"/>
                <w:bCs w:val="0"/>
                <w:i w:val="0"/>
                <w:iCs w:val="0"/>
                <w:smallCaps w:val="0"/>
                <w:color w:val="000000"/>
                <w:sz w:val="22"/>
                <w:szCs w:val="22"/>
              </w:rPr>
              <w:t>19</w:t>
            </w:r>
          </w:p>
        </w:tc>
        <w:tc>
          <w:tcPr>
            <w:tcW w:w="3306" w:type="dxa"/>
            <w:tcBorders>
              <w:bottom w:val="single" w:color="000000" w:sz="8" w:space="0"/>
              <w:right w:val="single" w:color="000000" w:sz="8" w:space="0"/>
            </w:tcBorders>
            <w:noWrap w:val="0"/>
            <w:tcMar>
              <w:top w:w="0" w:type="dxa"/>
              <w:left w:w="108" w:type="dxa"/>
              <w:bottom w:w="0" w:type="dxa"/>
              <w:right w:w="118" w:type="dxa"/>
            </w:tcMar>
            <w:vAlign w:val="bottom"/>
          </w:tcPr>
          <w:p>
            <w:pPr>
              <w:pStyle w:val="93"/>
              <w:spacing w:before="0" w:after="0"/>
              <w:ind w:left="0" w:right="0"/>
              <w:rPr>
                <w:rFonts w:ascii="Calibri" w:hAnsi="Calibri" w:eastAsia="Calibri" w:cs="Calibri"/>
                <w:b w:val="0"/>
                <w:bCs w:val="0"/>
                <w:i w:val="0"/>
                <w:iCs w:val="0"/>
                <w:smallCaps w:val="0"/>
                <w:color w:val="000000"/>
                <w:sz w:val="21"/>
                <w:szCs w:val="21"/>
              </w:rPr>
            </w:pPr>
            <w:r>
              <w:rPr>
                <w:rFonts w:ascii="等线" w:hAnsi="等线" w:eastAsia="等线" w:cs="等线"/>
                <w:b w:val="0"/>
                <w:bCs w:val="0"/>
                <w:i w:val="0"/>
                <w:iCs w:val="0"/>
                <w:smallCaps w:val="0"/>
                <w:color w:val="000000"/>
                <w:sz w:val="22"/>
                <w:szCs w:val="22"/>
              </w:rPr>
              <w:t>WBJH_ZGCL_CJ_JMXX</w:t>
            </w:r>
          </w:p>
        </w:tc>
      </w:tr>
    </w:tbl>
    <w:p>
      <w:pPr>
        <w:pStyle w:val="93"/>
        <w:spacing w:before="0" w:after="0" w:line="360" w:lineRule="auto"/>
        <w:ind w:left="0" w:right="0"/>
        <w:jc w:val="both"/>
        <w:rPr>
          <w:rFonts w:ascii="Calibri" w:hAnsi="Calibri" w:eastAsia="Calibri" w:cs="Calibri"/>
          <w:sz w:val="21"/>
          <w:szCs w:val="21"/>
        </w:rPr>
      </w:pPr>
      <w:r>
        <w:rPr>
          <w:rFonts w:ascii="仿宋_GB2312" w:hAnsi="仿宋_GB2312" w:eastAsia="仿宋_GB2312" w:cs="仿宋_GB2312"/>
          <w:sz w:val="28"/>
          <w:szCs w:val="28"/>
        </w:rPr>
        <w:t>1.6.3信息共享接口改造</w:t>
      </w:r>
    </w:p>
    <w:p>
      <w:pPr>
        <w:pStyle w:val="93"/>
        <w:spacing w:before="0" w:after="0" w:line="360" w:lineRule="auto"/>
        <w:ind w:left="351" w:right="0" w:firstLine="640"/>
        <w:jc w:val="both"/>
        <w:rPr>
          <w:rFonts w:ascii="Calibri" w:hAnsi="Calibri" w:eastAsia="Calibri" w:cs="Calibri"/>
          <w:sz w:val="21"/>
          <w:szCs w:val="21"/>
        </w:rPr>
      </w:pPr>
      <w:r>
        <w:rPr>
          <w:rFonts w:ascii="仿宋_GB2312" w:hAnsi="仿宋_GB2312" w:eastAsia="仿宋_GB2312" w:cs="仿宋_GB2312"/>
          <w:sz w:val="28"/>
          <w:szCs w:val="28"/>
        </w:rPr>
        <w:t>#与市监部门对企业、个体工商户智能开业所需数据项逐一核对，保证每项数据的准确性，如有缺失数据项，两端同时进行改造。</w:t>
      </w:r>
    </w:p>
    <w:p>
      <w:pPr>
        <w:pStyle w:val="93"/>
        <w:spacing w:before="0" w:after="0" w:line="360" w:lineRule="auto"/>
        <w:ind w:left="0" w:right="0"/>
        <w:jc w:val="both"/>
        <w:rPr>
          <w:rFonts w:ascii="Calibri" w:hAnsi="Calibri" w:eastAsia="Calibri" w:cs="Calibri"/>
          <w:sz w:val="21"/>
          <w:szCs w:val="21"/>
        </w:rPr>
      </w:pPr>
      <w:r>
        <w:rPr>
          <w:rFonts w:ascii="仿宋_GB2312" w:hAnsi="仿宋_GB2312" w:eastAsia="仿宋_GB2312" w:cs="仿宋_GB2312"/>
          <w:sz w:val="28"/>
          <w:szCs w:val="28"/>
        </w:rPr>
        <w:t>1.6.4数据处理转换</w:t>
      </w:r>
    </w:p>
    <w:p>
      <w:pPr>
        <w:pStyle w:val="93"/>
        <w:spacing w:before="0" w:after="0" w:line="360" w:lineRule="auto"/>
        <w:ind w:left="210" w:right="0" w:firstLine="640"/>
        <w:jc w:val="both"/>
        <w:rPr>
          <w:rFonts w:ascii="Calibri" w:hAnsi="Calibri" w:eastAsia="Calibri" w:cs="Calibri"/>
          <w:sz w:val="21"/>
          <w:szCs w:val="21"/>
        </w:rPr>
      </w:pPr>
      <w:r>
        <w:rPr>
          <w:rFonts w:ascii="仿宋_GB2312" w:hAnsi="仿宋_GB2312" w:eastAsia="仿宋_GB2312" w:cs="仿宋_GB2312"/>
          <w:sz w:val="28"/>
          <w:szCs w:val="28"/>
        </w:rPr>
        <w:t>#对于税务端与市监端代码表不一致的情况，双方制定标准的代码对应关系，各自对需要的代码进行对照转换。</w:t>
      </w:r>
    </w:p>
    <w:p>
      <w:pPr>
        <w:pStyle w:val="93"/>
        <w:spacing w:before="0" w:after="0" w:line="360" w:lineRule="auto"/>
        <w:ind w:left="0" w:right="0"/>
        <w:jc w:val="both"/>
        <w:rPr>
          <w:rFonts w:ascii="Calibri" w:hAnsi="Calibri" w:eastAsia="Calibri" w:cs="Calibri"/>
          <w:sz w:val="21"/>
          <w:szCs w:val="21"/>
        </w:rPr>
      </w:pPr>
      <w:r>
        <w:rPr>
          <w:rFonts w:ascii="仿宋_GB2312" w:hAnsi="仿宋_GB2312" w:eastAsia="仿宋_GB2312" w:cs="仿宋_GB2312"/>
          <w:sz w:val="28"/>
          <w:szCs w:val="28"/>
        </w:rPr>
        <w:t>1.6.5消息中间件投放</w:t>
      </w:r>
    </w:p>
    <w:p>
      <w:pPr>
        <w:pStyle w:val="93"/>
        <w:spacing w:before="0" w:after="0" w:line="360" w:lineRule="auto"/>
        <w:ind w:left="210" w:right="0" w:firstLine="640"/>
        <w:jc w:val="both"/>
        <w:rPr>
          <w:rFonts w:ascii="Calibri" w:hAnsi="Calibri" w:eastAsia="Calibri" w:cs="Calibri"/>
          <w:sz w:val="21"/>
          <w:szCs w:val="21"/>
        </w:rPr>
      </w:pPr>
      <w:r>
        <w:rPr>
          <w:rFonts w:ascii="仿宋_GB2312" w:hAnsi="仿宋_GB2312" w:eastAsia="仿宋_GB2312" w:cs="仿宋_GB2312"/>
          <w:sz w:val="28"/>
          <w:szCs w:val="28"/>
        </w:rPr>
        <w:t>将企业、个体工商户智能开业所需要的数据推送到腾讯云消息中间件中，供下游系统订阅。</w:t>
      </w:r>
    </w:p>
    <w:p>
      <w:pPr>
        <w:pStyle w:val="93"/>
        <w:spacing w:before="0" w:after="0" w:line="360" w:lineRule="auto"/>
        <w:ind w:left="0" w:right="0"/>
        <w:jc w:val="both"/>
        <w:rPr>
          <w:rFonts w:ascii="Calibri" w:hAnsi="Calibri" w:eastAsia="Calibri" w:cs="Calibri"/>
          <w:sz w:val="21"/>
          <w:szCs w:val="21"/>
        </w:rPr>
      </w:pPr>
      <w:r>
        <w:rPr>
          <w:rFonts w:ascii="仿宋_GB2312" w:hAnsi="仿宋_GB2312" w:eastAsia="仿宋_GB2312" w:cs="仿宋_GB2312"/>
          <w:sz w:val="28"/>
          <w:szCs w:val="28"/>
        </w:rPr>
        <w:t>1.6.6联调测试</w:t>
      </w:r>
    </w:p>
    <w:p>
      <w:pPr>
        <w:pStyle w:val="93"/>
        <w:spacing w:before="0" w:after="0" w:line="360" w:lineRule="auto"/>
        <w:ind w:left="0" w:right="0" w:firstLine="420"/>
        <w:jc w:val="both"/>
        <w:rPr>
          <w:rFonts w:ascii="Calibri" w:hAnsi="Calibri" w:eastAsia="Calibri" w:cs="Calibri"/>
          <w:sz w:val="21"/>
          <w:szCs w:val="21"/>
        </w:rPr>
      </w:pPr>
      <w:r>
        <w:rPr>
          <w:rFonts w:ascii="仿宋_GB2312" w:hAnsi="仿宋_GB2312" w:eastAsia="仿宋_GB2312" w:cs="仿宋_GB2312"/>
          <w:sz w:val="28"/>
          <w:szCs w:val="28"/>
        </w:rPr>
        <w:t>  联合市监、E窗通、外部信息交换、应用支撑平台、新电局等多方系统进行联调测试。</w:t>
      </w:r>
    </w:p>
    <w:p>
      <w:pPr>
        <w:pStyle w:val="91"/>
        <w:keepNext w:val="0"/>
        <w:spacing w:before="0" w:after="0" w:line="360" w:lineRule="auto"/>
        <w:rPr>
          <w:rFonts w:ascii="仿宋_GB2312" w:hAnsi="仿宋_GB2312" w:eastAsia="仿宋_GB2312" w:cs="仿宋_GB2312"/>
          <w:b/>
          <w:bCs/>
          <w:sz w:val="28"/>
          <w:szCs w:val="28"/>
        </w:rPr>
      </w:pPr>
      <w:bookmarkStart w:id="23" w:name="_Toc256000019"/>
      <w:r>
        <w:rPr>
          <w:rFonts w:ascii="仿宋_GB2312" w:hAnsi="仿宋_GB2312" w:eastAsia="仿宋_GB2312" w:cs="仿宋_GB2312"/>
          <w:i w:val="0"/>
          <w:iCs w:val="0"/>
        </w:rPr>
        <w:t>3.2服务内容和要求</w:t>
      </w:r>
      <w:bookmarkEnd w:id="23"/>
    </w:p>
    <w:p>
      <w:pPr>
        <w:pStyle w:val="18"/>
        <w:spacing w:before="0" w:after="0" w:line="360" w:lineRule="auto"/>
        <w:ind w:firstLine="561"/>
        <w:rPr>
          <w:rFonts w:ascii="仿宋_GB2312" w:hAnsi="仿宋_GB2312" w:eastAsia="仿宋_GB2312" w:cs="仿宋_GB2312"/>
          <w:sz w:val="28"/>
          <w:szCs w:val="28"/>
        </w:rPr>
      </w:pPr>
      <w:r>
        <w:rPr>
          <w:rFonts w:ascii="仿宋_GB2312" w:hAnsi="仿宋_GB2312" w:eastAsia="仿宋_GB2312" w:cs="仿宋_GB2312"/>
          <w:sz w:val="28"/>
          <w:szCs w:val="28"/>
        </w:rPr>
        <w:t>采购文件（技术部分）中有标注★号的，为必备服务要求，必须满足，如未作出响应，将导致响应无效；#为重要服务内容、△为一般服务内容。</w:t>
      </w:r>
    </w:p>
    <w:p>
      <w:pPr>
        <w:pStyle w:val="92"/>
        <w:keepNext w:val="0"/>
        <w:spacing w:before="0" w:after="0" w:line="360" w:lineRule="auto"/>
        <w:rPr>
          <w:rFonts w:ascii="仿宋_GB2312" w:hAnsi="仿宋_GB2312" w:eastAsia="仿宋_GB2312" w:cs="仿宋_GB2312"/>
          <w:b/>
          <w:bCs/>
          <w:sz w:val="28"/>
          <w:szCs w:val="28"/>
        </w:rPr>
      </w:pPr>
      <w:bookmarkStart w:id="24" w:name="_Toc256000020"/>
      <w:r>
        <w:rPr>
          <w:rFonts w:ascii="仿宋_GB2312" w:hAnsi="仿宋_GB2312" w:eastAsia="仿宋_GB2312" w:cs="仿宋_GB2312"/>
          <w:sz w:val="28"/>
          <w:szCs w:val="28"/>
        </w:rPr>
        <w:t>3.2.1技术和服务客观指标</w:t>
      </w:r>
      <w:bookmarkEnd w:id="24"/>
    </w:p>
    <w:p>
      <w:pPr>
        <w:pStyle w:val="90"/>
        <w:keepNext w:val="0"/>
        <w:spacing w:before="0" w:after="0" w:line="360" w:lineRule="auto"/>
        <w:jc w:val="center"/>
        <w:rPr>
          <w:rFonts w:ascii="仿宋_GB2312" w:hAnsi="仿宋_GB2312" w:eastAsia="仿宋_GB2312" w:cs="仿宋_GB2312"/>
          <w:b/>
          <w:bCs/>
          <w:sz w:val="32"/>
          <w:szCs w:val="32"/>
        </w:rPr>
      </w:pPr>
      <w:bookmarkStart w:id="25" w:name="_Toc256000021"/>
      <w:r>
        <w:rPr>
          <w:rFonts w:ascii="仿宋_GB2312" w:hAnsi="仿宋_GB2312" w:eastAsia="仿宋_GB2312" w:cs="仿宋_GB2312"/>
          <w:kern w:val="36"/>
        </w:rPr>
        <w:t>4人员要求</w:t>
      </w:r>
      <w:bookmarkEnd w:id="25"/>
    </w:p>
    <w:p>
      <w:pPr>
        <w:pStyle w:val="91"/>
        <w:keepNext w:val="0"/>
        <w:spacing w:before="0" w:after="0" w:line="360" w:lineRule="auto"/>
        <w:rPr>
          <w:rFonts w:ascii="仿宋_GB2312" w:hAnsi="仿宋_GB2312" w:eastAsia="仿宋_GB2312" w:cs="仿宋_GB2312"/>
          <w:b/>
          <w:bCs/>
          <w:sz w:val="28"/>
          <w:szCs w:val="28"/>
        </w:rPr>
      </w:pPr>
      <w:bookmarkStart w:id="26" w:name="_Toc256000022"/>
      <w:r>
        <w:rPr>
          <w:rFonts w:ascii="仿宋_GB2312" w:hAnsi="仿宋_GB2312" w:eastAsia="仿宋_GB2312" w:cs="仿宋_GB2312"/>
          <w:i w:val="0"/>
          <w:iCs w:val="0"/>
        </w:rPr>
        <w:t>4.1总体要求</w:t>
      </w:r>
      <w:bookmarkEnd w:id="26"/>
    </w:p>
    <w:p>
      <w:pPr>
        <w:pStyle w:val="93"/>
        <w:pBdr>
          <w:top w:val="none" w:color="auto" w:sz="0" w:space="0"/>
          <w:left w:val="none" w:color="auto" w:sz="0" w:space="0"/>
          <w:bottom w:val="none" w:color="auto" w:sz="0" w:space="0"/>
          <w:right w:val="none" w:color="auto" w:sz="0" w:space="0"/>
        </w:pBdr>
        <w:spacing w:before="0" w:after="0" w:line="360" w:lineRule="auto"/>
        <w:ind w:left="0" w:right="0" w:firstLine="480"/>
        <w:jc w:val="both"/>
        <w:rPr>
          <w:rFonts w:ascii="Times New Roman" w:hAnsi="Times New Roman" w:eastAsia="Times New Roman" w:cs="Times New Roman"/>
        </w:rPr>
      </w:pPr>
      <w:r>
        <w:rPr>
          <w:rFonts w:ascii="FangSong_GB2312" w:hAnsi="FangSong_GB2312" w:eastAsia="FangSong_GB2312" w:cs="FangSong_GB2312"/>
          <w:sz w:val="28"/>
          <w:szCs w:val="28"/>
        </w:rPr>
        <w:t>投标人投入本项目的技术人员应定位准确、岗位职责分配合理。</w:t>
      </w:r>
    </w:p>
    <w:p>
      <w:pPr>
        <w:pStyle w:val="93"/>
        <w:pBdr>
          <w:top w:val="none" w:color="auto" w:sz="0" w:space="0"/>
          <w:left w:val="none" w:color="auto" w:sz="0" w:space="0"/>
          <w:bottom w:val="none" w:color="auto" w:sz="0" w:space="0"/>
          <w:right w:val="none" w:color="auto" w:sz="0" w:space="0"/>
        </w:pBdr>
        <w:spacing w:before="0" w:after="0" w:line="360" w:lineRule="auto"/>
        <w:ind w:left="0" w:right="0" w:firstLine="480"/>
        <w:jc w:val="both"/>
        <w:rPr>
          <w:rFonts w:ascii="Times New Roman" w:hAnsi="Times New Roman" w:eastAsia="Times New Roman" w:cs="Times New Roman"/>
        </w:rPr>
      </w:pPr>
      <w:r>
        <w:rPr>
          <w:rFonts w:ascii="FangSong_GB2312" w:hAnsi="FangSong_GB2312" w:eastAsia="FangSong_GB2312" w:cs="FangSong_GB2312"/>
          <w:sz w:val="28"/>
          <w:szCs w:val="28"/>
        </w:rPr>
        <w:t>投标人投入本项目的技术人员应具备相应技术资质、具备符合项目要求的专业程度和工作经验。</w:t>
      </w:r>
    </w:p>
    <w:p>
      <w:pPr>
        <w:pStyle w:val="93"/>
        <w:pBdr>
          <w:top w:val="none" w:color="auto" w:sz="0" w:space="0"/>
          <w:left w:val="none" w:color="auto" w:sz="0" w:space="0"/>
          <w:bottom w:val="none" w:color="auto" w:sz="0" w:space="0"/>
          <w:right w:val="none" w:color="auto" w:sz="0" w:space="0"/>
        </w:pBdr>
        <w:spacing w:before="0" w:after="0" w:line="360" w:lineRule="auto"/>
        <w:ind w:left="0" w:right="0" w:firstLine="480"/>
        <w:jc w:val="both"/>
        <w:rPr>
          <w:rFonts w:ascii="Times New Roman" w:hAnsi="Times New Roman" w:eastAsia="Times New Roman" w:cs="Times New Roman"/>
        </w:rPr>
      </w:pPr>
      <w:r>
        <w:rPr>
          <w:rFonts w:ascii="FangSong_GB2312" w:hAnsi="FangSong_GB2312" w:eastAsia="FangSong_GB2312" w:cs="FangSong_GB2312"/>
          <w:sz w:val="28"/>
          <w:szCs w:val="28"/>
        </w:rPr>
        <w:t>投标人投入本项目的项目管理人员应具备类似项目经历，管理经验丰富。</w:t>
      </w:r>
    </w:p>
    <w:p>
      <w:pPr>
        <w:pStyle w:val="93"/>
        <w:pBdr>
          <w:top w:val="none" w:color="auto" w:sz="0" w:space="0"/>
          <w:left w:val="none" w:color="auto" w:sz="0" w:space="0"/>
          <w:bottom w:val="none" w:color="auto" w:sz="0" w:space="0"/>
          <w:right w:val="none" w:color="auto" w:sz="0" w:space="0"/>
        </w:pBdr>
        <w:spacing w:before="0" w:after="0" w:line="360" w:lineRule="auto"/>
        <w:ind w:left="0" w:right="0" w:firstLine="480"/>
        <w:jc w:val="both"/>
        <w:rPr>
          <w:rFonts w:ascii="Times New Roman" w:hAnsi="Times New Roman" w:eastAsia="Times New Roman" w:cs="Times New Roman"/>
        </w:rPr>
      </w:pPr>
      <w:r>
        <w:rPr>
          <w:rFonts w:ascii="FangSong_GB2312" w:hAnsi="FangSong_GB2312" w:eastAsia="FangSong_GB2312" w:cs="FangSong_GB2312"/>
          <w:sz w:val="28"/>
          <w:szCs w:val="28"/>
        </w:rPr>
        <w:t>投标人投入本项目的技术人员数量满足项目要求，人员稳定性高。</w:t>
      </w:r>
    </w:p>
    <w:p>
      <w:pPr>
        <w:pStyle w:val="91"/>
        <w:keepNext w:val="0"/>
        <w:spacing w:before="0" w:after="0" w:line="360" w:lineRule="auto"/>
        <w:rPr>
          <w:rFonts w:ascii="仿宋_GB2312" w:hAnsi="仿宋_GB2312" w:eastAsia="仿宋_GB2312" w:cs="仿宋_GB2312"/>
          <w:b/>
          <w:bCs/>
          <w:sz w:val="28"/>
          <w:szCs w:val="28"/>
        </w:rPr>
      </w:pPr>
      <w:bookmarkStart w:id="27" w:name="_Toc256000023"/>
      <w:r>
        <w:rPr>
          <w:rFonts w:ascii="仿宋_GB2312" w:hAnsi="仿宋_GB2312" w:eastAsia="仿宋_GB2312" w:cs="仿宋_GB2312"/>
          <w:i w:val="0"/>
          <w:iCs w:val="0"/>
        </w:rPr>
        <w:t>4.2管理团队</w:t>
      </w:r>
      <w:bookmarkEnd w:id="27"/>
    </w:p>
    <w:p>
      <w:pPr>
        <w:pStyle w:val="92"/>
        <w:keepNext w:val="0"/>
        <w:spacing w:before="0" w:after="0" w:line="360" w:lineRule="auto"/>
        <w:rPr>
          <w:rFonts w:ascii="仿宋_GB2312" w:hAnsi="仿宋_GB2312" w:eastAsia="仿宋_GB2312" w:cs="仿宋_GB2312"/>
          <w:b/>
          <w:bCs/>
          <w:sz w:val="28"/>
          <w:szCs w:val="28"/>
        </w:rPr>
      </w:pPr>
      <w:bookmarkStart w:id="28" w:name="_Toc256000024"/>
      <w:r>
        <w:rPr>
          <w:rFonts w:ascii="仿宋_GB2312" w:hAnsi="仿宋_GB2312" w:eastAsia="仿宋_GB2312" w:cs="仿宋_GB2312"/>
          <w:sz w:val="28"/>
          <w:szCs w:val="28"/>
        </w:rPr>
        <w:t>4.2.1项目总监</w:t>
      </w:r>
      <w:bookmarkEnd w:id="28"/>
    </w:p>
    <w:p>
      <w:pPr>
        <w:pStyle w:val="93"/>
        <w:spacing w:before="0" w:after="0" w:line="360" w:lineRule="auto"/>
        <w:rPr>
          <w:rFonts w:ascii="Times New Roman" w:hAnsi="Times New Roman" w:eastAsia="Times New Roman" w:cs="Times New Roman"/>
        </w:rPr>
      </w:pPr>
      <w:r>
        <w:rPr>
          <w:rFonts w:ascii="Times New Roman" w:hAnsi="Times New Roman" w:eastAsia="Times New Roman" w:cs="Times New Roman"/>
          <w:sz w:val="28"/>
          <w:szCs w:val="28"/>
        </w:rPr>
        <w:t>无</w:t>
      </w:r>
    </w:p>
    <w:p>
      <w:pPr>
        <w:pStyle w:val="92"/>
        <w:keepNext w:val="0"/>
        <w:spacing w:before="0" w:after="0" w:line="360" w:lineRule="auto"/>
        <w:rPr>
          <w:rFonts w:ascii="仿宋_GB2312" w:hAnsi="仿宋_GB2312" w:eastAsia="仿宋_GB2312" w:cs="仿宋_GB2312"/>
          <w:b/>
          <w:bCs/>
          <w:sz w:val="28"/>
          <w:szCs w:val="28"/>
        </w:rPr>
      </w:pPr>
      <w:bookmarkStart w:id="29" w:name="_Toc256000025"/>
      <w:r>
        <w:rPr>
          <w:rFonts w:ascii="仿宋_GB2312" w:hAnsi="仿宋_GB2312" w:eastAsia="仿宋_GB2312" w:cs="仿宋_GB2312"/>
          <w:sz w:val="28"/>
          <w:szCs w:val="28"/>
        </w:rPr>
        <w:t>4.2.2项目经理</w:t>
      </w:r>
      <w:bookmarkEnd w:id="29"/>
    </w:p>
    <w:p>
      <w:pPr>
        <w:pStyle w:val="9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投标人应安排</w:t>
      </w:r>
      <w:r>
        <w:rPr>
          <w:rFonts w:ascii="FangSong_GB2312" w:hAnsi="FangSong_GB2312" w:eastAsia="FangSong_GB2312" w:cs="FangSong_GB2312"/>
          <w:sz w:val="28"/>
          <w:szCs w:val="28"/>
        </w:rPr>
        <w:t>1名综合技术实力较强的项目经理，与采购人共同统筹及协调一切与本项目有关的事项，领导并监督项目组中投标人人员的工作情况。与采购人定时审查及监督项目实施过程，处理项目实施中的各项变更事宜。投标人应当出具针对本项目的项目管理方案，方案能够保障项目进度及组织计划，确保人员配备合理、计划措施得当，能够提供有效的质量及风险识别措施以及质量及风险控制措施保证项目的质量及稳定性。</w:t>
      </w:r>
    </w:p>
    <w:p>
      <w:pPr>
        <w:pStyle w:val="91"/>
        <w:keepNext w:val="0"/>
        <w:spacing w:before="0" w:after="0" w:line="360" w:lineRule="auto"/>
        <w:rPr>
          <w:rFonts w:ascii="仿宋_GB2312" w:hAnsi="仿宋_GB2312" w:eastAsia="仿宋_GB2312" w:cs="仿宋_GB2312"/>
          <w:b/>
          <w:bCs/>
          <w:sz w:val="28"/>
          <w:szCs w:val="28"/>
        </w:rPr>
      </w:pPr>
      <w:bookmarkStart w:id="30" w:name="_Toc256000026"/>
      <w:r>
        <w:rPr>
          <w:rFonts w:ascii="仿宋_GB2312" w:hAnsi="仿宋_GB2312" w:eastAsia="仿宋_GB2312" w:cs="仿宋_GB2312"/>
          <w:i w:val="0"/>
          <w:iCs w:val="0"/>
        </w:rPr>
        <w:t>4.3技术团队</w:t>
      </w:r>
      <w:bookmarkEnd w:id="30"/>
    </w:p>
    <w:p>
      <w:pPr>
        <w:pStyle w:val="93"/>
        <w:spacing w:before="0" w:after="0" w:line="360" w:lineRule="auto"/>
        <w:ind w:left="0" w:right="0" w:firstLine="480"/>
        <w:jc w:val="both"/>
        <w:rPr>
          <w:rFonts w:ascii="Times New Roman" w:hAnsi="Times New Roman" w:eastAsia="Times New Roman" w:cs="Times New Roman"/>
        </w:rPr>
      </w:pPr>
      <w:r>
        <w:rPr>
          <w:rFonts w:ascii="FangSong_GB2312" w:hAnsi="FangSong_GB2312" w:eastAsia="FangSong_GB2312" w:cs="FangSong_GB2312"/>
          <w:sz w:val="28"/>
          <w:szCs w:val="28"/>
        </w:rPr>
        <w:t>中标人应提供足够人员用于本项目的升级改造，包括但不限于管理人员、技术开发人员、后期维护人员等。</w:t>
      </w:r>
    </w:p>
    <w:p>
      <w:pPr>
        <w:pStyle w:val="91"/>
        <w:keepNext w:val="0"/>
        <w:spacing w:before="0" w:after="0" w:line="360" w:lineRule="auto"/>
        <w:rPr>
          <w:rFonts w:ascii="仿宋_GB2312" w:hAnsi="仿宋_GB2312" w:eastAsia="仿宋_GB2312" w:cs="仿宋_GB2312"/>
          <w:b/>
          <w:bCs/>
          <w:sz w:val="28"/>
          <w:szCs w:val="28"/>
        </w:rPr>
      </w:pPr>
      <w:bookmarkStart w:id="31" w:name="_Toc256000027"/>
      <w:r>
        <w:rPr>
          <w:rFonts w:ascii="仿宋_GB2312" w:hAnsi="仿宋_GB2312" w:eastAsia="仿宋_GB2312" w:cs="仿宋_GB2312"/>
          <w:i w:val="0"/>
          <w:iCs w:val="0"/>
        </w:rPr>
        <w:t>4.4优选资质/优选指标</w:t>
      </w:r>
      <w:bookmarkEnd w:id="31"/>
    </w:p>
    <w:tbl>
      <w:tblPr>
        <w:tblStyle w:val="32"/>
        <w:tblW w:w="5000" w:type="pct"/>
        <w:tblInd w:w="30" w:type="dxa"/>
        <w:tblLayout w:type="autofit"/>
        <w:tblCellMar>
          <w:top w:w="15" w:type="dxa"/>
          <w:left w:w="15" w:type="dxa"/>
          <w:bottom w:w="15" w:type="dxa"/>
          <w:right w:w="15" w:type="dxa"/>
        </w:tblCellMar>
      </w:tblPr>
      <w:tblGrid>
        <w:gridCol w:w="926"/>
        <w:gridCol w:w="2036"/>
        <w:gridCol w:w="2036"/>
        <w:gridCol w:w="2036"/>
        <w:gridCol w:w="2036"/>
      </w:tblGrid>
      <w:tr>
        <w:tblPrEx>
          <w:tblCellMar>
            <w:top w:w="15" w:type="dxa"/>
            <w:left w:w="15" w:type="dxa"/>
            <w:bottom w:w="15" w:type="dxa"/>
            <w:right w:w="15" w:type="dxa"/>
          </w:tblCellMar>
        </w:tblPrEx>
        <w:tc>
          <w:tcPr>
            <w:tcW w:w="5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pStyle w:val="18"/>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序号</w:t>
            </w:r>
          </w:p>
        </w:tc>
        <w:tc>
          <w:tcPr>
            <w:tcW w:w="11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pStyle w:val="18"/>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人员类别</w:t>
            </w:r>
          </w:p>
        </w:tc>
        <w:tc>
          <w:tcPr>
            <w:tcW w:w="11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pStyle w:val="18"/>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人员岗位</w:t>
            </w:r>
          </w:p>
        </w:tc>
        <w:tc>
          <w:tcPr>
            <w:tcW w:w="11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pStyle w:val="18"/>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人员要求</w:t>
            </w:r>
          </w:p>
        </w:tc>
        <w:tc>
          <w:tcPr>
            <w:tcW w:w="11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pStyle w:val="18"/>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是否作为加分项</w:t>
            </w:r>
          </w:p>
        </w:tc>
      </w:tr>
      <w:tr>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信息系统项目管理师</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项目经理</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项目经理应具备信息系统项目管理师资格证书。</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r>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高级信息技术专业人员</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高级技术人员</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具有计算机技术与软件专业技术高级资格证书（包括信息系统项目管理师、系统分析师、系统架构设计师）</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r>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中级信息技术专业人员</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技术人员</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具有计算机技术与软件专业技术中级资格证书（包括软件评测师、软件设计师、软件过程能力评估师、系统集成项目管理工程师、信息系统监理师、信息安全工程师、数据库系统工程师、信息系统管理工程师）</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r>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初级信息技术专业人员</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普通技术人员</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具有计算机技术与软件专业技术初级资格证书（包括程序员、信息系统运行管理员）</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bl>
    <w:p>
      <w:pPr>
        <w:pStyle w:val="90"/>
        <w:keepNext w:val="0"/>
        <w:spacing w:before="0" w:after="0" w:line="360" w:lineRule="auto"/>
        <w:jc w:val="center"/>
        <w:rPr>
          <w:rFonts w:ascii="仿宋_GB2312" w:hAnsi="仿宋_GB2312" w:eastAsia="仿宋_GB2312" w:cs="仿宋_GB2312"/>
          <w:b/>
          <w:bCs/>
          <w:sz w:val="32"/>
          <w:szCs w:val="32"/>
        </w:rPr>
      </w:pPr>
      <w:bookmarkStart w:id="32" w:name="_Toc256000028"/>
      <w:r>
        <w:rPr>
          <w:rFonts w:ascii="仿宋_GB2312" w:hAnsi="仿宋_GB2312" w:eastAsia="仿宋_GB2312" w:cs="仿宋_GB2312"/>
          <w:kern w:val="36"/>
        </w:rPr>
        <w:t>5管理实施要求</w:t>
      </w:r>
      <w:bookmarkEnd w:id="32"/>
    </w:p>
    <w:p>
      <w:pPr>
        <w:pStyle w:val="93"/>
        <w:spacing w:before="0" w:after="0" w:line="360" w:lineRule="auto"/>
        <w:ind w:left="0" w:right="0" w:firstLine="446"/>
        <w:rPr>
          <w:rFonts w:ascii="Times New Roman" w:hAnsi="Times New Roman" w:eastAsia="Times New Roman" w:cs="Times New Roman"/>
        </w:rPr>
      </w:pPr>
      <w:r>
        <w:rPr>
          <w:rFonts w:ascii="FangSong_GB2312" w:hAnsi="FangSong_GB2312" w:eastAsia="FangSong_GB2312" w:cs="FangSong_GB2312"/>
          <w:sz w:val="28"/>
          <w:szCs w:val="28"/>
        </w:rPr>
        <w:t>1.本项目要求30天内完成项目实施上线及项目终验，包括需求分析、概要设计、代码开发、软件测试、上线部署实施、验收等阶段。</w:t>
      </w:r>
    </w:p>
    <w:p>
      <w:pPr>
        <w:pStyle w:val="93"/>
        <w:spacing w:before="0" w:after="0" w:line="360" w:lineRule="auto"/>
        <w:ind w:left="0" w:right="0" w:firstLine="446"/>
        <w:rPr>
          <w:rFonts w:ascii="Times New Roman" w:hAnsi="Times New Roman" w:eastAsia="Times New Roman" w:cs="Times New Roman"/>
        </w:rPr>
      </w:pPr>
      <w:r>
        <w:rPr>
          <w:rFonts w:ascii="FangSong_GB2312" w:hAnsi="FangSong_GB2312" w:eastAsia="FangSong_GB2312" w:cs="FangSong_GB2312"/>
          <w:sz w:val="28"/>
          <w:szCs w:val="28"/>
        </w:rPr>
        <w:t>2.项目实施地点为国家税务总局吉林省税务局。</w:t>
      </w:r>
    </w:p>
    <w:p>
      <w:pPr>
        <w:pStyle w:val="93"/>
        <w:spacing w:before="0" w:after="0" w:line="360" w:lineRule="auto"/>
        <w:ind w:left="0" w:right="0" w:firstLine="446"/>
        <w:rPr>
          <w:rFonts w:ascii="Times New Roman" w:hAnsi="Times New Roman" w:eastAsia="Times New Roman" w:cs="Times New Roman"/>
        </w:rPr>
      </w:pPr>
      <w:r>
        <w:rPr>
          <w:rFonts w:ascii="FangSong_GB2312" w:hAnsi="FangSong_GB2312" w:eastAsia="FangSong_GB2312" w:cs="FangSong_GB2312"/>
          <w:sz w:val="28"/>
          <w:szCs w:val="28"/>
        </w:rPr>
        <w:t>3.项目实施范围为运维监控服务平台升级改造服务。</w:t>
      </w:r>
    </w:p>
    <w:p>
      <w:pPr>
        <w:pStyle w:val="93"/>
        <w:spacing w:before="0" w:after="0" w:line="360" w:lineRule="auto"/>
        <w:ind w:left="0" w:right="0" w:firstLine="446"/>
        <w:rPr>
          <w:rFonts w:ascii="Times New Roman" w:hAnsi="Times New Roman" w:eastAsia="Times New Roman" w:cs="Times New Roman"/>
        </w:rPr>
      </w:pPr>
      <w:r>
        <w:rPr>
          <w:rFonts w:ascii="FangSong_GB2312" w:hAnsi="FangSong_GB2312" w:eastAsia="FangSong_GB2312" w:cs="FangSong_GB2312"/>
          <w:sz w:val="28"/>
          <w:szCs w:val="28"/>
        </w:rPr>
        <w:t>4.项目实施管理要求如下：</w:t>
      </w:r>
    </w:p>
    <w:p>
      <w:pPr>
        <w:pStyle w:val="93"/>
        <w:spacing w:before="0" w:after="0" w:line="360" w:lineRule="auto"/>
        <w:ind w:left="0" w:right="0" w:firstLine="446"/>
        <w:rPr>
          <w:rFonts w:ascii="Times New Roman" w:hAnsi="Times New Roman" w:eastAsia="Times New Roman" w:cs="Times New Roman"/>
        </w:rPr>
      </w:pPr>
      <w:r>
        <w:rPr>
          <w:rFonts w:ascii="FangSong_GB2312" w:hAnsi="FangSong_GB2312" w:eastAsia="FangSong_GB2312" w:cs="FangSong_GB2312"/>
          <w:sz w:val="28"/>
          <w:szCs w:val="28"/>
        </w:rPr>
        <w:t>中标人制定行之有效的项目实施管理方案，应包括但不限于项目计划管理、项目进度管理、项目质量管理。投标人需采用国际通用的软件工程实施和项目管理方法，成立科学的项目人员团队，制定行之有效的项目计划管理方案，采用科学合理的方法确定进度目标，提供完整的质量保证体系，对项目实施的全过程进行监控和管理，对项目进度和工程实施进度进行控制。</w:t>
      </w:r>
    </w:p>
    <w:p>
      <w:pPr>
        <w:pStyle w:val="90"/>
        <w:keepNext w:val="0"/>
        <w:spacing w:before="0" w:after="0" w:line="360" w:lineRule="auto"/>
        <w:jc w:val="center"/>
        <w:rPr>
          <w:rFonts w:ascii="仿宋_GB2312" w:hAnsi="仿宋_GB2312" w:eastAsia="仿宋_GB2312" w:cs="仿宋_GB2312"/>
          <w:b/>
          <w:bCs/>
          <w:sz w:val="32"/>
          <w:szCs w:val="32"/>
        </w:rPr>
      </w:pPr>
      <w:bookmarkStart w:id="33" w:name="_Toc256000029"/>
      <w:r>
        <w:rPr>
          <w:rFonts w:ascii="仿宋_GB2312" w:hAnsi="仿宋_GB2312" w:eastAsia="仿宋_GB2312" w:cs="仿宋_GB2312"/>
          <w:kern w:val="36"/>
        </w:rPr>
        <w:t>6保密要求</w:t>
      </w:r>
      <w:bookmarkEnd w:id="33"/>
    </w:p>
    <w:p>
      <w:pPr>
        <w:pStyle w:val="93"/>
        <w:spacing w:before="0" w:after="0" w:line="360" w:lineRule="auto"/>
        <w:ind w:left="0" w:right="0" w:firstLine="480"/>
        <w:jc w:val="both"/>
        <w:rPr>
          <w:rFonts w:ascii="Times New Roman" w:hAnsi="Times New Roman" w:eastAsia="Times New Roman" w:cs="Times New Roman"/>
        </w:rPr>
      </w:pPr>
      <w:r>
        <w:rPr>
          <w:rFonts w:ascii="FangSong_GB2312" w:hAnsi="FangSong_GB2312" w:eastAsia="FangSong_GB2312" w:cs="FangSong_GB2312"/>
          <w:sz w:val="28"/>
          <w:szCs w:val="28"/>
        </w:rPr>
        <w:t>投标人及参与项目的所有人员应严格遵守招标人的保密要求，签订保密协议，参与人员由投标人担保；招标人提供的资料，投标人不得以任何形式向第三方传播。保密期限不受本项目期限的限制，在本项目履行完毕后，保密信息接受方仍应按照国家有关规定承担保密义务。</w:t>
      </w:r>
    </w:p>
    <w:p>
      <w:pPr>
        <w:pStyle w:val="93"/>
        <w:spacing w:before="0" w:after="0" w:line="360" w:lineRule="auto"/>
        <w:ind w:left="0" w:right="0" w:firstLine="480"/>
        <w:jc w:val="both"/>
        <w:rPr>
          <w:rFonts w:ascii="Times New Roman" w:hAnsi="Times New Roman" w:eastAsia="Times New Roman" w:cs="Times New Roman"/>
        </w:rPr>
      </w:pPr>
      <w:r>
        <w:rPr>
          <w:rFonts w:ascii="FangSong_GB2312" w:hAnsi="FangSong_GB2312" w:eastAsia="FangSong_GB2312" w:cs="FangSong_GB2312"/>
          <w:sz w:val="28"/>
          <w:szCs w:val="28"/>
        </w:rPr>
        <w:t>1.双方应对在合同签订或履行过程中所接触的对方信息，包括但不限于知识产权、技术资料、技术诀窍、内部管理及其他相关信息，负有保密义务。</w:t>
      </w:r>
    </w:p>
    <w:p>
      <w:pPr>
        <w:pStyle w:val="93"/>
        <w:spacing w:before="0" w:after="0" w:line="360" w:lineRule="auto"/>
        <w:ind w:left="0" w:right="0" w:firstLine="480"/>
        <w:jc w:val="both"/>
        <w:rPr>
          <w:rFonts w:ascii="Times New Roman" w:hAnsi="Times New Roman" w:eastAsia="Times New Roman" w:cs="Times New Roman"/>
        </w:rPr>
      </w:pPr>
      <w:r>
        <w:rPr>
          <w:rFonts w:ascii="FangSong_GB2312" w:hAnsi="FangSong_GB2312" w:eastAsia="FangSong_GB2312" w:cs="FangSong_GB2312"/>
          <w:sz w:val="28"/>
          <w:szCs w:val="28"/>
        </w:rPr>
        <w:t>2.投标人在使用用户方为其提供的数据、程序、用户名、口令、资料及甲方相关的业务和技术文档，包括方案设计细节、程序文件、数据结构，以及相关业务系统的硬软件、文档、测试和测试产生的数据时，应遵循以下约定:</w:t>
      </w:r>
    </w:p>
    <w:p>
      <w:pPr>
        <w:pStyle w:val="93"/>
        <w:spacing w:before="0" w:after="0" w:line="360" w:lineRule="auto"/>
        <w:ind w:left="0" w:right="0" w:firstLine="480"/>
        <w:jc w:val="both"/>
        <w:rPr>
          <w:rFonts w:ascii="Times New Roman" w:hAnsi="Times New Roman" w:eastAsia="Times New Roman" w:cs="Times New Roman"/>
        </w:rPr>
      </w:pPr>
      <w:r>
        <w:rPr>
          <w:rFonts w:ascii="仿宋" w:hAnsi="仿宋" w:eastAsia="仿宋" w:cs="仿宋"/>
          <w:sz w:val="28"/>
          <w:szCs w:val="28"/>
        </w:rPr>
        <w:t>（</w:t>
      </w:r>
      <w:r>
        <w:rPr>
          <w:rFonts w:ascii="FangSong_GB2312" w:hAnsi="FangSong_GB2312" w:eastAsia="FangSong_GB2312" w:cs="FangSong_GB2312"/>
          <w:sz w:val="28"/>
          <w:szCs w:val="28"/>
        </w:rPr>
        <w:t>1）应以审慎态度避免泄露、公开或传播用户方的信息;</w:t>
      </w:r>
    </w:p>
    <w:p>
      <w:pPr>
        <w:pStyle w:val="93"/>
        <w:spacing w:before="0" w:after="0" w:line="360" w:lineRule="auto"/>
        <w:ind w:left="0" w:right="0" w:firstLine="480"/>
        <w:jc w:val="both"/>
        <w:rPr>
          <w:rFonts w:ascii="Times New Roman" w:hAnsi="Times New Roman" w:eastAsia="Times New Roman" w:cs="Times New Roman"/>
        </w:rPr>
      </w:pPr>
      <w:r>
        <w:rPr>
          <w:rFonts w:ascii="仿宋" w:hAnsi="仿宋" w:eastAsia="仿宋" w:cs="仿宋"/>
          <w:sz w:val="28"/>
          <w:szCs w:val="28"/>
        </w:rPr>
        <w:t>（</w:t>
      </w:r>
      <w:r>
        <w:rPr>
          <w:rFonts w:ascii="FangSong_GB2312" w:hAnsi="FangSong_GB2312" w:eastAsia="FangSong_GB2312" w:cs="FangSong_GB2312"/>
          <w:sz w:val="28"/>
          <w:szCs w:val="28"/>
        </w:rPr>
        <w:t>2）未经用户方书面许可，不得对有关信息进行修改、补充、复制;</w:t>
      </w:r>
    </w:p>
    <w:p>
      <w:pPr>
        <w:pStyle w:val="93"/>
        <w:spacing w:before="0" w:after="0" w:line="360" w:lineRule="auto"/>
        <w:ind w:left="0" w:right="0" w:firstLine="480"/>
        <w:jc w:val="both"/>
        <w:rPr>
          <w:rFonts w:ascii="Times New Roman" w:hAnsi="Times New Roman" w:eastAsia="Times New Roman" w:cs="Times New Roman"/>
        </w:rPr>
      </w:pPr>
      <w:r>
        <w:rPr>
          <w:rFonts w:ascii="仿宋" w:hAnsi="仿宋" w:eastAsia="仿宋" w:cs="仿宋"/>
          <w:sz w:val="28"/>
          <w:szCs w:val="28"/>
        </w:rPr>
        <w:t>（</w:t>
      </w:r>
      <w:r>
        <w:rPr>
          <w:rFonts w:ascii="FangSong_GB2312" w:hAnsi="FangSong_GB2312" w:eastAsia="FangSong_GB2312" w:cs="FangSong_GB2312"/>
          <w:sz w:val="28"/>
          <w:szCs w:val="28"/>
        </w:rPr>
        <w:t>3）未经用户方书面许可，不得将信息以任何方式(如 E-mail)携带出甲方场所;</w:t>
      </w:r>
    </w:p>
    <w:p>
      <w:pPr>
        <w:pStyle w:val="93"/>
        <w:spacing w:before="0" w:after="0" w:line="360" w:lineRule="auto"/>
        <w:ind w:left="0" w:right="0" w:firstLine="480"/>
        <w:jc w:val="both"/>
        <w:rPr>
          <w:rFonts w:ascii="Times New Roman" w:hAnsi="Times New Roman" w:eastAsia="Times New Roman" w:cs="Times New Roman"/>
        </w:rPr>
      </w:pPr>
      <w:r>
        <w:rPr>
          <w:rFonts w:ascii="仿宋" w:hAnsi="仿宋" w:eastAsia="仿宋" w:cs="仿宋"/>
          <w:sz w:val="28"/>
          <w:szCs w:val="28"/>
        </w:rPr>
        <w:t>（</w:t>
      </w:r>
      <w:r>
        <w:rPr>
          <w:rFonts w:ascii="FangSong_GB2312" w:hAnsi="FangSong_GB2312" w:eastAsia="FangSong_GB2312" w:cs="FangSong_GB2312"/>
          <w:sz w:val="28"/>
          <w:szCs w:val="28"/>
        </w:rPr>
        <w:t>4）未经用户方书面许可，不得将信息透露给任何其他人;</w:t>
      </w:r>
    </w:p>
    <w:p>
      <w:pPr>
        <w:pStyle w:val="93"/>
        <w:spacing w:before="0" w:after="0" w:line="360" w:lineRule="auto"/>
        <w:ind w:left="0" w:right="0" w:firstLine="480"/>
        <w:jc w:val="both"/>
        <w:rPr>
          <w:rFonts w:ascii="Times New Roman" w:hAnsi="Times New Roman" w:eastAsia="Times New Roman" w:cs="Times New Roman"/>
        </w:rPr>
      </w:pPr>
      <w:r>
        <w:rPr>
          <w:rFonts w:ascii="仿宋" w:hAnsi="仿宋" w:eastAsia="仿宋" w:cs="仿宋"/>
          <w:sz w:val="28"/>
          <w:szCs w:val="28"/>
        </w:rPr>
        <w:t>（</w:t>
      </w:r>
      <w:r>
        <w:rPr>
          <w:rFonts w:ascii="FangSong_GB2312" w:hAnsi="FangSong_GB2312" w:eastAsia="FangSong_GB2312" w:cs="FangSong_GB2312"/>
          <w:sz w:val="28"/>
          <w:szCs w:val="28"/>
        </w:rPr>
        <w:t>5） 用户方以书面形式提出的其他保密措施。</w:t>
      </w:r>
    </w:p>
    <w:p>
      <w:pPr>
        <w:pStyle w:val="93"/>
        <w:spacing w:before="0" w:after="0" w:line="360" w:lineRule="auto"/>
        <w:ind w:left="0" w:right="0" w:firstLine="480"/>
        <w:jc w:val="both"/>
        <w:rPr>
          <w:rFonts w:ascii="Times New Roman" w:hAnsi="Times New Roman" w:eastAsia="Times New Roman" w:cs="Times New Roman"/>
        </w:rPr>
      </w:pPr>
      <w:r>
        <w:rPr>
          <w:rFonts w:ascii="FangSong_GB2312" w:hAnsi="FangSong_GB2312" w:eastAsia="FangSong_GB2312" w:cs="FangSong_GB2312"/>
          <w:sz w:val="28"/>
          <w:szCs w:val="28"/>
        </w:rPr>
        <w:t>3.保密期限不受合同有效期的限制，在合同有效期结束后，信息接受方仍应承担保密义务，直至该等信息成为公开信息。</w:t>
      </w:r>
    </w:p>
    <w:p>
      <w:pPr>
        <w:pStyle w:val="93"/>
        <w:spacing w:before="0" w:after="0" w:line="360" w:lineRule="auto"/>
        <w:ind w:left="0" w:right="0" w:firstLine="480"/>
        <w:jc w:val="both"/>
        <w:rPr>
          <w:rFonts w:ascii="Times New Roman" w:hAnsi="Times New Roman" w:eastAsia="Times New Roman" w:cs="Times New Roman"/>
        </w:rPr>
      </w:pPr>
      <w:r>
        <w:rPr>
          <w:rFonts w:ascii="FangSong_GB2312" w:hAnsi="FangSong_GB2312" w:eastAsia="FangSong_GB2312" w:cs="FangSong_GB2312"/>
          <w:sz w:val="28"/>
          <w:szCs w:val="28"/>
        </w:rPr>
        <w:t>4.双方如出现泄密行为，泄密方应承担相关的法律责任并承担由此给对方造成的经济损失。</w:t>
      </w:r>
    </w:p>
    <w:p>
      <w:pPr>
        <w:pStyle w:val="90"/>
        <w:keepNext w:val="0"/>
        <w:spacing w:before="0" w:after="0" w:line="360" w:lineRule="auto"/>
        <w:jc w:val="center"/>
        <w:rPr>
          <w:rFonts w:ascii="仿宋_GB2312" w:hAnsi="仿宋_GB2312" w:eastAsia="仿宋_GB2312" w:cs="仿宋_GB2312"/>
          <w:b/>
          <w:bCs/>
          <w:sz w:val="32"/>
          <w:szCs w:val="32"/>
        </w:rPr>
      </w:pPr>
      <w:bookmarkStart w:id="34" w:name="_Toc256000030"/>
      <w:r>
        <w:rPr>
          <w:rFonts w:ascii="仿宋_GB2312" w:hAnsi="仿宋_GB2312" w:eastAsia="仿宋_GB2312" w:cs="仿宋_GB2312"/>
          <w:kern w:val="36"/>
        </w:rPr>
        <w:t>7知识转移要求</w:t>
      </w:r>
      <w:bookmarkEnd w:id="34"/>
    </w:p>
    <w:p>
      <w:pPr>
        <w:pStyle w:val="93"/>
        <w:spacing w:before="0" w:after="0" w:line="360" w:lineRule="auto"/>
        <w:ind w:left="0" w:right="0" w:firstLine="480"/>
        <w:jc w:val="both"/>
        <w:rPr>
          <w:rFonts w:ascii="Times New Roman" w:hAnsi="Times New Roman" w:eastAsia="Times New Roman" w:cs="Times New Roman"/>
        </w:rPr>
      </w:pPr>
      <w:r>
        <w:rPr>
          <w:rFonts w:ascii="仿宋" w:hAnsi="仿宋" w:eastAsia="仿宋" w:cs="仿宋"/>
          <w:sz w:val="28"/>
          <w:szCs w:val="28"/>
        </w:rPr>
        <w:t>投标人须按照国家税务总局吉林省税务局相关管理规程和要求，将项目执行过程所涉及的相关知识和工作文档按照招标人提出的质量、数量、提供方式、提供时间等要求进行整理，并按照要求转移给招标人。具体要求如下：</w:t>
      </w:r>
    </w:p>
    <w:p>
      <w:pPr>
        <w:pStyle w:val="93"/>
        <w:spacing w:before="0" w:after="0" w:line="360" w:lineRule="auto"/>
        <w:ind w:left="0" w:right="0" w:firstLine="480"/>
        <w:jc w:val="both"/>
        <w:rPr>
          <w:rFonts w:ascii="Times New Roman" w:hAnsi="Times New Roman" w:eastAsia="Times New Roman" w:cs="Times New Roman"/>
        </w:rPr>
      </w:pPr>
      <w:r>
        <w:rPr>
          <w:rFonts w:ascii="仿宋" w:hAnsi="仿宋" w:eastAsia="仿宋" w:cs="仿宋"/>
          <w:sz w:val="28"/>
          <w:szCs w:val="28"/>
        </w:rPr>
        <w:t>1.投标人须将项目实施过程中出具的文档等形式转移给招标人，并将项目所涉及的其他各类工作文档按照要求进行移交归档。</w:t>
      </w:r>
    </w:p>
    <w:p>
      <w:pPr>
        <w:pStyle w:val="93"/>
        <w:spacing w:before="0" w:after="0" w:line="360" w:lineRule="auto"/>
        <w:ind w:left="0" w:right="0" w:firstLine="480"/>
        <w:jc w:val="both"/>
        <w:rPr>
          <w:rFonts w:ascii="Times New Roman" w:hAnsi="Times New Roman" w:eastAsia="Times New Roman" w:cs="Times New Roman"/>
        </w:rPr>
      </w:pPr>
      <w:r>
        <w:rPr>
          <w:rFonts w:ascii="仿宋" w:hAnsi="仿宋" w:eastAsia="仿宋" w:cs="仿宋"/>
          <w:sz w:val="28"/>
          <w:szCs w:val="28"/>
        </w:rPr>
        <w:t>2.项目实施过程中，为确保移交文档的一致性和完整性，投标人须按照项目实施计划，分层次、分阶段进行项目文档提交。</w:t>
      </w:r>
    </w:p>
    <w:p>
      <w:pPr>
        <w:pStyle w:val="93"/>
        <w:spacing w:before="0" w:after="0" w:line="360" w:lineRule="auto"/>
        <w:ind w:left="0" w:right="0" w:firstLine="480"/>
        <w:jc w:val="both"/>
        <w:rPr>
          <w:rFonts w:ascii="Times New Roman" w:hAnsi="Times New Roman" w:eastAsia="Times New Roman" w:cs="Times New Roman"/>
        </w:rPr>
      </w:pPr>
      <w:r>
        <w:rPr>
          <w:rFonts w:ascii="仿宋" w:hAnsi="仿宋" w:eastAsia="仿宋" w:cs="仿宋"/>
          <w:sz w:val="28"/>
          <w:szCs w:val="28"/>
        </w:rPr>
        <w:t>3.项目结束时，投标人须按照项目要求及时向招标人移交项目所有相关文档。</w:t>
      </w:r>
    </w:p>
    <w:p>
      <w:pPr>
        <w:pStyle w:val="90"/>
        <w:keepNext w:val="0"/>
        <w:spacing w:before="0" w:after="0" w:line="360" w:lineRule="auto"/>
        <w:jc w:val="center"/>
        <w:rPr>
          <w:rFonts w:ascii="仿宋_GB2312" w:hAnsi="仿宋_GB2312" w:eastAsia="仿宋_GB2312" w:cs="仿宋_GB2312"/>
          <w:b/>
          <w:bCs/>
          <w:sz w:val="32"/>
          <w:szCs w:val="32"/>
        </w:rPr>
      </w:pPr>
      <w:bookmarkStart w:id="35" w:name="_Toc256000031"/>
      <w:r>
        <w:rPr>
          <w:rFonts w:ascii="仿宋_GB2312" w:hAnsi="仿宋_GB2312" w:eastAsia="仿宋_GB2312" w:cs="仿宋_GB2312"/>
          <w:kern w:val="36"/>
        </w:rPr>
        <w:t>8风险管控要求</w:t>
      </w:r>
      <w:bookmarkEnd w:id="35"/>
    </w:p>
    <w:p>
      <w:pPr>
        <w:pStyle w:val="93"/>
        <w:spacing w:before="0" w:after="0" w:line="360" w:lineRule="auto"/>
        <w:ind w:left="0" w:right="0" w:firstLine="480"/>
        <w:jc w:val="both"/>
        <w:rPr>
          <w:rFonts w:ascii="Times New Roman" w:hAnsi="Times New Roman" w:eastAsia="Times New Roman" w:cs="Times New Roman"/>
        </w:rPr>
      </w:pPr>
      <w:r>
        <w:rPr>
          <w:rFonts w:ascii="仿宋" w:hAnsi="仿宋" w:eastAsia="仿宋" w:cs="仿宋"/>
          <w:sz w:val="28"/>
          <w:szCs w:val="28"/>
        </w:rPr>
        <w:t>1.风险管控总体要求</w:t>
      </w:r>
    </w:p>
    <w:p>
      <w:pPr>
        <w:pStyle w:val="93"/>
        <w:spacing w:before="0" w:after="0" w:line="360" w:lineRule="auto"/>
        <w:ind w:left="0" w:right="0" w:firstLine="480"/>
        <w:jc w:val="both"/>
        <w:rPr>
          <w:rFonts w:ascii="Times New Roman" w:hAnsi="Times New Roman" w:eastAsia="Times New Roman" w:cs="Times New Roman"/>
        </w:rPr>
      </w:pPr>
      <w:r>
        <w:rPr>
          <w:rFonts w:ascii="仿宋" w:hAnsi="仿宋" w:eastAsia="仿宋" w:cs="仿宋"/>
          <w:sz w:val="28"/>
          <w:szCs w:val="28"/>
        </w:rPr>
        <w:t>项目实施期间，投标人须做好升级改造过程中各项安全保障工作，对系统升级改造过程制定风险管控预案和防范措施。</w:t>
      </w:r>
    </w:p>
    <w:p>
      <w:pPr>
        <w:pStyle w:val="93"/>
        <w:spacing w:before="0" w:after="0" w:line="360" w:lineRule="auto"/>
        <w:ind w:left="0" w:right="0" w:firstLine="480"/>
        <w:jc w:val="both"/>
        <w:rPr>
          <w:rFonts w:ascii="Times New Roman" w:hAnsi="Times New Roman" w:eastAsia="Times New Roman" w:cs="Times New Roman"/>
        </w:rPr>
      </w:pPr>
      <w:r>
        <w:rPr>
          <w:rFonts w:ascii="仿宋" w:hAnsi="仿宋" w:eastAsia="仿宋" w:cs="仿宋"/>
          <w:sz w:val="28"/>
          <w:szCs w:val="28"/>
        </w:rPr>
        <w:t>2.风险管控具体要求</w:t>
      </w:r>
    </w:p>
    <w:p>
      <w:pPr>
        <w:pStyle w:val="93"/>
        <w:spacing w:before="0" w:after="0" w:line="360" w:lineRule="auto"/>
        <w:ind w:left="0" w:right="0" w:firstLine="480"/>
        <w:jc w:val="both"/>
        <w:rPr>
          <w:rFonts w:ascii="Times New Roman" w:hAnsi="Times New Roman" w:eastAsia="Times New Roman" w:cs="Times New Roman"/>
        </w:rPr>
      </w:pPr>
      <w:r>
        <w:rPr>
          <w:rFonts w:ascii="仿宋" w:hAnsi="仿宋" w:eastAsia="仿宋" w:cs="仿宋"/>
          <w:sz w:val="28"/>
          <w:szCs w:val="28"/>
        </w:rPr>
        <w:t>（1）技术风险管理</w:t>
      </w:r>
    </w:p>
    <w:p>
      <w:pPr>
        <w:pStyle w:val="93"/>
        <w:spacing w:before="0" w:after="0" w:line="360" w:lineRule="auto"/>
        <w:ind w:left="0" w:right="0" w:firstLine="480"/>
        <w:jc w:val="both"/>
        <w:rPr>
          <w:rFonts w:ascii="Times New Roman" w:hAnsi="Times New Roman" w:eastAsia="Times New Roman" w:cs="Times New Roman"/>
        </w:rPr>
      </w:pPr>
      <w:r>
        <w:rPr>
          <w:rFonts w:ascii="仿宋" w:hAnsi="仿宋" w:eastAsia="仿宋" w:cs="仿宋"/>
          <w:sz w:val="28"/>
          <w:szCs w:val="28"/>
        </w:rPr>
        <w:t>投标人应充分预估项目实施中存在的技术风险，包括并不限于：需求开发、功能测试、安装部署、试运行等方面可能存在的风险，制定可靠的技术管理保障措施。</w:t>
      </w:r>
    </w:p>
    <w:p>
      <w:pPr>
        <w:pStyle w:val="93"/>
        <w:spacing w:before="0" w:after="0" w:line="360" w:lineRule="auto"/>
        <w:ind w:left="0" w:right="0" w:firstLine="480"/>
        <w:jc w:val="both"/>
        <w:rPr>
          <w:rFonts w:ascii="Times New Roman" w:hAnsi="Times New Roman" w:eastAsia="Times New Roman" w:cs="Times New Roman"/>
        </w:rPr>
      </w:pPr>
      <w:r>
        <w:rPr>
          <w:rFonts w:ascii="仿宋" w:hAnsi="仿宋" w:eastAsia="仿宋" w:cs="仿宋"/>
          <w:sz w:val="28"/>
          <w:szCs w:val="28"/>
        </w:rPr>
        <w:t>（2）操作风险管理</w:t>
      </w:r>
    </w:p>
    <w:p>
      <w:pPr>
        <w:pStyle w:val="93"/>
        <w:spacing w:before="0" w:after="0" w:line="360" w:lineRule="auto"/>
        <w:ind w:left="0" w:right="0" w:firstLine="480"/>
        <w:jc w:val="both"/>
        <w:rPr>
          <w:rFonts w:ascii="Times New Roman" w:hAnsi="Times New Roman" w:eastAsia="Times New Roman" w:cs="Times New Roman"/>
        </w:rPr>
      </w:pPr>
      <w:r>
        <w:rPr>
          <w:rFonts w:ascii="仿宋" w:hAnsi="仿宋" w:eastAsia="仿宋" w:cs="仿宋"/>
          <w:sz w:val="28"/>
          <w:szCs w:val="28"/>
        </w:rPr>
        <w:t>投标人应充分预估项目实施中人员技术服务存在的操作风险，包括并不限于：人为错误、账户权限管理不当、服务流程不规范等，制定可靠的升级改造保障措施。</w:t>
      </w:r>
    </w:p>
    <w:p>
      <w:pPr>
        <w:pStyle w:val="90"/>
        <w:keepNext w:val="0"/>
        <w:spacing w:before="0" w:after="0" w:line="360" w:lineRule="auto"/>
        <w:jc w:val="center"/>
        <w:rPr>
          <w:rFonts w:ascii="仿宋_GB2312" w:hAnsi="仿宋_GB2312" w:eastAsia="仿宋_GB2312" w:cs="仿宋_GB2312"/>
          <w:b/>
          <w:bCs/>
          <w:sz w:val="32"/>
          <w:szCs w:val="32"/>
        </w:rPr>
      </w:pPr>
      <w:bookmarkStart w:id="36" w:name="_Toc256000032"/>
      <w:r>
        <w:rPr>
          <w:rFonts w:ascii="仿宋_GB2312" w:hAnsi="仿宋_GB2312" w:eastAsia="仿宋_GB2312" w:cs="仿宋_GB2312"/>
          <w:kern w:val="36"/>
        </w:rPr>
        <w:t>9履约验收要求</w:t>
      </w:r>
      <w:bookmarkEnd w:id="36"/>
    </w:p>
    <w:p>
      <w:pPr>
        <w:pStyle w:val="91"/>
        <w:keepNext w:val="0"/>
        <w:spacing w:before="0" w:after="0" w:line="360" w:lineRule="auto"/>
        <w:rPr>
          <w:rFonts w:ascii="仿宋_GB2312" w:hAnsi="仿宋_GB2312" w:eastAsia="仿宋_GB2312" w:cs="仿宋_GB2312"/>
          <w:b/>
          <w:bCs/>
          <w:sz w:val="28"/>
          <w:szCs w:val="28"/>
        </w:rPr>
      </w:pPr>
      <w:bookmarkStart w:id="37" w:name="_Toc256000033"/>
      <w:r>
        <w:rPr>
          <w:rFonts w:ascii="仿宋_GB2312" w:hAnsi="仿宋_GB2312" w:eastAsia="仿宋_GB2312" w:cs="仿宋_GB2312"/>
          <w:i w:val="0"/>
          <w:iCs w:val="0"/>
        </w:rPr>
        <w:t>9.1总体要求</w:t>
      </w:r>
      <w:bookmarkEnd w:id="37"/>
    </w:p>
    <w:tbl>
      <w:tblPr>
        <w:tblStyle w:val="32"/>
        <w:tblW w:w="5000" w:type="pct"/>
        <w:tblInd w:w="30" w:type="dxa"/>
        <w:tblLayout w:type="autofit"/>
        <w:tblCellMar>
          <w:top w:w="15" w:type="dxa"/>
          <w:left w:w="15" w:type="dxa"/>
          <w:bottom w:w="15" w:type="dxa"/>
          <w:right w:w="15" w:type="dxa"/>
        </w:tblCellMar>
      </w:tblPr>
      <w:tblGrid>
        <w:gridCol w:w="4535"/>
        <w:gridCol w:w="4535"/>
      </w:tblGrid>
      <w:tr>
        <w:tblPrEx>
          <w:tblCellMar>
            <w:top w:w="15" w:type="dxa"/>
            <w:left w:w="15" w:type="dxa"/>
            <w:bottom w:w="15" w:type="dxa"/>
            <w:right w:w="15" w:type="dxa"/>
          </w:tblCellMar>
        </w:tblPrEx>
        <w:tc>
          <w:tcPr>
            <w:tcW w:w="25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pStyle w:val="18"/>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验收名称</w:t>
            </w:r>
          </w:p>
        </w:tc>
        <w:tc>
          <w:tcPr>
            <w:tcW w:w="25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pStyle w:val="18"/>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验收要求</w:t>
            </w:r>
          </w:p>
        </w:tc>
      </w:tr>
      <w:tr>
        <w:tblPrEx>
          <w:tblCellMar>
            <w:top w:w="15" w:type="dxa"/>
            <w:left w:w="15" w:type="dxa"/>
            <w:bottom w:w="15" w:type="dxa"/>
            <w:right w:w="15" w:type="dxa"/>
          </w:tblCellMar>
        </w:tblPrEx>
        <w:tc>
          <w:tcPr>
            <w:tcW w:w="2500" w:type="pct"/>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终期验收</w:t>
            </w:r>
          </w:p>
        </w:tc>
        <w:tc>
          <w:tcPr>
            <w:tcW w:w="2500" w:type="pct"/>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自合同签订之日起30日内完成全部升级改造内容，由中标人提出验收申请，由采购方根据税务信息化项目管理相关要求组织验收。</w:t>
            </w:r>
          </w:p>
        </w:tc>
      </w:tr>
    </w:tbl>
    <w:p>
      <w:pPr>
        <w:pStyle w:val="91"/>
        <w:keepNext w:val="0"/>
        <w:spacing w:before="0" w:after="0" w:line="360" w:lineRule="auto"/>
        <w:rPr>
          <w:rFonts w:ascii="仿宋_GB2312" w:hAnsi="仿宋_GB2312" w:eastAsia="仿宋_GB2312" w:cs="仿宋_GB2312"/>
          <w:b/>
          <w:bCs/>
          <w:sz w:val="28"/>
          <w:szCs w:val="28"/>
        </w:rPr>
      </w:pPr>
      <w:bookmarkStart w:id="38" w:name="_Toc256000034"/>
      <w:r>
        <w:rPr>
          <w:rFonts w:ascii="仿宋_GB2312" w:hAnsi="仿宋_GB2312" w:eastAsia="仿宋_GB2312" w:cs="仿宋_GB2312"/>
          <w:i w:val="0"/>
          <w:iCs w:val="0"/>
        </w:rPr>
        <w:t>9.2具体要求</w:t>
      </w:r>
      <w:bookmarkEnd w:id="38"/>
    </w:p>
    <w:p>
      <w:pPr>
        <w:pStyle w:val="93"/>
        <w:pBdr>
          <w:top w:val="none" w:color="auto" w:sz="0" w:space="0"/>
          <w:left w:val="none" w:color="auto" w:sz="0" w:space="0"/>
          <w:bottom w:val="none" w:color="auto" w:sz="0" w:space="0"/>
          <w:right w:val="none" w:color="auto" w:sz="0" w:space="0"/>
        </w:pBdr>
        <w:spacing w:before="0" w:after="0" w:line="360" w:lineRule="auto"/>
        <w:ind w:left="0" w:right="0" w:firstLine="480"/>
        <w:jc w:val="both"/>
        <w:rPr>
          <w:rFonts w:ascii="Times New Roman" w:hAnsi="Times New Roman" w:eastAsia="Times New Roman" w:cs="Times New Roman"/>
        </w:rPr>
      </w:pPr>
      <w:r>
        <w:rPr>
          <w:rFonts w:ascii="仿宋" w:hAnsi="仿宋" w:eastAsia="仿宋" w:cs="仿宋"/>
          <w:sz w:val="28"/>
          <w:szCs w:val="28"/>
        </w:rPr>
        <w:t>1.验收标准</w:t>
      </w:r>
    </w:p>
    <w:p>
      <w:pPr>
        <w:pStyle w:val="93"/>
        <w:pBdr>
          <w:top w:val="none" w:color="auto" w:sz="0" w:space="0"/>
          <w:left w:val="none" w:color="auto" w:sz="0" w:space="0"/>
          <w:bottom w:val="none" w:color="auto" w:sz="0" w:space="0"/>
          <w:right w:val="none" w:color="auto" w:sz="0" w:space="0"/>
        </w:pBdr>
        <w:shd w:val="clear" w:color="auto" w:fill="FFFFFF"/>
        <w:spacing w:before="0" w:after="0" w:line="360" w:lineRule="auto"/>
        <w:ind w:left="0" w:right="0" w:firstLine="420"/>
        <w:jc w:val="both"/>
        <w:rPr>
          <w:rFonts w:ascii="Times New Roman" w:hAnsi="Times New Roman" w:eastAsia="Times New Roman" w:cs="Times New Roman"/>
        </w:rPr>
      </w:pPr>
      <w:r>
        <w:rPr>
          <w:rFonts w:ascii="仿宋" w:hAnsi="仿宋" w:eastAsia="仿宋" w:cs="仿宋"/>
          <w:sz w:val="28"/>
          <w:szCs w:val="28"/>
        </w:rPr>
        <w:t>需求部门确定履约验收参与部门和人员，成立验收小组，根据采购文件及合同对履约验收的具体要求制定验收方案，验收标准应当符合采购文件及合同约定内容。验收结束后，验收小组应当出具验收意见，列明验收标准、验收情况及验收结论。</w:t>
      </w:r>
    </w:p>
    <w:p>
      <w:pPr>
        <w:pStyle w:val="93"/>
        <w:pBdr>
          <w:top w:val="none" w:color="auto" w:sz="0" w:space="0"/>
          <w:left w:val="none" w:color="auto" w:sz="0" w:space="0"/>
          <w:bottom w:val="none" w:color="auto" w:sz="0" w:space="0"/>
          <w:right w:val="none" w:color="auto" w:sz="0" w:space="0"/>
        </w:pBdr>
        <w:spacing w:before="0" w:after="0" w:line="360" w:lineRule="auto"/>
        <w:ind w:left="0" w:right="0" w:firstLine="480"/>
        <w:jc w:val="both"/>
        <w:rPr>
          <w:rFonts w:ascii="Times New Roman" w:hAnsi="Times New Roman" w:eastAsia="Times New Roman" w:cs="Times New Roman"/>
        </w:rPr>
      </w:pPr>
      <w:r>
        <w:rPr>
          <w:rFonts w:ascii="仿宋" w:hAnsi="仿宋" w:eastAsia="仿宋" w:cs="仿宋"/>
          <w:sz w:val="28"/>
          <w:szCs w:val="28"/>
        </w:rPr>
        <w:t>2.验收条件</w:t>
      </w:r>
    </w:p>
    <w:p>
      <w:pPr>
        <w:pStyle w:val="93"/>
        <w:pBdr>
          <w:top w:val="none" w:color="auto" w:sz="0" w:space="0"/>
          <w:left w:val="none" w:color="auto" w:sz="0" w:space="0"/>
          <w:bottom w:val="none" w:color="auto" w:sz="0" w:space="0"/>
          <w:right w:val="none" w:color="auto" w:sz="0" w:space="0"/>
        </w:pBdr>
        <w:shd w:val="clear" w:color="auto" w:fill="FFFFFF"/>
        <w:spacing w:before="0" w:after="0" w:line="360" w:lineRule="auto"/>
        <w:ind w:left="0" w:right="0" w:firstLine="480"/>
        <w:jc w:val="both"/>
        <w:rPr>
          <w:rFonts w:ascii="Times New Roman" w:hAnsi="Times New Roman" w:eastAsia="Times New Roman" w:cs="Times New Roman"/>
        </w:rPr>
      </w:pPr>
      <w:r>
        <w:rPr>
          <w:rFonts w:ascii="仿宋" w:hAnsi="仿宋" w:eastAsia="仿宋" w:cs="仿宋"/>
          <w:sz w:val="28"/>
          <w:szCs w:val="28"/>
        </w:rPr>
        <w:t>本项目必须符合采购人招标要求方可进行项目验收。采购人制定验收计划和方案，投标人按采购人要求提供验收资料等，经采购人审核通过后组织召开验收会一次验收。</w:t>
      </w:r>
    </w:p>
    <w:p>
      <w:pPr>
        <w:pStyle w:val="93"/>
        <w:pBdr>
          <w:top w:val="none" w:color="auto" w:sz="0" w:space="0"/>
          <w:left w:val="none" w:color="auto" w:sz="0" w:space="0"/>
          <w:bottom w:val="none" w:color="auto" w:sz="0" w:space="0"/>
          <w:right w:val="none" w:color="auto" w:sz="0" w:space="0"/>
        </w:pBdr>
        <w:spacing w:before="0" w:after="0" w:line="360" w:lineRule="auto"/>
        <w:ind w:left="0" w:right="0" w:firstLine="480"/>
        <w:jc w:val="both"/>
        <w:rPr>
          <w:rFonts w:ascii="Times New Roman" w:hAnsi="Times New Roman" w:eastAsia="Times New Roman" w:cs="Times New Roman"/>
        </w:rPr>
      </w:pPr>
      <w:r>
        <w:rPr>
          <w:rFonts w:ascii="仿宋" w:hAnsi="仿宋" w:eastAsia="仿宋" w:cs="仿宋"/>
          <w:sz w:val="28"/>
          <w:szCs w:val="28"/>
        </w:rPr>
        <w:t>3.验收交付物：</w:t>
      </w:r>
    </w:p>
    <w:p>
      <w:pPr>
        <w:pStyle w:val="96"/>
        <w:spacing w:before="0" w:after="0" w:line="360" w:lineRule="auto"/>
        <w:ind w:left="0" w:right="0" w:firstLine="480"/>
        <w:jc w:val="both"/>
        <w:rPr>
          <w:rFonts w:ascii="Times New Roman" w:hAnsi="Times New Roman" w:eastAsia="Times New Roman" w:cs="Times New Roman"/>
        </w:rPr>
      </w:pPr>
      <w:r>
        <w:rPr>
          <w:rFonts w:ascii="仿宋" w:hAnsi="仿宋" w:eastAsia="仿宋" w:cs="仿宋"/>
          <w:sz w:val="28"/>
          <w:szCs w:val="28"/>
          <w:shd w:val="clear" w:color="auto" w:fill="FFFFFF"/>
        </w:rPr>
        <w:t>（1）合同书（复印件）；</w:t>
      </w:r>
    </w:p>
    <w:p>
      <w:pPr>
        <w:pStyle w:val="96"/>
        <w:spacing w:before="0" w:after="0" w:line="360" w:lineRule="auto"/>
        <w:ind w:left="0" w:right="0" w:firstLine="480"/>
        <w:jc w:val="both"/>
        <w:rPr>
          <w:rFonts w:ascii="Times New Roman" w:hAnsi="Times New Roman" w:eastAsia="Times New Roman" w:cs="Times New Roman"/>
        </w:rPr>
      </w:pPr>
      <w:r>
        <w:rPr>
          <w:rFonts w:ascii="仿宋" w:hAnsi="仿宋" w:eastAsia="仿宋" w:cs="仿宋"/>
          <w:sz w:val="28"/>
          <w:szCs w:val="28"/>
          <w:shd w:val="clear" w:color="auto" w:fill="FFFFFF"/>
        </w:rPr>
        <w:t>（2）项目工作总结（加盖公章）；</w:t>
      </w:r>
    </w:p>
    <w:p>
      <w:pPr>
        <w:pStyle w:val="96"/>
        <w:spacing w:before="0" w:after="0" w:line="360" w:lineRule="auto"/>
        <w:ind w:left="0" w:right="0" w:firstLine="480"/>
        <w:jc w:val="both"/>
        <w:rPr>
          <w:rFonts w:ascii="Times New Roman" w:hAnsi="Times New Roman" w:eastAsia="Times New Roman" w:cs="Times New Roman"/>
        </w:rPr>
      </w:pPr>
      <w:r>
        <w:rPr>
          <w:rFonts w:ascii="仿宋" w:hAnsi="仿宋" w:eastAsia="仿宋" w:cs="仿宋"/>
          <w:sz w:val="28"/>
          <w:szCs w:val="28"/>
          <w:shd w:val="clear" w:color="auto" w:fill="FFFFFF"/>
        </w:rPr>
        <w:t>（3）项目需求分析报告终稿；</w:t>
      </w:r>
    </w:p>
    <w:p>
      <w:pPr>
        <w:pStyle w:val="96"/>
        <w:spacing w:before="0" w:after="0" w:line="360" w:lineRule="auto"/>
        <w:ind w:left="0" w:right="0" w:firstLine="480"/>
        <w:jc w:val="both"/>
        <w:rPr>
          <w:rFonts w:ascii="Times New Roman" w:hAnsi="Times New Roman" w:eastAsia="Times New Roman" w:cs="Times New Roman"/>
        </w:rPr>
      </w:pPr>
      <w:r>
        <w:rPr>
          <w:rFonts w:ascii="仿宋" w:hAnsi="仿宋" w:eastAsia="仿宋" w:cs="仿宋"/>
          <w:sz w:val="28"/>
          <w:szCs w:val="28"/>
          <w:shd w:val="clear" w:color="auto" w:fill="FFFFFF"/>
        </w:rPr>
        <w:t>（4）项目概要设计、详细设计终稿（包括安全设计文档）；</w:t>
      </w:r>
    </w:p>
    <w:p>
      <w:pPr>
        <w:pStyle w:val="96"/>
        <w:spacing w:before="0" w:after="0" w:line="360" w:lineRule="auto"/>
        <w:ind w:left="0" w:right="0" w:firstLine="480"/>
        <w:jc w:val="both"/>
        <w:rPr>
          <w:rFonts w:ascii="Times New Roman" w:hAnsi="Times New Roman" w:eastAsia="Times New Roman" w:cs="Times New Roman"/>
        </w:rPr>
      </w:pPr>
      <w:r>
        <w:rPr>
          <w:rFonts w:ascii="仿宋" w:hAnsi="仿宋" w:eastAsia="仿宋" w:cs="仿宋"/>
          <w:sz w:val="28"/>
          <w:szCs w:val="28"/>
          <w:shd w:val="clear" w:color="auto" w:fill="FFFFFF"/>
        </w:rPr>
        <w:t>（5）项目建设报告，包括目标实现情况、计划进度执行情况等；</w:t>
      </w:r>
    </w:p>
    <w:p>
      <w:pPr>
        <w:pStyle w:val="96"/>
        <w:spacing w:before="0" w:after="0" w:line="360" w:lineRule="auto"/>
        <w:ind w:left="0" w:right="0" w:firstLine="480"/>
        <w:jc w:val="both"/>
        <w:rPr>
          <w:rFonts w:ascii="Times New Roman" w:hAnsi="Times New Roman" w:eastAsia="Times New Roman" w:cs="Times New Roman"/>
        </w:rPr>
      </w:pPr>
      <w:r>
        <w:rPr>
          <w:rFonts w:ascii="仿宋" w:hAnsi="仿宋" w:eastAsia="仿宋" w:cs="仿宋"/>
          <w:sz w:val="28"/>
          <w:szCs w:val="28"/>
          <w:shd w:val="clear" w:color="auto" w:fill="FFFFFF"/>
        </w:rPr>
        <w:t>（6）系统测试报告，包括性能测试和功能测试的方案、用例、结果和反馈等；</w:t>
      </w:r>
    </w:p>
    <w:p>
      <w:pPr>
        <w:pStyle w:val="96"/>
        <w:spacing w:before="0" w:after="0" w:line="360" w:lineRule="auto"/>
        <w:ind w:left="0" w:right="0" w:firstLine="480"/>
        <w:jc w:val="both"/>
        <w:rPr>
          <w:rFonts w:ascii="Times New Roman" w:hAnsi="Times New Roman" w:eastAsia="Times New Roman" w:cs="Times New Roman"/>
        </w:rPr>
      </w:pPr>
      <w:r>
        <w:rPr>
          <w:rFonts w:ascii="仿宋" w:hAnsi="仿宋" w:eastAsia="仿宋" w:cs="仿宋"/>
          <w:sz w:val="28"/>
          <w:szCs w:val="28"/>
          <w:shd w:val="clear" w:color="auto" w:fill="FFFFFF"/>
        </w:rPr>
        <w:t>（7）用户操作手册；</w:t>
      </w:r>
    </w:p>
    <w:p>
      <w:pPr>
        <w:pStyle w:val="96"/>
        <w:spacing w:before="0" w:after="0" w:line="360" w:lineRule="auto"/>
        <w:ind w:left="0" w:right="0" w:firstLine="480"/>
        <w:jc w:val="both"/>
        <w:rPr>
          <w:rFonts w:ascii="Times New Roman" w:hAnsi="Times New Roman" w:eastAsia="Times New Roman" w:cs="Times New Roman"/>
        </w:rPr>
      </w:pPr>
      <w:r>
        <w:rPr>
          <w:rFonts w:ascii="仿宋" w:hAnsi="仿宋" w:eastAsia="仿宋" w:cs="仿宋"/>
          <w:sz w:val="28"/>
          <w:szCs w:val="28"/>
          <w:shd w:val="clear" w:color="auto" w:fill="FFFFFF"/>
        </w:rPr>
        <w:t>（8）项目源代码及注释；</w:t>
      </w:r>
    </w:p>
    <w:p>
      <w:pPr>
        <w:pStyle w:val="96"/>
        <w:spacing w:before="0" w:after="0" w:line="360" w:lineRule="auto"/>
        <w:ind w:left="0" w:right="0" w:firstLine="480"/>
        <w:jc w:val="both"/>
        <w:rPr>
          <w:rFonts w:ascii="Times New Roman" w:hAnsi="Times New Roman" w:eastAsia="Times New Roman" w:cs="Times New Roman"/>
        </w:rPr>
      </w:pPr>
      <w:r>
        <w:rPr>
          <w:rFonts w:ascii="仿宋" w:hAnsi="仿宋" w:eastAsia="仿宋" w:cs="仿宋"/>
          <w:sz w:val="28"/>
          <w:szCs w:val="28"/>
          <w:shd w:val="clear" w:color="auto" w:fill="FFFFFF"/>
        </w:rPr>
        <w:t>（9）接口协议及注释；</w:t>
      </w:r>
    </w:p>
    <w:p>
      <w:pPr>
        <w:pStyle w:val="96"/>
        <w:spacing w:before="0" w:after="0" w:line="360" w:lineRule="auto"/>
        <w:ind w:left="0" w:right="0" w:firstLine="480"/>
        <w:jc w:val="both"/>
        <w:rPr>
          <w:rFonts w:ascii="Times New Roman" w:hAnsi="Times New Roman" w:eastAsia="Times New Roman" w:cs="Times New Roman"/>
        </w:rPr>
      </w:pPr>
      <w:r>
        <w:rPr>
          <w:rFonts w:ascii="仿宋" w:hAnsi="仿宋" w:eastAsia="仿宋" w:cs="仿宋"/>
          <w:sz w:val="28"/>
          <w:szCs w:val="28"/>
          <w:shd w:val="clear" w:color="auto" w:fill="FFFFFF"/>
        </w:rPr>
        <w:t>（10）信息系统源代码审计报告（内外网均需要提交），相关费用由投标人承担；</w:t>
      </w:r>
    </w:p>
    <w:p>
      <w:pPr>
        <w:pStyle w:val="96"/>
        <w:spacing w:before="0" w:after="0" w:line="360" w:lineRule="auto"/>
        <w:ind w:left="0" w:right="0" w:firstLine="480"/>
        <w:jc w:val="both"/>
        <w:rPr>
          <w:rFonts w:ascii="Times New Roman" w:hAnsi="Times New Roman" w:eastAsia="Times New Roman" w:cs="Times New Roman"/>
        </w:rPr>
      </w:pPr>
      <w:r>
        <w:rPr>
          <w:rFonts w:ascii="仿宋" w:hAnsi="仿宋" w:eastAsia="仿宋" w:cs="仿宋"/>
          <w:sz w:val="28"/>
          <w:szCs w:val="28"/>
          <w:shd w:val="clear" w:color="auto" w:fill="FFFFFF"/>
        </w:rPr>
        <w:t>（11）漏洞扫描和安全基线报告；</w:t>
      </w:r>
    </w:p>
    <w:p>
      <w:pPr>
        <w:pStyle w:val="96"/>
        <w:spacing w:before="0" w:after="0" w:line="360" w:lineRule="auto"/>
        <w:ind w:left="0" w:right="0" w:firstLine="480"/>
        <w:jc w:val="both"/>
        <w:rPr>
          <w:rFonts w:ascii="Times New Roman" w:hAnsi="Times New Roman" w:eastAsia="Times New Roman" w:cs="Times New Roman"/>
        </w:rPr>
      </w:pPr>
      <w:r>
        <w:rPr>
          <w:rFonts w:ascii="仿宋" w:hAnsi="仿宋" w:eastAsia="仿宋" w:cs="仿宋"/>
          <w:sz w:val="28"/>
          <w:szCs w:val="28"/>
          <w:shd w:val="clear" w:color="auto" w:fill="FFFFFF"/>
        </w:rPr>
        <w:t>（12）内控内生化方案（包括内控内生化方案中的各项功能，是否事前预警、事中阻断、事后筛查等风险防控措施能够嵌入到软件中，保证正常运行。）；</w:t>
      </w:r>
    </w:p>
    <w:p>
      <w:pPr>
        <w:pStyle w:val="96"/>
        <w:spacing w:before="0" w:after="0" w:line="360" w:lineRule="auto"/>
        <w:ind w:left="0" w:right="0" w:firstLine="480"/>
        <w:jc w:val="both"/>
        <w:rPr>
          <w:rFonts w:ascii="Times New Roman" w:hAnsi="Times New Roman" w:eastAsia="Times New Roman" w:cs="Times New Roman"/>
        </w:rPr>
      </w:pPr>
      <w:r>
        <w:rPr>
          <w:rFonts w:ascii="仿宋" w:hAnsi="仿宋" w:eastAsia="仿宋" w:cs="仿宋"/>
          <w:sz w:val="28"/>
          <w:szCs w:val="28"/>
          <w:shd w:val="clear" w:color="auto" w:fill="FFFFFF"/>
        </w:rPr>
        <w:t>（13）内控内生化报告；</w:t>
      </w:r>
    </w:p>
    <w:p>
      <w:pPr>
        <w:pStyle w:val="96"/>
        <w:spacing w:before="0" w:after="0" w:line="360" w:lineRule="auto"/>
        <w:ind w:left="0" w:right="0" w:firstLine="480"/>
        <w:jc w:val="both"/>
        <w:rPr>
          <w:rFonts w:ascii="Times New Roman" w:hAnsi="Times New Roman" w:eastAsia="Times New Roman" w:cs="Times New Roman"/>
        </w:rPr>
      </w:pPr>
      <w:r>
        <w:rPr>
          <w:rFonts w:ascii="仿宋" w:hAnsi="仿宋" w:eastAsia="仿宋" w:cs="仿宋"/>
          <w:sz w:val="28"/>
          <w:szCs w:val="28"/>
          <w:shd w:val="clear" w:color="auto" w:fill="FFFFFF"/>
        </w:rPr>
        <w:t>（14）必要时，需要提供项目费用使用情况；</w:t>
      </w:r>
    </w:p>
    <w:p>
      <w:pPr>
        <w:pStyle w:val="96"/>
        <w:spacing w:before="0" w:after="0" w:line="360" w:lineRule="auto"/>
        <w:ind w:left="0" w:right="0" w:firstLine="480"/>
        <w:jc w:val="both"/>
        <w:rPr>
          <w:rFonts w:ascii="Times New Roman" w:hAnsi="Times New Roman" w:eastAsia="Times New Roman" w:cs="Times New Roman"/>
        </w:rPr>
      </w:pPr>
      <w:r>
        <w:rPr>
          <w:rFonts w:ascii="仿宋" w:hAnsi="仿宋" w:eastAsia="仿宋" w:cs="仿宋"/>
          <w:sz w:val="28"/>
          <w:szCs w:val="28"/>
          <w:shd w:val="clear" w:color="auto" w:fill="FFFFFF"/>
        </w:rPr>
        <w:t>（15）若项目为公开招标，提供相关招标文件。</w:t>
      </w:r>
    </w:p>
    <w:p>
      <w:pPr>
        <w:pStyle w:val="90"/>
        <w:keepNext w:val="0"/>
        <w:spacing w:before="0" w:after="0" w:line="360" w:lineRule="auto"/>
        <w:jc w:val="center"/>
        <w:rPr>
          <w:rFonts w:ascii="仿宋_GB2312" w:hAnsi="仿宋_GB2312" w:eastAsia="仿宋_GB2312" w:cs="仿宋_GB2312"/>
          <w:b/>
          <w:bCs/>
          <w:sz w:val="32"/>
          <w:szCs w:val="32"/>
        </w:rPr>
      </w:pPr>
      <w:bookmarkStart w:id="39" w:name="_Toc256000035"/>
      <w:r>
        <w:rPr>
          <w:rFonts w:ascii="仿宋_GB2312" w:hAnsi="仿宋_GB2312" w:eastAsia="仿宋_GB2312" w:cs="仿宋_GB2312"/>
          <w:kern w:val="36"/>
        </w:rPr>
        <w:t>10其他要求</w:t>
      </w:r>
      <w:bookmarkEnd w:id="39"/>
    </w:p>
    <w:p>
      <w:pPr>
        <w:pStyle w:val="91"/>
        <w:keepNext w:val="0"/>
        <w:spacing w:before="0" w:after="0" w:line="360" w:lineRule="auto"/>
        <w:rPr>
          <w:rFonts w:ascii="仿宋_GB2312" w:hAnsi="仿宋_GB2312" w:eastAsia="仿宋_GB2312" w:cs="仿宋_GB2312"/>
          <w:b/>
          <w:bCs/>
          <w:sz w:val="28"/>
          <w:szCs w:val="28"/>
        </w:rPr>
      </w:pPr>
      <w:bookmarkStart w:id="40" w:name="_Toc256000036"/>
      <w:r>
        <w:rPr>
          <w:rFonts w:ascii="仿宋_GB2312" w:hAnsi="仿宋_GB2312" w:eastAsia="仿宋_GB2312" w:cs="仿宋_GB2312"/>
          <w:i w:val="0"/>
          <w:iCs w:val="0"/>
        </w:rPr>
        <w:t>10.1必备要求</w:t>
      </w:r>
      <w:bookmarkEnd w:id="40"/>
    </w:p>
    <w:p>
      <w:pPr>
        <w:pStyle w:val="92"/>
        <w:keepNext w:val="0"/>
        <w:spacing w:before="0" w:after="0" w:line="360" w:lineRule="auto"/>
        <w:rPr>
          <w:rFonts w:ascii="仿宋_GB2312" w:hAnsi="仿宋_GB2312" w:eastAsia="仿宋_GB2312" w:cs="仿宋_GB2312"/>
          <w:b/>
          <w:bCs/>
          <w:sz w:val="28"/>
          <w:szCs w:val="28"/>
        </w:rPr>
      </w:pPr>
      <w:bookmarkStart w:id="41" w:name="_Toc256000037"/>
      <w:r>
        <w:rPr>
          <w:rFonts w:ascii="仿宋_GB2312" w:hAnsi="仿宋_GB2312" w:eastAsia="仿宋_GB2312" w:cs="仿宋_GB2312"/>
          <w:sz w:val="28"/>
          <w:szCs w:val="28"/>
        </w:rPr>
        <w:t>10.1.1★税收信息化项目开发和应用管理工作要求</w:t>
      </w:r>
      <w:bookmarkEnd w:id="41"/>
    </w:p>
    <w:p>
      <w:pPr>
        <w:pStyle w:val="18"/>
        <w:spacing w:before="0" w:after="0" w:line="360" w:lineRule="auto"/>
        <w:ind w:firstLine="561"/>
        <w:rPr>
          <w:rFonts w:ascii="仿宋_GB2312" w:hAnsi="仿宋_GB2312" w:eastAsia="仿宋_GB2312" w:cs="仿宋_GB2312"/>
          <w:sz w:val="28"/>
          <w:szCs w:val="28"/>
        </w:rPr>
      </w:pPr>
      <w:r>
        <w:rPr>
          <w:rFonts w:ascii="仿宋_GB2312" w:hAnsi="仿宋_GB2312" w:eastAsia="仿宋_GB2312" w:cs="仿宋_GB2312"/>
          <w:sz w:val="28"/>
          <w:szCs w:val="28"/>
        </w:rPr>
        <w:t>供应商在采购以及后续项目实施过程中，应严格遵守税务总局税收信息化项目开发和应用管理工作要求。对于违反合同约定的，依据合同约定及政府采购有关规定，采购人可采取要求限期改正、在应付合同金额中扣除违约金、解除合同等措施；对于存在严重违法失信行为的，由采购人按规定推送财政部纳入政府采购严重违法失信行为记录名单。</w:t>
      </w:r>
    </w:p>
    <w:p>
      <w:pPr>
        <w:pStyle w:val="92"/>
        <w:keepNext w:val="0"/>
        <w:spacing w:before="0" w:after="0" w:line="360" w:lineRule="auto"/>
        <w:rPr>
          <w:rFonts w:ascii="仿宋_GB2312" w:hAnsi="仿宋_GB2312" w:eastAsia="仿宋_GB2312" w:cs="仿宋_GB2312"/>
          <w:b/>
          <w:bCs/>
          <w:sz w:val="28"/>
          <w:szCs w:val="28"/>
        </w:rPr>
      </w:pPr>
      <w:bookmarkStart w:id="42" w:name="_Toc256000038"/>
      <w:r>
        <w:rPr>
          <w:rFonts w:ascii="仿宋_GB2312" w:hAnsi="仿宋_GB2312" w:eastAsia="仿宋_GB2312" w:cs="仿宋_GB2312"/>
          <w:sz w:val="28"/>
          <w:szCs w:val="28"/>
        </w:rPr>
        <w:t>10.1.2★税收信息化项目廉政要求</w:t>
      </w:r>
      <w:bookmarkEnd w:id="42"/>
    </w:p>
    <w:p>
      <w:pPr>
        <w:pStyle w:val="97"/>
        <w:spacing w:before="0" w:after="0" w:line="360" w:lineRule="auto"/>
        <w:ind w:firstLine="560"/>
        <w:rPr>
          <w:rFonts w:ascii="Times New Roman" w:hAnsi="Times New Roman" w:eastAsia="Times New Roman" w:cs="Times New Roman"/>
        </w:rPr>
      </w:pPr>
      <w:r>
        <w:rPr>
          <w:rFonts w:ascii="仿宋_GB2312" w:hAnsi="仿宋_GB2312" w:eastAsia="仿宋_GB2312" w:cs="仿宋_GB2312"/>
          <w:sz w:val="28"/>
          <w:szCs w:val="28"/>
        </w:rPr>
        <w:t>中标人在参与税务部门信息化项目工作过程中，需严格遵守法律法规、规范履行合同，积极协助税务部门开展廉政风险防控工作。请严格遵守并落实如下要求：</w:t>
      </w:r>
    </w:p>
    <w:p>
      <w:pPr>
        <w:pStyle w:val="97"/>
        <w:spacing w:before="0" w:after="0" w:line="360" w:lineRule="auto"/>
        <w:rPr>
          <w:rFonts w:ascii="Times New Roman" w:hAnsi="Times New Roman" w:eastAsia="Times New Roman" w:cs="Times New Roman"/>
        </w:rPr>
      </w:pPr>
      <w:r>
        <w:rPr>
          <w:rFonts w:ascii="仿宋_GB2312" w:hAnsi="仿宋_GB2312" w:eastAsia="仿宋_GB2312" w:cs="仿宋_GB2312"/>
          <w:sz w:val="28"/>
          <w:szCs w:val="28"/>
        </w:rPr>
        <w:t>一、积极发挥廉政风险防控正向作用。中标人有义务配合税务部门在信息化项目工作中加强廉政风险防控，执行有关措施。</w:t>
      </w:r>
    </w:p>
    <w:p>
      <w:pPr>
        <w:pStyle w:val="97"/>
        <w:spacing w:before="0" w:after="0" w:line="360" w:lineRule="auto"/>
        <w:rPr>
          <w:rFonts w:ascii="Times New Roman" w:hAnsi="Times New Roman" w:eastAsia="Times New Roman" w:cs="Times New Roman"/>
        </w:rPr>
      </w:pPr>
      <w:r>
        <w:rPr>
          <w:rFonts w:ascii="仿宋_GB2312" w:hAnsi="仿宋_GB2312" w:eastAsia="仿宋_GB2312" w:cs="仿宋_GB2312"/>
          <w:sz w:val="28"/>
          <w:szCs w:val="28"/>
        </w:rPr>
        <w:t>二、健全廉政风险防控机制。中标人有责任在项目管理机制中健全内部廉政防控措施，包括但不限于：对参与本项目的员工提出廉洁行为规范；指定专人对项目实施各环节进行廉政监督；在项目验收过程中提交本项目廉政情况报告等。</w:t>
      </w:r>
    </w:p>
    <w:p>
      <w:pPr>
        <w:pStyle w:val="97"/>
        <w:spacing w:before="0" w:after="0" w:line="360" w:lineRule="auto"/>
        <w:rPr>
          <w:rFonts w:ascii="Times New Roman" w:hAnsi="Times New Roman" w:eastAsia="Times New Roman" w:cs="Times New Roman"/>
        </w:rPr>
      </w:pPr>
      <w:r>
        <w:rPr>
          <w:rFonts w:ascii="仿宋_GB2312" w:hAnsi="仿宋_GB2312" w:eastAsia="仿宋_GB2312" w:cs="仿宋_GB2312"/>
          <w:sz w:val="28"/>
          <w:szCs w:val="28"/>
        </w:rPr>
        <w:t>三、杜绝违纪违法行为。中标人及相关项目人员必须严格遵守党纪国法，坚守职业道德，杜绝任何形式的利益输送、权力寻租等违纪违法行为，对甲方工作人员不得实施以下行为:</w:t>
      </w:r>
    </w:p>
    <w:p>
      <w:pPr>
        <w:pStyle w:val="97"/>
        <w:spacing w:before="0" w:after="0" w:line="360" w:lineRule="auto"/>
        <w:rPr>
          <w:rFonts w:ascii="Times New Roman" w:hAnsi="Times New Roman" w:eastAsia="Times New Roman" w:cs="Times New Roman"/>
        </w:rPr>
      </w:pPr>
      <w:r>
        <w:rPr>
          <w:rFonts w:ascii="仿宋_GB2312" w:hAnsi="仿宋_GB2312" w:eastAsia="仿宋_GB2312" w:cs="仿宋_GB2312"/>
          <w:sz w:val="28"/>
          <w:szCs w:val="28"/>
        </w:rPr>
        <w:t>（一）以各种形式和名义提供礼品、礼金、电子红包、支付凭证、商业预付卡、名贵特产、有价证券、股权、其他金融产品等财物。</w:t>
      </w:r>
    </w:p>
    <w:p>
      <w:pPr>
        <w:pStyle w:val="97"/>
        <w:spacing w:before="0" w:after="0" w:line="360" w:lineRule="auto"/>
        <w:rPr>
          <w:rFonts w:ascii="Times New Roman" w:hAnsi="Times New Roman" w:eastAsia="Times New Roman" w:cs="Times New Roman"/>
        </w:rPr>
      </w:pPr>
      <w:r>
        <w:rPr>
          <w:rFonts w:ascii="仿宋_GB2312" w:hAnsi="仿宋_GB2312" w:eastAsia="仿宋_GB2312" w:cs="仿宋_GB2312"/>
          <w:sz w:val="28"/>
          <w:szCs w:val="28"/>
        </w:rPr>
        <w:t>（二）以各种形式和名义提供宴请、旅游、健身、娱乐、私人会所等活动安排；代付加班餐费、打车费等。</w:t>
      </w:r>
    </w:p>
    <w:p>
      <w:pPr>
        <w:pStyle w:val="97"/>
        <w:spacing w:before="0" w:after="0" w:line="360" w:lineRule="auto"/>
        <w:rPr>
          <w:rFonts w:ascii="Times New Roman" w:hAnsi="Times New Roman" w:eastAsia="Times New Roman" w:cs="Times New Roman"/>
        </w:rPr>
      </w:pPr>
      <w:r>
        <w:rPr>
          <w:rFonts w:ascii="仿宋_GB2312" w:hAnsi="仿宋_GB2312" w:eastAsia="仿宋_GB2312" w:cs="仿宋_GB2312"/>
          <w:sz w:val="28"/>
          <w:szCs w:val="28"/>
        </w:rPr>
        <w:t>（三）以讲课费、咨询费等名义，提供或变相提供报酬。</w:t>
      </w:r>
    </w:p>
    <w:p>
      <w:pPr>
        <w:pStyle w:val="97"/>
        <w:spacing w:before="0" w:after="0" w:line="360" w:lineRule="auto"/>
        <w:rPr>
          <w:rFonts w:ascii="Times New Roman" w:hAnsi="Times New Roman" w:eastAsia="Times New Roman" w:cs="Times New Roman"/>
        </w:rPr>
      </w:pPr>
      <w:r>
        <w:rPr>
          <w:rFonts w:ascii="仿宋_GB2312" w:hAnsi="仿宋_GB2312" w:eastAsia="仿宋_GB2312" w:cs="仿宋_GB2312"/>
          <w:sz w:val="28"/>
          <w:szCs w:val="28"/>
        </w:rPr>
        <w:t>（四）借款、借房、借车，报销应由个人负担的费用。</w:t>
      </w:r>
    </w:p>
    <w:p>
      <w:pPr>
        <w:pStyle w:val="97"/>
        <w:spacing w:before="0" w:after="0" w:line="360" w:lineRule="auto"/>
        <w:rPr>
          <w:rFonts w:ascii="Times New Roman" w:hAnsi="Times New Roman" w:eastAsia="Times New Roman" w:cs="Times New Roman"/>
        </w:rPr>
      </w:pPr>
      <w:r>
        <w:rPr>
          <w:rFonts w:ascii="仿宋_GB2312" w:hAnsi="仿宋_GB2312" w:eastAsia="仿宋_GB2312" w:cs="仿宋_GB2312"/>
          <w:sz w:val="28"/>
          <w:szCs w:val="28"/>
        </w:rPr>
        <w:t>（五）以无偿、象征性地收取费用等方式提供家政、司机等服务劳务。</w:t>
      </w:r>
    </w:p>
    <w:p>
      <w:pPr>
        <w:pStyle w:val="97"/>
        <w:spacing w:before="0" w:after="0" w:line="360" w:lineRule="auto"/>
        <w:rPr>
          <w:rFonts w:ascii="Times New Roman" w:hAnsi="Times New Roman" w:eastAsia="Times New Roman" w:cs="Times New Roman"/>
        </w:rPr>
      </w:pPr>
      <w:r>
        <w:rPr>
          <w:rFonts w:ascii="仿宋_GB2312" w:hAnsi="仿宋_GB2312" w:eastAsia="仿宋_GB2312" w:cs="仿宋_GB2312"/>
          <w:sz w:val="28"/>
          <w:szCs w:val="28"/>
        </w:rPr>
        <w:t>（六）其他通过任何形式行贿或输送利益的行为。</w:t>
      </w:r>
    </w:p>
    <w:p>
      <w:pPr>
        <w:pStyle w:val="97"/>
        <w:spacing w:before="0" w:after="0" w:line="360" w:lineRule="auto"/>
        <w:rPr>
          <w:rFonts w:ascii="Times New Roman" w:hAnsi="Times New Roman" w:eastAsia="Times New Roman" w:cs="Times New Roman"/>
        </w:rPr>
      </w:pPr>
      <w:r>
        <w:rPr>
          <w:rFonts w:ascii="仿宋_GB2312" w:hAnsi="仿宋_GB2312" w:eastAsia="仿宋_GB2312" w:cs="仿宋_GB2312"/>
          <w:sz w:val="28"/>
          <w:szCs w:val="28"/>
        </w:rPr>
        <w:t>四、信守承诺。中标人应承诺在项目实施过程中，严格遵守国家法律法规合法、诚信经营，杜绝商业贿赂、规范经营活动、公开透明合作、严格内部管理，并签订《税务信息化项目服务商廉洁承诺书》提交甲方负责项目实施的单位。</w:t>
      </w:r>
    </w:p>
    <w:p>
      <w:pPr>
        <w:pStyle w:val="97"/>
        <w:spacing w:before="0" w:after="0" w:line="360" w:lineRule="auto"/>
        <w:rPr>
          <w:rFonts w:ascii="Times New Roman" w:hAnsi="Times New Roman" w:eastAsia="Times New Roman" w:cs="Times New Roman"/>
        </w:rPr>
      </w:pPr>
      <w:r>
        <w:rPr>
          <w:rFonts w:ascii="仿宋_GB2312" w:hAnsi="仿宋_GB2312" w:eastAsia="仿宋_GB2312" w:cs="仿宋_GB2312"/>
          <w:sz w:val="28"/>
          <w:szCs w:val="28"/>
        </w:rPr>
        <w:t>五、自觉接受监管。中标人有义务配合税务机关的正常业务监管以及纪检监察、外部审计、督察内审等监督机构对税务信息化项目全过程的监督检查工作，如实提供相关资料和信息，不得隐瞒、篡改或销毁与项目建设有关的文件、数据等资料。</w:t>
      </w:r>
    </w:p>
    <w:p>
      <w:pPr>
        <w:pStyle w:val="97"/>
        <w:spacing w:before="0" w:after="0" w:line="360" w:lineRule="auto"/>
        <w:rPr>
          <w:rFonts w:ascii="Times New Roman" w:hAnsi="Times New Roman" w:eastAsia="Times New Roman" w:cs="Times New Roman"/>
        </w:rPr>
      </w:pPr>
      <w:r>
        <w:rPr>
          <w:rFonts w:ascii="仿宋_GB2312" w:hAnsi="仿宋_GB2312" w:eastAsia="仿宋_GB2312" w:cs="仿宋_GB2312"/>
          <w:sz w:val="28"/>
          <w:szCs w:val="28"/>
        </w:rPr>
        <w:t>六、举报和反馈意见。项目执行过程中，中标人有权举报、反馈甲方索贿受贿、吃拿卡要、违反中央八项规定精神等违纪违法行为。项目验收前，应填写《税务信息化项目服务商廉政反馈书》，提交甲方税务机关网络安全和信息化领导小组办公室。</w:t>
      </w:r>
    </w:p>
    <w:p>
      <w:pPr>
        <w:pStyle w:val="97"/>
        <w:spacing w:before="0" w:after="0" w:line="360" w:lineRule="auto"/>
        <w:jc w:val="center"/>
        <w:rPr>
          <w:rFonts w:ascii="Times New Roman" w:hAnsi="Times New Roman" w:eastAsia="Times New Roman" w:cs="Times New Roman"/>
        </w:rPr>
      </w:pPr>
      <w:r>
        <w:rPr>
          <w:rFonts w:ascii="方正小标宋简体" w:hAnsi="方正小标宋简体" w:eastAsia="方正小标宋简体" w:cs="方正小标宋简体"/>
          <w:sz w:val="36"/>
          <w:szCs w:val="36"/>
        </w:rPr>
        <w:t>税务信息化服务商廉洁承诺书</w:t>
      </w:r>
    </w:p>
    <w:p>
      <w:pPr>
        <w:pStyle w:val="97"/>
        <w:spacing w:before="0" w:after="0" w:line="360" w:lineRule="auto"/>
        <w:rPr>
          <w:rFonts w:ascii="Times New Roman" w:hAnsi="Times New Roman" w:eastAsia="Times New Roman" w:cs="Times New Roman"/>
        </w:rPr>
      </w:pPr>
      <w:r>
        <w:rPr>
          <w:rFonts w:ascii="仿宋_GB2312" w:hAnsi="仿宋_GB2312" w:eastAsia="仿宋_GB2312" w:cs="仿宋_GB2312"/>
          <w:sz w:val="28"/>
          <w:szCs w:val="28"/>
        </w:rPr>
        <w:t>为深入贯彻落实党中央关于全面从严治党的决策部署，进一步加强税务信息化项目合作中的廉政建设，防范廉政风险发生，确保项目公开、公平、公正推进，我司郑重承诺如下：</w:t>
      </w:r>
    </w:p>
    <w:p>
      <w:pPr>
        <w:pStyle w:val="97"/>
        <w:spacing w:before="0" w:after="0" w:line="360" w:lineRule="auto"/>
        <w:rPr>
          <w:rFonts w:ascii="Times New Roman" w:hAnsi="Times New Roman" w:eastAsia="Times New Roman" w:cs="Times New Roman"/>
        </w:rPr>
      </w:pPr>
      <w:r>
        <w:rPr>
          <w:rFonts w:ascii="黑体" w:hAnsi="黑体" w:eastAsia="黑体" w:cs="黑体"/>
          <w:sz w:val="28"/>
          <w:szCs w:val="28"/>
        </w:rPr>
        <w:t>一、合法合规经营。</w:t>
      </w:r>
      <w:r>
        <w:rPr>
          <w:rFonts w:ascii="仿宋_GB2312" w:hAnsi="仿宋_GB2312" w:eastAsia="仿宋_GB2312" w:cs="仿宋_GB2312"/>
          <w:sz w:val="28"/>
          <w:szCs w:val="28"/>
        </w:rPr>
        <w:t>严格遵守国家法律法规及税务部门的相关规定，坚持廉洁从业、诚信经营的原则。在合作过程中不以任何形式进行利益输送，维护良好的政商关系。</w:t>
      </w:r>
    </w:p>
    <w:p>
      <w:pPr>
        <w:pStyle w:val="97"/>
        <w:spacing w:before="0" w:after="0" w:line="360" w:lineRule="auto"/>
        <w:rPr>
          <w:rFonts w:ascii="Times New Roman" w:hAnsi="Times New Roman" w:eastAsia="Times New Roman" w:cs="Times New Roman"/>
        </w:rPr>
      </w:pPr>
      <w:r>
        <w:rPr>
          <w:rFonts w:ascii="黑体" w:hAnsi="黑体" w:eastAsia="黑体" w:cs="黑体"/>
          <w:sz w:val="28"/>
          <w:szCs w:val="28"/>
        </w:rPr>
        <w:t>二、杜绝商业贿赂。</w:t>
      </w:r>
      <w:r>
        <w:rPr>
          <w:rFonts w:ascii="仿宋_GB2312" w:hAnsi="仿宋_GB2312" w:eastAsia="仿宋_GB2312" w:cs="仿宋_GB2312"/>
          <w:sz w:val="28"/>
          <w:szCs w:val="28"/>
        </w:rPr>
        <w:t>加强内部管理，我司及我司员工均不对甲方工作人员实施以下行为：</w:t>
      </w:r>
    </w:p>
    <w:p>
      <w:pPr>
        <w:pStyle w:val="97"/>
        <w:spacing w:before="0" w:after="0" w:line="360" w:lineRule="auto"/>
        <w:rPr>
          <w:rFonts w:ascii="Times New Roman" w:hAnsi="Times New Roman" w:eastAsia="Times New Roman" w:cs="Times New Roman"/>
        </w:rPr>
      </w:pPr>
      <w:r>
        <w:rPr>
          <w:rFonts w:ascii="仿宋_GB2312" w:hAnsi="仿宋_GB2312" w:eastAsia="仿宋_GB2312" w:cs="仿宋_GB2312"/>
          <w:sz w:val="28"/>
          <w:szCs w:val="28"/>
        </w:rPr>
        <w:t>（一）以各种形式和名义提供礼品、礼金、电子红包、支付凭证、商业预付卡、名贵特产、有价证券、股权、其他金融产品等财物。</w:t>
      </w:r>
    </w:p>
    <w:p>
      <w:pPr>
        <w:pStyle w:val="97"/>
        <w:spacing w:before="0" w:after="0" w:line="360" w:lineRule="auto"/>
        <w:rPr>
          <w:rFonts w:ascii="Times New Roman" w:hAnsi="Times New Roman" w:eastAsia="Times New Roman" w:cs="Times New Roman"/>
        </w:rPr>
      </w:pPr>
      <w:r>
        <w:rPr>
          <w:rFonts w:ascii="仿宋_GB2312" w:hAnsi="仿宋_GB2312" w:eastAsia="仿宋_GB2312" w:cs="仿宋_GB2312"/>
          <w:sz w:val="28"/>
          <w:szCs w:val="28"/>
        </w:rPr>
        <w:t>（二）以各种形式和名义提供宴请、旅游、健身、娱乐、私人会所等活动安排；代付加班餐费、打车费等。</w:t>
      </w:r>
    </w:p>
    <w:p>
      <w:pPr>
        <w:pStyle w:val="97"/>
        <w:spacing w:before="0" w:after="0" w:line="360" w:lineRule="auto"/>
        <w:rPr>
          <w:rFonts w:ascii="Times New Roman" w:hAnsi="Times New Roman" w:eastAsia="Times New Roman" w:cs="Times New Roman"/>
        </w:rPr>
      </w:pPr>
      <w:r>
        <w:rPr>
          <w:rFonts w:ascii="仿宋_GB2312" w:hAnsi="仿宋_GB2312" w:eastAsia="仿宋_GB2312" w:cs="仿宋_GB2312"/>
          <w:sz w:val="28"/>
          <w:szCs w:val="28"/>
        </w:rPr>
        <w:t>（三）以讲课费、咨询费等名义，提供或变相提供报酬。</w:t>
      </w:r>
    </w:p>
    <w:p>
      <w:pPr>
        <w:pStyle w:val="97"/>
        <w:spacing w:before="0" w:after="0" w:line="360" w:lineRule="auto"/>
        <w:rPr>
          <w:rFonts w:ascii="Times New Roman" w:hAnsi="Times New Roman" w:eastAsia="Times New Roman" w:cs="Times New Roman"/>
        </w:rPr>
      </w:pPr>
      <w:r>
        <w:rPr>
          <w:rFonts w:ascii="仿宋_GB2312" w:hAnsi="仿宋_GB2312" w:eastAsia="仿宋_GB2312" w:cs="仿宋_GB2312"/>
          <w:sz w:val="28"/>
          <w:szCs w:val="28"/>
        </w:rPr>
        <w:t>（四）借款、借房、借车，报销应由个人负担的费用。</w:t>
      </w:r>
    </w:p>
    <w:p>
      <w:pPr>
        <w:pStyle w:val="97"/>
        <w:spacing w:before="0" w:after="0" w:line="360" w:lineRule="auto"/>
        <w:rPr>
          <w:rFonts w:ascii="Times New Roman" w:hAnsi="Times New Roman" w:eastAsia="Times New Roman" w:cs="Times New Roman"/>
        </w:rPr>
      </w:pPr>
      <w:r>
        <w:rPr>
          <w:rFonts w:ascii="仿宋_GB2312" w:hAnsi="仿宋_GB2312" w:eastAsia="仿宋_GB2312" w:cs="仿宋_GB2312"/>
          <w:sz w:val="28"/>
          <w:szCs w:val="28"/>
        </w:rPr>
        <w:t>（五）以无偿、象征性地收取费用等方式提供家政、司机等服务劳务。</w:t>
      </w:r>
    </w:p>
    <w:p>
      <w:pPr>
        <w:pStyle w:val="97"/>
        <w:spacing w:before="0" w:after="0" w:line="360" w:lineRule="auto"/>
        <w:rPr>
          <w:rFonts w:ascii="Times New Roman" w:hAnsi="Times New Roman" w:eastAsia="Times New Roman" w:cs="Times New Roman"/>
        </w:rPr>
      </w:pPr>
      <w:r>
        <w:rPr>
          <w:rFonts w:ascii="仿宋_GB2312" w:hAnsi="仿宋_GB2312" w:eastAsia="仿宋_GB2312" w:cs="仿宋_GB2312"/>
          <w:sz w:val="28"/>
          <w:szCs w:val="28"/>
        </w:rPr>
        <w:t>（六）其他通过任何形式行贿或输送利益的行为。</w:t>
      </w:r>
    </w:p>
    <w:p>
      <w:pPr>
        <w:pStyle w:val="97"/>
        <w:spacing w:before="0" w:after="0" w:line="360" w:lineRule="auto"/>
        <w:rPr>
          <w:rFonts w:ascii="Times New Roman" w:hAnsi="Times New Roman" w:eastAsia="Times New Roman" w:cs="Times New Roman"/>
        </w:rPr>
      </w:pPr>
      <w:r>
        <w:rPr>
          <w:rFonts w:ascii="黑体" w:hAnsi="黑体" w:eastAsia="黑体" w:cs="黑体"/>
          <w:sz w:val="28"/>
          <w:szCs w:val="28"/>
        </w:rPr>
        <w:t>三、规范经营活动。</w:t>
      </w:r>
      <w:r>
        <w:rPr>
          <w:rFonts w:ascii="仿宋_GB2312" w:hAnsi="仿宋_GB2312" w:eastAsia="仿宋_GB2312" w:cs="仿宋_GB2312"/>
          <w:sz w:val="28"/>
          <w:szCs w:val="28"/>
        </w:rPr>
        <w:t>严格按照合同约定履行义务，保证项目质量，按时完成建设任务；在合作过程中不以任何借口拖延工期、虚报成本或谋取私利。</w:t>
      </w:r>
    </w:p>
    <w:p>
      <w:pPr>
        <w:pStyle w:val="97"/>
        <w:spacing w:before="0" w:after="0" w:line="360" w:lineRule="auto"/>
        <w:rPr>
          <w:rFonts w:ascii="Times New Roman" w:hAnsi="Times New Roman" w:eastAsia="Times New Roman" w:cs="Times New Roman"/>
        </w:rPr>
      </w:pPr>
      <w:r>
        <w:rPr>
          <w:rFonts w:ascii="黑体" w:hAnsi="黑体" w:eastAsia="黑体" w:cs="黑体"/>
          <w:sz w:val="28"/>
          <w:szCs w:val="28"/>
        </w:rPr>
        <w:t>四、公开透明合作。</w:t>
      </w:r>
      <w:r>
        <w:rPr>
          <w:rFonts w:ascii="仿宋_GB2312" w:hAnsi="仿宋_GB2312" w:eastAsia="仿宋_GB2312" w:cs="仿宋_GB2312"/>
          <w:sz w:val="28"/>
          <w:szCs w:val="28"/>
        </w:rPr>
        <w:t>我司承诺在项目实施过程中保持公开透明，主动接受税务部门及纪检监察机构的全程监督，并积极配合任何有关廉洁从业的调查工作。</w:t>
      </w:r>
    </w:p>
    <w:p>
      <w:pPr>
        <w:pStyle w:val="97"/>
        <w:spacing w:before="0" w:after="0" w:line="360" w:lineRule="auto"/>
        <w:rPr>
          <w:rFonts w:ascii="Times New Roman" w:hAnsi="Times New Roman" w:eastAsia="Times New Roman" w:cs="Times New Roman"/>
        </w:rPr>
      </w:pPr>
      <w:r>
        <w:rPr>
          <w:rFonts w:ascii="黑体" w:hAnsi="黑体" w:eastAsia="黑体" w:cs="黑体"/>
          <w:sz w:val="28"/>
          <w:szCs w:val="28"/>
        </w:rPr>
        <w:t>五、严格内部管理。</w:t>
      </w:r>
      <w:r>
        <w:rPr>
          <w:rFonts w:ascii="仿宋_GB2312" w:hAnsi="仿宋_GB2312" w:eastAsia="仿宋_GB2312" w:cs="仿宋_GB2312"/>
          <w:sz w:val="28"/>
          <w:szCs w:val="28"/>
        </w:rPr>
        <w:t>加强企业内部廉洁教育，确保员工知晓并遵守相关法律法规及廉洁要求；加强项目实施全过程廉洁监督；对于违反廉洁承诺的员工，将严肃处理，并承担相应责任。</w:t>
      </w:r>
    </w:p>
    <w:p>
      <w:pPr>
        <w:pStyle w:val="97"/>
        <w:spacing w:before="0" w:after="0" w:line="360" w:lineRule="auto"/>
        <w:rPr>
          <w:rFonts w:ascii="Times New Roman" w:hAnsi="Times New Roman" w:eastAsia="Times New Roman" w:cs="Times New Roman"/>
        </w:rPr>
      </w:pPr>
      <w:r>
        <w:rPr>
          <w:rFonts w:ascii="黑体" w:hAnsi="黑体" w:eastAsia="黑体" w:cs="黑体"/>
          <w:sz w:val="28"/>
          <w:szCs w:val="28"/>
        </w:rPr>
        <w:t>六、积极参与监督。</w:t>
      </w:r>
      <w:r>
        <w:rPr>
          <w:rFonts w:ascii="仿宋_GB2312" w:hAnsi="仿宋_GB2312" w:eastAsia="仿宋_GB2312" w:cs="仿宋_GB2312"/>
          <w:sz w:val="28"/>
          <w:szCs w:val="28"/>
        </w:rPr>
        <w:t>在税务信息化项目实施过程中，如发现任何违纪违法行为，将如实反馈问题和意见。</w:t>
      </w:r>
    </w:p>
    <w:p>
      <w:pPr>
        <w:pStyle w:val="97"/>
        <w:spacing w:before="0" w:after="0" w:line="360" w:lineRule="auto"/>
        <w:rPr>
          <w:rFonts w:ascii="Times New Roman" w:hAnsi="Times New Roman" w:eastAsia="Times New Roman" w:cs="Times New Roman"/>
        </w:rPr>
      </w:pPr>
      <w:r>
        <w:rPr>
          <w:sz w:val="28"/>
          <w:szCs w:val="28"/>
        </w:rPr>
        <w:t> </w:t>
      </w:r>
    </w:p>
    <w:p>
      <w:pPr>
        <w:pStyle w:val="97"/>
        <w:spacing w:before="0" w:after="0" w:line="360" w:lineRule="auto"/>
        <w:rPr>
          <w:rFonts w:ascii="Times New Roman" w:hAnsi="Times New Roman" w:eastAsia="Times New Roman" w:cs="Times New Roman"/>
        </w:rPr>
      </w:pPr>
      <w:r>
        <w:rPr>
          <w:sz w:val="28"/>
          <w:szCs w:val="28"/>
        </w:rPr>
        <w:t> </w:t>
      </w:r>
    </w:p>
    <w:p>
      <w:pPr>
        <w:pStyle w:val="97"/>
        <w:spacing w:before="0" w:after="0" w:line="360" w:lineRule="auto"/>
        <w:rPr>
          <w:rFonts w:ascii="Times New Roman" w:hAnsi="Times New Roman" w:eastAsia="Times New Roman" w:cs="Times New Roman"/>
        </w:rPr>
      </w:pPr>
      <w:r>
        <w:rPr>
          <w:rFonts w:ascii="仿宋_GB2312" w:hAnsi="仿宋_GB2312" w:eastAsia="仿宋_GB2312" w:cs="仿宋_GB2312"/>
          <w:sz w:val="28"/>
          <w:szCs w:val="28"/>
        </w:rPr>
        <w:t>承诺单位（盖章）：________________________</w:t>
      </w:r>
    </w:p>
    <w:p>
      <w:pPr>
        <w:pStyle w:val="97"/>
        <w:spacing w:before="0" w:after="0" w:line="360" w:lineRule="auto"/>
        <w:rPr>
          <w:rFonts w:ascii="Times New Roman" w:hAnsi="Times New Roman" w:eastAsia="Times New Roman" w:cs="Times New Roman"/>
        </w:rPr>
      </w:pPr>
      <w:r>
        <w:rPr>
          <w:rFonts w:ascii="仿宋_GB2312" w:hAnsi="仿宋_GB2312" w:eastAsia="仿宋_GB2312" w:cs="仿宋_GB2312"/>
          <w:sz w:val="28"/>
          <w:szCs w:val="28"/>
        </w:rPr>
        <w:t>法定代表人或授权代表签字：_______________</w:t>
      </w:r>
    </w:p>
    <w:p>
      <w:pPr>
        <w:pStyle w:val="97"/>
        <w:spacing w:before="0" w:after="0" w:line="360" w:lineRule="auto"/>
        <w:rPr>
          <w:rFonts w:ascii="Times New Roman" w:hAnsi="Times New Roman" w:eastAsia="Times New Roman" w:cs="Times New Roman"/>
        </w:rPr>
      </w:pPr>
      <w:r>
        <w:rPr>
          <w:rFonts w:ascii="仿宋_GB2312" w:hAnsi="仿宋_GB2312" w:eastAsia="仿宋_GB2312" w:cs="仿宋_GB2312"/>
          <w:sz w:val="28"/>
          <w:szCs w:val="28"/>
        </w:rPr>
        <w:t>日期：XX年XX月XX日</w:t>
      </w:r>
    </w:p>
    <w:p>
      <w:pPr>
        <w:pStyle w:val="97"/>
        <w:spacing w:before="0" w:after="0" w:line="360" w:lineRule="auto"/>
        <w:rPr>
          <w:rFonts w:ascii="Times New Roman" w:hAnsi="Times New Roman" w:eastAsia="Times New Roman" w:cs="Times New Roman"/>
        </w:rPr>
      </w:pPr>
      <w:r>
        <w:rPr>
          <w:rFonts w:ascii="仿宋_GB2312" w:hAnsi="仿宋_GB2312" w:eastAsia="仿宋_GB2312" w:cs="仿宋_GB2312"/>
          <w:sz w:val="21"/>
          <w:szCs w:val="21"/>
        </w:rPr>
        <w:t>备注：本承诺书一式两份，一份由承诺单位留存，另一份交税务部门备案。</w:t>
      </w:r>
    </w:p>
    <w:p>
      <w:pPr>
        <w:pStyle w:val="97"/>
        <w:spacing w:before="0" w:after="0" w:line="360" w:lineRule="auto"/>
        <w:rPr>
          <w:rFonts w:ascii="Times New Roman" w:hAnsi="Times New Roman" w:eastAsia="Times New Roman" w:cs="Times New Roman"/>
        </w:rPr>
      </w:pPr>
      <w:r>
        <w:t> </w:t>
      </w:r>
    </w:p>
    <w:p>
      <w:pPr>
        <w:pStyle w:val="97"/>
        <w:spacing w:before="0" w:after="0" w:line="360" w:lineRule="auto"/>
        <w:rPr>
          <w:rFonts w:ascii="Times New Roman" w:hAnsi="Times New Roman" w:eastAsia="Times New Roman" w:cs="Times New Roman"/>
        </w:rPr>
      </w:pPr>
      <w:r>
        <w:rPr>
          <w:rFonts w:ascii="仿宋_GB2312" w:hAnsi="仿宋_GB2312" w:eastAsia="仿宋_GB2312" w:cs="仿宋_GB2312"/>
          <w:sz w:val="28"/>
          <w:szCs w:val="28"/>
        </w:rPr>
        <w:t>项目终验前提交《税务信息化项目服务商廉政反馈书》</w:t>
      </w:r>
    </w:p>
    <w:p>
      <w:pPr>
        <w:pStyle w:val="97"/>
        <w:spacing w:before="0" w:after="0" w:line="360" w:lineRule="auto"/>
        <w:jc w:val="center"/>
        <w:rPr>
          <w:rFonts w:ascii="Times New Roman" w:hAnsi="Times New Roman" w:eastAsia="Times New Roman" w:cs="Times New Roman"/>
        </w:rPr>
      </w:pPr>
      <w:r>
        <w:rPr>
          <w:rFonts w:ascii="方正小标宋简体" w:hAnsi="方正小标宋简体" w:eastAsia="方正小标宋简体" w:cs="方正小标宋简体"/>
          <w:sz w:val="36"/>
          <w:szCs w:val="36"/>
        </w:rPr>
        <w:t>税务信息化廉政情况反馈书</w:t>
      </w:r>
    </w:p>
    <w:tbl>
      <w:tblPr>
        <w:tblStyle w:val="99"/>
        <w:tblW w:w="9270" w:type="dxa"/>
        <w:tblCellSpacing w:w="0" w:type="dxa"/>
        <w:tblInd w:w="324" w:type="dxa"/>
        <w:tblLayout w:type="autofit"/>
        <w:tblCellMar>
          <w:top w:w="15" w:type="dxa"/>
          <w:left w:w="15" w:type="dxa"/>
          <w:bottom w:w="15" w:type="dxa"/>
          <w:right w:w="15" w:type="dxa"/>
        </w:tblCellMar>
      </w:tblPr>
      <w:tblGrid>
        <w:gridCol w:w="3165"/>
        <w:gridCol w:w="6105"/>
      </w:tblGrid>
      <w:tr>
        <w:tblPrEx>
          <w:tblCellMar>
            <w:top w:w="15" w:type="dxa"/>
            <w:left w:w="15" w:type="dxa"/>
            <w:bottom w:w="15" w:type="dxa"/>
            <w:right w:w="15" w:type="dxa"/>
          </w:tblCellMar>
        </w:tblPrEx>
        <w:trPr>
          <w:trHeight w:val="840" w:hRule="atLeast"/>
          <w:tblCellSpacing w:w="0" w:type="dxa"/>
        </w:trPr>
        <w:tc>
          <w:tcPr>
            <w:tcW w:w="10278" w:type="dxa"/>
            <w:gridSpan w:val="2"/>
            <w:tcBorders>
              <w:top w:val="single" w:color="000000" w:sz="8" w:space="0"/>
              <w:left w:val="single" w:color="000000" w:sz="8" w:space="0"/>
              <w:bottom w:val="single" w:color="000000" w:sz="8" w:space="0"/>
              <w:right w:val="single" w:color="000000" w:sz="8" w:space="0"/>
            </w:tcBorders>
            <w:noWrap w:val="0"/>
            <w:tcMar>
              <w:top w:w="0" w:type="dxa"/>
              <w:left w:w="168" w:type="dxa"/>
              <w:bottom w:w="0" w:type="dxa"/>
              <w:right w:w="168" w:type="dxa"/>
            </w:tcMar>
            <w:vAlign w:val="center"/>
          </w:tcPr>
          <w:p>
            <w:pPr>
              <w:pStyle w:val="98"/>
              <w:spacing w:after="0" w:line="580" w:lineRule="atLeast"/>
              <w:ind w:firstLine="632"/>
              <w:jc w:val="center"/>
              <w:textAlignment w:val="center"/>
              <w:rPr>
                <w:rFonts w:ascii="Times New Roman" w:hAnsi="Times New Roman" w:eastAsia="Times New Roman" w:cs="Times New Roman"/>
                <w:b w:val="0"/>
                <w:bCs w:val="0"/>
                <w:i w:val="0"/>
                <w:iCs w:val="0"/>
                <w:smallCaps w:val="0"/>
                <w:color w:val="000000"/>
              </w:rPr>
            </w:pPr>
            <w:r>
              <w:rPr>
                <w:rFonts w:ascii="黑体" w:hAnsi="黑体" w:eastAsia="黑体" w:cs="黑体"/>
                <w:b w:val="0"/>
                <w:bCs w:val="0"/>
                <w:i w:val="0"/>
                <w:iCs w:val="0"/>
                <w:smallCaps w:val="0"/>
                <w:color w:val="000000"/>
                <w:sz w:val="32"/>
                <w:szCs w:val="32"/>
              </w:rPr>
              <w:t>项目基本情况</w:t>
            </w:r>
          </w:p>
        </w:tc>
      </w:tr>
      <w:tr>
        <w:tblPrEx>
          <w:tblCellMar>
            <w:top w:w="15" w:type="dxa"/>
            <w:left w:w="15" w:type="dxa"/>
            <w:bottom w:w="15" w:type="dxa"/>
            <w:right w:w="15" w:type="dxa"/>
          </w:tblCellMar>
        </w:tblPrEx>
        <w:trPr>
          <w:trHeight w:val="285" w:hRule="atLeast"/>
          <w:tblCellSpacing w:w="0" w:type="dxa"/>
        </w:trPr>
        <w:tc>
          <w:tcPr>
            <w:tcW w:w="3643" w:type="dxa"/>
            <w:tcBorders>
              <w:left w:val="single" w:color="000000" w:sz="8" w:space="0"/>
              <w:bottom w:val="single" w:color="000000" w:sz="8" w:space="0"/>
              <w:right w:val="single" w:color="000000" w:sz="8" w:space="0"/>
            </w:tcBorders>
            <w:noWrap w:val="0"/>
            <w:tcMar>
              <w:top w:w="0" w:type="dxa"/>
              <w:left w:w="168" w:type="dxa"/>
              <w:bottom w:w="0" w:type="dxa"/>
              <w:right w:w="168" w:type="dxa"/>
            </w:tcMar>
            <w:vAlign w:val="center"/>
          </w:tcPr>
          <w:p>
            <w:pPr>
              <w:pStyle w:val="98"/>
              <w:spacing w:after="0" w:line="580" w:lineRule="atLeast"/>
              <w:jc w:val="both"/>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bCs/>
                <w:i w:val="0"/>
                <w:iCs w:val="0"/>
                <w:smallCaps w:val="0"/>
                <w:color w:val="333333"/>
                <w:sz w:val="21"/>
                <w:szCs w:val="21"/>
              </w:rPr>
              <w:t>项目名称（编号）</w:t>
            </w:r>
          </w:p>
        </w:tc>
        <w:tc>
          <w:tcPr>
            <w:tcW w:w="7433" w:type="dxa"/>
            <w:tcBorders>
              <w:top w:val="single" w:color="000000" w:sz="8" w:space="0"/>
              <w:bottom w:val="single" w:color="000000" w:sz="8" w:space="0"/>
              <w:right w:val="single" w:color="000000" w:sz="8" w:space="0"/>
            </w:tcBorders>
            <w:noWrap w:val="0"/>
            <w:tcMar>
              <w:top w:w="0" w:type="dxa"/>
              <w:left w:w="108" w:type="dxa"/>
              <w:bottom w:w="0" w:type="dxa"/>
              <w:right w:w="168" w:type="dxa"/>
            </w:tcMar>
            <w:vAlign w:val="center"/>
          </w:tcPr>
          <w:p>
            <w:pPr>
              <w:pStyle w:val="98"/>
              <w:spacing w:after="0" w:line="580" w:lineRule="atLeast"/>
              <w:ind w:firstLine="472"/>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333333"/>
                <w:sz w:val="21"/>
                <w:szCs w:val="21"/>
              </w:rPr>
              <w:t>XXX税务信息化项目  项目编号</w:t>
            </w:r>
          </w:p>
        </w:tc>
      </w:tr>
      <w:tr>
        <w:tblPrEx>
          <w:tblCellMar>
            <w:top w:w="15" w:type="dxa"/>
            <w:left w:w="15" w:type="dxa"/>
            <w:bottom w:w="15" w:type="dxa"/>
            <w:right w:w="15" w:type="dxa"/>
          </w:tblCellMar>
        </w:tblPrEx>
        <w:trPr>
          <w:trHeight w:val="570" w:hRule="atLeast"/>
          <w:tblCellSpacing w:w="0" w:type="dxa"/>
        </w:trPr>
        <w:tc>
          <w:tcPr>
            <w:tcW w:w="3643" w:type="dxa"/>
            <w:tcBorders>
              <w:left w:val="single" w:color="000000" w:sz="8" w:space="0"/>
              <w:bottom w:val="single" w:color="000000" w:sz="8" w:space="0"/>
              <w:right w:val="single" w:color="000000" w:sz="8" w:space="0"/>
            </w:tcBorders>
            <w:noWrap w:val="0"/>
            <w:tcMar>
              <w:top w:w="0" w:type="dxa"/>
              <w:left w:w="168" w:type="dxa"/>
              <w:bottom w:w="0" w:type="dxa"/>
              <w:right w:w="168" w:type="dxa"/>
            </w:tcMar>
            <w:vAlign w:val="center"/>
          </w:tcPr>
          <w:p>
            <w:pPr>
              <w:pStyle w:val="98"/>
              <w:spacing w:after="0" w:line="580" w:lineRule="atLeast"/>
              <w:jc w:val="both"/>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bCs/>
                <w:i w:val="0"/>
                <w:iCs w:val="0"/>
                <w:smallCaps w:val="0"/>
                <w:color w:val="000000"/>
                <w:sz w:val="21"/>
                <w:szCs w:val="21"/>
              </w:rPr>
              <w:t>服务商名称</w:t>
            </w:r>
          </w:p>
        </w:tc>
        <w:tc>
          <w:tcPr>
            <w:tcW w:w="7433" w:type="dxa"/>
            <w:tcBorders>
              <w:bottom w:val="single" w:color="000000" w:sz="8" w:space="0"/>
              <w:right w:val="single" w:color="000000" w:sz="8" w:space="0"/>
            </w:tcBorders>
            <w:noWrap w:val="0"/>
            <w:tcMar>
              <w:top w:w="0" w:type="dxa"/>
              <w:left w:w="108" w:type="dxa"/>
              <w:bottom w:w="0" w:type="dxa"/>
              <w:right w:w="168" w:type="dxa"/>
            </w:tcMar>
            <w:vAlign w:val="center"/>
          </w:tcPr>
          <w:p>
            <w:pPr>
              <w:pStyle w:val="98"/>
              <w:spacing w:after="0" w:line="580" w:lineRule="atLeast"/>
              <w:ind w:firstLine="472"/>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XXX公司</w:t>
            </w:r>
          </w:p>
        </w:tc>
      </w:tr>
      <w:tr>
        <w:tblPrEx>
          <w:tblCellMar>
            <w:top w:w="15" w:type="dxa"/>
            <w:left w:w="15" w:type="dxa"/>
            <w:bottom w:w="15" w:type="dxa"/>
            <w:right w:w="15" w:type="dxa"/>
          </w:tblCellMar>
        </w:tblPrEx>
        <w:trPr>
          <w:trHeight w:val="570" w:hRule="atLeast"/>
          <w:tblCellSpacing w:w="0" w:type="dxa"/>
        </w:trPr>
        <w:tc>
          <w:tcPr>
            <w:tcW w:w="3643" w:type="dxa"/>
            <w:tcBorders>
              <w:left w:val="single" w:color="000000" w:sz="8" w:space="0"/>
              <w:bottom w:val="single" w:color="000000" w:sz="8" w:space="0"/>
              <w:right w:val="single" w:color="000000" w:sz="8" w:space="0"/>
            </w:tcBorders>
            <w:noWrap w:val="0"/>
            <w:tcMar>
              <w:top w:w="0" w:type="dxa"/>
              <w:left w:w="168" w:type="dxa"/>
              <w:bottom w:w="0" w:type="dxa"/>
              <w:right w:w="168" w:type="dxa"/>
            </w:tcMar>
            <w:vAlign w:val="center"/>
          </w:tcPr>
          <w:p>
            <w:pPr>
              <w:pStyle w:val="98"/>
              <w:spacing w:after="0" w:line="580" w:lineRule="atLeast"/>
              <w:jc w:val="both"/>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bCs/>
                <w:i w:val="0"/>
                <w:iCs w:val="0"/>
                <w:smallCaps w:val="0"/>
                <w:color w:val="000000"/>
                <w:sz w:val="21"/>
                <w:szCs w:val="21"/>
              </w:rPr>
              <w:t>联系人及电话</w:t>
            </w:r>
          </w:p>
        </w:tc>
        <w:tc>
          <w:tcPr>
            <w:tcW w:w="7433" w:type="dxa"/>
            <w:tcBorders>
              <w:bottom w:val="single" w:color="000000" w:sz="8" w:space="0"/>
              <w:right w:val="single" w:color="000000" w:sz="8" w:space="0"/>
            </w:tcBorders>
            <w:noWrap w:val="0"/>
            <w:tcMar>
              <w:top w:w="0" w:type="dxa"/>
              <w:left w:w="108" w:type="dxa"/>
              <w:bottom w:w="0" w:type="dxa"/>
              <w:right w:w="168" w:type="dxa"/>
            </w:tcMar>
            <w:vAlign w:val="center"/>
          </w:tcPr>
          <w:p>
            <w:pPr>
              <w:pStyle w:val="98"/>
              <w:spacing w:after="0" w:line="580" w:lineRule="atLeast"/>
              <w:ind w:firstLine="472"/>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联系人：  职务：   电话：123-4567890</w:t>
            </w:r>
          </w:p>
        </w:tc>
      </w:tr>
      <w:tr>
        <w:tblPrEx>
          <w:tblCellMar>
            <w:top w:w="15" w:type="dxa"/>
            <w:left w:w="15" w:type="dxa"/>
            <w:bottom w:w="15" w:type="dxa"/>
            <w:right w:w="15" w:type="dxa"/>
          </w:tblCellMar>
        </w:tblPrEx>
        <w:trPr>
          <w:trHeight w:val="570" w:hRule="atLeast"/>
          <w:tblCellSpacing w:w="0" w:type="dxa"/>
        </w:trPr>
        <w:tc>
          <w:tcPr>
            <w:tcW w:w="3643" w:type="dxa"/>
            <w:tcBorders>
              <w:left w:val="single" w:color="000000" w:sz="8" w:space="0"/>
              <w:bottom w:val="single" w:color="000000" w:sz="8" w:space="0"/>
              <w:right w:val="single" w:color="000000" w:sz="8" w:space="0"/>
            </w:tcBorders>
            <w:noWrap w:val="0"/>
            <w:tcMar>
              <w:top w:w="0" w:type="dxa"/>
              <w:left w:w="168" w:type="dxa"/>
              <w:bottom w:w="0" w:type="dxa"/>
              <w:right w:w="168" w:type="dxa"/>
            </w:tcMar>
            <w:vAlign w:val="center"/>
          </w:tcPr>
          <w:p>
            <w:pPr>
              <w:pStyle w:val="98"/>
              <w:spacing w:after="0" w:line="580" w:lineRule="atLeast"/>
              <w:jc w:val="both"/>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bCs/>
                <w:i w:val="0"/>
                <w:iCs w:val="0"/>
                <w:smallCaps w:val="0"/>
                <w:color w:val="000000"/>
                <w:sz w:val="21"/>
                <w:szCs w:val="21"/>
              </w:rPr>
              <w:t>项目情况概述</w:t>
            </w:r>
          </w:p>
        </w:tc>
        <w:tc>
          <w:tcPr>
            <w:tcW w:w="7433" w:type="dxa"/>
            <w:tcBorders>
              <w:bottom w:val="single" w:color="000000" w:sz="8" w:space="0"/>
              <w:right w:val="single" w:color="000000" w:sz="8" w:space="0"/>
            </w:tcBorders>
            <w:noWrap w:val="0"/>
            <w:tcMar>
              <w:top w:w="0" w:type="dxa"/>
              <w:left w:w="108" w:type="dxa"/>
              <w:bottom w:w="0" w:type="dxa"/>
              <w:right w:w="168" w:type="dxa"/>
            </w:tcMar>
            <w:vAlign w:val="center"/>
          </w:tcPr>
          <w:p>
            <w:pPr>
              <w:pStyle w:val="98"/>
              <w:spacing w:after="0" w:line="580" w:lineRule="atLeast"/>
              <w:ind w:firstLine="472"/>
              <w:jc w:val="center"/>
              <w:textAlignment w:val="baseline"/>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 </w:t>
            </w:r>
          </w:p>
        </w:tc>
      </w:tr>
      <w:tr>
        <w:tblPrEx>
          <w:tblCellMar>
            <w:top w:w="15" w:type="dxa"/>
            <w:left w:w="15" w:type="dxa"/>
            <w:bottom w:w="15" w:type="dxa"/>
            <w:right w:w="15" w:type="dxa"/>
          </w:tblCellMar>
        </w:tblPrEx>
        <w:trPr>
          <w:trHeight w:val="700" w:hRule="atLeast"/>
          <w:tblCellSpacing w:w="0" w:type="dxa"/>
        </w:trPr>
        <w:tc>
          <w:tcPr>
            <w:gridSpan w:val="2"/>
            <w:tcBorders>
              <w:left w:val="single" w:color="000000" w:sz="8" w:space="0"/>
              <w:bottom w:val="single" w:color="000000" w:sz="8" w:space="0"/>
              <w:right w:val="single" w:color="000000" w:sz="8" w:space="0"/>
            </w:tcBorders>
            <w:noWrap/>
            <w:tcMar>
              <w:top w:w="0" w:type="dxa"/>
              <w:left w:w="168" w:type="dxa"/>
              <w:bottom w:w="0" w:type="dxa"/>
              <w:right w:w="168" w:type="dxa"/>
            </w:tcMar>
            <w:vAlign w:val="center"/>
          </w:tcPr>
          <w:p>
            <w:pPr>
              <w:pStyle w:val="98"/>
              <w:spacing w:after="0" w:line="580" w:lineRule="atLeast"/>
              <w:ind w:firstLine="632"/>
              <w:jc w:val="center"/>
              <w:textAlignment w:val="center"/>
              <w:rPr>
                <w:rFonts w:ascii="Times New Roman" w:hAnsi="Times New Roman" w:eastAsia="Times New Roman" w:cs="Times New Roman"/>
                <w:b w:val="0"/>
                <w:bCs w:val="0"/>
                <w:i w:val="0"/>
                <w:iCs w:val="0"/>
                <w:smallCaps w:val="0"/>
                <w:color w:val="000000"/>
              </w:rPr>
            </w:pPr>
            <w:r>
              <w:rPr>
                <w:rFonts w:ascii="黑体" w:hAnsi="黑体" w:eastAsia="黑体" w:cs="黑体"/>
                <w:b w:val="0"/>
                <w:bCs w:val="0"/>
                <w:i w:val="0"/>
                <w:iCs w:val="0"/>
                <w:smallCaps w:val="0"/>
                <w:color w:val="000000"/>
                <w:sz w:val="32"/>
                <w:szCs w:val="32"/>
              </w:rPr>
              <w:t>廉洁承诺履行情况</w:t>
            </w:r>
          </w:p>
        </w:tc>
      </w:tr>
      <w:tr>
        <w:tblPrEx>
          <w:tblCellMar>
            <w:top w:w="15" w:type="dxa"/>
            <w:left w:w="15" w:type="dxa"/>
            <w:bottom w:w="15" w:type="dxa"/>
            <w:right w:w="15" w:type="dxa"/>
          </w:tblCellMar>
        </w:tblPrEx>
        <w:trPr>
          <w:trHeight w:val="285" w:hRule="atLeast"/>
          <w:tblCellSpacing w:w="0" w:type="dxa"/>
        </w:trPr>
        <w:tc>
          <w:tcPr>
            <w:tcW w:w="3643" w:type="dxa"/>
            <w:tcBorders>
              <w:left w:val="single" w:color="000000" w:sz="8" w:space="0"/>
              <w:bottom w:val="single" w:color="000000" w:sz="8" w:space="0"/>
              <w:right w:val="single" w:color="000000" w:sz="8" w:space="0"/>
            </w:tcBorders>
            <w:noWrap w:val="0"/>
            <w:tcMar>
              <w:top w:w="0" w:type="dxa"/>
              <w:left w:w="168" w:type="dxa"/>
              <w:bottom w:w="0" w:type="dxa"/>
              <w:right w:w="168" w:type="dxa"/>
            </w:tcMar>
            <w:vAlign w:val="center"/>
          </w:tcPr>
          <w:p>
            <w:pPr>
              <w:pStyle w:val="98"/>
              <w:spacing w:after="0" w:line="580" w:lineRule="atLeast"/>
              <w:jc w:val="both"/>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bCs/>
                <w:i w:val="0"/>
                <w:iCs w:val="0"/>
                <w:smallCaps w:val="0"/>
                <w:color w:val="333333"/>
                <w:sz w:val="21"/>
                <w:szCs w:val="21"/>
              </w:rPr>
              <w:t>反馈项</w:t>
            </w:r>
          </w:p>
        </w:tc>
        <w:tc>
          <w:tcPr>
            <w:tcW w:w="7433" w:type="dxa"/>
            <w:tcBorders>
              <w:top w:val="single" w:color="000000" w:sz="8" w:space="0"/>
              <w:bottom w:val="single" w:color="000000" w:sz="8" w:space="0"/>
              <w:right w:val="single" w:color="000000" w:sz="8" w:space="0"/>
            </w:tcBorders>
            <w:noWrap w:val="0"/>
            <w:tcMar>
              <w:top w:w="0" w:type="dxa"/>
              <w:left w:w="108" w:type="dxa"/>
              <w:bottom w:w="0" w:type="dxa"/>
              <w:right w:w="168" w:type="dxa"/>
            </w:tcMar>
            <w:vAlign w:val="center"/>
          </w:tcPr>
          <w:p>
            <w:pPr>
              <w:pStyle w:val="98"/>
              <w:spacing w:after="0" w:line="580" w:lineRule="atLeast"/>
              <w:ind w:firstLine="472"/>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333333"/>
                <w:sz w:val="21"/>
                <w:szCs w:val="21"/>
              </w:rPr>
              <w:t>反馈内容</w:t>
            </w:r>
          </w:p>
        </w:tc>
      </w:tr>
      <w:tr>
        <w:tblPrEx>
          <w:tblCellMar>
            <w:top w:w="15" w:type="dxa"/>
            <w:left w:w="15" w:type="dxa"/>
            <w:bottom w:w="15" w:type="dxa"/>
            <w:right w:w="15" w:type="dxa"/>
          </w:tblCellMar>
        </w:tblPrEx>
        <w:trPr>
          <w:trHeight w:val="570" w:hRule="atLeast"/>
          <w:tblCellSpacing w:w="0" w:type="dxa"/>
        </w:trPr>
        <w:tc>
          <w:tcPr>
            <w:tcW w:w="3643" w:type="dxa"/>
            <w:tcBorders>
              <w:left w:val="single" w:color="000000" w:sz="8" w:space="0"/>
              <w:bottom w:val="single" w:color="000000" w:sz="8" w:space="0"/>
              <w:right w:val="single" w:color="000000" w:sz="8" w:space="0"/>
            </w:tcBorders>
            <w:noWrap w:val="0"/>
            <w:tcMar>
              <w:top w:w="0" w:type="dxa"/>
              <w:left w:w="168" w:type="dxa"/>
              <w:bottom w:w="0" w:type="dxa"/>
              <w:right w:w="168" w:type="dxa"/>
            </w:tcMar>
            <w:vAlign w:val="center"/>
          </w:tcPr>
          <w:p>
            <w:pPr>
              <w:pStyle w:val="98"/>
              <w:spacing w:after="0" w:line="580" w:lineRule="atLeast"/>
              <w:jc w:val="both"/>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bCs/>
                <w:i w:val="0"/>
                <w:iCs w:val="0"/>
                <w:smallCaps w:val="0"/>
                <w:color w:val="000000"/>
                <w:sz w:val="21"/>
                <w:szCs w:val="21"/>
              </w:rPr>
              <w:t>杜绝商业贿赂</w:t>
            </w:r>
          </w:p>
        </w:tc>
        <w:tc>
          <w:tcPr>
            <w:tcW w:w="7433" w:type="dxa"/>
            <w:tcBorders>
              <w:bottom w:val="single" w:color="000000" w:sz="8" w:space="0"/>
              <w:right w:val="single" w:color="000000" w:sz="8" w:space="0"/>
            </w:tcBorders>
            <w:noWrap w:val="0"/>
            <w:tcMar>
              <w:top w:w="0" w:type="dxa"/>
              <w:left w:w="108" w:type="dxa"/>
              <w:bottom w:w="0" w:type="dxa"/>
              <w:right w:w="168" w:type="dxa"/>
            </w:tcMar>
            <w:vAlign w:val="center"/>
          </w:tcPr>
          <w:p>
            <w:pPr>
              <w:pStyle w:val="98"/>
              <w:spacing w:after="0" w:line="580" w:lineRule="atLeast"/>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向税务工作人员及其家属赠送礼品、礼金或提供任何形式的宴请、娱乐活动情况。</w:t>
            </w:r>
          </w:p>
        </w:tc>
      </w:tr>
      <w:tr>
        <w:tblPrEx>
          <w:tblCellMar>
            <w:top w:w="15" w:type="dxa"/>
            <w:left w:w="15" w:type="dxa"/>
            <w:bottom w:w="15" w:type="dxa"/>
            <w:right w:w="15" w:type="dxa"/>
          </w:tblCellMar>
        </w:tblPrEx>
        <w:trPr>
          <w:trHeight w:val="570" w:hRule="atLeast"/>
          <w:tblCellSpacing w:w="0" w:type="dxa"/>
        </w:trPr>
        <w:tc>
          <w:tcPr>
            <w:tcW w:w="3643" w:type="dxa"/>
            <w:tcBorders>
              <w:left w:val="single" w:color="000000" w:sz="8" w:space="0"/>
              <w:bottom w:val="single" w:color="000000" w:sz="8" w:space="0"/>
              <w:right w:val="single" w:color="000000" w:sz="8" w:space="0"/>
            </w:tcBorders>
            <w:noWrap w:val="0"/>
            <w:tcMar>
              <w:top w:w="0" w:type="dxa"/>
              <w:left w:w="168" w:type="dxa"/>
              <w:bottom w:w="0" w:type="dxa"/>
              <w:right w:w="168" w:type="dxa"/>
            </w:tcMar>
            <w:vAlign w:val="center"/>
          </w:tcPr>
          <w:p>
            <w:pPr>
              <w:pStyle w:val="98"/>
              <w:spacing w:after="0" w:line="580" w:lineRule="atLeast"/>
              <w:jc w:val="both"/>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bCs/>
                <w:i w:val="0"/>
                <w:iCs w:val="0"/>
                <w:smallCaps w:val="0"/>
                <w:color w:val="000000"/>
                <w:sz w:val="21"/>
                <w:szCs w:val="21"/>
              </w:rPr>
              <w:t>规范经营活动</w:t>
            </w:r>
          </w:p>
        </w:tc>
        <w:tc>
          <w:tcPr>
            <w:tcW w:w="7433" w:type="dxa"/>
            <w:tcBorders>
              <w:bottom w:val="single" w:color="000000" w:sz="8" w:space="0"/>
              <w:right w:val="single" w:color="000000" w:sz="8" w:space="0"/>
            </w:tcBorders>
            <w:noWrap w:val="0"/>
            <w:tcMar>
              <w:top w:w="0" w:type="dxa"/>
              <w:left w:w="108" w:type="dxa"/>
              <w:bottom w:w="0" w:type="dxa"/>
              <w:right w:w="168" w:type="dxa"/>
            </w:tcMar>
            <w:vAlign w:val="center"/>
          </w:tcPr>
          <w:p>
            <w:pPr>
              <w:pStyle w:val="98"/>
              <w:spacing w:after="0" w:line="580" w:lineRule="atLeast"/>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按照合同要求，按时完成各阶段任务，确保项目质量和进度情况。</w:t>
            </w:r>
          </w:p>
        </w:tc>
      </w:tr>
      <w:tr>
        <w:tblPrEx>
          <w:tblCellMar>
            <w:top w:w="15" w:type="dxa"/>
            <w:left w:w="15" w:type="dxa"/>
            <w:bottom w:w="15" w:type="dxa"/>
            <w:right w:w="15" w:type="dxa"/>
          </w:tblCellMar>
        </w:tblPrEx>
        <w:trPr>
          <w:trHeight w:val="570" w:hRule="atLeast"/>
          <w:tblCellSpacing w:w="0" w:type="dxa"/>
        </w:trPr>
        <w:tc>
          <w:tcPr>
            <w:tcW w:w="3643" w:type="dxa"/>
            <w:tcBorders>
              <w:left w:val="single" w:color="000000" w:sz="8" w:space="0"/>
              <w:bottom w:val="single" w:color="000000" w:sz="8" w:space="0"/>
              <w:right w:val="single" w:color="000000" w:sz="8" w:space="0"/>
            </w:tcBorders>
            <w:noWrap w:val="0"/>
            <w:tcMar>
              <w:top w:w="0" w:type="dxa"/>
              <w:left w:w="168" w:type="dxa"/>
              <w:bottom w:w="0" w:type="dxa"/>
              <w:right w:w="168" w:type="dxa"/>
            </w:tcMar>
            <w:vAlign w:val="center"/>
          </w:tcPr>
          <w:p>
            <w:pPr>
              <w:pStyle w:val="98"/>
              <w:spacing w:after="0" w:line="580" w:lineRule="atLeast"/>
              <w:jc w:val="both"/>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bCs/>
                <w:i w:val="0"/>
                <w:iCs w:val="0"/>
                <w:smallCaps w:val="0"/>
                <w:color w:val="000000"/>
                <w:sz w:val="21"/>
                <w:szCs w:val="21"/>
              </w:rPr>
              <w:t>公开透明合作</w:t>
            </w:r>
          </w:p>
        </w:tc>
        <w:tc>
          <w:tcPr>
            <w:tcW w:w="7433" w:type="dxa"/>
            <w:tcBorders>
              <w:bottom w:val="single" w:color="000000" w:sz="8" w:space="0"/>
              <w:right w:val="single" w:color="000000" w:sz="8" w:space="0"/>
            </w:tcBorders>
            <w:noWrap w:val="0"/>
            <w:tcMar>
              <w:top w:w="0" w:type="dxa"/>
              <w:left w:w="108" w:type="dxa"/>
              <w:bottom w:w="0" w:type="dxa"/>
              <w:right w:w="168" w:type="dxa"/>
            </w:tcMar>
            <w:vAlign w:val="center"/>
          </w:tcPr>
          <w:p>
            <w:pPr>
              <w:pStyle w:val="98"/>
              <w:spacing w:after="0" w:line="580" w:lineRule="atLeast"/>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在项目实施过程中保持信息公开透明，主动接受相关部门的监督和检查情况。</w:t>
            </w:r>
          </w:p>
        </w:tc>
      </w:tr>
      <w:tr>
        <w:tblPrEx>
          <w:tblCellMar>
            <w:top w:w="15" w:type="dxa"/>
            <w:left w:w="15" w:type="dxa"/>
            <w:bottom w:w="15" w:type="dxa"/>
            <w:right w:w="15" w:type="dxa"/>
          </w:tblCellMar>
        </w:tblPrEx>
        <w:trPr>
          <w:trHeight w:val="405" w:hRule="atLeast"/>
          <w:tblCellSpacing w:w="0" w:type="dxa"/>
        </w:trPr>
        <w:tc>
          <w:tcPr>
            <w:gridSpan w:val="2"/>
            <w:tcBorders>
              <w:left w:val="single" w:color="000000" w:sz="8" w:space="0"/>
              <w:bottom w:val="single" w:color="000000" w:sz="8" w:space="0"/>
              <w:right w:val="single" w:color="000000" w:sz="8" w:space="0"/>
            </w:tcBorders>
            <w:noWrap/>
            <w:tcMar>
              <w:top w:w="0" w:type="dxa"/>
              <w:left w:w="168" w:type="dxa"/>
              <w:bottom w:w="0" w:type="dxa"/>
              <w:right w:w="168" w:type="dxa"/>
            </w:tcMar>
            <w:vAlign w:val="center"/>
          </w:tcPr>
          <w:p>
            <w:pPr>
              <w:pStyle w:val="98"/>
              <w:spacing w:after="0" w:line="580" w:lineRule="atLeast"/>
              <w:ind w:firstLine="632"/>
              <w:jc w:val="center"/>
              <w:textAlignment w:val="center"/>
              <w:rPr>
                <w:rFonts w:ascii="Times New Roman" w:hAnsi="Times New Roman" w:eastAsia="Times New Roman" w:cs="Times New Roman"/>
                <w:b w:val="0"/>
                <w:bCs w:val="0"/>
                <w:i w:val="0"/>
                <w:iCs w:val="0"/>
                <w:smallCaps w:val="0"/>
                <w:color w:val="000000"/>
              </w:rPr>
            </w:pPr>
            <w:r>
              <w:rPr>
                <w:rFonts w:ascii="黑体" w:hAnsi="黑体" w:eastAsia="黑体" w:cs="黑体"/>
                <w:b w:val="0"/>
                <w:bCs w:val="0"/>
                <w:i w:val="0"/>
                <w:iCs w:val="0"/>
                <w:smallCaps w:val="0"/>
                <w:color w:val="000000"/>
                <w:sz w:val="32"/>
                <w:szCs w:val="32"/>
              </w:rPr>
              <w:t>税务人员履职期间廉政情况</w:t>
            </w:r>
          </w:p>
        </w:tc>
      </w:tr>
      <w:tr>
        <w:tblPrEx>
          <w:tblCellMar>
            <w:top w:w="15" w:type="dxa"/>
            <w:left w:w="15" w:type="dxa"/>
            <w:bottom w:w="15" w:type="dxa"/>
            <w:right w:w="15" w:type="dxa"/>
          </w:tblCellMar>
        </w:tblPrEx>
        <w:trPr>
          <w:trHeight w:val="505" w:hRule="atLeast"/>
          <w:tblCellSpacing w:w="0" w:type="dxa"/>
        </w:trPr>
        <w:tc>
          <w:tcPr>
            <w:tcW w:w="3643" w:type="dxa"/>
            <w:vMerge w:val="restart"/>
            <w:tcBorders>
              <w:left w:val="single" w:color="000000" w:sz="8" w:space="0"/>
              <w:right w:val="single" w:color="000000" w:sz="8" w:space="0"/>
            </w:tcBorders>
            <w:noWrap w:val="0"/>
            <w:tcMar>
              <w:top w:w="0" w:type="dxa"/>
              <w:left w:w="168" w:type="dxa"/>
              <w:bottom w:w="0" w:type="dxa"/>
              <w:right w:w="168" w:type="dxa"/>
            </w:tcMar>
            <w:vAlign w:val="center"/>
          </w:tcPr>
          <w:p>
            <w:pPr>
              <w:pStyle w:val="98"/>
              <w:spacing w:after="0" w:line="580" w:lineRule="atLeast"/>
              <w:jc w:val="both"/>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bCs/>
                <w:i w:val="0"/>
                <w:iCs w:val="0"/>
                <w:smallCaps w:val="0"/>
                <w:color w:val="000000"/>
                <w:sz w:val="21"/>
                <w:szCs w:val="21"/>
              </w:rPr>
              <w:t>税务人员履职过程存在违纪违规行为</w:t>
            </w:r>
          </w:p>
        </w:tc>
        <w:tc>
          <w:tcPr>
            <w:tcW w:w="7433" w:type="dxa"/>
            <w:tcBorders>
              <w:top w:val="single" w:color="000000" w:sz="8" w:space="0"/>
              <w:bottom w:val="single" w:color="000000" w:sz="8" w:space="0"/>
              <w:right w:val="single" w:color="000000" w:sz="8" w:space="0"/>
            </w:tcBorders>
            <w:noWrap w:val="0"/>
            <w:tcMar>
              <w:top w:w="0" w:type="dxa"/>
              <w:left w:w="108" w:type="dxa"/>
              <w:bottom w:w="0" w:type="dxa"/>
              <w:right w:w="168" w:type="dxa"/>
            </w:tcMar>
            <w:vAlign w:val="center"/>
          </w:tcPr>
          <w:p>
            <w:pPr>
              <w:pStyle w:val="98"/>
              <w:spacing w:after="0" w:line="580" w:lineRule="atLeast"/>
              <w:ind w:firstLine="472"/>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333333"/>
                <w:sz w:val="21"/>
                <w:szCs w:val="21"/>
              </w:rPr>
              <w:t>否</w:t>
            </w:r>
          </w:p>
        </w:tc>
      </w:tr>
      <w:tr>
        <w:tblPrEx>
          <w:tblCellMar>
            <w:top w:w="15" w:type="dxa"/>
            <w:left w:w="15" w:type="dxa"/>
            <w:bottom w:w="15" w:type="dxa"/>
            <w:right w:w="15" w:type="dxa"/>
          </w:tblCellMar>
        </w:tblPrEx>
        <w:trPr>
          <w:trHeight w:val="475" w:hRule="atLeast"/>
          <w:tblCellSpacing w:w="0" w:type="dxa"/>
        </w:trPr>
        <w:tc>
          <w:tcPr>
            <w:vMerge w:val="continue"/>
            <w:tcBorders>
              <w:left w:val="single" w:color="000000" w:sz="8" w:space="0"/>
              <w:right w:val="single" w:color="000000" w:sz="8" w:space="0"/>
            </w:tcBorders>
            <w:vAlign w:val="center"/>
          </w:tcPr>
          <w:p>
            <w:pPr>
              <w:pStyle w:val="18"/>
              <w:rPr>
                <w:rFonts w:ascii="仿宋_GB2312" w:hAnsi="仿宋_GB2312" w:eastAsia="仿宋_GB2312" w:cs="仿宋_GB2312"/>
                <w:b w:val="0"/>
                <w:bCs w:val="0"/>
                <w:i w:val="0"/>
                <w:iCs w:val="0"/>
                <w:smallCaps w:val="0"/>
                <w:color w:val="333333"/>
                <w:sz w:val="21"/>
                <w:szCs w:val="21"/>
              </w:rPr>
            </w:pPr>
          </w:p>
        </w:tc>
        <w:tc>
          <w:tcPr>
            <w:tcW w:w="7433" w:type="dxa"/>
            <w:vMerge w:val="restart"/>
            <w:tcBorders>
              <w:right w:val="single" w:color="000000" w:sz="8" w:space="0"/>
            </w:tcBorders>
            <w:noWrap w:val="0"/>
            <w:tcMar>
              <w:top w:w="0" w:type="dxa"/>
              <w:left w:w="108" w:type="dxa"/>
              <w:bottom w:w="0" w:type="dxa"/>
              <w:right w:w="168" w:type="dxa"/>
            </w:tcMar>
            <w:vAlign w:val="center"/>
          </w:tcPr>
          <w:p>
            <w:pPr>
              <w:pStyle w:val="98"/>
              <w:spacing w:after="0" w:line="580" w:lineRule="atLeast"/>
              <w:ind w:firstLine="472"/>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是（说明具体情况）</w:t>
            </w:r>
          </w:p>
        </w:tc>
      </w:tr>
      <w:tr>
        <w:tblPrEx>
          <w:tblCellMar>
            <w:top w:w="15" w:type="dxa"/>
            <w:left w:w="15" w:type="dxa"/>
            <w:bottom w:w="15" w:type="dxa"/>
            <w:right w:w="15" w:type="dxa"/>
          </w:tblCellMar>
        </w:tblPrEx>
        <w:trPr>
          <w:trHeight w:val="537" w:hRule="atLeast"/>
          <w:tblCellSpacing w:w="0" w:type="dxa"/>
        </w:trPr>
        <w:tc>
          <w:tcPr>
            <w:vMerge w:val="continue"/>
            <w:tcBorders>
              <w:left w:val="single" w:color="000000" w:sz="8" w:space="0"/>
              <w:right w:val="single" w:color="000000" w:sz="8" w:space="0"/>
            </w:tcBorders>
            <w:vAlign w:val="center"/>
          </w:tcPr>
          <w:p>
            <w:pPr>
              <w:pStyle w:val="18"/>
              <w:rPr>
                <w:rFonts w:ascii="仿宋_GB2312" w:hAnsi="仿宋_GB2312" w:eastAsia="仿宋_GB2312" w:cs="仿宋_GB2312"/>
                <w:b w:val="0"/>
                <w:bCs w:val="0"/>
                <w:i w:val="0"/>
                <w:iCs w:val="0"/>
                <w:smallCaps w:val="0"/>
                <w:color w:val="000000"/>
                <w:sz w:val="21"/>
                <w:szCs w:val="21"/>
              </w:rPr>
            </w:pPr>
          </w:p>
        </w:tc>
        <w:tc>
          <w:tcPr>
            <w:vMerge w:val="continue"/>
            <w:tcBorders>
              <w:right w:val="single" w:color="000000" w:sz="8" w:space="0"/>
            </w:tcBorders>
            <w:vAlign w:val="center"/>
          </w:tcPr>
          <w:p>
            <w:pPr>
              <w:pStyle w:val="18"/>
              <w:rPr>
                <w:rFonts w:ascii="仿宋_GB2312" w:hAnsi="仿宋_GB2312" w:eastAsia="仿宋_GB2312" w:cs="仿宋_GB2312"/>
                <w:b w:val="0"/>
                <w:bCs w:val="0"/>
                <w:i w:val="0"/>
                <w:iCs w:val="0"/>
                <w:smallCaps w:val="0"/>
                <w:color w:val="000000"/>
                <w:sz w:val="21"/>
                <w:szCs w:val="21"/>
              </w:rPr>
            </w:pPr>
          </w:p>
        </w:tc>
      </w:tr>
    </w:tbl>
    <w:p>
      <w:pPr>
        <w:pStyle w:val="97"/>
        <w:spacing w:before="0" w:after="0" w:line="360" w:lineRule="auto"/>
        <w:rPr>
          <w:rFonts w:ascii="Times New Roman" w:hAnsi="Times New Roman" w:eastAsia="Times New Roman" w:cs="Times New Roman"/>
        </w:rPr>
      </w:pPr>
      <w:r>
        <w:t> </w:t>
      </w:r>
    </w:p>
    <w:p>
      <w:pPr>
        <w:pStyle w:val="97"/>
        <w:spacing w:before="0" w:after="0" w:line="360" w:lineRule="auto"/>
        <w:rPr>
          <w:rFonts w:ascii="Times New Roman" w:hAnsi="Times New Roman" w:eastAsia="Times New Roman" w:cs="Times New Roman"/>
        </w:rPr>
      </w:pPr>
      <w:r>
        <w:rPr>
          <w:sz w:val="28"/>
          <w:szCs w:val="28"/>
        </w:rPr>
        <w:t> </w:t>
      </w:r>
      <w:r>
        <w:rPr>
          <w:rStyle w:val="100"/>
          <w:rFonts w:ascii="仿宋_GB2312" w:hAnsi="仿宋_GB2312" w:eastAsia="仿宋_GB2312" w:cs="仿宋_GB2312"/>
          <w:sz w:val="28"/>
          <w:szCs w:val="28"/>
          <w:shd w:val="clear" w:color="auto" w:fill="FFFFFF"/>
        </w:rPr>
        <w:t>提交单位（盖章）：XXX公司</w:t>
      </w:r>
    </w:p>
    <w:p>
      <w:pPr>
        <w:pStyle w:val="97"/>
        <w:spacing w:before="0" w:after="0" w:line="360" w:lineRule="auto"/>
        <w:rPr>
          <w:rFonts w:ascii="Times New Roman" w:hAnsi="Times New Roman" w:eastAsia="Times New Roman" w:cs="Times New Roman"/>
        </w:rPr>
      </w:pPr>
      <w:r>
        <w:rPr>
          <w:rStyle w:val="100"/>
          <w:rFonts w:ascii="仿宋_GB2312" w:hAnsi="仿宋_GB2312" w:eastAsia="仿宋_GB2312" w:cs="仿宋_GB2312"/>
          <w:sz w:val="28"/>
          <w:szCs w:val="28"/>
          <w:shd w:val="clear" w:color="auto" w:fill="FFFFFF"/>
        </w:rPr>
        <w:t>法定代表人或授权代表签字：_______________________</w:t>
      </w:r>
    </w:p>
    <w:p>
      <w:pPr>
        <w:pStyle w:val="97"/>
        <w:spacing w:before="0" w:after="0" w:line="360" w:lineRule="auto"/>
        <w:rPr>
          <w:rFonts w:ascii="Times New Roman" w:hAnsi="Times New Roman" w:eastAsia="Times New Roman" w:cs="Times New Roman"/>
        </w:rPr>
      </w:pPr>
      <w:r>
        <w:rPr>
          <w:sz w:val="28"/>
          <w:szCs w:val="28"/>
        </w:rPr>
        <w:t> </w:t>
      </w:r>
    </w:p>
    <w:p>
      <w:pPr>
        <w:pStyle w:val="96"/>
        <w:spacing w:before="0" w:after="0" w:line="360" w:lineRule="auto"/>
        <w:rPr>
          <w:rFonts w:ascii="Times New Roman" w:hAnsi="Times New Roman" w:eastAsia="Times New Roman" w:cs="Times New Roman"/>
        </w:rPr>
      </w:pPr>
      <w:r>
        <w:rPr>
          <w:rStyle w:val="100"/>
          <w:rFonts w:ascii="仿宋_GB2312" w:hAnsi="仿宋_GB2312" w:eastAsia="仿宋_GB2312" w:cs="仿宋_GB2312"/>
          <w:sz w:val="28"/>
          <w:szCs w:val="28"/>
          <w:shd w:val="clear" w:color="auto" w:fill="FFFFFF"/>
        </w:rPr>
        <w:t>日期：XX年XX月XX日</w:t>
      </w:r>
    </w:p>
    <w:p>
      <w:pPr>
        <w:pStyle w:val="92"/>
        <w:keepNext w:val="0"/>
        <w:spacing w:before="0" w:after="0" w:line="360" w:lineRule="auto"/>
        <w:rPr>
          <w:rFonts w:ascii="仿宋_GB2312" w:hAnsi="仿宋_GB2312" w:eastAsia="仿宋_GB2312" w:cs="仿宋_GB2312"/>
          <w:b/>
          <w:bCs/>
          <w:sz w:val="28"/>
          <w:szCs w:val="28"/>
        </w:rPr>
      </w:pPr>
      <w:bookmarkStart w:id="43" w:name="_Toc256000039"/>
      <w:r>
        <w:rPr>
          <w:rFonts w:ascii="仿宋_GB2312" w:hAnsi="仿宋_GB2312" w:eastAsia="仿宋_GB2312" w:cs="仿宋_GB2312"/>
          <w:sz w:val="28"/>
          <w:szCs w:val="28"/>
        </w:rPr>
        <w:t>10.1.3★供应链安全管理要求</w:t>
      </w:r>
      <w:bookmarkEnd w:id="43"/>
    </w:p>
    <w:p>
      <w:pPr>
        <w:pStyle w:val="18"/>
        <w:spacing w:before="0" w:after="0" w:line="360" w:lineRule="auto"/>
        <w:ind w:firstLine="561"/>
        <w:rPr>
          <w:rFonts w:ascii="仿宋_GB2312" w:hAnsi="仿宋_GB2312" w:eastAsia="仿宋_GB2312" w:cs="仿宋_GB2312"/>
          <w:sz w:val="28"/>
          <w:szCs w:val="28"/>
        </w:rPr>
      </w:pPr>
      <w:r>
        <w:rPr>
          <w:rFonts w:ascii="仿宋_GB2312" w:hAnsi="仿宋_GB2312" w:eastAsia="仿宋_GB2312" w:cs="仿宋_GB2312"/>
          <w:sz w:val="28"/>
          <w:szCs w:val="28"/>
        </w:rPr>
        <w:t>1、人员资格要求</w:t>
      </w:r>
    </w:p>
    <w:p>
      <w:pPr>
        <w:pStyle w:val="18"/>
        <w:spacing w:before="0" w:after="0" w:line="360" w:lineRule="auto"/>
        <w:ind w:firstLine="561"/>
        <w:rPr>
          <w:rFonts w:ascii="仿宋_GB2312" w:hAnsi="仿宋_GB2312" w:eastAsia="仿宋_GB2312" w:cs="仿宋_GB2312"/>
          <w:sz w:val="28"/>
          <w:szCs w:val="28"/>
        </w:rPr>
      </w:pPr>
      <w:r>
        <w:rPr>
          <w:rFonts w:ascii="仿宋_GB2312" w:hAnsi="仿宋_GB2312" w:eastAsia="仿宋_GB2312" w:cs="仿宋_GB2312"/>
          <w:sz w:val="28"/>
          <w:szCs w:val="28"/>
        </w:rPr>
        <w:t>（1）签订承诺书。供应商应严格落实国家税务总局网络安全和保密管理要求，承担技术支持人员的网络安全和保密管理责任，按采购人要求签订协议和承诺书。</w:t>
      </w:r>
    </w:p>
    <w:p>
      <w:pPr>
        <w:pStyle w:val="18"/>
        <w:spacing w:before="0" w:after="0" w:line="360" w:lineRule="auto"/>
        <w:ind w:firstLine="561"/>
        <w:rPr>
          <w:rFonts w:ascii="仿宋_GB2312" w:hAnsi="仿宋_GB2312" w:eastAsia="仿宋_GB2312" w:cs="仿宋_GB2312"/>
          <w:sz w:val="28"/>
          <w:szCs w:val="28"/>
        </w:rPr>
      </w:pPr>
      <w:r>
        <w:rPr>
          <w:rFonts w:ascii="仿宋_GB2312" w:hAnsi="仿宋_GB2312" w:eastAsia="仿宋_GB2312" w:cs="仿宋_GB2312"/>
          <w:sz w:val="28"/>
          <w:szCs w:val="28"/>
        </w:rPr>
        <w:t>（2）开展背景审查。供应商承担技术支持人员背景审查工作，提供其身份证明、履历、家庭成员及主要社会关系、无犯罪记录证明等材料，并提交采购人进行备案。</w:t>
      </w:r>
    </w:p>
    <w:p>
      <w:pPr>
        <w:pStyle w:val="18"/>
        <w:spacing w:before="0" w:after="0" w:line="360" w:lineRule="auto"/>
        <w:ind w:firstLine="561"/>
        <w:rPr>
          <w:rFonts w:ascii="仿宋_GB2312" w:hAnsi="仿宋_GB2312" w:eastAsia="仿宋_GB2312" w:cs="仿宋_GB2312"/>
          <w:sz w:val="28"/>
          <w:szCs w:val="28"/>
        </w:rPr>
      </w:pPr>
      <w:r>
        <w:rPr>
          <w:rFonts w:ascii="仿宋_GB2312" w:hAnsi="仿宋_GB2312" w:eastAsia="仿宋_GB2312" w:cs="仿宋_GB2312"/>
          <w:sz w:val="28"/>
          <w:szCs w:val="28"/>
        </w:rPr>
        <w:t>（3）设置网络安全负责人（由驻场运维人员兼任）。供应商为本项目配备一名网络安全负责人，该负责人具备独立决策能力并保持相对稳定，在项目实施的全过程负责网络安全工作，组织落实各项网络安全要求。</w:t>
      </w:r>
    </w:p>
    <w:p>
      <w:pPr>
        <w:pStyle w:val="18"/>
        <w:spacing w:before="0" w:after="0" w:line="360" w:lineRule="auto"/>
        <w:ind w:firstLine="561"/>
        <w:rPr>
          <w:rFonts w:ascii="仿宋_GB2312" w:hAnsi="仿宋_GB2312" w:eastAsia="仿宋_GB2312" w:cs="仿宋_GB2312"/>
          <w:sz w:val="28"/>
          <w:szCs w:val="28"/>
        </w:rPr>
      </w:pPr>
      <w:r>
        <w:rPr>
          <w:rFonts w:ascii="仿宋_GB2312" w:hAnsi="仿宋_GB2312" w:eastAsia="仿宋_GB2312" w:cs="仿宋_GB2312"/>
          <w:sz w:val="28"/>
          <w:szCs w:val="28"/>
        </w:rPr>
        <w:t>2、日常行为规范要求</w:t>
      </w:r>
    </w:p>
    <w:p>
      <w:pPr>
        <w:pStyle w:val="18"/>
        <w:spacing w:before="0" w:after="0" w:line="360" w:lineRule="auto"/>
        <w:ind w:firstLine="561"/>
        <w:rPr>
          <w:rFonts w:ascii="仿宋_GB2312" w:hAnsi="仿宋_GB2312" w:eastAsia="仿宋_GB2312" w:cs="仿宋_GB2312"/>
          <w:sz w:val="28"/>
          <w:szCs w:val="28"/>
        </w:rPr>
      </w:pPr>
      <w:r>
        <w:rPr>
          <w:rFonts w:ascii="仿宋_GB2312" w:hAnsi="仿宋_GB2312" w:eastAsia="仿宋_GB2312" w:cs="仿宋_GB2312"/>
          <w:sz w:val="28"/>
          <w:szCs w:val="28"/>
        </w:rPr>
        <w:t>（1）工作能力要求。供应商负责对技术支持人员进行资格条件、工作胜任力以及网络安全能力评估，对技术支持人员承担的工作进行安全保密风险分析，明确技术支持人员工作范围和边界，重点防范设备和资料失窃、误操作导致的软硬件故障、工作秘密和税费数据等信息泄露、信息系统越权访问和网络攻击等风险。</w:t>
      </w:r>
    </w:p>
    <w:p>
      <w:pPr>
        <w:pStyle w:val="18"/>
        <w:spacing w:before="0" w:after="0" w:line="360" w:lineRule="auto"/>
        <w:ind w:firstLine="561"/>
        <w:rPr>
          <w:rFonts w:ascii="仿宋_GB2312" w:hAnsi="仿宋_GB2312" w:eastAsia="仿宋_GB2312" w:cs="仿宋_GB2312"/>
          <w:sz w:val="28"/>
          <w:szCs w:val="28"/>
        </w:rPr>
      </w:pPr>
      <w:r>
        <w:rPr>
          <w:rFonts w:ascii="仿宋_GB2312" w:hAnsi="仿宋_GB2312" w:eastAsia="仿宋_GB2312" w:cs="仿宋_GB2312"/>
          <w:sz w:val="28"/>
          <w:szCs w:val="28"/>
        </w:rPr>
        <w:t>（2）教育培训要求。供应商负责对技术支持人员进行网络和数据安全法律法规、网络安全意识、网络安全管理、网络安全技能、保密意识以及网络安全警示教育等培训，上岗前对其进行考核。</w:t>
      </w:r>
    </w:p>
    <w:p>
      <w:pPr>
        <w:pStyle w:val="18"/>
        <w:spacing w:before="0" w:after="0" w:line="360" w:lineRule="auto"/>
        <w:ind w:firstLine="561"/>
        <w:rPr>
          <w:rFonts w:ascii="仿宋_GB2312" w:hAnsi="仿宋_GB2312" w:eastAsia="仿宋_GB2312" w:cs="仿宋_GB2312"/>
          <w:sz w:val="28"/>
          <w:szCs w:val="28"/>
        </w:rPr>
      </w:pPr>
      <w:r>
        <w:rPr>
          <w:rFonts w:ascii="仿宋_GB2312" w:hAnsi="仿宋_GB2312" w:eastAsia="仿宋_GB2312" w:cs="仿宋_GB2312"/>
          <w:sz w:val="28"/>
          <w:szCs w:val="28"/>
        </w:rPr>
        <w:t>3、违约惩戒措施</w:t>
      </w:r>
    </w:p>
    <w:p>
      <w:pPr>
        <w:pStyle w:val="18"/>
        <w:spacing w:before="0" w:after="0" w:line="360" w:lineRule="auto"/>
        <w:ind w:firstLine="561"/>
        <w:rPr>
          <w:rFonts w:ascii="仿宋_GB2312" w:hAnsi="仿宋_GB2312" w:eastAsia="仿宋_GB2312" w:cs="仿宋_GB2312"/>
          <w:sz w:val="28"/>
          <w:szCs w:val="28"/>
        </w:rPr>
      </w:pPr>
      <w:r>
        <w:rPr>
          <w:rFonts w:ascii="仿宋_GB2312" w:hAnsi="仿宋_GB2312" w:eastAsia="仿宋_GB2312" w:cs="仿宋_GB2312"/>
          <w:sz w:val="28"/>
          <w:szCs w:val="28"/>
        </w:rPr>
        <w:t>供应商对供应链安全管理责任落实不到位，造成安全事件或产生不良影响的，采购人按照法律法规及合同约定进行处理。</w:t>
      </w:r>
    </w:p>
    <w:p>
      <w:pPr>
        <w:pStyle w:val="93"/>
        <w:spacing w:before="0" w:after="0" w:line="360" w:lineRule="auto"/>
        <w:ind w:left="0" w:right="0" w:firstLine="640"/>
        <w:jc w:val="both"/>
        <w:rPr>
          <w:rFonts w:ascii="Times New Roman" w:hAnsi="Times New Roman" w:eastAsia="Times New Roman" w:cs="Times New Roman"/>
        </w:rPr>
      </w:pPr>
      <w:r>
        <w:rPr>
          <w:rFonts w:ascii="黑体" w:hAnsi="黑体" w:eastAsia="黑体" w:cs="黑体"/>
          <w:spacing w:val="0"/>
          <w:sz w:val="28"/>
          <w:szCs w:val="28"/>
        </w:rPr>
        <w:t>（一）厂商及人员安全管理需求</w:t>
      </w:r>
    </w:p>
    <w:p>
      <w:pPr>
        <w:pStyle w:val="93"/>
        <w:spacing w:before="0" w:after="0" w:line="360" w:lineRule="auto"/>
        <w:ind w:left="0" w:right="0" w:firstLine="640"/>
        <w:rPr>
          <w:rFonts w:ascii="Times New Roman" w:hAnsi="Times New Roman" w:eastAsia="Times New Roman" w:cs="Times New Roman"/>
        </w:rPr>
      </w:pPr>
      <w:r>
        <w:rPr>
          <w:rFonts w:ascii="仿宋_GB2312" w:hAnsi="仿宋_GB2312" w:eastAsia="仿宋_GB2312" w:cs="仿宋_GB2312"/>
          <w:spacing w:val="0"/>
          <w:sz w:val="28"/>
          <w:szCs w:val="28"/>
        </w:rPr>
        <w:t>1.供应链厂商和人员要遵守国家网络安全政策法规和税务机关各项网络安全规章制度情况，供应链厂商要与税务机关签订《厂商网络安全承诺书》，向税务机关提交供应链厂商人员的《个人网络安全承诺书》及《无犯罪记录证明》。</w:t>
      </w:r>
    </w:p>
    <w:p>
      <w:pPr>
        <w:pStyle w:val="93"/>
        <w:spacing w:before="0" w:after="0" w:line="360" w:lineRule="auto"/>
        <w:ind w:left="0" w:right="0" w:firstLine="640"/>
        <w:rPr>
          <w:rFonts w:ascii="Times New Roman" w:hAnsi="Times New Roman" w:eastAsia="Times New Roman" w:cs="Times New Roman"/>
        </w:rPr>
      </w:pPr>
      <w:r>
        <w:rPr>
          <w:rFonts w:ascii="仿宋_GB2312" w:hAnsi="仿宋_GB2312" w:eastAsia="仿宋_GB2312" w:cs="仿宋_GB2312"/>
          <w:spacing w:val="0"/>
          <w:sz w:val="28"/>
          <w:szCs w:val="28"/>
        </w:rPr>
        <w:t>2.供应链厂商要配合税务机关对涉及税务机关税务信息化项目（以下简称项目）的人员做好背景审查。</w:t>
      </w:r>
    </w:p>
    <w:p>
      <w:pPr>
        <w:pStyle w:val="93"/>
        <w:spacing w:before="0" w:after="0" w:line="360" w:lineRule="auto"/>
        <w:ind w:left="0" w:right="0" w:firstLine="640"/>
        <w:rPr>
          <w:rFonts w:ascii="Times New Roman" w:hAnsi="Times New Roman" w:eastAsia="Times New Roman" w:cs="Times New Roman"/>
        </w:rPr>
      </w:pPr>
      <w:r>
        <w:rPr>
          <w:rFonts w:ascii="仿宋_GB2312" w:hAnsi="仿宋_GB2312" w:eastAsia="仿宋_GB2312" w:cs="仿宋_GB2312"/>
          <w:spacing w:val="0"/>
          <w:sz w:val="28"/>
          <w:szCs w:val="28"/>
        </w:rPr>
        <w:t>3.供应链厂商要定期对聘用离职税务人员情况进行排查，建立相关资料档案，确保人员安全可信。</w:t>
      </w:r>
    </w:p>
    <w:p>
      <w:pPr>
        <w:pStyle w:val="93"/>
        <w:spacing w:before="0" w:after="0" w:line="360" w:lineRule="auto"/>
        <w:ind w:left="0" w:right="0" w:firstLine="640"/>
        <w:rPr>
          <w:rFonts w:ascii="Times New Roman" w:hAnsi="Times New Roman" w:eastAsia="Times New Roman" w:cs="Times New Roman"/>
        </w:rPr>
      </w:pPr>
      <w:r>
        <w:rPr>
          <w:rFonts w:ascii="仿宋_GB2312" w:hAnsi="仿宋_GB2312" w:eastAsia="仿宋_GB2312" w:cs="仿宋_GB2312"/>
          <w:spacing w:val="0"/>
          <w:sz w:val="28"/>
          <w:szCs w:val="28"/>
        </w:rPr>
        <w:t>4.供应链厂商要建立网络安全负责人制度，并配备一名具备独立决策能力并保持相对稳定的负责人，在项目实施的全过程负责网络安全和数据安全工作，组织落实各项网络安全和数据安全要求。</w:t>
      </w:r>
    </w:p>
    <w:p>
      <w:pPr>
        <w:pStyle w:val="93"/>
        <w:spacing w:before="0" w:after="0" w:line="360" w:lineRule="auto"/>
        <w:ind w:left="0" w:right="0" w:firstLine="640"/>
        <w:rPr>
          <w:rFonts w:ascii="Times New Roman" w:hAnsi="Times New Roman" w:eastAsia="Times New Roman" w:cs="Times New Roman"/>
        </w:rPr>
      </w:pPr>
      <w:r>
        <w:rPr>
          <w:rFonts w:ascii="仿宋_GB2312" w:hAnsi="仿宋_GB2312" w:eastAsia="仿宋_GB2312" w:cs="仿宋_GB2312"/>
          <w:spacing w:val="0"/>
          <w:sz w:val="28"/>
          <w:szCs w:val="28"/>
        </w:rPr>
        <w:t>5.供应链厂商在项目实施前，要对参与人员开展网络和数据安全法律法规、税务机关供应链厂商及人员网络数据相关安全守则、安全技能、保密常识等方面的教育培训并考核合格；在项目开展期间，供应链厂商要定期开展相关培训、考核及警示教育，供应链厂商要通过教育培训不断提高厂商人员的网络和数据安全意识及保密意识。供应链厂商要对在项目开展期间离开涉及税务项目的人员进行离项审计。</w:t>
      </w:r>
    </w:p>
    <w:p>
      <w:pPr>
        <w:pStyle w:val="96"/>
        <w:spacing w:before="0" w:after="0" w:line="360" w:lineRule="auto"/>
        <w:ind w:left="0" w:right="0" w:firstLine="640"/>
        <w:jc w:val="both"/>
        <w:rPr>
          <w:rFonts w:ascii="Times New Roman" w:hAnsi="Times New Roman" w:eastAsia="Times New Roman" w:cs="Times New Roman"/>
        </w:rPr>
      </w:pPr>
      <w:r>
        <w:rPr>
          <w:rFonts w:ascii="仿宋_GB2312" w:hAnsi="仿宋_GB2312" w:eastAsia="仿宋_GB2312" w:cs="仿宋_GB2312"/>
          <w:spacing w:val="0"/>
          <w:sz w:val="28"/>
          <w:szCs w:val="28"/>
        </w:rPr>
        <w:t>6.供应链厂商要及时向税务机关报告可能发生影响网络安全的重大事项，包括负责人及重要工作人员变更、业务转型、合并重组、投资并购等。</w:t>
      </w:r>
    </w:p>
    <w:p>
      <w:pPr>
        <w:pStyle w:val="96"/>
        <w:spacing w:before="0" w:after="0" w:line="360" w:lineRule="auto"/>
        <w:ind w:left="0" w:right="0" w:firstLine="640"/>
        <w:jc w:val="both"/>
        <w:rPr>
          <w:rFonts w:ascii="Times New Roman" w:hAnsi="Times New Roman" w:eastAsia="Times New Roman" w:cs="Times New Roman"/>
        </w:rPr>
      </w:pPr>
      <w:r>
        <w:rPr>
          <w:rFonts w:ascii="仿宋_GB2312" w:hAnsi="仿宋_GB2312" w:eastAsia="仿宋_GB2312" w:cs="仿宋_GB2312"/>
          <w:spacing w:val="0"/>
          <w:sz w:val="28"/>
          <w:szCs w:val="28"/>
        </w:rPr>
        <w:t>7.供应链厂商要在项目启动前向税务机关提供基于项目场景的供应链《安全事件应急响应预案》，明确相关职责和应急处置流程；供应链厂商每年要向税务机关报送《供应链厂商应急演练记录》，确保快速有效处置供应链安全事件。</w:t>
      </w:r>
    </w:p>
    <w:p>
      <w:pPr>
        <w:pStyle w:val="93"/>
        <w:spacing w:before="0" w:after="0" w:line="360" w:lineRule="auto"/>
        <w:ind w:left="0" w:right="0" w:firstLine="640"/>
        <w:jc w:val="both"/>
        <w:rPr>
          <w:rFonts w:ascii="Times New Roman" w:hAnsi="Times New Roman" w:eastAsia="Times New Roman" w:cs="Times New Roman"/>
        </w:rPr>
      </w:pPr>
      <w:r>
        <w:rPr>
          <w:rFonts w:ascii="仿宋_GB2312" w:hAnsi="仿宋_GB2312" w:eastAsia="仿宋_GB2312" w:cs="仿宋_GB2312"/>
          <w:spacing w:val="0"/>
          <w:sz w:val="28"/>
          <w:szCs w:val="28"/>
        </w:rPr>
        <w:t>8.供应链厂商及人员要严格遵守采购合同、协议、承诺书等文件中的安全相关条款。</w:t>
      </w:r>
    </w:p>
    <w:p>
      <w:pPr>
        <w:pStyle w:val="93"/>
        <w:spacing w:before="0" w:after="0" w:line="360" w:lineRule="auto"/>
        <w:ind w:left="0" w:right="0" w:firstLine="640"/>
        <w:jc w:val="both"/>
        <w:rPr>
          <w:rFonts w:ascii="Times New Roman" w:hAnsi="Times New Roman" w:eastAsia="Times New Roman" w:cs="Times New Roman"/>
        </w:rPr>
      </w:pPr>
      <w:r>
        <w:rPr>
          <w:rFonts w:ascii="仿宋_GB2312" w:hAnsi="仿宋_GB2312" w:eastAsia="仿宋_GB2312" w:cs="仿宋_GB2312"/>
          <w:spacing w:val="0"/>
          <w:sz w:val="28"/>
          <w:szCs w:val="28"/>
        </w:rPr>
        <w:t>9.供应链厂商要按照税务机关相关要求，对关键信息基础设施和重要信息系统进行自查，不利用提供产品和服务的便利条件非法获取数据、非法控制和操纵设备，不中断产品供应或必要的技术支持服务等。</w:t>
      </w:r>
    </w:p>
    <w:p>
      <w:pPr>
        <w:pStyle w:val="93"/>
        <w:spacing w:before="0" w:after="0" w:line="360" w:lineRule="auto"/>
        <w:ind w:left="0" w:right="0" w:firstLine="640"/>
        <w:jc w:val="both"/>
        <w:rPr>
          <w:rFonts w:ascii="Times New Roman" w:hAnsi="Times New Roman" w:eastAsia="Times New Roman" w:cs="Times New Roman"/>
        </w:rPr>
      </w:pPr>
      <w:r>
        <w:rPr>
          <w:rFonts w:ascii="仿宋_GB2312" w:hAnsi="仿宋_GB2312" w:eastAsia="仿宋_GB2312" w:cs="仿宋_GB2312"/>
          <w:spacing w:val="0"/>
          <w:sz w:val="28"/>
          <w:szCs w:val="28"/>
        </w:rPr>
        <w:t>10.供应链厂商要加强人员违规违纪管理，对违规违纪行为按签订合同、协议、承诺书等相关条款进行处理，建立《违规违纪管理档案表》。对涉嫌违法犯罪的人员，要主动依照相应法律法规移交有关部门处理。</w:t>
      </w:r>
    </w:p>
    <w:p>
      <w:pPr>
        <w:pStyle w:val="96"/>
        <w:spacing w:before="0" w:after="0" w:line="360" w:lineRule="auto"/>
        <w:ind w:left="0" w:right="0" w:firstLine="640"/>
        <w:jc w:val="both"/>
        <w:rPr>
          <w:rFonts w:ascii="Times New Roman" w:hAnsi="Times New Roman" w:eastAsia="Times New Roman" w:cs="Times New Roman"/>
        </w:rPr>
      </w:pPr>
      <w:r>
        <w:rPr>
          <w:rFonts w:ascii="仿宋_GB2312" w:hAnsi="仿宋_GB2312" w:eastAsia="仿宋_GB2312" w:cs="仿宋_GB2312"/>
          <w:spacing w:val="0"/>
          <w:sz w:val="28"/>
          <w:szCs w:val="28"/>
        </w:rPr>
        <w:t>11.供应链厂商要严格落实风险控制、审计巡查、应急处置等方面的工作要求，确保系统安全稳定运行。供应链厂商要按着各项要求，撰写《年度供应链安全自查报告》并提交税务机关。</w:t>
      </w:r>
    </w:p>
    <w:p>
      <w:pPr>
        <w:pStyle w:val="93"/>
        <w:spacing w:before="0" w:after="0" w:line="360" w:lineRule="auto"/>
        <w:ind w:left="0" w:right="0" w:firstLine="640"/>
        <w:jc w:val="both"/>
        <w:rPr>
          <w:rFonts w:ascii="Times New Roman" w:hAnsi="Times New Roman" w:eastAsia="Times New Roman" w:cs="Times New Roman"/>
        </w:rPr>
      </w:pPr>
      <w:r>
        <w:rPr>
          <w:rFonts w:ascii="黑体" w:hAnsi="黑体" w:eastAsia="黑体" w:cs="黑体"/>
          <w:spacing w:val="0"/>
          <w:sz w:val="28"/>
          <w:szCs w:val="28"/>
        </w:rPr>
        <w:t>（二）进驻税务机关办公安全管理需求</w:t>
      </w:r>
    </w:p>
    <w:p>
      <w:pPr>
        <w:pStyle w:val="93"/>
        <w:spacing w:before="0" w:after="0" w:line="360" w:lineRule="auto"/>
        <w:ind w:left="0" w:right="0" w:firstLine="640"/>
        <w:rPr>
          <w:rFonts w:ascii="Times New Roman" w:hAnsi="Times New Roman" w:eastAsia="Times New Roman" w:cs="Times New Roman"/>
        </w:rPr>
      </w:pPr>
      <w:r>
        <w:rPr>
          <w:rFonts w:ascii="仿宋_GB2312" w:hAnsi="仿宋_GB2312" w:eastAsia="仿宋_GB2312" w:cs="仿宋_GB2312"/>
          <w:spacing w:val="0"/>
          <w:sz w:val="28"/>
          <w:szCs w:val="28"/>
        </w:rPr>
        <w:t>1.供应链厂商要加强驻场办公人员在日常工作中的行为安全管理，严格遵守运维场地管理规定及税务机关基础设施（机房）管理制度。</w:t>
      </w:r>
    </w:p>
    <w:p>
      <w:pPr>
        <w:pStyle w:val="93"/>
        <w:spacing w:before="0" w:after="0" w:line="360" w:lineRule="auto"/>
        <w:ind w:left="0" w:right="0" w:firstLine="640"/>
        <w:rPr>
          <w:rFonts w:ascii="Times New Roman" w:hAnsi="Times New Roman" w:eastAsia="Times New Roman" w:cs="Times New Roman"/>
        </w:rPr>
      </w:pPr>
      <w:r>
        <w:rPr>
          <w:rFonts w:ascii="仿宋_GB2312" w:hAnsi="仿宋_GB2312" w:eastAsia="仿宋_GB2312" w:cs="仿宋_GB2312"/>
          <w:spacing w:val="0"/>
          <w:sz w:val="28"/>
          <w:szCs w:val="28"/>
        </w:rPr>
        <w:t>2.驻场办公人员进驻运维场地期间不得携带个人电脑、个人存储介质（U盘）、未授权软件安装包等工具。</w:t>
      </w:r>
    </w:p>
    <w:p>
      <w:pPr>
        <w:pStyle w:val="93"/>
        <w:spacing w:before="0" w:after="0" w:line="360" w:lineRule="auto"/>
        <w:ind w:left="0" w:right="0" w:firstLine="640"/>
        <w:rPr>
          <w:rFonts w:ascii="Times New Roman" w:hAnsi="Times New Roman" w:eastAsia="Times New Roman" w:cs="Times New Roman"/>
        </w:rPr>
      </w:pPr>
      <w:r>
        <w:rPr>
          <w:rFonts w:ascii="仿宋_GB2312" w:hAnsi="仿宋_GB2312" w:eastAsia="仿宋_GB2312" w:cs="仿宋_GB2312"/>
          <w:spacing w:val="0"/>
          <w:sz w:val="28"/>
          <w:szCs w:val="28"/>
        </w:rPr>
        <w:t>3.驻场办公人员未经授权不允许访问、维护、维修基础设施。</w:t>
      </w:r>
    </w:p>
    <w:p>
      <w:pPr>
        <w:pStyle w:val="93"/>
        <w:spacing w:before="0" w:after="0" w:line="360" w:lineRule="auto"/>
        <w:ind w:left="0" w:right="0" w:firstLine="640"/>
        <w:rPr>
          <w:rFonts w:ascii="Times New Roman" w:hAnsi="Times New Roman" w:eastAsia="Times New Roman" w:cs="Times New Roman"/>
        </w:rPr>
      </w:pPr>
      <w:r>
        <w:rPr>
          <w:rFonts w:ascii="仿宋_GB2312" w:hAnsi="仿宋_GB2312" w:eastAsia="仿宋_GB2312" w:cs="仿宋_GB2312"/>
          <w:spacing w:val="0"/>
          <w:sz w:val="28"/>
          <w:szCs w:val="28"/>
        </w:rPr>
        <w:t>4.驻场办公人员严禁私自使用运维终端打印及刻录输出数据。</w:t>
      </w:r>
    </w:p>
    <w:p>
      <w:pPr>
        <w:pStyle w:val="93"/>
        <w:spacing w:before="0" w:after="0" w:line="360" w:lineRule="auto"/>
        <w:ind w:left="0" w:right="0" w:firstLine="640"/>
        <w:rPr>
          <w:rFonts w:ascii="Times New Roman" w:hAnsi="Times New Roman" w:eastAsia="Times New Roman" w:cs="Times New Roman"/>
        </w:rPr>
      </w:pPr>
      <w:r>
        <w:rPr>
          <w:rFonts w:ascii="仿宋_GB2312" w:hAnsi="仿宋_GB2312" w:eastAsia="仿宋_GB2312" w:cs="仿宋_GB2312"/>
          <w:spacing w:val="0"/>
          <w:sz w:val="28"/>
          <w:szCs w:val="28"/>
        </w:rPr>
        <w:t>5.驻场办公人员不得向第三方提供基础设施、场地设计图、设备部署图等有关信息。</w:t>
      </w:r>
    </w:p>
    <w:p>
      <w:pPr>
        <w:pStyle w:val="93"/>
        <w:spacing w:before="0" w:after="0" w:line="360" w:lineRule="auto"/>
        <w:ind w:left="0" w:right="0" w:firstLine="640"/>
        <w:rPr>
          <w:rFonts w:ascii="Times New Roman" w:hAnsi="Times New Roman" w:eastAsia="Times New Roman" w:cs="Times New Roman"/>
        </w:rPr>
      </w:pPr>
      <w:r>
        <w:rPr>
          <w:rFonts w:ascii="仿宋_GB2312" w:hAnsi="仿宋_GB2312" w:eastAsia="仿宋_GB2312" w:cs="仿宋_GB2312"/>
          <w:spacing w:val="0"/>
          <w:sz w:val="28"/>
          <w:szCs w:val="28"/>
        </w:rPr>
        <w:t>6.驻场办公人员使用的终端必须安装防病毒软件，定期开展终端病毒查杀，并形成病毒查杀文档。</w:t>
      </w:r>
    </w:p>
    <w:p>
      <w:pPr>
        <w:pStyle w:val="93"/>
        <w:spacing w:before="0" w:after="0" w:line="360" w:lineRule="auto"/>
        <w:ind w:left="0" w:right="0" w:firstLine="640"/>
        <w:rPr>
          <w:rFonts w:ascii="Times New Roman" w:hAnsi="Times New Roman" w:eastAsia="Times New Roman" w:cs="Times New Roman"/>
        </w:rPr>
      </w:pPr>
      <w:r>
        <w:rPr>
          <w:rFonts w:ascii="仿宋_GB2312" w:hAnsi="仿宋_GB2312" w:eastAsia="仿宋_GB2312" w:cs="仿宋_GB2312"/>
          <w:spacing w:val="0"/>
          <w:sz w:val="28"/>
          <w:szCs w:val="28"/>
        </w:rPr>
        <w:t>7.驻场办公人员不得将工作数据、工作内容、工作环境等任何与工作有关的信息传播至QQ、微信或任何与工作无关的地方。</w:t>
      </w:r>
    </w:p>
    <w:p>
      <w:pPr>
        <w:pStyle w:val="93"/>
        <w:spacing w:before="0" w:after="0" w:line="360" w:lineRule="auto"/>
        <w:ind w:left="0" w:right="0" w:firstLine="640"/>
        <w:jc w:val="both"/>
        <w:rPr>
          <w:rFonts w:ascii="Times New Roman" w:hAnsi="Times New Roman" w:eastAsia="Times New Roman" w:cs="Times New Roman"/>
        </w:rPr>
      </w:pPr>
      <w:r>
        <w:rPr>
          <w:rFonts w:ascii="黑体" w:hAnsi="黑体" w:eastAsia="黑体" w:cs="黑体"/>
          <w:spacing w:val="0"/>
          <w:sz w:val="28"/>
          <w:szCs w:val="28"/>
        </w:rPr>
        <w:t>（三）开发建设安全管理需求</w:t>
      </w:r>
    </w:p>
    <w:p>
      <w:pPr>
        <w:pStyle w:val="93"/>
        <w:spacing w:before="0" w:after="0" w:line="360" w:lineRule="auto"/>
        <w:ind w:left="0" w:right="0" w:firstLine="640"/>
        <w:rPr>
          <w:rFonts w:ascii="Times New Roman" w:hAnsi="Times New Roman" w:eastAsia="Times New Roman" w:cs="Times New Roman"/>
        </w:rPr>
      </w:pPr>
      <w:r>
        <w:rPr>
          <w:rFonts w:ascii="仿宋_GB2312" w:hAnsi="仿宋_GB2312" w:eastAsia="仿宋_GB2312" w:cs="仿宋_GB2312"/>
          <w:spacing w:val="0"/>
          <w:sz w:val="28"/>
          <w:szCs w:val="28"/>
        </w:rPr>
        <w:t>1.供应链厂商的软件研发工作场所需安全可控可信，要搭建专用的开发测试环境，配置安全可信的开发管理工具，设置可靠的权限管理策略，确保项目研发安全可控。</w:t>
      </w:r>
    </w:p>
    <w:p>
      <w:pPr>
        <w:pStyle w:val="93"/>
        <w:spacing w:before="0" w:after="0" w:line="360" w:lineRule="auto"/>
        <w:ind w:left="0" w:right="0" w:firstLine="640"/>
        <w:rPr>
          <w:rFonts w:ascii="Times New Roman" w:hAnsi="Times New Roman" w:eastAsia="Times New Roman" w:cs="Times New Roman"/>
        </w:rPr>
      </w:pPr>
      <w:r>
        <w:rPr>
          <w:rFonts w:ascii="仿宋_GB2312" w:hAnsi="仿宋_GB2312" w:eastAsia="仿宋_GB2312" w:cs="仿宋_GB2312"/>
          <w:spacing w:val="0"/>
          <w:sz w:val="28"/>
          <w:szCs w:val="28"/>
        </w:rPr>
        <w:t>2.供应链厂商在税务机关提供场所开展软件开发测试工作时，网络安全负责人要严格管理本单位人员，严禁供应链厂商人员使用自带电脑和移动存储介质，严禁私自变更办公场所和办公设备，严禁安装非必要的应用程序和组件，严禁擅自复制、使用和修改文档、数据以及其他开发测试资料。</w:t>
      </w:r>
    </w:p>
    <w:p>
      <w:pPr>
        <w:pStyle w:val="93"/>
        <w:spacing w:before="0" w:after="0" w:line="360" w:lineRule="auto"/>
        <w:ind w:left="0" w:right="0" w:firstLine="640"/>
        <w:jc w:val="both"/>
        <w:rPr>
          <w:rFonts w:ascii="Times New Roman" w:hAnsi="Times New Roman" w:eastAsia="Times New Roman" w:cs="Times New Roman"/>
        </w:rPr>
      </w:pPr>
      <w:r>
        <w:rPr>
          <w:rFonts w:ascii="仿宋_GB2312" w:hAnsi="仿宋_GB2312" w:eastAsia="仿宋_GB2312" w:cs="仿宋_GB2312"/>
          <w:spacing w:val="0"/>
          <w:sz w:val="28"/>
          <w:szCs w:val="28"/>
        </w:rPr>
        <w:t>3.供应链厂商要加强对提供的项目所涉软、硬件产品及服务的管理，产品及服务必须满足国家认可的网络安全规范和认证要求，供应链清单内的产品要具备销售许可证，定制开发软件必须开展网络安全“三同步”测评。采用源代码安全审计、开源组件安全检测、软件安全性深度测试等技术手段，对相关产品开展安全检查和技术检测，对存在的问题进行整改，最大限度消除风险隐患，并形成《供应链产品检查清单》，提交至税务机关。</w:t>
      </w:r>
    </w:p>
    <w:p>
      <w:pPr>
        <w:pStyle w:val="96"/>
        <w:spacing w:before="0" w:after="0" w:line="360" w:lineRule="auto"/>
        <w:ind w:left="0" w:right="0" w:firstLine="640"/>
        <w:jc w:val="both"/>
        <w:rPr>
          <w:rFonts w:ascii="Times New Roman" w:hAnsi="Times New Roman" w:eastAsia="Times New Roman" w:cs="Times New Roman"/>
        </w:rPr>
      </w:pPr>
      <w:r>
        <w:rPr>
          <w:rFonts w:ascii="仿宋_GB2312" w:hAnsi="仿宋_GB2312" w:eastAsia="仿宋_GB2312" w:cs="仿宋_GB2312"/>
          <w:spacing w:val="0"/>
          <w:sz w:val="28"/>
          <w:szCs w:val="28"/>
        </w:rPr>
        <w:t>4.供应链厂商对项目使用的重要供应链产品要定期核查，形成《供应链产品清单》。</w:t>
      </w:r>
    </w:p>
    <w:p>
      <w:pPr>
        <w:pStyle w:val="96"/>
        <w:spacing w:before="0" w:after="0" w:line="360" w:lineRule="auto"/>
        <w:ind w:left="0" w:right="0" w:firstLine="640"/>
        <w:rPr>
          <w:rFonts w:ascii="Times New Roman" w:hAnsi="Times New Roman" w:eastAsia="Times New Roman" w:cs="Times New Roman"/>
        </w:rPr>
      </w:pPr>
      <w:r>
        <w:rPr>
          <w:rFonts w:ascii="仿宋_GB2312" w:hAnsi="仿宋_GB2312" w:eastAsia="仿宋_GB2312" w:cs="仿宋_GB2312"/>
          <w:spacing w:val="0"/>
          <w:sz w:val="28"/>
          <w:szCs w:val="28"/>
        </w:rPr>
        <w:t>5.供应链厂商要加强对引入的第三方组件的管理，配合税务机关做好安全风险评估、漏洞扫描，做好漏洞评估、漏洞修复和版本升级工作，形成《第三方组件清单》（可以将第三方组件内容加入《供应链产品清单》）和《安全风险分析报告》，及时更新第三方组件相关信息并报送税务机关，采取有效措施保障第三方组件安全。</w:t>
      </w:r>
    </w:p>
    <w:p>
      <w:pPr>
        <w:pStyle w:val="96"/>
        <w:spacing w:before="0" w:after="0" w:line="360" w:lineRule="auto"/>
        <w:ind w:left="0" w:right="0" w:firstLine="640"/>
        <w:rPr>
          <w:rFonts w:ascii="Times New Roman" w:hAnsi="Times New Roman" w:eastAsia="Times New Roman" w:cs="Times New Roman"/>
        </w:rPr>
      </w:pPr>
      <w:r>
        <w:rPr>
          <w:rFonts w:ascii="仿宋_GB2312" w:hAnsi="仿宋_GB2312" w:eastAsia="仿宋_GB2312" w:cs="仿宋_GB2312"/>
          <w:spacing w:val="0"/>
          <w:sz w:val="28"/>
          <w:szCs w:val="28"/>
        </w:rPr>
        <w:t>6.供应链厂商禁止使用存在高安全风险隐患或已停止维护的第三方组件。</w:t>
      </w:r>
    </w:p>
    <w:p>
      <w:pPr>
        <w:pStyle w:val="96"/>
        <w:spacing w:before="0" w:after="0" w:line="360" w:lineRule="auto"/>
        <w:ind w:left="0" w:right="0" w:firstLine="640"/>
        <w:rPr>
          <w:rFonts w:ascii="Times New Roman" w:hAnsi="Times New Roman" w:eastAsia="Times New Roman" w:cs="Times New Roman"/>
        </w:rPr>
      </w:pPr>
      <w:r>
        <w:rPr>
          <w:rFonts w:ascii="仿宋_GB2312" w:hAnsi="仿宋_GB2312" w:eastAsia="仿宋_GB2312" w:cs="仿宋_GB2312"/>
          <w:spacing w:val="0"/>
          <w:sz w:val="28"/>
          <w:szCs w:val="28"/>
        </w:rPr>
        <w:t>7.供应链厂商在产品中如使用了开源代码，应确保其符合开源许可协议要求。供应链厂商自行开发且多项目共用的基础框架及组件，一并参照管理。</w:t>
      </w:r>
    </w:p>
    <w:p>
      <w:pPr>
        <w:pStyle w:val="93"/>
        <w:spacing w:before="0" w:after="0" w:line="360" w:lineRule="auto"/>
        <w:ind w:left="0" w:right="0" w:firstLine="640"/>
        <w:rPr>
          <w:rFonts w:ascii="Times New Roman" w:hAnsi="Times New Roman" w:eastAsia="Times New Roman" w:cs="Times New Roman"/>
        </w:rPr>
      </w:pPr>
      <w:r>
        <w:rPr>
          <w:rFonts w:ascii="仿宋_GB2312" w:hAnsi="仿宋_GB2312" w:eastAsia="仿宋_GB2312" w:cs="仿宋_GB2312"/>
          <w:spacing w:val="0"/>
          <w:sz w:val="28"/>
          <w:szCs w:val="28"/>
        </w:rPr>
        <w:t>8.供应链厂商在项目开发建设时，要配置独立的、与互联网隔离的内部代码管理平台,并开展安全审查。严禁将源代码上传第三方平台，严禁使用互联网代码托管平台。</w:t>
      </w:r>
    </w:p>
    <w:p>
      <w:pPr>
        <w:pStyle w:val="93"/>
        <w:spacing w:before="0" w:after="0" w:line="360" w:lineRule="auto"/>
        <w:ind w:left="0" w:right="0" w:firstLine="640"/>
        <w:rPr>
          <w:rFonts w:ascii="Times New Roman" w:hAnsi="Times New Roman" w:eastAsia="Times New Roman" w:cs="Times New Roman"/>
        </w:rPr>
      </w:pPr>
      <w:r>
        <w:rPr>
          <w:rFonts w:ascii="仿宋_GB2312" w:hAnsi="仿宋_GB2312" w:eastAsia="仿宋_GB2312" w:cs="仿宋_GB2312"/>
          <w:spacing w:val="0"/>
          <w:sz w:val="28"/>
          <w:szCs w:val="28"/>
        </w:rPr>
        <w:t>9.供应链厂商在项目开发建设时，要搭建具备权限管控功能的统一版本控制系统，将全部源代码纳入管理，并制定安全编码规范，严禁开发人员未经授权或越权访问和违规开发。</w:t>
      </w:r>
    </w:p>
    <w:p>
      <w:pPr>
        <w:pStyle w:val="93"/>
        <w:spacing w:before="0" w:after="0" w:line="360" w:lineRule="auto"/>
        <w:ind w:left="0" w:right="0" w:firstLine="640"/>
        <w:rPr>
          <w:rFonts w:ascii="Times New Roman" w:hAnsi="Times New Roman" w:eastAsia="Times New Roman" w:cs="Times New Roman"/>
        </w:rPr>
      </w:pPr>
      <w:r>
        <w:rPr>
          <w:rFonts w:ascii="仿宋_GB2312" w:hAnsi="仿宋_GB2312" w:eastAsia="仿宋_GB2312" w:cs="仿宋_GB2312"/>
          <w:spacing w:val="0"/>
          <w:sz w:val="28"/>
          <w:szCs w:val="28"/>
        </w:rPr>
        <w:t>10.供应链厂商要开展源代码安全自查工作，设置专用代码审计场所，采用工具与人工核查相结合的方式开展工作，形成《源代码审计报告》提交税务机关。审计过程要确保源代码不外泄，对审计中发现的问题要及时解决。</w:t>
      </w:r>
    </w:p>
    <w:p>
      <w:pPr>
        <w:pStyle w:val="93"/>
        <w:spacing w:before="0" w:after="0" w:line="360" w:lineRule="auto"/>
        <w:ind w:left="0" w:right="0" w:firstLine="640"/>
        <w:rPr>
          <w:rFonts w:ascii="Times New Roman" w:hAnsi="Times New Roman" w:eastAsia="Times New Roman" w:cs="Times New Roman"/>
        </w:rPr>
      </w:pPr>
      <w:r>
        <w:rPr>
          <w:rFonts w:ascii="仿宋_GB2312" w:hAnsi="仿宋_GB2312" w:eastAsia="仿宋_GB2312" w:cs="仿宋_GB2312"/>
          <w:spacing w:val="0"/>
          <w:sz w:val="28"/>
          <w:szCs w:val="28"/>
        </w:rPr>
        <w:t>11.供应链厂商需要税务机关提供用于测试的脱敏数据时，应明确脱敏字段需求，要规范测试数据使用权限，切断数据拷出途径，确保测试数据安全。</w:t>
      </w:r>
    </w:p>
    <w:p>
      <w:pPr>
        <w:pStyle w:val="93"/>
        <w:spacing w:before="0" w:after="0" w:line="360" w:lineRule="auto"/>
        <w:ind w:left="0" w:right="0" w:firstLine="640"/>
        <w:jc w:val="both"/>
        <w:rPr>
          <w:rFonts w:ascii="Times New Roman" w:hAnsi="Times New Roman" w:eastAsia="Times New Roman" w:cs="Times New Roman"/>
        </w:rPr>
      </w:pPr>
      <w:r>
        <w:rPr>
          <w:rFonts w:ascii="仿宋_GB2312" w:hAnsi="仿宋_GB2312" w:eastAsia="仿宋_GB2312" w:cs="仿宋_GB2312"/>
          <w:spacing w:val="0"/>
          <w:sz w:val="28"/>
          <w:szCs w:val="28"/>
        </w:rPr>
        <w:t>12.供应链厂商要按照“三同步”工作要求，在应用系统开发上线前将《供应链产品清单》、《第三方组件使用清单》、《源代码审计报告》等相关内容，汇总至系统安全“三同步”材料一并提交税务机关审核，要从开发设计环节即全面落实安全管理要求。</w:t>
      </w:r>
    </w:p>
    <w:p>
      <w:pPr>
        <w:pStyle w:val="93"/>
        <w:spacing w:before="0" w:after="0" w:line="360" w:lineRule="auto"/>
        <w:ind w:left="0" w:right="0" w:firstLine="640"/>
        <w:jc w:val="both"/>
        <w:rPr>
          <w:rFonts w:ascii="Times New Roman" w:hAnsi="Times New Roman" w:eastAsia="Times New Roman" w:cs="Times New Roman"/>
        </w:rPr>
      </w:pPr>
      <w:r>
        <w:rPr>
          <w:rFonts w:ascii="黑体" w:hAnsi="黑体" w:eastAsia="黑体" w:cs="黑体"/>
          <w:spacing w:val="0"/>
          <w:sz w:val="28"/>
          <w:szCs w:val="28"/>
        </w:rPr>
        <w:t>（四）日常运维安全管理需求</w:t>
      </w:r>
    </w:p>
    <w:p>
      <w:pPr>
        <w:pStyle w:val="93"/>
        <w:spacing w:before="0" w:after="0" w:line="360" w:lineRule="auto"/>
        <w:ind w:left="0" w:right="0" w:firstLine="640"/>
        <w:rPr>
          <w:rFonts w:ascii="Times New Roman" w:hAnsi="Times New Roman" w:eastAsia="Times New Roman" w:cs="Times New Roman"/>
        </w:rPr>
      </w:pPr>
      <w:r>
        <w:rPr>
          <w:rFonts w:ascii="仿宋_GB2312" w:hAnsi="仿宋_GB2312" w:eastAsia="仿宋_GB2312" w:cs="仿宋_GB2312"/>
          <w:spacing w:val="0"/>
          <w:sz w:val="28"/>
          <w:szCs w:val="28"/>
        </w:rPr>
        <w:t>1.供应链厂商人员开展工作所需的各类账户，要依据税务系统税费数据查询账号权限管理要求，按照最小化授权的原则，向税务机关提前申请，获得批准后方能使用，供应链厂商不得申请超出工作所需范围的账号权限。账户要采用实名制管理，准确填写厂商、姓名等基本信息，人员与账户一一对应，严禁用他人账户进行数据维护，严禁运维账户存在“一人多户”或“一户多人”情况。</w:t>
      </w:r>
    </w:p>
    <w:p>
      <w:pPr>
        <w:pStyle w:val="93"/>
        <w:spacing w:before="0" w:after="0" w:line="360" w:lineRule="auto"/>
        <w:ind w:left="0" w:right="0" w:firstLine="640"/>
        <w:rPr>
          <w:rFonts w:ascii="Times New Roman" w:hAnsi="Times New Roman" w:eastAsia="Times New Roman" w:cs="Times New Roman"/>
        </w:rPr>
      </w:pPr>
      <w:r>
        <w:rPr>
          <w:rFonts w:ascii="仿宋_GB2312" w:hAnsi="仿宋_GB2312" w:eastAsia="仿宋_GB2312" w:cs="仿宋_GB2312"/>
          <w:spacing w:val="0"/>
          <w:sz w:val="28"/>
          <w:szCs w:val="28"/>
        </w:rPr>
        <w:t>2.供应链厂商要加强数据安全管理，规范供应链厂商人员的日常运维工作，不得擅自访问、修改或删除税费数据，严禁将生产环境的真实税费数据导入测试环境，测试系统中不能留有真实税费数据</w:t>
      </w:r>
    </w:p>
    <w:p>
      <w:pPr>
        <w:pStyle w:val="93"/>
        <w:spacing w:before="0" w:after="0" w:line="360" w:lineRule="auto"/>
        <w:ind w:left="0" w:right="0" w:firstLine="640"/>
        <w:rPr>
          <w:rFonts w:ascii="Times New Roman" w:hAnsi="Times New Roman" w:eastAsia="Times New Roman" w:cs="Times New Roman"/>
        </w:rPr>
      </w:pPr>
      <w:r>
        <w:rPr>
          <w:rFonts w:ascii="仿宋_GB2312" w:hAnsi="仿宋_GB2312" w:eastAsia="仿宋_GB2312" w:cs="仿宋_GB2312"/>
          <w:spacing w:val="0"/>
          <w:sz w:val="28"/>
          <w:szCs w:val="28"/>
        </w:rPr>
        <w:t>3.供应链厂商及人员需要导出数据时要经过审批且符合规定，严禁私自导出数据。</w:t>
      </w:r>
    </w:p>
    <w:p>
      <w:pPr>
        <w:pStyle w:val="93"/>
        <w:spacing w:before="0" w:after="0" w:line="360" w:lineRule="auto"/>
        <w:ind w:left="0" w:right="0" w:firstLine="640"/>
        <w:rPr>
          <w:rFonts w:ascii="Times New Roman" w:hAnsi="Times New Roman" w:eastAsia="Times New Roman" w:cs="Times New Roman"/>
        </w:rPr>
      </w:pPr>
      <w:r>
        <w:rPr>
          <w:rFonts w:ascii="仿宋_GB2312" w:hAnsi="仿宋_GB2312" w:eastAsia="仿宋_GB2312" w:cs="仿宋_GB2312"/>
          <w:spacing w:val="0"/>
          <w:sz w:val="28"/>
          <w:szCs w:val="28"/>
        </w:rPr>
        <w:t>4.供应链厂商及人员不得私自截留涉税相关数据，不得变更用途、用法，不得公开、转让或向第三方提供。</w:t>
      </w:r>
    </w:p>
    <w:p>
      <w:pPr>
        <w:pStyle w:val="93"/>
        <w:spacing w:before="0" w:after="0" w:line="360" w:lineRule="auto"/>
        <w:ind w:left="0" w:right="0" w:firstLine="640"/>
        <w:rPr>
          <w:rFonts w:ascii="Times New Roman" w:hAnsi="Times New Roman" w:eastAsia="Times New Roman" w:cs="Times New Roman"/>
        </w:rPr>
      </w:pPr>
      <w:r>
        <w:rPr>
          <w:rFonts w:ascii="仿宋_GB2312" w:hAnsi="仿宋_GB2312" w:eastAsia="仿宋_GB2312" w:cs="仿宋_GB2312"/>
          <w:spacing w:val="0"/>
          <w:sz w:val="28"/>
          <w:szCs w:val="28"/>
        </w:rPr>
        <w:t>5.供应链厂商要及时发现风险隐患，对发现的网络安全漏洞、缺陷、数据泄露或其他重大网络安全风险，及时向税务机关报告，不得公开或向第三方提供。</w:t>
      </w:r>
    </w:p>
    <w:p>
      <w:pPr>
        <w:pStyle w:val="93"/>
        <w:spacing w:before="0" w:after="0" w:line="360" w:lineRule="auto"/>
        <w:ind w:left="0" w:right="0" w:firstLine="640"/>
        <w:rPr>
          <w:rFonts w:ascii="Times New Roman" w:hAnsi="Times New Roman" w:eastAsia="Times New Roman" w:cs="Times New Roman"/>
        </w:rPr>
      </w:pPr>
      <w:r>
        <w:rPr>
          <w:rFonts w:ascii="仿宋_GB2312" w:hAnsi="仿宋_GB2312" w:eastAsia="仿宋_GB2312" w:cs="仿宋_GB2312"/>
          <w:spacing w:val="0"/>
          <w:sz w:val="28"/>
          <w:szCs w:val="28"/>
        </w:rPr>
        <w:t>6.供应链厂商要定期检查所使用产品及第三方组件，存在高危漏洞的应及时通过限制访问、更新补丁、版本升级、设备防护等措施进行加固处置；对于停止维护的产品及第三方组件，要评估是否存在高危漏洞，如存在无法修复的高危漏洞，要升级版本或更换产品及第三方组件。</w:t>
      </w:r>
    </w:p>
    <w:p>
      <w:pPr>
        <w:pStyle w:val="92"/>
        <w:keepNext w:val="0"/>
        <w:spacing w:before="0" w:after="0" w:line="360" w:lineRule="auto"/>
        <w:rPr>
          <w:rFonts w:ascii="仿宋_GB2312" w:hAnsi="仿宋_GB2312" w:eastAsia="仿宋_GB2312" w:cs="仿宋_GB2312"/>
          <w:b/>
          <w:bCs/>
          <w:sz w:val="28"/>
          <w:szCs w:val="28"/>
        </w:rPr>
      </w:pPr>
      <w:bookmarkStart w:id="44" w:name="_Toc256000040"/>
      <w:r>
        <w:rPr>
          <w:rFonts w:ascii="仿宋_GB2312" w:hAnsi="仿宋_GB2312" w:eastAsia="仿宋_GB2312" w:cs="仿宋_GB2312"/>
          <w:sz w:val="28"/>
          <w:szCs w:val="28"/>
        </w:rPr>
        <w:t>10.1.4★信息化服务运维人员要求</w:t>
      </w:r>
      <w:bookmarkEnd w:id="44"/>
    </w:p>
    <w:p>
      <w:pPr>
        <w:pStyle w:val="18"/>
        <w:spacing w:before="0" w:after="0" w:line="360" w:lineRule="auto"/>
        <w:ind w:firstLine="561"/>
        <w:rPr>
          <w:rFonts w:ascii="仿宋_GB2312" w:hAnsi="仿宋_GB2312" w:eastAsia="仿宋_GB2312" w:cs="仿宋_GB2312"/>
          <w:sz w:val="28"/>
          <w:szCs w:val="28"/>
        </w:rPr>
      </w:pPr>
      <w:r>
        <w:rPr>
          <w:rFonts w:ascii="仿宋_GB2312" w:hAnsi="仿宋_GB2312" w:eastAsia="仿宋_GB2312" w:cs="仿宋_GB2312"/>
          <w:sz w:val="28"/>
          <w:szCs w:val="28"/>
        </w:rPr>
        <w:t>本项目涉及信息化服务运维人员的，运维人员应当是运维单位的正式人员，或者是与运维单位签订1年以上劳动合同且实际工作满1年的人员，常驻运维人员应当为技术骨干。</w:t>
      </w:r>
    </w:p>
    <w:p>
      <w:pPr>
        <w:pStyle w:val="93"/>
        <w:spacing w:before="0" w:after="0" w:line="360" w:lineRule="auto"/>
        <w:ind w:left="0" w:right="0" w:firstLine="640"/>
        <w:textAlignment w:val="baseline"/>
        <w:rPr>
          <w:rFonts w:ascii="Times New Roman" w:hAnsi="Times New Roman" w:eastAsia="Times New Roman" w:cs="Times New Roman"/>
        </w:rPr>
      </w:pPr>
      <w:r>
        <w:rPr>
          <w:rFonts w:ascii="Times New Roman" w:hAnsi="Times New Roman" w:eastAsia="Times New Roman" w:cs="Times New Roman"/>
          <w:sz w:val="28"/>
          <w:szCs w:val="28"/>
        </w:rPr>
        <w:t>常驻运维人员不得在同一服务期内，为两个或以上信息化项目提供驻场、运维服务。</w:t>
      </w:r>
    </w:p>
    <w:p>
      <w:pPr>
        <w:pStyle w:val="92"/>
        <w:keepNext w:val="0"/>
        <w:spacing w:before="0" w:after="0" w:line="360" w:lineRule="auto"/>
        <w:rPr>
          <w:rFonts w:ascii="仿宋_GB2312" w:hAnsi="仿宋_GB2312" w:eastAsia="仿宋_GB2312" w:cs="仿宋_GB2312"/>
          <w:b/>
          <w:bCs/>
          <w:sz w:val="28"/>
          <w:szCs w:val="28"/>
        </w:rPr>
      </w:pPr>
      <w:bookmarkStart w:id="45" w:name="_Toc256000041"/>
      <w:r>
        <w:rPr>
          <w:rFonts w:ascii="仿宋_GB2312" w:hAnsi="仿宋_GB2312" w:eastAsia="仿宋_GB2312" w:cs="仿宋_GB2312"/>
          <w:sz w:val="28"/>
          <w:szCs w:val="28"/>
        </w:rPr>
        <w:t>10.1.5其他</w:t>
      </w:r>
      <w:bookmarkEnd w:id="45"/>
    </w:p>
    <w:p>
      <w:pPr>
        <w:pStyle w:val="18"/>
        <w:spacing w:before="0" w:after="0" w:line="360" w:lineRule="auto"/>
        <w:ind w:firstLine="561"/>
        <w:rPr>
          <w:rFonts w:ascii="仿宋_GB2312" w:hAnsi="仿宋_GB2312" w:eastAsia="仿宋_GB2312" w:cs="仿宋_GB2312"/>
          <w:sz w:val="28"/>
          <w:szCs w:val="28"/>
        </w:rPr>
      </w:pPr>
      <w:r>
        <w:rPr>
          <w:rFonts w:ascii="仿宋_GB2312" w:hAnsi="仿宋_GB2312" w:eastAsia="仿宋_GB2312" w:cs="仿宋_GB2312"/>
          <w:sz w:val="28"/>
          <w:szCs w:val="28"/>
        </w:rPr>
        <w:t xml:space="preserve">1.本项目中如涉及商品包装和快递包装的，其包装需求标准应不低于《关于印发&lt;商品包装政府采购需求标准（试行）&gt;、&lt;快递包装政府采购需求标准（试行）&gt;的通知》（财办库〔2020〕123 号）规定的包装要求，如有其他包装需求，详见采购文件技术部分相关章节。 </w:t>
      </w:r>
    </w:p>
    <w:p>
      <w:pPr>
        <w:pStyle w:val="18"/>
        <w:spacing w:before="0" w:after="0" w:line="360" w:lineRule="auto"/>
        <w:ind w:firstLine="561"/>
        <w:rPr>
          <w:rFonts w:ascii="仿宋_GB2312" w:hAnsi="仿宋_GB2312" w:eastAsia="仿宋_GB2312" w:cs="仿宋_GB2312"/>
          <w:sz w:val="28"/>
          <w:szCs w:val="28"/>
        </w:rPr>
      </w:pPr>
      <w:r>
        <w:rPr>
          <w:rFonts w:ascii="仿宋_GB2312" w:hAnsi="仿宋_GB2312" w:eastAsia="仿宋_GB2312" w:cs="仿宋_GB2312"/>
          <w:sz w:val="28"/>
          <w:szCs w:val="28"/>
        </w:rPr>
        <w:t xml:space="preserve">2.本项目中如涉及网络关键设备或网络安全专用产品的，应严格执行国家互联网信息办公室、工业和信息化部、公安部、财政部和国家认证认可监督管理委员会 2023年第 1 号《关于调整网络安全专用产品安全管理有关事项的公告》及国家互联网信息办公室、工业和信息化部、公安部和国家认证认可监督管理委员会 2023 年第 2号《关于调整&lt;网络关键设备和网络安全专用产品目录&gt;的公告》等相关文件要求，所投标（响应）设备或产品至少符合以下条件之一：一是已由具备资格的机构安全认证合格或安全检测符合要求；二是已获得《计算机信息系统安全专用产品销售许可证》，且在有效期内。 </w:t>
      </w:r>
    </w:p>
    <w:p>
      <w:pPr>
        <w:pStyle w:val="18"/>
        <w:spacing w:before="0" w:after="0" w:line="360" w:lineRule="auto"/>
        <w:ind w:firstLine="561"/>
        <w:rPr>
          <w:rFonts w:ascii="仿宋_GB2312" w:hAnsi="仿宋_GB2312" w:eastAsia="仿宋_GB2312" w:cs="仿宋_GB2312"/>
          <w:sz w:val="28"/>
          <w:szCs w:val="28"/>
        </w:rPr>
      </w:pPr>
      <w:r>
        <w:rPr>
          <w:rFonts w:ascii="仿宋_GB2312" w:hAnsi="仿宋_GB2312" w:eastAsia="仿宋_GB2312" w:cs="仿宋_GB2312"/>
          <w:sz w:val="28"/>
          <w:szCs w:val="28"/>
        </w:rPr>
        <w:t xml:space="preserve">3.本项目中如涉及国家强制性产品认证证书（CCC 认证证书）、电信设备进网许可证、无线电发射设备核准证等市场准入类资质的，应严格执行国家相关法律法规的要求。 </w:t>
      </w:r>
    </w:p>
    <w:p>
      <w:pPr>
        <w:pStyle w:val="18"/>
        <w:spacing w:before="0" w:after="0" w:line="360" w:lineRule="auto"/>
        <w:ind w:firstLine="561"/>
        <w:rPr>
          <w:rFonts w:ascii="仿宋_GB2312" w:hAnsi="仿宋_GB2312" w:eastAsia="仿宋_GB2312" w:cs="仿宋_GB2312"/>
          <w:sz w:val="28"/>
          <w:szCs w:val="28"/>
        </w:rPr>
      </w:pPr>
      <w:r>
        <w:rPr>
          <w:rFonts w:ascii="仿宋_GB2312" w:hAnsi="仿宋_GB2312" w:eastAsia="仿宋_GB2312" w:cs="仿宋_GB2312"/>
          <w:sz w:val="28"/>
          <w:szCs w:val="28"/>
        </w:rPr>
        <w:t>以上相关要求，由供应商在响应时应答，在履约验收中，采购人将按照采购文件、中标/成交供应商响应文件、采购合同等对中标/成交供应商提供的货物和服务进行验收，必要时依法依规开展相应检测、认证。</w:t>
      </w:r>
    </w:p>
    <w:p>
      <w:pPr>
        <w:pStyle w:val="91"/>
        <w:keepNext w:val="0"/>
        <w:spacing w:before="0" w:after="0" w:line="360" w:lineRule="auto"/>
        <w:rPr>
          <w:rFonts w:ascii="仿宋_GB2312" w:hAnsi="仿宋_GB2312" w:eastAsia="仿宋_GB2312" w:cs="仿宋_GB2312"/>
          <w:b/>
          <w:bCs/>
          <w:sz w:val="28"/>
          <w:szCs w:val="28"/>
        </w:rPr>
      </w:pPr>
      <w:bookmarkStart w:id="46" w:name="_Toc256000042"/>
      <w:r>
        <w:rPr>
          <w:rFonts w:ascii="仿宋_GB2312" w:hAnsi="仿宋_GB2312" w:eastAsia="仿宋_GB2312" w:cs="仿宋_GB2312"/>
          <w:i w:val="0"/>
          <w:iCs w:val="0"/>
        </w:rPr>
        <w:t>10.2知识产权要求</w:t>
      </w:r>
      <w:bookmarkEnd w:id="46"/>
    </w:p>
    <w:p>
      <w:pPr>
        <w:pStyle w:val="93"/>
        <w:spacing w:before="0" w:after="0" w:line="360" w:lineRule="auto"/>
        <w:ind w:left="0" w:right="0" w:firstLine="480"/>
        <w:jc w:val="both"/>
        <w:rPr>
          <w:rFonts w:ascii="Times New Roman" w:hAnsi="Times New Roman" w:eastAsia="Times New Roman" w:cs="Times New Roman"/>
        </w:rPr>
      </w:pPr>
      <w:r>
        <w:rPr>
          <w:rFonts w:ascii="仿宋" w:hAnsi="仿宋" w:eastAsia="仿宋" w:cs="仿宋"/>
          <w:sz w:val="28"/>
          <w:szCs w:val="28"/>
        </w:rPr>
        <w:t>本项目所有知识产权归国家税务总局吉林省税务局所有。投标人需保证所提供的服务不侵犯第三方的知识产权（专利权、商标权、版权等），因侵害第三方知识产权而产生的法律责任，全部由投标人承担。</w:t>
      </w:r>
    </w:p>
    <w:p>
      <w:pPr>
        <w:pStyle w:val="91"/>
        <w:keepNext w:val="0"/>
        <w:spacing w:before="0" w:after="0" w:line="360" w:lineRule="auto"/>
        <w:rPr>
          <w:rFonts w:ascii="仿宋_GB2312" w:hAnsi="仿宋_GB2312" w:eastAsia="仿宋_GB2312" w:cs="仿宋_GB2312"/>
          <w:b/>
          <w:bCs/>
          <w:sz w:val="28"/>
          <w:szCs w:val="28"/>
        </w:rPr>
      </w:pPr>
      <w:bookmarkStart w:id="47" w:name="_Toc256000043"/>
      <w:r>
        <w:rPr>
          <w:rFonts w:ascii="仿宋_GB2312" w:hAnsi="仿宋_GB2312" w:eastAsia="仿宋_GB2312" w:cs="仿宋_GB2312"/>
          <w:i w:val="0"/>
          <w:iCs w:val="0"/>
        </w:rPr>
        <w:t>10.3付款安排建议</w:t>
      </w:r>
      <w:bookmarkEnd w:id="47"/>
    </w:p>
    <w:tbl>
      <w:tblPr>
        <w:tblStyle w:val="32"/>
        <w:tblW w:w="5000" w:type="pct"/>
        <w:tblInd w:w="30" w:type="dxa"/>
        <w:tblLayout w:type="autofit"/>
        <w:tblCellMar>
          <w:top w:w="15" w:type="dxa"/>
          <w:left w:w="15" w:type="dxa"/>
          <w:bottom w:w="15" w:type="dxa"/>
          <w:right w:w="15" w:type="dxa"/>
        </w:tblCellMar>
      </w:tblPr>
      <w:tblGrid>
        <w:gridCol w:w="1814"/>
        <w:gridCol w:w="5442"/>
        <w:gridCol w:w="1814"/>
      </w:tblGrid>
      <w:tr>
        <w:tblPrEx>
          <w:tblCellMar>
            <w:top w:w="15" w:type="dxa"/>
            <w:left w:w="15" w:type="dxa"/>
            <w:bottom w:w="15" w:type="dxa"/>
            <w:right w:w="15" w:type="dxa"/>
          </w:tblCellMar>
        </w:tblPrEx>
        <w:tc>
          <w:tcPr>
            <w:tcW w:w="10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pStyle w:val="18"/>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付款名称</w:t>
            </w:r>
          </w:p>
        </w:tc>
        <w:tc>
          <w:tcPr>
            <w:tcW w:w="30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pStyle w:val="18"/>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付款要求</w:t>
            </w:r>
          </w:p>
        </w:tc>
        <w:tc>
          <w:tcPr>
            <w:tcW w:w="10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pStyle w:val="18"/>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付款比例(%)</w:t>
            </w:r>
          </w:p>
        </w:tc>
      </w:tr>
      <w:tr>
        <w:tblPrEx>
          <w:tblCellMar>
            <w:top w:w="15" w:type="dxa"/>
            <w:left w:w="15" w:type="dxa"/>
            <w:bottom w:w="15" w:type="dxa"/>
            <w:right w:w="15" w:type="dxa"/>
          </w:tblCellMar>
        </w:tblPrEx>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第1次付款</w:t>
            </w:r>
          </w:p>
        </w:tc>
        <w:tc>
          <w:tcPr>
            <w:tcW w:w="22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中标供应商完成合同全部服务并经采购人验收合格后，中标供应商提出付款申请并出具合法等额发票后10个工作日内支付合同全款。</w:t>
            </w:r>
          </w:p>
        </w:tc>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100.0</w:t>
            </w:r>
          </w:p>
        </w:tc>
      </w:tr>
    </w:tbl>
    <w:p>
      <w:pPr>
        <w:pStyle w:val="91"/>
        <w:keepNext w:val="0"/>
        <w:spacing w:before="0" w:after="0" w:line="360" w:lineRule="auto"/>
        <w:rPr>
          <w:rFonts w:ascii="仿宋_GB2312" w:hAnsi="仿宋_GB2312" w:eastAsia="仿宋_GB2312" w:cs="仿宋_GB2312"/>
          <w:b/>
          <w:bCs/>
          <w:sz w:val="28"/>
          <w:szCs w:val="28"/>
        </w:rPr>
      </w:pPr>
      <w:bookmarkStart w:id="48" w:name="_Toc256000044"/>
      <w:r>
        <w:rPr>
          <w:rFonts w:ascii="仿宋_GB2312" w:hAnsi="仿宋_GB2312" w:eastAsia="仿宋_GB2312" w:cs="仿宋_GB2312"/>
          <w:i w:val="0"/>
          <w:iCs w:val="0"/>
        </w:rPr>
        <w:t>10.4技术和服务要求</w:t>
      </w:r>
      <w:bookmarkEnd w:id="48"/>
    </w:p>
    <w:tbl>
      <w:tblPr>
        <w:tblStyle w:val="95"/>
        <w:tblW w:w="0" w:type="auto"/>
        <w:tblCellSpacing w:w="0" w:type="dxa"/>
        <w:tblInd w:w="263" w:type="dxa"/>
        <w:tblLayout w:type="autofit"/>
        <w:tblCellMar>
          <w:top w:w="15" w:type="dxa"/>
          <w:left w:w="15" w:type="dxa"/>
          <w:bottom w:w="15" w:type="dxa"/>
          <w:right w:w="15" w:type="dxa"/>
        </w:tblCellMar>
      </w:tblPr>
      <w:tblGrid>
        <w:gridCol w:w="544"/>
        <w:gridCol w:w="2323"/>
        <w:gridCol w:w="717"/>
        <w:gridCol w:w="839"/>
        <w:gridCol w:w="3926"/>
        <w:gridCol w:w="690"/>
      </w:tblGrid>
      <w:tr>
        <w:tblPrEx>
          <w:tblCellMar>
            <w:top w:w="15" w:type="dxa"/>
            <w:left w:w="15" w:type="dxa"/>
            <w:bottom w:w="15" w:type="dxa"/>
            <w:right w:w="15" w:type="dxa"/>
          </w:tblCellMar>
        </w:tblPrEx>
        <w:trPr>
          <w:trHeight w:val="844" w:hRule="atLeast"/>
          <w:tblCellSpacing w:w="0" w:type="dxa"/>
        </w:trPr>
        <w:tc>
          <w:tcPr>
            <w:tcW w:w="0" w:type="auto"/>
            <w:tcBorders>
              <w:top w:val="single" w:color="000000" w:sz="8" w:space="0"/>
              <w:left w:val="single" w:color="000000" w:sz="8" w:space="0"/>
              <w:bottom w:val="single" w:color="000000" w:sz="8" w:space="0"/>
              <w:right w:val="single" w:color="000000" w:sz="8" w:space="0"/>
            </w:tcBorders>
            <w:noWrap w:val="0"/>
            <w:tcMar>
              <w:top w:w="0" w:type="dxa"/>
              <w:left w:w="118" w:type="dxa"/>
              <w:bottom w:w="0" w:type="dxa"/>
              <w:right w:w="118" w:type="dxa"/>
            </w:tcMar>
            <w:vAlign w:val="center"/>
          </w:tcPr>
          <w:p>
            <w:pPr>
              <w:pStyle w:val="93"/>
              <w:spacing w:before="0" w:after="0"/>
              <w:ind w:left="0" w:right="0"/>
              <w:jc w:val="center"/>
              <w:rPr>
                <w:b w:val="0"/>
                <w:bCs w:val="0"/>
                <w:i w:val="0"/>
                <w:iCs w:val="0"/>
                <w:smallCaps w:val="0"/>
                <w:color w:val="000000"/>
                <w:sz w:val="32"/>
                <w:szCs w:val="32"/>
              </w:rPr>
            </w:pPr>
            <w:r>
              <w:rPr>
                <w:rFonts w:ascii="仿宋_GB2312" w:hAnsi="仿宋_GB2312" w:eastAsia="仿宋_GB2312" w:cs="仿宋_GB2312"/>
                <w:b w:val="0"/>
                <w:bCs w:val="0"/>
                <w:i w:val="0"/>
                <w:iCs w:val="0"/>
                <w:smallCaps w:val="0"/>
                <w:color w:val="000000"/>
                <w:sz w:val="18"/>
                <w:szCs w:val="18"/>
              </w:rPr>
              <w:t>序号</w:t>
            </w:r>
          </w:p>
        </w:tc>
        <w:tc>
          <w:tcPr>
            <w:tcW w:w="0" w:type="auto"/>
            <w:tcBorders>
              <w:top w:val="single" w:color="000000" w:sz="8" w:space="0"/>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jc w:val="center"/>
              <w:rPr>
                <w:b w:val="0"/>
                <w:bCs w:val="0"/>
                <w:i w:val="0"/>
                <w:iCs w:val="0"/>
                <w:smallCaps w:val="0"/>
                <w:color w:val="000000"/>
                <w:sz w:val="32"/>
                <w:szCs w:val="32"/>
              </w:rPr>
            </w:pPr>
            <w:r>
              <w:rPr>
                <w:rFonts w:ascii="仿宋_GB2312" w:hAnsi="仿宋_GB2312" w:eastAsia="仿宋_GB2312" w:cs="仿宋_GB2312"/>
                <w:b w:val="0"/>
                <w:bCs w:val="0"/>
                <w:i w:val="0"/>
                <w:iCs w:val="0"/>
                <w:smallCaps w:val="0"/>
                <w:color w:val="000000"/>
                <w:sz w:val="18"/>
                <w:szCs w:val="18"/>
              </w:rPr>
              <w:t>产品名称</w:t>
            </w:r>
          </w:p>
        </w:tc>
        <w:tc>
          <w:tcPr>
            <w:tcW w:w="0" w:type="auto"/>
            <w:tcBorders>
              <w:top w:val="single" w:color="000000" w:sz="8" w:space="0"/>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jc w:val="center"/>
              <w:rPr>
                <w:b w:val="0"/>
                <w:bCs w:val="0"/>
                <w:i w:val="0"/>
                <w:iCs w:val="0"/>
                <w:smallCaps w:val="0"/>
                <w:color w:val="000000"/>
                <w:sz w:val="32"/>
                <w:szCs w:val="32"/>
              </w:rPr>
            </w:pPr>
            <w:r>
              <w:rPr>
                <w:rFonts w:ascii="仿宋_GB2312" w:hAnsi="仿宋_GB2312" w:eastAsia="仿宋_GB2312" w:cs="仿宋_GB2312"/>
                <w:b w:val="0"/>
                <w:bCs w:val="0"/>
                <w:i w:val="0"/>
                <w:iCs w:val="0"/>
                <w:smallCaps w:val="0"/>
                <w:color w:val="000000"/>
                <w:sz w:val="18"/>
                <w:szCs w:val="18"/>
              </w:rPr>
              <w:t>指标种类</w:t>
            </w:r>
          </w:p>
        </w:tc>
        <w:tc>
          <w:tcPr>
            <w:tcW w:w="0" w:type="auto"/>
            <w:tcBorders>
              <w:top w:val="single" w:color="000000" w:sz="8" w:space="0"/>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jc w:val="center"/>
              <w:rPr>
                <w:b w:val="0"/>
                <w:bCs w:val="0"/>
                <w:i w:val="0"/>
                <w:iCs w:val="0"/>
                <w:smallCaps w:val="0"/>
                <w:color w:val="000000"/>
                <w:sz w:val="32"/>
                <w:szCs w:val="32"/>
              </w:rPr>
            </w:pPr>
            <w:r>
              <w:rPr>
                <w:rFonts w:ascii="仿宋_GB2312" w:hAnsi="仿宋_GB2312" w:eastAsia="仿宋_GB2312" w:cs="仿宋_GB2312"/>
                <w:b w:val="0"/>
                <w:bCs w:val="0"/>
                <w:i w:val="0"/>
                <w:iCs w:val="0"/>
                <w:smallCaps w:val="0"/>
                <w:color w:val="000000"/>
                <w:sz w:val="18"/>
                <w:szCs w:val="18"/>
              </w:rPr>
              <w:t>指标名称</w:t>
            </w:r>
          </w:p>
        </w:tc>
        <w:tc>
          <w:tcPr>
            <w:tcW w:w="0" w:type="auto"/>
            <w:tcBorders>
              <w:top w:val="single" w:color="000000" w:sz="8" w:space="0"/>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jc w:val="center"/>
              <w:rPr>
                <w:b w:val="0"/>
                <w:bCs w:val="0"/>
                <w:i w:val="0"/>
                <w:iCs w:val="0"/>
                <w:smallCaps w:val="0"/>
                <w:color w:val="000000"/>
                <w:sz w:val="32"/>
                <w:szCs w:val="32"/>
              </w:rPr>
            </w:pPr>
            <w:r>
              <w:rPr>
                <w:rFonts w:ascii="仿宋_GB2312" w:hAnsi="仿宋_GB2312" w:eastAsia="仿宋_GB2312" w:cs="仿宋_GB2312"/>
                <w:b w:val="0"/>
                <w:bCs w:val="0"/>
                <w:i w:val="0"/>
                <w:iCs w:val="0"/>
                <w:smallCaps w:val="0"/>
                <w:color w:val="000000"/>
                <w:sz w:val="18"/>
                <w:szCs w:val="18"/>
              </w:rPr>
              <w:t>指标内容</w:t>
            </w:r>
          </w:p>
        </w:tc>
        <w:tc>
          <w:tcPr>
            <w:tcW w:w="0" w:type="auto"/>
            <w:tcBorders>
              <w:top w:val="single" w:color="000000" w:sz="8" w:space="0"/>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jc w:val="center"/>
              <w:rPr>
                <w:b w:val="0"/>
                <w:bCs w:val="0"/>
                <w:i w:val="0"/>
                <w:iCs w:val="0"/>
                <w:smallCaps w:val="0"/>
                <w:color w:val="000000"/>
                <w:sz w:val="32"/>
                <w:szCs w:val="32"/>
              </w:rPr>
            </w:pPr>
            <w:r>
              <w:rPr>
                <w:rFonts w:ascii="仿宋_GB2312" w:hAnsi="仿宋_GB2312" w:eastAsia="仿宋_GB2312" w:cs="仿宋_GB2312"/>
                <w:b w:val="0"/>
                <w:bCs w:val="0"/>
                <w:i w:val="0"/>
                <w:iCs w:val="0"/>
                <w:smallCaps w:val="0"/>
                <w:color w:val="000000"/>
                <w:sz w:val="18"/>
                <w:szCs w:val="18"/>
              </w:rPr>
              <w:t>证明材料要求</w:t>
            </w:r>
          </w:p>
        </w:tc>
      </w:tr>
      <w:tr>
        <w:tblPrEx>
          <w:tblCellMar>
            <w:top w:w="15" w:type="dxa"/>
            <w:left w:w="15" w:type="dxa"/>
            <w:bottom w:w="15" w:type="dxa"/>
            <w:right w:w="15" w:type="dxa"/>
          </w:tblCellMar>
        </w:tblPrEx>
        <w:trPr>
          <w:trHeight w:val="750" w:hRule="atLeast"/>
          <w:tblCellSpacing w:w="0" w:type="dxa"/>
        </w:trPr>
        <w:tc>
          <w:tcPr>
            <w:tcW w:w="0" w:type="auto"/>
            <w:tcBorders>
              <w:left w:val="single" w:color="000000" w:sz="8" w:space="0"/>
              <w:bottom w:val="single" w:color="000000" w:sz="8" w:space="0"/>
              <w:right w:val="single" w:color="000000" w:sz="8" w:space="0"/>
            </w:tcBorders>
            <w:noWrap w:val="0"/>
            <w:tcMar>
              <w:top w:w="0" w:type="dxa"/>
              <w:left w:w="118" w:type="dxa"/>
              <w:bottom w:w="0" w:type="dxa"/>
              <w:right w:w="118" w:type="dxa"/>
            </w:tcMar>
            <w:vAlign w:val="center"/>
          </w:tcPr>
          <w:p>
            <w:pPr>
              <w:pStyle w:val="93"/>
              <w:spacing w:before="0" w:after="0"/>
              <w:ind w:left="425" w:right="0" w:hanging="425"/>
              <w:jc w:val="both"/>
              <w:rPr>
                <w:b w:val="0"/>
                <w:bCs w:val="0"/>
                <w:i w:val="0"/>
                <w:iCs w:val="0"/>
                <w:smallCaps w:val="0"/>
                <w:color w:val="000000"/>
                <w:sz w:val="32"/>
                <w:szCs w:val="32"/>
              </w:rPr>
            </w:pPr>
            <w:r>
              <w:rPr>
                <w:rFonts w:ascii="仿宋_GB2312" w:hAnsi="仿宋_GB2312" w:eastAsia="仿宋_GB2312" w:cs="仿宋_GB2312"/>
                <w:b w:val="0"/>
                <w:bCs w:val="0"/>
                <w:i w:val="0"/>
                <w:iCs w:val="0"/>
                <w:smallCaps w:val="0"/>
                <w:color w:val="000000"/>
                <w:sz w:val="18"/>
                <w:szCs w:val="18"/>
              </w:rPr>
              <w:t>1 </w:t>
            </w:r>
          </w:p>
        </w:tc>
        <w:tc>
          <w:tcPr>
            <w:tcW w:w="0" w:type="auto"/>
            <w:vMerge w:val="restart"/>
            <w:tcBorders>
              <w:bottom w:val="nil"/>
              <w:right w:val="single" w:color="000000" w:sz="8" w:space="0"/>
            </w:tcBorders>
            <w:noWrap w:val="0"/>
            <w:tcMar>
              <w:top w:w="0" w:type="dxa"/>
              <w:left w:w="108" w:type="dxa"/>
              <w:bottom w:w="0" w:type="dxa"/>
              <w:right w:w="118" w:type="dxa"/>
            </w:tcMar>
            <w:vAlign w:val="center"/>
          </w:tcPr>
          <w:p>
            <w:pPr>
              <w:pStyle w:val="101"/>
              <w:spacing w:before="0" w:after="0"/>
              <w:ind w:left="0" w:right="0" w:firstLine="0"/>
              <w:rPr>
                <w:b w:val="0"/>
                <w:bCs w:val="0"/>
                <w:i w:val="0"/>
                <w:iCs w:val="0"/>
                <w:smallCaps w:val="0"/>
                <w:color w:val="000000"/>
              </w:rPr>
            </w:pPr>
            <w:r>
              <w:rPr>
                <w:rFonts w:ascii="仿宋_GB2312" w:hAnsi="仿宋_GB2312" w:eastAsia="仿宋_GB2312" w:cs="仿宋_GB2312"/>
                <w:b w:val="0"/>
                <w:bCs w:val="0"/>
                <w:i w:val="0"/>
                <w:iCs w:val="0"/>
                <w:smallCaps w:val="0"/>
                <w:color w:val="000000"/>
                <w:sz w:val="18"/>
                <w:szCs w:val="18"/>
              </w:rPr>
              <w:t>吉林省税务局2025年统一工作平台—市场主体准入E窗通子系统升级改造项目</w:t>
            </w:r>
          </w:p>
        </w:tc>
        <w:tc>
          <w:tcPr>
            <w:tcW w:w="0" w:type="auto"/>
            <w:vMerge w:val="restart"/>
            <w:tcBorders>
              <w:bottom w:val="nil"/>
              <w:right w:val="single" w:color="000000" w:sz="8" w:space="0"/>
            </w:tcBorders>
            <w:noWrap w:val="0"/>
            <w:tcMar>
              <w:top w:w="0" w:type="dxa"/>
              <w:left w:w="108" w:type="dxa"/>
              <w:bottom w:w="0" w:type="dxa"/>
              <w:right w:w="118" w:type="dxa"/>
            </w:tcMar>
            <w:vAlign w:val="center"/>
          </w:tcPr>
          <w:p>
            <w:pPr>
              <w:pStyle w:val="93"/>
              <w:spacing w:before="0" w:after="0"/>
              <w:ind w:left="0" w:right="0"/>
              <w:jc w:val="center"/>
              <w:rPr>
                <w:b w:val="0"/>
                <w:bCs w:val="0"/>
                <w:i w:val="0"/>
                <w:iCs w:val="0"/>
                <w:smallCaps w:val="0"/>
                <w:color w:val="000000"/>
                <w:sz w:val="32"/>
                <w:szCs w:val="32"/>
              </w:rPr>
            </w:pPr>
            <w:r>
              <w:rPr>
                <w:rFonts w:ascii="仿宋_GB2312" w:hAnsi="仿宋_GB2312" w:eastAsia="仿宋_GB2312" w:cs="仿宋_GB2312"/>
                <w:b w:val="0"/>
                <w:bCs w:val="0"/>
                <w:i w:val="0"/>
                <w:iCs w:val="0"/>
                <w:smallCaps w:val="0"/>
                <w:color w:val="000000"/>
                <w:sz w:val="18"/>
                <w:szCs w:val="18"/>
              </w:rPr>
              <w:t>#项目实施过程</w:t>
            </w:r>
          </w:p>
        </w:tc>
        <w:tc>
          <w:tcPr>
            <w:tcW w:w="0" w:type="auto"/>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jc w:val="center"/>
              <w:rPr>
                <w:b w:val="0"/>
                <w:bCs w:val="0"/>
                <w:i w:val="0"/>
                <w:iCs w:val="0"/>
                <w:smallCaps w:val="0"/>
                <w:color w:val="000000"/>
                <w:sz w:val="32"/>
                <w:szCs w:val="32"/>
              </w:rPr>
            </w:pPr>
            <w:r>
              <w:rPr>
                <w:rFonts w:ascii="仿宋_GB2312" w:hAnsi="仿宋_GB2312" w:eastAsia="仿宋_GB2312" w:cs="仿宋_GB2312"/>
                <w:b w:val="0"/>
                <w:bCs w:val="0"/>
                <w:i w:val="0"/>
                <w:iCs w:val="0"/>
                <w:smallCaps w:val="0"/>
                <w:color w:val="000000"/>
                <w:sz w:val="18"/>
                <w:szCs w:val="18"/>
              </w:rPr>
              <w:t>#需求分析</w:t>
            </w:r>
          </w:p>
        </w:tc>
        <w:tc>
          <w:tcPr>
            <w:tcW w:w="0" w:type="auto"/>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rPr>
                <w:b w:val="0"/>
                <w:bCs w:val="0"/>
                <w:i w:val="0"/>
                <w:iCs w:val="0"/>
                <w:smallCaps w:val="0"/>
                <w:color w:val="000000"/>
                <w:sz w:val="32"/>
                <w:szCs w:val="32"/>
              </w:rPr>
            </w:pPr>
            <w:r>
              <w:rPr>
                <w:rFonts w:ascii="仿宋_GB2312" w:hAnsi="仿宋_GB2312" w:eastAsia="仿宋_GB2312" w:cs="仿宋_GB2312"/>
                <w:b w:val="0"/>
                <w:bCs w:val="0"/>
                <w:i w:val="0"/>
                <w:iCs w:val="0"/>
                <w:smallCaps w:val="0"/>
                <w:color w:val="000000"/>
                <w:sz w:val="18"/>
                <w:szCs w:val="18"/>
              </w:rPr>
              <w:t>了解客户的业务需求、目标和期望，包括软件要实现的功能、性能要求、使用场景等并进行需求文档产出。</w:t>
            </w:r>
          </w:p>
        </w:tc>
        <w:tc>
          <w:tcPr>
            <w:tcW w:w="0" w:type="auto"/>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jc w:val="center"/>
              <w:rPr>
                <w:b w:val="0"/>
                <w:bCs w:val="0"/>
                <w:i w:val="0"/>
                <w:iCs w:val="0"/>
                <w:smallCaps w:val="0"/>
                <w:color w:val="000000"/>
                <w:sz w:val="32"/>
                <w:szCs w:val="32"/>
              </w:rPr>
            </w:pPr>
            <w:r>
              <w:rPr>
                <w:rFonts w:ascii="仿宋_GB2312" w:hAnsi="仿宋_GB2312" w:eastAsia="仿宋_GB2312" w:cs="仿宋_GB2312"/>
                <w:b w:val="0"/>
                <w:bCs w:val="0"/>
                <w:i w:val="0"/>
                <w:iCs w:val="0"/>
                <w:smallCaps w:val="0"/>
                <w:color w:val="000000"/>
                <w:sz w:val="18"/>
                <w:szCs w:val="18"/>
              </w:rPr>
              <w:t>提供承诺书</w:t>
            </w:r>
          </w:p>
        </w:tc>
      </w:tr>
      <w:tr>
        <w:tblPrEx>
          <w:tblCellMar>
            <w:top w:w="15" w:type="dxa"/>
            <w:left w:w="15" w:type="dxa"/>
            <w:bottom w:w="15" w:type="dxa"/>
            <w:right w:w="15" w:type="dxa"/>
          </w:tblCellMar>
        </w:tblPrEx>
        <w:trPr>
          <w:trHeight w:val="750" w:hRule="atLeast"/>
          <w:tblCellSpacing w:w="0" w:type="dxa"/>
        </w:trPr>
        <w:tc>
          <w:tcPr>
            <w:tcW w:w="0" w:type="auto"/>
            <w:tcBorders>
              <w:left w:val="single" w:color="000000" w:sz="8" w:space="0"/>
              <w:bottom w:val="single" w:color="000000" w:sz="8" w:space="0"/>
              <w:right w:val="single" w:color="000000" w:sz="8" w:space="0"/>
            </w:tcBorders>
            <w:noWrap w:val="0"/>
            <w:tcMar>
              <w:top w:w="0" w:type="dxa"/>
              <w:left w:w="118" w:type="dxa"/>
              <w:bottom w:w="0" w:type="dxa"/>
              <w:right w:w="118" w:type="dxa"/>
            </w:tcMar>
            <w:vAlign w:val="center"/>
          </w:tcPr>
          <w:p>
            <w:pPr>
              <w:pStyle w:val="93"/>
              <w:spacing w:before="0" w:after="0"/>
              <w:ind w:left="425" w:right="0" w:hanging="425"/>
              <w:jc w:val="center"/>
              <w:rPr>
                <w:b w:val="0"/>
                <w:bCs w:val="0"/>
                <w:i w:val="0"/>
                <w:iCs w:val="0"/>
                <w:smallCaps w:val="0"/>
                <w:color w:val="000000"/>
                <w:sz w:val="32"/>
                <w:szCs w:val="32"/>
              </w:rPr>
            </w:pPr>
            <w:r>
              <w:rPr>
                <w:rFonts w:ascii="仿宋_GB2312" w:hAnsi="仿宋_GB2312" w:eastAsia="仿宋_GB2312" w:cs="仿宋_GB2312"/>
                <w:b w:val="0"/>
                <w:bCs w:val="0"/>
                <w:i w:val="0"/>
                <w:iCs w:val="0"/>
                <w:smallCaps w:val="0"/>
                <w:color w:val="000000"/>
                <w:sz w:val="18"/>
                <w:szCs w:val="18"/>
              </w:rPr>
              <w:t>2 </w:t>
            </w:r>
          </w:p>
        </w:tc>
        <w:tc>
          <w:tcPr>
            <w:vMerge w:val="continue"/>
            <w:tcBorders>
              <w:right w:val="single" w:color="000000" w:sz="8" w:space="0"/>
            </w:tcBorders>
            <w:vAlign w:val="center"/>
          </w:tcPr>
          <w:p>
            <w:pPr>
              <w:pStyle w:val="18"/>
              <w:rPr>
                <w:rFonts w:ascii="仿宋_GB2312" w:hAnsi="仿宋_GB2312" w:eastAsia="仿宋_GB2312" w:cs="仿宋_GB2312"/>
                <w:b w:val="0"/>
                <w:bCs w:val="0"/>
                <w:i w:val="0"/>
                <w:iCs w:val="0"/>
                <w:smallCaps w:val="0"/>
                <w:color w:val="000000"/>
                <w:sz w:val="18"/>
                <w:szCs w:val="18"/>
              </w:rPr>
            </w:pPr>
          </w:p>
        </w:tc>
        <w:tc>
          <w:tcPr>
            <w:vMerge w:val="continue"/>
            <w:tcBorders>
              <w:right w:val="single" w:color="000000" w:sz="8" w:space="0"/>
            </w:tcBorders>
            <w:vAlign w:val="center"/>
          </w:tcPr>
          <w:p>
            <w:pPr>
              <w:pStyle w:val="18"/>
              <w:rPr>
                <w:rFonts w:ascii="仿宋_GB2312" w:hAnsi="仿宋_GB2312" w:eastAsia="仿宋_GB2312" w:cs="仿宋_GB2312"/>
                <w:b w:val="0"/>
                <w:bCs w:val="0"/>
                <w:i w:val="0"/>
                <w:iCs w:val="0"/>
                <w:smallCaps w:val="0"/>
                <w:color w:val="000000"/>
                <w:sz w:val="18"/>
                <w:szCs w:val="18"/>
              </w:rPr>
            </w:pPr>
          </w:p>
        </w:tc>
        <w:tc>
          <w:tcPr>
            <w:tcW w:w="0" w:type="auto"/>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jc w:val="center"/>
              <w:rPr>
                <w:b w:val="0"/>
                <w:bCs w:val="0"/>
                <w:i w:val="0"/>
                <w:iCs w:val="0"/>
                <w:smallCaps w:val="0"/>
                <w:color w:val="000000"/>
                <w:sz w:val="32"/>
                <w:szCs w:val="32"/>
              </w:rPr>
            </w:pPr>
            <w:r>
              <w:rPr>
                <w:rFonts w:ascii="仿宋_GB2312" w:hAnsi="仿宋_GB2312" w:eastAsia="仿宋_GB2312" w:cs="仿宋_GB2312"/>
                <w:b w:val="0"/>
                <w:bCs w:val="0"/>
                <w:i w:val="0"/>
                <w:iCs w:val="0"/>
                <w:smallCaps w:val="0"/>
                <w:color w:val="000000"/>
                <w:sz w:val="18"/>
                <w:szCs w:val="18"/>
              </w:rPr>
              <w:t>#数据库设计</w:t>
            </w:r>
          </w:p>
        </w:tc>
        <w:tc>
          <w:tcPr>
            <w:tcW w:w="0" w:type="auto"/>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rPr>
                <w:b w:val="0"/>
                <w:bCs w:val="0"/>
                <w:i w:val="0"/>
                <w:iCs w:val="0"/>
                <w:smallCaps w:val="0"/>
                <w:color w:val="000000"/>
                <w:sz w:val="32"/>
                <w:szCs w:val="32"/>
              </w:rPr>
            </w:pPr>
            <w:r>
              <w:rPr>
                <w:rFonts w:ascii="仿宋_GB2312" w:hAnsi="仿宋_GB2312" w:eastAsia="仿宋_GB2312" w:cs="仿宋_GB2312"/>
                <w:b w:val="0"/>
                <w:bCs w:val="0"/>
                <w:i w:val="0"/>
                <w:iCs w:val="0"/>
                <w:smallCaps w:val="0"/>
                <w:color w:val="000000"/>
                <w:sz w:val="18"/>
                <w:szCs w:val="18"/>
              </w:rPr>
              <w:t>根据需求设计数据库结构，包括数据表的设计、字段类型和约束的确定、数据关系的建立等。</w:t>
            </w:r>
          </w:p>
        </w:tc>
        <w:tc>
          <w:tcPr>
            <w:tcW w:w="0" w:type="auto"/>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jc w:val="center"/>
              <w:rPr>
                <w:b w:val="0"/>
                <w:bCs w:val="0"/>
                <w:i w:val="0"/>
                <w:iCs w:val="0"/>
                <w:smallCaps w:val="0"/>
                <w:color w:val="000000"/>
                <w:sz w:val="32"/>
                <w:szCs w:val="32"/>
              </w:rPr>
            </w:pPr>
            <w:r>
              <w:rPr>
                <w:rFonts w:ascii="仿宋_GB2312" w:hAnsi="仿宋_GB2312" w:eastAsia="仿宋_GB2312" w:cs="仿宋_GB2312"/>
                <w:b w:val="0"/>
                <w:bCs w:val="0"/>
                <w:i w:val="0"/>
                <w:iCs w:val="0"/>
                <w:smallCaps w:val="0"/>
                <w:color w:val="000000"/>
                <w:sz w:val="18"/>
                <w:szCs w:val="18"/>
              </w:rPr>
              <w:t>提供承诺书</w:t>
            </w:r>
          </w:p>
        </w:tc>
      </w:tr>
      <w:tr>
        <w:tblPrEx>
          <w:tblCellMar>
            <w:top w:w="15" w:type="dxa"/>
            <w:left w:w="15" w:type="dxa"/>
            <w:bottom w:w="15" w:type="dxa"/>
            <w:right w:w="15" w:type="dxa"/>
          </w:tblCellMar>
        </w:tblPrEx>
        <w:trPr>
          <w:trHeight w:val="750" w:hRule="atLeast"/>
          <w:tblCellSpacing w:w="0" w:type="dxa"/>
        </w:trPr>
        <w:tc>
          <w:tcPr>
            <w:tcW w:w="0" w:type="auto"/>
            <w:tcBorders>
              <w:left w:val="single" w:color="000000" w:sz="8" w:space="0"/>
              <w:bottom w:val="single" w:color="000000" w:sz="8" w:space="0"/>
              <w:right w:val="single" w:color="000000" w:sz="8" w:space="0"/>
            </w:tcBorders>
            <w:noWrap w:val="0"/>
            <w:tcMar>
              <w:top w:w="0" w:type="dxa"/>
              <w:left w:w="118" w:type="dxa"/>
              <w:bottom w:w="0" w:type="dxa"/>
              <w:right w:w="118" w:type="dxa"/>
            </w:tcMar>
            <w:vAlign w:val="center"/>
          </w:tcPr>
          <w:p>
            <w:pPr>
              <w:pStyle w:val="93"/>
              <w:spacing w:before="0" w:after="0"/>
              <w:ind w:left="425" w:right="0" w:hanging="425"/>
              <w:jc w:val="center"/>
              <w:rPr>
                <w:b w:val="0"/>
                <w:bCs w:val="0"/>
                <w:i w:val="0"/>
                <w:iCs w:val="0"/>
                <w:smallCaps w:val="0"/>
                <w:color w:val="000000"/>
                <w:sz w:val="32"/>
                <w:szCs w:val="32"/>
              </w:rPr>
            </w:pPr>
            <w:r>
              <w:rPr>
                <w:rFonts w:ascii="仿宋_GB2312" w:hAnsi="仿宋_GB2312" w:eastAsia="仿宋_GB2312" w:cs="仿宋_GB2312"/>
                <w:b w:val="0"/>
                <w:bCs w:val="0"/>
                <w:i w:val="0"/>
                <w:iCs w:val="0"/>
                <w:smallCaps w:val="0"/>
                <w:color w:val="000000"/>
                <w:sz w:val="18"/>
                <w:szCs w:val="18"/>
              </w:rPr>
              <w:t>3 </w:t>
            </w:r>
          </w:p>
        </w:tc>
        <w:tc>
          <w:tcPr>
            <w:vMerge w:val="continue"/>
            <w:tcBorders>
              <w:right w:val="single" w:color="000000" w:sz="8" w:space="0"/>
            </w:tcBorders>
            <w:vAlign w:val="center"/>
          </w:tcPr>
          <w:p>
            <w:pPr>
              <w:pStyle w:val="18"/>
              <w:rPr>
                <w:rFonts w:ascii="仿宋_GB2312" w:hAnsi="仿宋_GB2312" w:eastAsia="仿宋_GB2312" w:cs="仿宋_GB2312"/>
                <w:b w:val="0"/>
                <w:bCs w:val="0"/>
                <w:i w:val="0"/>
                <w:iCs w:val="0"/>
                <w:smallCaps w:val="0"/>
                <w:color w:val="000000"/>
                <w:sz w:val="18"/>
                <w:szCs w:val="18"/>
              </w:rPr>
            </w:pPr>
          </w:p>
        </w:tc>
        <w:tc>
          <w:tcPr>
            <w:vMerge w:val="continue"/>
            <w:tcBorders>
              <w:right w:val="single" w:color="000000" w:sz="8" w:space="0"/>
            </w:tcBorders>
            <w:vAlign w:val="center"/>
          </w:tcPr>
          <w:p>
            <w:pPr>
              <w:pStyle w:val="18"/>
              <w:rPr>
                <w:rFonts w:ascii="仿宋_GB2312" w:hAnsi="仿宋_GB2312" w:eastAsia="仿宋_GB2312" w:cs="仿宋_GB2312"/>
                <w:b w:val="0"/>
                <w:bCs w:val="0"/>
                <w:i w:val="0"/>
                <w:iCs w:val="0"/>
                <w:smallCaps w:val="0"/>
                <w:color w:val="000000"/>
                <w:sz w:val="18"/>
                <w:szCs w:val="18"/>
              </w:rPr>
            </w:pPr>
          </w:p>
        </w:tc>
        <w:tc>
          <w:tcPr>
            <w:tcW w:w="0" w:type="auto"/>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jc w:val="center"/>
              <w:rPr>
                <w:b w:val="0"/>
                <w:bCs w:val="0"/>
                <w:i w:val="0"/>
                <w:iCs w:val="0"/>
                <w:smallCaps w:val="0"/>
                <w:color w:val="000000"/>
                <w:sz w:val="32"/>
                <w:szCs w:val="32"/>
              </w:rPr>
            </w:pPr>
            <w:r>
              <w:rPr>
                <w:rFonts w:ascii="仿宋_GB2312" w:hAnsi="仿宋_GB2312" w:eastAsia="仿宋_GB2312" w:cs="仿宋_GB2312"/>
                <w:b w:val="0"/>
                <w:bCs w:val="0"/>
                <w:i w:val="0"/>
                <w:iCs w:val="0"/>
                <w:smallCaps w:val="0"/>
                <w:color w:val="000000"/>
                <w:sz w:val="18"/>
                <w:szCs w:val="18"/>
              </w:rPr>
              <w:t>#界面设计</w:t>
            </w:r>
          </w:p>
        </w:tc>
        <w:tc>
          <w:tcPr>
            <w:tcW w:w="0" w:type="auto"/>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rPr>
                <w:b w:val="0"/>
                <w:bCs w:val="0"/>
                <w:i w:val="0"/>
                <w:iCs w:val="0"/>
                <w:smallCaps w:val="0"/>
                <w:color w:val="000000"/>
                <w:sz w:val="32"/>
                <w:szCs w:val="32"/>
              </w:rPr>
            </w:pPr>
            <w:r>
              <w:rPr>
                <w:rFonts w:ascii="仿宋_GB2312" w:hAnsi="仿宋_GB2312" w:eastAsia="仿宋_GB2312" w:cs="仿宋_GB2312"/>
                <w:b w:val="0"/>
                <w:bCs w:val="0"/>
                <w:i w:val="0"/>
                <w:iCs w:val="0"/>
                <w:smallCaps w:val="0"/>
                <w:color w:val="000000"/>
                <w:sz w:val="18"/>
                <w:szCs w:val="18"/>
              </w:rPr>
              <w:t>设计软件的用户界面，包括界面布局、色彩搭配、交互方式等。</w:t>
            </w:r>
          </w:p>
        </w:tc>
        <w:tc>
          <w:tcPr>
            <w:tcW w:w="0" w:type="auto"/>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jc w:val="center"/>
              <w:rPr>
                <w:b w:val="0"/>
                <w:bCs w:val="0"/>
                <w:i w:val="0"/>
                <w:iCs w:val="0"/>
                <w:smallCaps w:val="0"/>
                <w:color w:val="000000"/>
                <w:sz w:val="32"/>
                <w:szCs w:val="32"/>
              </w:rPr>
            </w:pPr>
            <w:r>
              <w:rPr>
                <w:rFonts w:ascii="仿宋_GB2312" w:hAnsi="仿宋_GB2312" w:eastAsia="仿宋_GB2312" w:cs="仿宋_GB2312"/>
                <w:b w:val="0"/>
                <w:bCs w:val="0"/>
                <w:i w:val="0"/>
                <w:iCs w:val="0"/>
                <w:smallCaps w:val="0"/>
                <w:color w:val="000000"/>
                <w:sz w:val="18"/>
                <w:szCs w:val="18"/>
              </w:rPr>
              <w:t>提供承诺书</w:t>
            </w:r>
          </w:p>
        </w:tc>
      </w:tr>
      <w:tr>
        <w:tblPrEx>
          <w:tblCellMar>
            <w:top w:w="15" w:type="dxa"/>
            <w:left w:w="15" w:type="dxa"/>
            <w:bottom w:w="15" w:type="dxa"/>
            <w:right w:w="15" w:type="dxa"/>
          </w:tblCellMar>
        </w:tblPrEx>
        <w:trPr>
          <w:trHeight w:val="750" w:hRule="atLeast"/>
          <w:tblCellSpacing w:w="0" w:type="dxa"/>
        </w:trPr>
        <w:tc>
          <w:tcPr>
            <w:tcW w:w="0" w:type="auto"/>
            <w:tcBorders>
              <w:left w:val="single" w:color="000000" w:sz="8" w:space="0"/>
              <w:bottom w:val="single" w:color="000000" w:sz="8" w:space="0"/>
              <w:right w:val="single" w:color="000000" w:sz="8" w:space="0"/>
            </w:tcBorders>
            <w:noWrap w:val="0"/>
            <w:tcMar>
              <w:top w:w="0" w:type="dxa"/>
              <w:left w:w="118" w:type="dxa"/>
              <w:bottom w:w="0" w:type="dxa"/>
              <w:right w:w="118" w:type="dxa"/>
            </w:tcMar>
            <w:vAlign w:val="center"/>
          </w:tcPr>
          <w:p>
            <w:pPr>
              <w:pStyle w:val="93"/>
              <w:spacing w:before="0" w:after="0"/>
              <w:ind w:left="425" w:right="0" w:hanging="425"/>
              <w:jc w:val="center"/>
              <w:rPr>
                <w:b w:val="0"/>
                <w:bCs w:val="0"/>
                <w:i w:val="0"/>
                <w:iCs w:val="0"/>
                <w:smallCaps w:val="0"/>
                <w:color w:val="000000"/>
                <w:sz w:val="32"/>
                <w:szCs w:val="32"/>
              </w:rPr>
            </w:pPr>
            <w:r>
              <w:rPr>
                <w:rFonts w:ascii="仿宋_GB2312" w:hAnsi="仿宋_GB2312" w:eastAsia="仿宋_GB2312" w:cs="仿宋_GB2312"/>
                <w:b w:val="0"/>
                <w:bCs w:val="0"/>
                <w:i w:val="0"/>
                <w:iCs w:val="0"/>
                <w:smallCaps w:val="0"/>
                <w:color w:val="000000"/>
                <w:sz w:val="18"/>
                <w:szCs w:val="18"/>
              </w:rPr>
              <w:t>4 </w:t>
            </w:r>
          </w:p>
        </w:tc>
        <w:tc>
          <w:tcPr>
            <w:vMerge w:val="continue"/>
            <w:tcBorders>
              <w:right w:val="single" w:color="000000" w:sz="8" w:space="0"/>
            </w:tcBorders>
            <w:vAlign w:val="center"/>
          </w:tcPr>
          <w:p>
            <w:pPr>
              <w:pStyle w:val="18"/>
              <w:rPr>
                <w:rFonts w:ascii="仿宋_GB2312" w:hAnsi="仿宋_GB2312" w:eastAsia="仿宋_GB2312" w:cs="仿宋_GB2312"/>
                <w:b w:val="0"/>
                <w:bCs w:val="0"/>
                <w:i w:val="0"/>
                <w:iCs w:val="0"/>
                <w:smallCaps w:val="0"/>
                <w:color w:val="000000"/>
                <w:sz w:val="18"/>
                <w:szCs w:val="18"/>
              </w:rPr>
            </w:pPr>
          </w:p>
        </w:tc>
        <w:tc>
          <w:tcPr>
            <w:vMerge w:val="continue"/>
            <w:tcBorders>
              <w:right w:val="single" w:color="000000" w:sz="8" w:space="0"/>
            </w:tcBorders>
            <w:vAlign w:val="center"/>
          </w:tcPr>
          <w:p>
            <w:pPr>
              <w:pStyle w:val="18"/>
              <w:rPr>
                <w:rFonts w:ascii="仿宋_GB2312" w:hAnsi="仿宋_GB2312" w:eastAsia="仿宋_GB2312" w:cs="仿宋_GB2312"/>
                <w:b w:val="0"/>
                <w:bCs w:val="0"/>
                <w:i w:val="0"/>
                <w:iCs w:val="0"/>
                <w:smallCaps w:val="0"/>
                <w:color w:val="000000"/>
                <w:sz w:val="18"/>
                <w:szCs w:val="18"/>
              </w:rPr>
            </w:pPr>
          </w:p>
        </w:tc>
        <w:tc>
          <w:tcPr>
            <w:tcW w:w="0" w:type="auto"/>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jc w:val="center"/>
              <w:rPr>
                <w:b w:val="0"/>
                <w:bCs w:val="0"/>
                <w:i w:val="0"/>
                <w:iCs w:val="0"/>
                <w:smallCaps w:val="0"/>
                <w:color w:val="000000"/>
                <w:sz w:val="32"/>
                <w:szCs w:val="32"/>
              </w:rPr>
            </w:pPr>
            <w:r>
              <w:rPr>
                <w:rFonts w:ascii="仿宋_GB2312" w:hAnsi="仿宋_GB2312" w:eastAsia="仿宋_GB2312" w:cs="仿宋_GB2312"/>
                <w:b w:val="0"/>
                <w:bCs w:val="0"/>
                <w:i w:val="0"/>
                <w:iCs w:val="0"/>
                <w:smallCaps w:val="0"/>
                <w:color w:val="000000"/>
                <w:sz w:val="18"/>
                <w:szCs w:val="18"/>
              </w:rPr>
              <w:t>#软件开发</w:t>
            </w:r>
          </w:p>
        </w:tc>
        <w:tc>
          <w:tcPr>
            <w:tcW w:w="0" w:type="auto"/>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rPr>
                <w:b w:val="0"/>
                <w:bCs w:val="0"/>
                <w:i w:val="0"/>
                <w:iCs w:val="0"/>
                <w:smallCaps w:val="0"/>
                <w:color w:val="000000"/>
                <w:sz w:val="32"/>
                <w:szCs w:val="32"/>
              </w:rPr>
            </w:pPr>
            <w:r>
              <w:rPr>
                <w:rFonts w:ascii="仿宋_GB2312" w:hAnsi="仿宋_GB2312" w:eastAsia="仿宋_GB2312" w:cs="仿宋_GB2312"/>
                <w:b w:val="0"/>
                <w:bCs w:val="0"/>
                <w:i w:val="0"/>
                <w:iCs w:val="0"/>
                <w:smallCaps w:val="0"/>
                <w:color w:val="000000"/>
                <w:sz w:val="18"/>
                <w:szCs w:val="18"/>
              </w:rPr>
              <w:t>选择适合的开发工具与技术，按照设计方案进行代码编写，实现软件的各个功能模块。</w:t>
            </w:r>
          </w:p>
        </w:tc>
        <w:tc>
          <w:tcPr>
            <w:tcW w:w="0" w:type="auto"/>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jc w:val="center"/>
              <w:rPr>
                <w:b w:val="0"/>
                <w:bCs w:val="0"/>
                <w:i w:val="0"/>
                <w:iCs w:val="0"/>
                <w:smallCaps w:val="0"/>
                <w:color w:val="000000"/>
                <w:sz w:val="32"/>
                <w:szCs w:val="32"/>
              </w:rPr>
            </w:pPr>
            <w:r>
              <w:rPr>
                <w:rFonts w:ascii="仿宋_GB2312" w:hAnsi="仿宋_GB2312" w:eastAsia="仿宋_GB2312" w:cs="仿宋_GB2312"/>
                <w:b w:val="0"/>
                <w:bCs w:val="0"/>
                <w:i w:val="0"/>
                <w:iCs w:val="0"/>
                <w:smallCaps w:val="0"/>
                <w:color w:val="000000"/>
                <w:sz w:val="18"/>
                <w:szCs w:val="18"/>
              </w:rPr>
              <w:t>提供承诺书</w:t>
            </w:r>
          </w:p>
        </w:tc>
      </w:tr>
      <w:tr>
        <w:tblPrEx>
          <w:tblCellMar>
            <w:top w:w="15" w:type="dxa"/>
            <w:left w:w="15" w:type="dxa"/>
            <w:bottom w:w="15" w:type="dxa"/>
            <w:right w:w="15" w:type="dxa"/>
          </w:tblCellMar>
        </w:tblPrEx>
        <w:trPr>
          <w:trHeight w:val="750" w:hRule="atLeast"/>
          <w:tblCellSpacing w:w="0" w:type="dxa"/>
        </w:trPr>
        <w:tc>
          <w:tcPr>
            <w:tcW w:w="0" w:type="auto"/>
            <w:tcBorders>
              <w:left w:val="single" w:color="000000" w:sz="8" w:space="0"/>
              <w:bottom w:val="single" w:color="000000" w:sz="8" w:space="0"/>
              <w:right w:val="single" w:color="000000" w:sz="8" w:space="0"/>
            </w:tcBorders>
            <w:noWrap w:val="0"/>
            <w:tcMar>
              <w:top w:w="0" w:type="dxa"/>
              <w:left w:w="118" w:type="dxa"/>
              <w:bottom w:w="0" w:type="dxa"/>
              <w:right w:w="118" w:type="dxa"/>
            </w:tcMar>
            <w:vAlign w:val="center"/>
          </w:tcPr>
          <w:p>
            <w:pPr>
              <w:pStyle w:val="93"/>
              <w:spacing w:before="0" w:after="0"/>
              <w:ind w:left="425" w:right="0" w:hanging="425"/>
              <w:jc w:val="center"/>
              <w:rPr>
                <w:b w:val="0"/>
                <w:bCs w:val="0"/>
                <w:i w:val="0"/>
                <w:iCs w:val="0"/>
                <w:smallCaps w:val="0"/>
                <w:color w:val="000000"/>
                <w:sz w:val="32"/>
                <w:szCs w:val="32"/>
              </w:rPr>
            </w:pPr>
            <w:r>
              <w:rPr>
                <w:rFonts w:ascii="仿宋_GB2312" w:hAnsi="仿宋_GB2312" w:eastAsia="仿宋_GB2312" w:cs="仿宋_GB2312"/>
                <w:b w:val="0"/>
                <w:bCs w:val="0"/>
                <w:i w:val="0"/>
                <w:iCs w:val="0"/>
                <w:smallCaps w:val="0"/>
                <w:color w:val="000000"/>
                <w:sz w:val="18"/>
                <w:szCs w:val="18"/>
              </w:rPr>
              <w:t>5 </w:t>
            </w:r>
          </w:p>
        </w:tc>
        <w:tc>
          <w:tcPr>
            <w:vMerge w:val="continue"/>
            <w:tcBorders>
              <w:right w:val="single" w:color="000000" w:sz="8" w:space="0"/>
            </w:tcBorders>
            <w:vAlign w:val="center"/>
          </w:tcPr>
          <w:p>
            <w:pPr>
              <w:pStyle w:val="18"/>
              <w:rPr>
                <w:rFonts w:ascii="仿宋_GB2312" w:hAnsi="仿宋_GB2312" w:eastAsia="仿宋_GB2312" w:cs="仿宋_GB2312"/>
                <w:b w:val="0"/>
                <w:bCs w:val="0"/>
                <w:i w:val="0"/>
                <w:iCs w:val="0"/>
                <w:smallCaps w:val="0"/>
                <w:color w:val="000000"/>
                <w:sz w:val="18"/>
                <w:szCs w:val="18"/>
              </w:rPr>
            </w:pPr>
          </w:p>
        </w:tc>
        <w:tc>
          <w:tcPr>
            <w:vMerge w:val="continue"/>
            <w:tcBorders>
              <w:right w:val="single" w:color="000000" w:sz="8" w:space="0"/>
            </w:tcBorders>
            <w:vAlign w:val="center"/>
          </w:tcPr>
          <w:p>
            <w:pPr>
              <w:pStyle w:val="18"/>
              <w:rPr>
                <w:rFonts w:ascii="仿宋_GB2312" w:hAnsi="仿宋_GB2312" w:eastAsia="仿宋_GB2312" w:cs="仿宋_GB2312"/>
                <w:b w:val="0"/>
                <w:bCs w:val="0"/>
                <w:i w:val="0"/>
                <w:iCs w:val="0"/>
                <w:smallCaps w:val="0"/>
                <w:color w:val="000000"/>
                <w:sz w:val="18"/>
                <w:szCs w:val="18"/>
              </w:rPr>
            </w:pPr>
          </w:p>
        </w:tc>
        <w:tc>
          <w:tcPr>
            <w:tcW w:w="0" w:type="auto"/>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jc w:val="center"/>
              <w:rPr>
                <w:b w:val="0"/>
                <w:bCs w:val="0"/>
                <w:i w:val="0"/>
                <w:iCs w:val="0"/>
                <w:smallCaps w:val="0"/>
                <w:color w:val="000000"/>
                <w:sz w:val="32"/>
                <w:szCs w:val="32"/>
              </w:rPr>
            </w:pPr>
            <w:r>
              <w:rPr>
                <w:rFonts w:ascii="仿宋_GB2312" w:hAnsi="仿宋_GB2312" w:eastAsia="仿宋_GB2312" w:cs="仿宋_GB2312"/>
                <w:b w:val="0"/>
                <w:bCs w:val="0"/>
                <w:i w:val="0"/>
                <w:iCs w:val="0"/>
                <w:smallCaps w:val="0"/>
                <w:color w:val="000000"/>
                <w:sz w:val="18"/>
                <w:szCs w:val="18"/>
              </w:rPr>
              <w:t>#软件测试</w:t>
            </w:r>
          </w:p>
        </w:tc>
        <w:tc>
          <w:tcPr>
            <w:tcW w:w="0" w:type="auto"/>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rPr>
                <w:b w:val="0"/>
                <w:bCs w:val="0"/>
                <w:i w:val="0"/>
                <w:iCs w:val="0"/>
                <w:smallCaps w:val="0"/>
                <w:color w:val="000000"/>
                <w:sz w:val="32"/>
                <w:szCs w:val="32"/>
              </w:rPr>
            </w:pPr>
            <w:r>
              <w:rPr>
                <w:rFonts w:ascii="仿宋_GB2312" w:hAnsi="仿宋_GB2312" w:eastAsia="仿宋_GB2312" w:cs="仿宋_GB2312"/>
                <w:b w:val="0"/>
                <w:bCs w:val="0"/>
                <w:i w:val="0"/>
                <w:iCs w:val="0"/>
                <w:smallCaps w:val="0"/>
                <w:color w:val="000000"/>
                <w:sz w:val="18"/>
                <w:szCs w:val="18"/>
              </w:rPr>
              <w:t>完成单元测试、联调测试、</w:t>
            </w:r>
            <w:bookmarkStart w:id="49" w:name="_GoBack"/>
            <w:bookmarkEnd w:id="49"/>
            <w:r>
              <w:rPr>
                <w:rFonts w:ascii="仿宋_GB2312" w:hAnsi="仿宋_GB2312" w:eastAsia="仿宋_GB2312" w:cs="仿宋_GB2312"/>
                <w:b w:val="0"/>
                <w:bCs w:val="0"/>
                <w:i w:val="0"/>
                <w:iCs w:val="0"/>
                <w:smallCaps w:val="0"/>
                <w:color w:val="000000"/>
                <w:sz w:val="18"/>
                <w:szCs w:val="18"/>
              </w:rPr>
              <w:t>压力测试工作。</w:t>
            </w:r>
          </w:p>
        </w:tc>
        <w:tc>
          <w:tcPr>
            <w:tcW w:w="0" w:type="auto"/>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jc w:val="center"/>
              <w:rPr>
                <w:b w:val="0"/>
                <w:bCs w:val="0"/>
                <w:i w:val="0"/>
                <w:iCs w:val="0"/>
                <w:smallCaps w:val="0"/>
                <w:color w:val="000000"/>
                <w:sz w:val="32"/>
                <w:szCs w:val="32"/>
              </w:rPr>
            </w:pPr>
            <w:r>
              <w:rPr>
                <w:rFonts w:ascii="仿宋_GB2312" w:hAnsi="仿宋_GB2312" w:eastAsia="仿宋_GB2312" w:cs="仿宋_GB2312"/>
                <w:b w:val="0"/>
                <w:bCs w:val="0"/>
                <w:i w:val="0"/>
                <w:iCs w:val="0"/>
                <w:smallCaps w:val="0"/>
                <w:color w:val="000000"/>
                <w:sz w:val="18"/>
                <w:szCs w:val="18"/>
              </w:rPr>
              <w:t>提供承诺书</w:t>
            </w:r>
          </w:p>
        </w:tc>
      </w:tr>
      <w:tr>
        <w:tblPrEx>
          <w:tblCellMar>
            <w:top w:w="15" w:type="dxa"/>
            <w:left w:w="15" w:type="dxa"/>
            <w:bottom w:w="15" w:type="dxa"/>
            <w:right w:w="15" w:type="dxa"/>
          </w:tblCellMar>
        </w:tblPrEx>
        <w:trPr>
          <w:trHeight w:val="750" w:hRule="atLeast"/>
          <w:tblCellSpacing w:w="0" w:type="dxa"/>
        </w:trPr>
        <w:tc>
          <w:tcPr>
            <w:tcW w:w="0" w:type="auto"/>
            <w:tcBorders>
              <w:left w:val="single" w:color="000000" w:sz="8" w:space="0"/>
              <w:bottom w:val="single" w:color="000000" w:sz="8" w:space="0"/>
              <w:right w:val="single" w:color="000000" w:sz="8" w:space="0"/>
            </w:tcBorders>
            <w:noWrap w:val="0"/>
            <w:tcMar>
              <w:top w:w="0" w:type="dxa"/>
              <w:left w:w="118" w:type="dxa"/>
              <w:bottom w:w="0" w:type="dxa"/>
              <w:right w:w="118" w:type="dxa"/>
            </w:tcMar>
            <w:vAlign w:val="center"/>
          </w:tcPr>
          <w:p>
            <w:pPr>
              <w:pStyle w:val="93"/>
              <w:spacing w:before="0" w:after="0"/>
              <w:ind w:left="425" w:right="0" w:hanging="425"/>
              <w:jc w:val="center"/>
              <w:rPr>
                <w:b w:val="0"/>
                <w:bCs w:val="0"/>
                <w:i w:val="0"/>
                <w:iCs w:val="0"/>
                <w:smallCaps w:val="0"/>
                <w:color w:val="000000"/>
                <w:sz w:val="32"/>
                <w:szCs w:val="32"/>
              </w:rPr>
            </w:pPr>
            <w:r>
              <w:rPr>
                <w:rFonts w:ascii="仿宋_GB2312" w:hAnsi="仿宋_GB2312" w:eastAsia="仿宋_GB2312" w:cs="仿宋_GB2312"/>
                <w:b w:val="0"/>
                <w:bCs w:val="0"/>
                <w:i w:val="0"/>
                <w:iCs w:val="0"/>
                <w:smallCaps w:val="0"/>
                <w:color w:val="000000"/>
                <w:sz w:val="18"/>
                <w:szCs w:val="18"/>
              </w:rPr>
              <w:t>6 </w:t>
            </w:r>
          </w:p>
        </w:tc>
        <w:tc>
          <w:tcPr>
            <w:vMerge w:val="continue"/>
            <w:tcBorders>
              <w:right w:val="single" w:color="000000" w:sz="8" w:space="0"/>
            </w:tcBorders>
            <w:vAlign w:val="center"/>
          </w:tcPr>
          <w:p>
            <w:pPr>
              <w:pStyle w:val="18"/>
              <w:rPr>
                <w:rFonts w:ascii="仿宋_GB2312" w:hAnsi="仿宋_GB2312" w:eastAsia="仿宋_GB2312" w:cs="仿宋_GB2312"/>
                <w:b w:val="0"/>
                <w:bCs w:val="0"/>
                <w:i w:val="0"/>
                <w:iCs w:val="0"/>
                <w:smallCaps w:val="0"/>
                <w:color w:val="000000"/>
                <w:sz w:val="18"/>
                <w:szCs w:val="18"/>
              </w:rPr>
            </w:pPr>
          </w:p>
        </w:tc>
        <w:tc>
          <w:tcPr>
            <w:vMerge w:val="continue"/>
            <w:tcBorders>
              <w:right w:val="single" w:color="000000" w:sz="8" w:space="0"/>
            </w:tcBorders>
            <w:vAlign w:val="center"/>
          </w:tcPr>
          <w:p>
            <w:pPr>
              <w:pStyle w:val="18"/>
              <w:rPr>
                <w:rFonts w:ascii="仿宋_GB2312" w:hAnsi="仿宋_GB2312" w:eastAsia="仿宋_GB2312" w:cs="仿宋_GB2312"/>
                <w:b w:val="0"/>
                <w:bCs w:val="0"/>
                <w:i w:val="0"/>
                <w:iCs w:val="0"/>
                <w:smallCaps w:val="0"/>
                <w:color w:val="000000"/>
                <w:sz w:val="18"/>
                <w:szCs w:val="18"/>
              </w:rPr>
            </w:pPr>
          </w:p>
        </w:tc>
        <w:tc>
          <w:tcPr>
            <w:tcW w:w="0" w:type="auto"/>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jc w:val="center"/>
              <w:rPr>
                <w:b w:val="0"/>
                <w:bCs w:val="0"/>
                <w:i w:val="0"/>
                <w:iCs w:val="0"/>
                <w:smallCaps w:val="0"/>
                <w:color w:val="000000"/>
                <w:sz w:val="32"/>
                <w:szCs w:val="32"/>
              </w:rPr>
            </w:pPr>
            <w:r>
              <w:rPr>
                <w:rFonts w:ascii="仿宋_GB2312" w:hAnsi="仿宋_GB2312" w:eastAsia="仿宋_GB2312" w:cs="仿宋_GB2312"/>
                <w:b w:val="0"/>
                <w:bCs w:val="0"/>
                <w:i w:val="0"/>
                <w:iCs w:val="0"/>
                <w:smallCaps w:val="0"/>
                <w:color w:val="000000"/>
                <w:sz w:val="18"/>
                <w:szCs w:val="18"/>
              </w:rPr>
              <w:t>#软件测试</w:t>
            </w:r>
          </w:p>
        </w:tc>
        <w:tc>
          <w:tcPr>
            <w:tcW w:w="0" w:type="auto"/>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rPr>
                <w:b w:val="0"/>
                <w:bCs w:val="0"/>
                <w:i w:val="0"/>
                <w:iCs w:val="0"/>
                <w:smallCaps w:val="0"/>
                <w:color w:val="000000"/>
                <w:sz w:val="32"/>
                <w:szCs w:val="32"/>
              </w:rPr>
            </w:pPr>
            <w:r>
              <w:rPr>
                <w:rFonts w:ascii="仿宋_GB2312" w:hAnsi="仿宋_GB2312" w:eastAsia="仿宋_GB2312" w:cs="仿宋_GB2312"/>
                <w:b w:val="0"/>
                <w:bCs w:val="0"/>
                <w:i w:val="0"/>
                <w:iCs w:val="0"/>
                <w:smallCaps w:val="0"/>
                <w:color w:val="000000"/>
                <w:sz w:val="18"/>
                <w:szCs w:val="18"/>
              </w:rPr>
              <w:t>配合完成安全测试工作，包括配合开展安全漏洞扫描，完成安全漏洞修复等。</w:t>
            </w:r>
          </w:p>
        </w:tc>
        <w:tc>
          <w:tcPr>
            <w:tcW w:w="0" w:type="auto"/>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jc w:val="center"/>
              <w:rPr>
                <w:b w:val="0"/>
                <w:bCs w:val="0"/>
                <w:i w:val="0"/>
                <w:iCs w:val="0"/>
                <w:smallCaps w:val="0"/>
                <w:color w:val="000000"/>
                <w:sz w:val="32"/>
                <w:szCs w:val="32"/>
              </w:rPr>
            </w:pPr>
            <w:r>
              <w:rPr>
                <w:rFonts w:ascii="仿宋_GB2312" w:hAnsi="仿宋_GB2312" w:eastAsia="仿宋_GB2312" w:cs="仿宋_GB2312"/>
                <w:b w:val="0"/>
                <w:bCs w:val="0"/>
                <w:i w:val="0"/>
                <w:iCs w:val="0"/>
                <w:smallCaps w:val="0"/>
                <w:color w:val="000000"/>
                <w:sz w:val="18"/>
                <w:szCs w:val="18"/>
              </w:rPr>
              <w:t>提供承诺书</w:t>
            </w:r>
          </w:p>
        </w:tc>
      </w:tr>
      <w:tr>
        <w:tblPrEx>
          <w:tblCellMar>
            <w:top w:w="15" w:type="dxa"/>
            <w:left w:w="15" w:type="dxa"/>
            <w:bottom w:w="15" w:type="dxa"/>
            <w:right w:w="15" w:type="dxa"/>
          </w:tblCellMar>
        </w:tblPrEx>
        <w:trPr>
          <w:trHeight w:val="769" w:hRule="atLeast"/>
          <w:tblCellSpacing w:w="0" w:type="dxa"/>
        </w:trPr>
        <w:tc>
          <w:tcPr>
            <w:tcW w:w="0" w:type="auto"/>
            <w:tcBorders>
              <w:left w:val="single" w:color="000000" w:sz="8" w:space="0"/>
              <w:bottom w:val="single" w:color="000000" w:sz="8" w:space="0"/>
              <w:right w:val="single" w:color="000000" w:sz="8" w:space="0"/>
            </w:tcBorders>
            <w:noWrap w:val="0"/>
            <w:tcMar>
              <w:top w:w="0" w:type="dxa"/>
              <w:left w:w="118" w:type="dxa"/>
              <w:bottom w:w="0" w:type="dxa"/>
              <w:right w:w="118" w:type="dxa"/>
            </w:tcMar>
            <w:vAlign w:val="center"/>
          </w:tcPr>
          <w:p>
            <w:pPr>
              <w:pStyle w:val="93"/>
              <w:spacing w:before="0" w:after="0"/>
              <w:ind w:left="425" w:right="0" w:hanging="425"/>
              <w:jc w:val="center"/>
              <w:rPr>
                <w:b w:val="0"/>
                <w:bCs w:val="0"/>
                <w:i w:val="0"/>
                <w:iCs w:val="0"/>
                <w:smallCaps w:val="0"/>
                <w:color w:val="000000"/>
                <w:sz w:val="32"/>
                <w:szCs w:val="32"/>
              </w:rPr>
            </w:pPr>
            <w:r>
              <w:rPr>
                <w:rFonts w:ascii="仿宋_GB2312" w:hAnsi="仿宋_GB2312" w:eastAsia="仿宋_GB2312" w:cs="仿宋_GB2312"/>
                <w:b w:val="0"/>
                <w:bCs w:val="0"/>
                <w:i w:val="0"/>
                <w:iCs w:val="0"/>
                <w:smallCaps w:val="0"/>
                <w:color w:val="000000"/>
                <w:sz w:val="18"/>
                <w:szCs w:val="18"/>
              </w:rPr>
              <w:t>7 </w:t>
            </w:r>
          </w:p>
        </w:tc>
        <w:tc>
          <w:tcPr>
            <w:vMerge w:val="continue"/>
            <w:tcBorders>
              <w:right w:val="single" w:color="000000" w:sz="8" w:space="0"/>
            </w:tcBorders>
            <w:vAlign w:val="center"/>
          </w:tcPr>
          <w:p>
            <w:pPr>
              <w:pStyle w:val="18"/>
              <w:rPr>
                <w:rFonts w:ascii="仿宋_GB2312" w:hAnsi="仿宋_GB2312" w:eastAsia="仿宋_GB2312" w:cs="仿宋_GB2312"/>
                <w:b w:val="0"/>
                <w:bCs w:val="0"/>
                <w:i w:val="0"/>
                <w:iCs w:val="0"/>
                <w:smallCaps w:val="0"/>
                <w:color w:val="000000"/>
                <w:sz w:val="18"/>
                <w:szCs w:val="18"/>
              </w:rPr>
            </w:pPr>
          </w:p>
        </w:tc>
        <w:tc>
          <w:tcPr>
            <w:vMerge w:val="continue"/>
            <w:tcBorders>
              <w:right w:val="single" w:color="000000" w:sz="8" w:space="0"/>
            </w:tcBorders>
            <w:vAlign w:val="center"/>
          </w:tcPr>
          <w:p>
            <w:pPr>
              <w:pStyle w:val="18"/>
              <w:rPr>
                <w:rFonts w:ascii="仿宋_GB2312" w:hAnsi="仿宋_GB2312" w:eastAsia="仿宋_GB2312" w:cs="仿宋_GB2312"/>
                <w:b w:val="0"/>
                <w:bCs w:val="0"/>
                <w:i w:val="0"/>
                <w:iCs w:val="0"/>
                <w:smallCaps w:val="0"/>
                <w:color w:val="000000"/>
                <w:sz w:val="18"/>
                <w:szCs w:val="18"/>
              </w:rPr>
            </w:pPr>
          </w:p>
        </w:tc>
        <w:tc>
          <w:tcPr>
            <w:tcW w:w="0" w:type="auto"/>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jc w:val="center"/>
              <w:rPr>
                <w:b w:val="0"/>
                <w:bCs w:val="0"/>
                <w:i w:val="0"/>
                <w:iCs w:val="0"/>
                <w:smallCaps w:val="0"/>
                <w:color w:val="000000"/>
                <w:sz w:val="32"/>
                <w:szCs w:val="32"/>
              </w:rPr>
            </w:pPr>
            <w:r>
              <w:rPr>
                <w:rFonts w:ascii="仿宋_GB2312" w:hAnsi="仿宋_GB2312" w:eastAsia="仿宋_GB2312" w:cs="仿宋_GB2312"/>
                <w:b w:val="0"/>
                <w:bCs w:val="0"/>
                <w:i w:val="0"/>
                <w:iCs w:val="0"/>
                <w:smallCaps w:val="0"/>
                <w:color w:val="000000"/>
                <w:sz w:val="18"/>
                <w:szCs w:val="18"/>
              </w:rPr>
              <w:t>#部署上线</w:t>
            </w:r>
          </w:p>
        </w:tc>
        <w:tc>
          <w:tcPr>
            <w:tcW w:w="0" w:type="auto"/>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rPr>
                <w:b w:val="0"/>
                <w:bCs w:val="0"/>
                <w:i w:val="0"/>
                <w:iCs w:val="0"/>
                <w:smallCaps w:val="0"/>
                <w:color w:val="000000"/>
                <w:sz w:val="32"/>
                <w:szCs w:val="32"/>
              </w:rPr>
            </w:pPr>
            <w:r>
              <w:rPr>
                <w:rFonts w:ascii="仿宋_GB2312" w:hAnsi="仿宋_GB2312" w:eastAsia="仿宋_GB2312" w:cs="仿宋_GB2312"/>
                <w:b w:val="0"/>
                <w:bCs w:val="0"/>
                <w:i w:val="0"/>
                <w:iCs w:val="0"/>
                <w:smallCaps w:val="0"/>
                <w:color w:val="000000"/>
                <w:sz w:val="18"/>
                <w:szCs w:val="18"/>
              </w:rPr>
              <w:t>将项目打包成可部署形式，部署到目标环境中，并完成上线检查、冒烟测试等。</w:t>
            </w:r>
          </w:p>
        </w:tc>
        <w:tc>
          <w:tcPr>
            <w:tcW w:w="0" w:type="auto"/>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jc w:val="center"/>
              <w:rPr>
                <w:b w:val="0"/>
                <w:bCs w:val="0"/>
                <w:i w:val="0"/>
                <w:iCs w:val="0"/>
                <w:smallCaps w:val="0"/>
                <w:color w:val="000000"/>
                <w:sz w:val="32"/>
                <w:szCs w:val="32"/>
              </w:rPr>
            </w:pPr>
            <w:r>
              <w:rPr>
                <w:rFonts w:ascii="仿宋_GB2312" w:hAnsi="仿宋_GB2312" w:eastAsia="仿宋_GB2312" w:cs="仿宋_GB2312"/>
                <w:b w:val="0"/>
                <w:bCs w:val="0"/>
                <w:i w:val="0"/>
                <w:iCs w:val="0"/>
                <w:smallCaps w:val="0"/>
                <w:color w:val="000000"/>
                <w:sz w:val="18"/>
                <w:szCs w:val="18"/>
              </w:rPr>
              <w:t>提供承诺书</w:t>
            </w:r>
          </w:p>
        </w:tc>
      </w:tr>
      <w:tr>
        <w:tblPrEx>
          <w:tblCellMar>
            <w:top w:w="15" w:type="dxa"/>
            <w:left w:w="15" w:type="dxa"/>
            <w:bottom w:w="15" w:type="dxa"/>
            <w:right w:w="15" w:type="dxa"/>
          </w:tblCellMar>
        </w:tblPrEx>
        <w:trPr>
          <w:trHeight w:val="750" w:hRule="atLeast"/>
          <w:tblCellSpacing w:w="0" w:type="dxa"/>
        </w:trPr>
        <w:tc>
          <w:tcPr>
            <w:tcW w:w="0" w:type="auto"/>
            <w:tcBorders>
              <w:left w:val="single" w:color="000000" w:sz="8" w:space="0"/>
              <w:bottom w:val="single" w:color="000000" w:sz="8" w:space="0"/>
              <w:right w:val="single" w:color="000000" w:sz="8" w:space="0"/>
            </w:tcBorders>
            <w:noWrap w:val="0"/>
            <w:tcMar>
              <w:top w:w="0" w:type="dxa"/>
              <w:left w:w="118" w:type="dxa"/>
              <w:bottom w:w="0" w:type="dxa"/>
              <w:right w:w="118" w:type="dxa"/>
            </w:tcMar>
            <w:vAlign w:val="center"/>
          </w:tcPr>
          <w:p>
            <w:pPr>
              <w:pStyle w:val="93"/>
              <w:spacing w:before="0" w:after="0"/>
              <w:ind w:left="425" w:right="0" w:hanging="425"/>
              <w:jc w:val="center"/>
              <w:rPr>
                <w:b w:val="0"/>
                <w:bCs w:val="0"/>
                <w:i w:val="0"/>
                <w:iCs w:val="0"/>
                <w:smallCaps w:val="0"/>
                <w:color w:val="000000"/>
                <w:sz w:val="32"/>
                <w:szCs w:val="32"/>
              </w:rPr>
            </w:pPr>
            <w:r>
              <w:rPr>
                <w:rFonts w:ascii="仿宋_GB2312" w:hAnsi="仿宋_GB2312" w:eastAsia="仿宋_GB2312" w:cs="仿宋_GB2312"/>
                <w:b w:val="0"/>
                <w:bCs w:val="0"/>
                <w:i w:val="0"/>
                <w:iCs w:val="0"/>
                <w:smallCaps w:val="0"/>
                <w:color w:val="000000"/>
                <w:sz w:val="18"/>
                <w:szCs w:val="18"/>
              </w:rPr>
              <w:t>8 </w:t>
            </w:r>
          </w:p>
        </w:tc>
        <w:tc>
          <w:tcPr>
            <w:vMerge w:val="continue"/>
            <w:tcBorders>
              <w:right w:val="single" w:color="000000" w:sz="8" w:space="0"/>
            </w:tcBorders>
            <w:vAlign w:val="center"/>
          </w:tcPr>
          <w:p>
            <w:pPr>
              <w:pStyle w:val="18"/>
              <w:rPr>
                <w:rFonts w:ascii="仿宋_GB2312" w:hAnsi="仿宋_GB2312" w:eastAsia="仿宋_GB2312" w:cs="仿宋_GB2312"/>
                <w:b w:val="0"/>
                <w:bCs w:val="0"/>
                <w:i w:val="0"/>
                <w:iCs w:val="0"/>
                <w:smallCaps w:val="0"/>
                <w:color w:val="000000"/>
                <w:sz w:val="18"/>
                <w:szCs w:val="18"/>
              </w:rPr>
            </w:pPr>
          </w:p>
        </w:tc>
        <w:tc>
          <w:tcPr>
            <w:vMerge w:val="continue"/>
            <w:tcBorders>
              <w:right w:val="single" w:color="000000" w:sz="8" w:space="0"/>
            </w:tcBorders>
            <w:vAlign w:val="center"/>
          </w:tcPr>
          <w:p>
            <w:pPr>
              <w:pStyle w:val="18"/>
              <w:rPr>
                <w:rFonts w:ascii="仿宋_GB2312" w:hAnsi="仿宋_GB2312" w:eastAsia="仿宋_GB2312" w:cs="仿宋_GB2312"/>
                <w:b w:val="0"/>
                <w:bCs w:val="0"/>
                <w:i w:val="0"/>
                <w:iCs w:val="0"/>
                <w:smallCaps w:val="0"/>
                <w:color w:val="000000"/>
                <w:sz w:val="18"/>
                <w:szCs w:val="18"/>
              </w:rPr>
            </w:pPr>
          </w:p>
        </w:tc>
        <w:tc>
          <w:tcPr>
            <w:tcW w:w="0" w:type="auto"/>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jc w:val="center"/>
              <w:rPr>
                <w:b w:val="0"/>
                <w:bCs w:val="0"/>
                <w:i w:val="0"/>
                <w:iCs w:val="0"/>
                <w:smallCaps w:val="0"/>
                <w:color w:val="000000"/>
                <w:sz w:val="32"/>
                <w:szCs w:val="32"/>
              </w:rPr>
            </w:pPr>
            <w:r>
              <w:rPr>
                <w:rFonts w:ascii="仿宋_GB2312" w:hAnsi="仿宋_GB2312" w:eastAsia="仿宋_GB2312" w:cs="仿宋_GB2312"/>
                <w:b w:val="0"/>
                <w:bCs w:val="0"/>
                <w:i w:val="0"/>
                <w:iCs w:val="0"/>
                <w:smallCaps w:val="0"/>
                <w:color w:val="000000"/>
                <w:sz w:val="18"/>
                <w:szCs w:val="18"/>
              </w:rPr>
              <w:t>#质量控制</w:t>
            </w:r>
          </w:p>
        </w:tc>
        <w:tc>
          <w:tcPr>
            <w:tcW w:w="0" w:type="auto"/>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rPr>
                <w:b w:val="0"/>
                <w:bCs w:val="0"/>
                <w:i w:val="0"/>
                <w:iCs w:val="0"/>
                <w:smallCaps w:val="0"/>
                <w:color w:val="000000"/>
                <w:sz w:val="32"/>
                <w:szCs w:val="32"/>
              </w:rPr>
            </w:pPr>
            <w:r>
              <w:rPr>
                <w:rFonts w:ascii="仿宋_GB2312" w:hAnsi="仿宋_GB2312" w:eastAsia="仿宋_GB2312" w:cs="仿宋_GB2312"/>
                <w:b w:val="0"/>
                <w:bCs w:val="0"/>
                <w:i w:val="0"/>
                <w:iCs w:val="0"/>
                <w:smallCaps w:val="0"/>
                <w:color w:val="000000"/>
                <w:sz w:val="18"/>
                <w:szCs w:val="18"/>
              </w:rPr>
              <w:t>必须严格把关成果质量，包括文档质量和软件质量等各类成果，以具体的量化标准衡量，按照软件项目管理规范来实施。</w:t>
            </w:r>
          </w:p>
        </w:tc>
        <w:tc>
          <w:tcPr>
            <w:tcW w:w="0" w:type="auto"/>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jc w:val="center"/>
              <w:rPr>
                <w:b w:val="0"/>
                <w:bCs w:val="0"/>
                <w:i w:val="0"/>
                <w:iCs w:val="0"/>
                <w:smallCaps w:val="0"/>
                <w:color w:val="000000"/>
                <w:sz w:val="32"/>
                <w:szCs w:val="32"/>
              </w:rPr>
            </w:pPr>
            <w:r>
              <w:rPr>
                <w:rFonts w:ascii="仿宋_GB2312" w:hAnsi="仿宋_GB2312" w:eastAsia="仿宋_GB2312" w:cs="仿宋_GB2312"/>
                <w:b w:val="0"/>
                <w:bCs w:val="0"/>
                <w:i w:val="0"/>
                <w:iCs w:val="0"/>
                <w:smallCaps w:val="0"/>
                <w:color w:val="000000"/>
                <w:sz w:val="18"/>
                <w:szCs w:val="18"/>
              </w:rPr>
              <w:t>提供承诺书</w:t>
            </w:r>
          </w:p>
        </w:tc>
      </w:tr>
      <w:tr>
        <w:tblPrEx>
          <w:tblCellMar>
            <w:top w:w="15" w:type="dxa"/>
            <w:left w:w="15" w:type="dxa"/>
            <w:bottom w:w="15" w:type="dxa"/>
            <w:right w:w="15" w:type="dxa"/>
          </w:tblCellMar>
        </w:tblPrEx>
        <w:trPr>
          <w:trHeight w:val="750" w:hRule="atLeast"/>
          <w:tblCellSpacing w:w="0" w:type="dxa"/>
        </w:trPr>
        <w:tc>
          <w:tcPr>
            <w:tcW w:w="0" w:type="auto"/>
            <w:tcBorders>
              <w:left w:val="single" w:color="000000" w:sz="8" w:space="0"/>
              <w:bottom w:val="single" w:color="000000" w:sz="8" w:space="0"/>
              <w:right w:val="single" w:color="000000" w:sz="8" w:space="0"/>
            </w:tcBorders>
            <w:noWrap w:val="0"/>
            <w:tcMar>
              <w:top w:w="0" w:type="dxa"/>
              <w:left w:w="118" w:type="dxa"/>
              <w:bottom w:w="0" w:type="dxa"/>
              <w:right w:w="118" w:type="dxa"/>
            </w:tcMar>
            <w:vAlign w:val="center"/>
          </w:tcPr>
          <w:p>
            <w:pPr>
              <w:pStyle w:val="93"/>
              <w:spacing w:before="0" w:after="0"/>
              <w:ind w:left="425" w:right="0" w:hanging="425"/>
              <w:jc w:val="center"/>
              <w:rPr>
                <w:b w:val="0"/>
                <w:bCs w:val="0"/>
                <w:i w:val="0"/>
                <w:iCs w:val="0"/>
                <w:smallCaps w:val="0"/>
                <w:color w:val="000000"/>
                <w:sz w:val="32"/>
                <w:szCs w:val="32"/>
              </w:rPr>
            </w:pPr>
            <w:r>
              <w:rPr>
                <w:rFonts w:ascii="仿宋_GB2312" w:hAnsi="仿宋_GB2312" w:eastAsia="仿宋_GB2312" w:cs="仿宋_GB2312"/>
                <w:b w:val="0"/>
                <w:bCs w:val="0"/>
                <w:i w:val="0"/>
                <w:iCs w:val="0"/>
                <w:smallCaps w:val="0"/>
                <w:color w:val="000000"/>
                <w:sz w:val="18"/>
                <w:szCs w:val="18"/>
              </w:rPr>
              <w:t>9 </w:t>
            </w:r>
          </w:p>
        </w:tc>
        <w:tc>
          <w:tcPr>
            <w:vMerge w:val="continue"/>
            <w:tcBorders>
              <w:right w:val="single" w:color="000000" w:sz="8" w:space="0"/>
            </w:tcBorders>
            <w:vAlign w:val="center"/>
          </w:tcPr>
          <w:p>
            <w:pPr>
              <w:pStyle w:val="18"/>
              <w:rPr>
                <w:rFonts w:ascii="仿宋_GB2312" w:hAnsi="仿宋_GB2312" w:eastAsia="仿宋_GB2312" w:cs="仿宋_GB2312"/>
                <w:b w:val="0"/>
                <w:bCs w:val="0"/>
                <w:i w:val="0"/>
                <w:iCs w:val="0"/>
                <w:smallCaps w:val="0"/>
                <w:color w:val="000000"/>
                <w:sz w:val="18"/>
                <w:szCs w:val="18"/>
              </w:rPr>
            </w:pPr>
          </w:p>
        </w:tc>
        <w:tc>
          <w:tcPr>
            <w:vMerge w:val="continue"/>
            <w:tcBorders>
              <w:right w:val="single" w:color="000000" w:sz="8" w:space="0"/>
            </w:tcBorders>
            <w:vAlign w:val="center"/>
          </w:tcPr>
          <w:p>
            <w:pPr>
              <w:pStyle w:val="18"/>
              <w:rPr>
                <w:rFonts w:ascii="仿宋_GB2312" w:hAnsi="仿宋_GB2312" w:eastAsia="仿宋_GB2312" w:cs="仿宋_GB2312"/>
                <w:b w:val="0"/>
                <w:bCs w:val="0"/>
                <w:i w:val="0"/>
                <w:iCs w:val="0"/>
                <w:smallCaps w:val="0"/>
                <w:color w:val="000000"/>
                <w:sz w:val="18"/>
                <w:szCs w:val="18"/>
              </w:rPr>
            </w:pPr>
          </w:p>
        </w:tc>
        <w:tc>
          <w:tcPr>
            <w:tcW w:w="0" w:type="auto"/>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jc w:val="center"/>
              <w:rPr>
                <w:b w:val="0"/>
                <w:bCs w:val="0"/>
                <w:i w:val="0"/>
                <w:iCs w:val="0"/>
                <w:smallCaps w:val="0"/>
                <w:color w:val="000000"/>
                <w:sz w:val="32"/>
                <w:szCs w:val="32"/>
              </w:rPr>
            </w:pPr>
            <w:r>
              <w:rPr>
                <w:rFonts w:ascii="仿宋_GB2312" w:hAnsi="仿宋_GB2312" w:eastAsia="仿宋_GB2312" w:cs="仿宋_GB2312"/>
                <w:b w:val="0"/>
                <w:bCs w:val="0"/>
                <w:i w:val="0"/>
                <w:iCs w:val="0"/>
                <w:smallCaps w:val="0"/>
                <w:color w:val="000000"/>
                <w:sz w:val="18"/>
                <w:szCs w:val="18"/>
              </w:rPr>
              <w:t>#项目管理</w:t>
            </w:r>
          </w:p>
        </w:tc>
        <w:tc>
          <w:tcPr>
            <w:tcW w:w="0" w:type="auto"/>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rPr>
                <w:b w:val="0"/>
                <w:bCs w:val="0"/>
                <w:i w:val="0"/>
                <w:iCs w:val="0"/>
                <w:smallCaps w:val="0"/>
                <w:color w:val="000000"/>
                <w:sz w:val="32"/>
                <w:szCs w:val="32"/>
              </w:rPr>
            </w:pPr>
            <w:r>
              <w:rPr>
                <w:rFonts w:ascii="仿宋_GB2312" w:hAnsi="仿宋_GB2312" w:eastAsia="仿宋_GB2312" w:cs="仿宋_GB2312"/>
                <w:b w:val="0"/>
                <w:bCs w:val="0"/>
                <w:i w:val="0"/>
                <w:iCs w:val="0"/>
                <w:smallCaps w:val="0"/>
                <w:color w:val="000000"/>
                <w:sz w:val="18"/>
                <w:szCs w:val="18"/>
              </w:rPr>
              <w:t>严格规范项目日常管理全过程。在整个软件开发过程中，需要进行有效的项目管理。</w:t>
            </w:r>
          </w:p>
        </w:tc>
        <w:tc>
          <w:tcPr>
            <w:tcW w:w="0" w:type="auto"/>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jc w:val="center"/>
              <w:rPr>
                <w:b w:val="0"/>
                <w:bCs w:val="0"/>
                <w:i w:val="0"/>
                <w:iCs w:val="0"/>
                <w:smallCaps w:val="0"/>
                <w:color w:val="000000"/>
                <w:sz w:val="32"/>
                <w:szCs w:val="32"/>
              </w:rPr>
            </w:pPr>
            <w:r>
              <w:rPr>
                <w:rFonts w:ascii="仿宋_GB2312" w:hAnsi="仿宋_GB2312" w:eastAsia="仿宋_GB2312" w:cs="仿宋_GB2312"/>
                <w:b w:val="0"/>
                <w:bCs w:val="0"/>
                <w:i w:val="0"/>
                <w:iCs w:val="0"/>
                <w:smallCaps w:val="0"/>
                <w:color w:val="000000"/>
                <w:sz w:val="18"/>
                <w:szCs w:val="18"/>
              </w:rPr>
              <w:t>提供承诺书</w:t>
            </w:r>
          </w:p>
        </w:tc>
      </w:tr>
      <w:tr>
        <w:tblPrEx>
          <w:tblCellMar>
            <w:top w:w="15" w:type="dxa"/>
            <w:left w:w="15" w:type="dxa"/>
            <w:bottom w:w="15" w:type="dxa"/>
            <w:right w:w="15" w:type="dxa"/>
          </w:tblCellMar>
        </w:tblPrEx>
        <w:trPr>
          <w:trHeight w:val="750" w:hRule="atLeast"/>
          <w:tblCellSpacing w:w="0" w:type="dxa"/>
        </w:trPr>
        <w:tc>
          <w:tcPr>
            <w:tcW w:w="0" w:type="auto"/>
            <w:tcBorders>
              <w:left w:val="single" w:color="000000" w:sz="8" w:space="0"/>
              <w:bottom w:val="single" w:color="000000" w:sz="8" w:space="0"/>
              <w:right w:val="single" w:color="000000" w:sz="8" w:space="0"/>
            </w:tcBorders>
            <w:noWrap w:val="0"/>
            <w:tcMar>
              <w:top w:w="0" w:type="dxa"/>
              <w:left w:w="118" w:type="dxa"/>
              <w:bottom w:w="0" w:type="dxa"/>
              <w:right w:w="118" w:type="dxa"/>
            </w:tcMar>
            <w:vAlign w:val="center"/>
          </w:tcPr>
          <w:p>
            <w:pPr>
              <w:pStyle w:val="93"/>
              <w:spacing w:before="0" w:after="0"/>
              <w:ind w:left="425" w:right="0" w:hanging="425"/>
              <w:jc w:val="center"/>
              <w:rPr>
                <w:b w:val="0"/>
                <w:bCs w:val="0"/>
                <w:i w:val="0"/>
                <w:iCs w:val="0"/>
                <w:smallCaps w:val="0"/>
                <w:color w:val="000000"/>
                <w:sz w:val="32"/>
                <w:szCs w:val="32"/>
              </w:rPr>
            </w:pPr>
            <w:r>
              <w:rPr>
                <w:rFonts w:ascii="仿宋_GB2312" w:hAnsi="仿宋_GB2312" w:eastAsia="仿宋_GB2312" w:cs="仿宋_GB2312"/>
                <w:b w:val="0"/>
                <w:bCs w:val="0"/>
                <w:i w:val="0"/>
                <w:iCs w:val="0"/>
                <w:smallCaps w:val="0"/>
                <w:color w:val="000000"/>
                <w:sz w:val="18"/>
                <w:szCs w:val="18"/>
              </w:rPr>
              <w:t>10 </w:t>
            </w:r>
          </w:p>
        </w:tc>
        <w:tc>
          <w:tcPr>
            <w:vMerge w:val="continue"/>
            <w:tcBorders>
              <w:right w:val="single" w:color="000000" w:sz="8" w:space="0"/>
            </w:tcBorders>
            <w:vAlign w:val="center"/>
          </w:tcPr>
          <w:p>
            <w:pPr>
              <w:pStyle w:val="18"/>
              <w:rPr>
                <w:rFonts w:ascii="仿宋_GB2312" w:hAnsi="仿宋_GB2312" w:eastAsia="仿宋_GB2312" w:cs="仿宋_GB2312"/>
                <w:b w:val="0"/>
                <w:bCs w:val="0"/>
                <w:i w:val="0"/>
                <w:iCs w:val="0"/>
                <w:smallCaps w:val="0"/>
                <w:color w:val="000000"/>
                <w:sz w:val="18"/>
                <w:szCs w:val="18"/>
              </w:rPr>
            </w:pPr>
          </w:p>
        </w:tc>
        <w:tc>
          <w:tcPr>
            <w:vMerge w:val="continue"/>
            <w:tcBorders>
              <w:right w:val="single" w:color="000000" w:sz="8" w:space="0"/>
            </w:tcBorders>
            <w:vAlign w:val="center"/>
          </w:tcPr>
          <w:p>
            <w:pPr>
              <w:pStyle w:val="18"/>
              <w:rPr>
                <w:rFonts w:ascii="仿宋_GB2312" w:hAnsi="仿宋_GB2312" w:eastAsia="仿宋_GB2312" w:cs="仿宋_GB2312"/>
                <w:b w:val="0"/>
                <w:bCs w:val="0"/>
                <w:i w:val="0"/>
                <w:iCs w:val="0"/>
                <w:smallCaps w:val="0"/>
                <w:color w:val="000000"/>
                <w:sz w:val="18"/>
                <w:szCs w:val="18"/>
              </w:rPr>
            </w:pPr>
          </w:p>
        </w:tc>
        <w:tc>
          <w:tcPr>
            <w:tcW w:w="0" w:type="auto"/>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jc w:val="center"/>
              <w:rPr>
                <w:b w:val="0"/>
                <w:bCs w:val="0"/>
                <w:i w:val="0"/>
                <w:iCs w:val="0"/>
                <w:smallCaps w:val="0"/>
                <w:color w:val="000000"/>
                <w:sz w:val="32"/>
                <w:szCs w:val="32"/>
              </w:rPr>
            </w:pPr>
            <w:r>
              <w:rPr>
                <w:rFonts w:ascii="仿宋_GB2312" w:hAnsi="仿宋_GB2312" w:eastAsia="仿宋_GB2312" w:cs="仿宋_GB2312"/>
                <w:b w:val="0"/>
                <w:bCs w:val="0"/>
                <w:i w:val="0"/>
                <w:iCs w:val="0"/>
                <w:smallCaps w:val="0"/>
                <w:color w:val="000000"/>
                <w:sz w:val="18"/>
                <w:szCs w:val="18"/>
              </w:rPr>
              <w:t>#制定项目计划</w:t>
            </w:r>
          </w:p>
        </w:tc>
        <w:tc>
          <w:tcPr>
            <w:tcW w:w="0" w:type="auto"/>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rPr>
                <w:b w:val="0"/>
                <w:bCs w:val="0"/>
                <w:i w:val="0"/>
                <w:iCs w:val="0"/>
                <w:smallCaps w:val="0"/>
                <w:color w:val="000000"/>
                <w:sz w:val="32"/>
                <w:szCs w:val="32"/>
              </w:rPr>
            </w:pPr>
            <w:r>
              <w:rPr>
                <w:rFonts w:ascii="仿宋_GB2312" w:hAnsi="仿宋_GB2312" w:eastAsia="仿宋_GB2312" w:cs="仿宋_GB2312"/>
                <w:b w:val="0"/>
                <w:bCs w:val="0"/>
                <w:i w:val="0"/>
                <w:iCs w:val="0"/>
                <w:smallCaps w:val="0"/>
                <w:color w:val="000000"/>
                <w:sz w:val="18"/>
                <w:szCs w:val="18"/>
              </w:rPr>
              <w:t>明确项目的目标、任务、时间表、资源需求等，制定详细的项目计划。</w:t>
            </w:r>
          </w:p>
        </w:tc>
        <w:tc>
          <w:tcPr>
            <w:tcW w:w="0" w:type="auto"/>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jc w:val="center"/>
              <w:rPr>
                <w:b w:val="0"/>
                <w:bCs w:val="0"/>
                <w:i w:val="0"/>
                <w:iCs w:val="0"/>
                <w:smallCaps w:val="0"/>
                <w:color w:val="000000"/>
                <w:sz w:val="32"/>
                <w:szCs w:val="32"/>
              </w:rPr>
            </w:pPr>
            <w:r>
              <w:rPr>
                <w:rFonts w:ascii="仿宋_GB2312" w:hAnsi="仿宋_GB2312" w:eastAsia="仿宋_GB2312" w:cs="仿宋_GB2312"/>
                <w:b w:val="0"/>
                <w:bCs w:val="0"/>
                <w:i w:val="0"/>
                <w:iCs w:val="0"/>
                <w:smallCaps w:val="0"/>
                <w:color w:val="000000"/>
                <w:sz w:val="18"/>
                <w:szCs w:val="18"/>
              </w:rPr>
              <w:t>提供承诺书</w:t>
            </w:r>
          </w:p>
        </w:tc>
      </w:tr>
      <w:tr>
        <w:tblPrEx>
          <w:tblCellMar>
            <w:top w:w="15" w:type="dxa"/>
            <w:left w:w="15" w:type="dxa"/>
            <w:bottom w:w="15" w:type="dxa"/>
            <w:right w:w="15" w:type="dxa"/>
          </w:tblCellMar>
        </w:tblPrEx>
        <w:trPr>
          <w:trHeight w:val="750" w:hRule="atLeast"/>
          <w:tblCellSpacing w:w="0" w:type="dxa"/>
        </w:trPr>
        <w:tc>
          <w:tcPr>
            <w:tcW w:w="0" w:type="auto"/>
            <w:tcBorders>
              <w:left w:val="single" w:color="000000" w:sz="8" w:space="0"/>
              <w:bottom w:val="single" w:color="000000" w:sz="8" w:space="0"/>
              <w:right w:val="single" w:color="000000" w:sz="8" w:space="0"/>
            </w:tcBorders>
            <w:noWrap w:val="0"/>
            <w:tcMar>
              <w:top w:w="0" w:type="dxa"/>
              <w:left w:w="118" w:type="dxa"/>
              <w:bottom w:w="0" w:type="dxa"/>
              <w:right w:w="118" w:type="dxa"/>
            </w:tcMar>
            <w:vAlign w:val="center"/>
          </w:tcPr>
          <w:p>
            <w:pPr>
              <w:pStyle w:val="93"/>
              <w:spacing w:before="0" w:after="0"/>
              <w:ind w:left="425" w:right="0" w:hanging="425"/>
              <w:jc w:val="center"/>
              <w:rPr>
                <w:b w:val="0"/>
                <w:bCs w:val="0"/>
                <w:i w:val="0"/>
                <w:iCs w:val="0"/>
                <w:smallCaps w:val="0"/>
                <w:color w:val="000000"/>
                <w:sz w:val="32"/>
                <w:szCs w:val="32"/>
              </w:rPr>
            </w:pPr>
            <w:r>
              <w:rPr>
                <w:rFonts w:ascii="仿宋_GB2312" w:hAnsi="仿宋_GB2312" w:eastAsia="仿宋_GB2312" w:cs="仿宋_GB2312"/>
                <w:b w:val="0"/>
                <w:bCs w:val="0"/>
                <w:i w:val="0"/>
                <w:iCs w:val="0"/>
                <w:smallCaps w:val="0"/>
                <w:color w:val="000000"/>
                <w:sz w:val="18"/>
                <w:szCs w:val="18"/>
              </w:rPr>
              <w:t>11 </w:t>
            </w:r>
          </w:p>
        </w:tc>
        <w:tc>
          <w:tcPr>
            <w:vMerge w:val="continue"/>
            <w:tcBorders>
              <w:right w:val="single" w:color="000000" w:sz="8" w:space="0"/>
            </w:tcBorders>
            <w:vAlign w:val="center"/>
          </w:tcPr>
          <w:p>
            <w:pPr>
              <w:pStyle w:val="18"/>
              <w:rPr>
                <w:rFonts w:ascii="仿宋_GB2312" w:hAnsi="仿宋_GB2312" w:eastAsia="仿宋_GB2312" w:cs="仿宋_GB2312"/>
                <w:b w:val="0"/>
                <w:bCs w:val="0"/>
                <w:i w:val="0"/>
                <w:iCs w:val="0"/>
                <w:smallCaps w:val="0"/>
                <w:color w:val="000000"/>
                <w:sz w:val="18"/>
                <w:szCs w:val="18"/>
              </w:rPr>
            </w:pPr>
          </w:p>
        </w:tc>
        <w:tc>
          <w:tcPr>
            <w:vMerge w:val="continue"/>
            <w:tcBorders>
              <w:right w:val="single" w:color="000000" w:sz="8" w:space="0"/>
            </w:tcBorders>
            <w:vAlign w:val="center"/>
          </w:tcPr>
          <w:p>
            <w:pPr>
              <w:pStyle w:val="18"/>
              <w:rPr>
                <w:rFonts w:ascii="仿宋_GB2312" w:hAnsi="仿宋_GB2312" w:eastAsia="仿宋_GB2312" w:cs="仿宋_GB2312"/>
                <w:b w:val="0"/>
                <w:bCs w:val="0"/>
                <w:i w:val="0"/>
                <w:iCs w:val="0"/>
                <w:smallCaps w:val="0"/>
                <w:color w:val="000000"/>
                <w:sz w:val="18"/>
                <w:szCs w:val="18"/>
              </w:rPr>
            </w:pPr>
          </w:p>
        </w:tc>
        <w:tc>
          <w:tcPr>
            <w:tcW w:w="0" w:type="auto"/>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jc w:val="center"/>
              <w:rPr>
                <w:b w:val="0"/>
                <w:bCs w:val="0"/>
                <w:i w:val="0"/>
                <w:iCs w:val="0"/>
                <w:smallCaps w:val="0"/>
                <w:color w:val="000000"/>
                <w:sz w:val="32"/>
                <w:szCs w:val="32"/>
              </w:rPr>
            </w:pPr>
            <w:r>
              <w:rPr>
                <w:rFonts w:ascii="仿宋_GB2312" w:hAnsi="仿宋_GB2312" w:eastAsia="仿宋_GB2312" w:cs="仿宋_GB2312"/>
                <w:b w:val="0"/>
                <w:bCs w:val="0"/>
                <w:i w:val="0"/>
                <w:iCs w:val="0"/>
                <w:smallCaps w:val="0"/>
                <w:color w:val="000000"/>
                <w:sz w:val="18"/>
                <w:szCs w:val="18"/>
              </w:rPr>
              <w:t>#团队管理</w:t>
            </w:r>
          </w:p>
        </w:tc>
        <w:tc>
          <w:tcPr>
            <w:tcW w:w="0" w:type="auto"/>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rPr>
                <w:b w:val="0"/>
                <w:bCs w:val="0"/>
                <w:i w:val="0"/>
                <w:iCs w:val="0"/>
                <w:smallCaps w:val="0"/>
                <w:color w:val="000000"/>
                <w:sz w:val="32"/>
                <w:szCs w:val="32"/>
              </w:rPr>
            </w:pPr>
            <w:r>
              <w:rPr>
                <w:rFonts w:ascii="仿宋_GB2312" w:hAnsi="仿宋_GB2312" w:eastAsia="仿宋_GB2312" w:cs="仿宋_GB2312"/>
                <w:b w:val="0"/>
                <w:bCs w:val="0"/>
                <w:i w:val="0"/>
                <w:iCs w:val="0"/>
                <w:smallCaps w:val="0"/>
                <w:color w:val="000000"/>
                <w:sz w:val="18"/>
                <w:szCs w:val="18"/>
              </w:rPr>
              <w:t>组建合适的开发团队，明确团队成员的职责和分工，进行有效的沟通和协作。</w:t>
            </w:r>
          </w:p>
        </w:tc>
        <w:tc>
          <w:tcPr>
            <w:tcW w:w="0" w:type="auto"/>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jc w:val="center"/>
              <w:rPr>
                <w:b w:val="0"/>
                <w:bCs w:val="0"/>
                <w:i w:val="0"/>
                <w:iCs w:val="0"/>
                <w:smallCaps w:val="0"/>
                <w:color w:val="000000"/>
                <w:sz w:val="32"/>
                <w:szCs w:val="32"/>
              </w:rPr>
            </w:pPr>
            <w:r>
              <w:rPr>
                <w:rFonts w:ascii="仿宋_GB2312" w:hAnsi="仿宋_GB2312" w:eastAsia="仿宋_GB2312" w:cs="仿宋_GB2312"/>
                <w:b w:val="0"/>
                <w:bCs w:val="0"/>
                <w:i w:val="0"/>
                <w:iCs w:val="0"/>
                <w:smallCaps w:val="0"/>
                <w:color w:val="000000"/>
                <w:sz w:val="18"/>
                <w:szCs w:val="18"/>
              </w:rPr>
              <w:t>提供承诺书</w:t>
            </w:r>
          </w:p>
        </w:tc>
      </w:tr>
      <w:tr>
        <w:tblPrEx>
          <w:tblCellMar>
            <w:top w:w="15" w:type="dxa"/>
            <w:left w:w="15" w:type="dxa"/>
            <w:bottom w:w="15" w:type="dxa"/>
            <w:right w:w="15" w:type="dxa"/>
          </w:tblCellMar>
        </w:tblPrEx>
        <w:trPr>
          <w:trHeight w:val="750" w:hRule="atLeast"/>
          <w:tblCellSpacing w:w="0" w:type="dxa"/>
        </w:trPr>
        <w:tc>
          <w:tcPr>
            <w:tcW w:w="0" w:type="auto"/>
            <w:tcBorders>
              <w:left w:val="single" w:color="000000" w:sz="8" w:space="0"/>
              <w:bottom w:val="single" w:color="000000" w:sz="8" w:space="0"/>
              <w:right w:val="single" w:color="000000" w:sz="8" w:space="0"/>
            </w:tcBorders>
            <w:noWrap w:val="0"/>
            <w:tcMar>
              <w:top w:w="0" w:type="dxa"/>
              <w:left w:w="118" w:type="dxa"/>
              <w:bottom w:w="0" w:type="dxa"/>
              <w:right w:w="118" w:type="dxa"/>
            </w:tcMar>
            <w:vAlign w:val="center"/>
          </w:tcPr>
          <w:p>
            <w:pPr>
              <w:pStyle w:val="93"/>
              <w:spacing w:before="0" w:after="0"/>
              <w:ind w:left="425" w:right="0" w:hanging="425"/>
              <w:jc w:val="center"/>
              <w:rPr>
                <w:b w:val="0"/>
                <w:bCs w:val="0"/>
                <w:i w:val="0"/>
                <w:iCs w:val="0"/>
                <w:smallCaps w:val="0"/>
                <w:color w:val="000000"/>
                <w:sz w:val="32"/>
                <w:szCs w:val="32"/>
              </w:rPr>
            </w:pPr>
            <w:r>
              <w:rPr>
                <w:rFonts w:ascii="仿宋_GB2312" w:hAnsi="仿宋_GB2312" w:eastAsia="仿宋_GB2312" w:cs="仿宋_GB2312"/>
                <w:b w:val="0"/>
                <w:bCs w:val="0"/>
                <w:i w:val="0"/>
                <w:iCs w:val="0"/>
                <w:smallCaps w:val="0"/>
                <w:color w:val="000000"/>
                <w:sz w:val="18"/>
                <w:szCs w:val="18"/>
              </w:rPr>
              <w:t>12 </w:t>
            </w:r>
          </w:p>
        </w:tc>
        <w:tc>
          <w:tcPr>
            <w:vMerge w:val="continue"/>
            <w:tcBorders>
              <w:right w:val="single" w:color="000000" w:sz="8" w:space="0"/>
            </w:tcBorders>
            <w:vAlign w:val="center"/>
          </w:tcPr>
          <w:p>
            <w:pPr>
              <w:pStyle w:val="18"/>
              <w:rPr>
                <w:rFonts w:ascii="仿宋_GB2312" w:hAnsi="仿宋_GB2312" w:eastAsia="仿宋_GB2312" w:cs="仿宋_GB2312"/>
                <w:b w:val="0"/>
                <w:bCs w:val="0"/>
                <w:i w:val="0"/>
                <w:iCs w:val="0"/>
                <w:smallCaps w:val="0"/>
                <w:color w:val="000000"/>
                <w:sz w:val="18"/>
                <w:szCs w:val="18"/>
              </w:rPr>
            </w:pPr>
          </w:p>
        </w:tc>
        <w:tc>
          <w:tcPr>
            <w:vMerge w:val="continue"/>
            <w:tcBorders>
              <w:right w:val="single" w:color="000000" w:sz="8" w:space="0"/>
            </w:tcBorders>
            <w:vAlign w:val="center"/>
          </w:tcPr>
          <w:p>
            <w:pPr>
              <w:pStyle w:val="18"/>
              <w:rPr>
                <w:rFonts w:ascii="仿宋_GB2312" w:hAnsi="仿宋_GB2312" w:eastAsia="仿宋_GB2312" w:cs="仿宋_GB2312"/>
                <w:b w:val="0"/>
                <w:bCs w:val="0"/>
                <w:i w:val="0"/>
                <w:iCs w:val="0"/>
                <w:smallCaps w:val="0"/>
                <w:color w:val="000000"/>
                <w:sz w:val="18"/>
                <w:szCs w:val="18"/>
              </w:rPr>
            </w:pPr>
          </w:p>
        </w:tc>
        <w:tc>
          <w:tcPr>
            <w:tcW w:w="0" w:type="auto"/>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jc w:val="center"/>
              <w:rPr>
                <w:b w:val="0"/>
                <w:bCs w:val="0"/>
                <w:i w:val="0"/>
                <w:iCs w:val="0"/>
                <w:smallCaps w:val="0"/>
                <w:color w:val="000000"/>
                <w:sz w:val="32"/>
                <w:szCs w:val="32"/>
              </w:rPr>
            </w:pPr>
            <w:r>
              <w:rPr>
                <w:rFonts w:ascii="仿宋_GB2312" w:hAnsi="仿宋_GB2312" w:eastAsia="仿宋_GB2312" w:cs="仿宋_GB2312"/>
                <w:b w:val="0"/>
                <w:bCs w:val="0"/>
                <w:i w:val="0"/>
                <w:iCs w:val="0"/>
                <w:smallCaps w:val="0"/>
                <w:color w:val="000000"/>
                <w:sz w:val="18"/>
                <w:szCs w:val="18"/>
              </w:rPr>
              <w:t>#风险管理</w:t>
            </w:r>
          </w:p>
        </w:tc>
        <w:tc>
          <w:tcPr>
            <w:tcW w:w="0" w:type="auto"/>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rPr>
                <w:b w:val="0"/>
                <w:bCs w:val="0"/>
                <w:i w:val="0"/>
                <w:iCs w:val="0"/>
                <w:smallCaps w:val="0"/>
                <w:color w:val="000000"/>
                <w:sz w:val="32"/>
                <w:szCs w:val="32"/>
              </w:rPr>
            </w:pPr>
            <w:r>
              <w:rPr>
                <w:rFonts w:ascii="仿宋_GB2312" w:hAnsi="仿宋_GB2312" w:eastAsia="仿宋_GB2312" w:cs="仿宋_GB2312"/>
                <w:b w:val="0"/>
                <w:bCs w:val="0"/>
                <w:i w:val="0"/>
                <w:iCs w:val="0"/>
                <w:smallCaps w:val="0"/>
                <w:color w:val="000000"/>
                <w:sz w:val="18"/>
                <w:szCs w:val="18"/>
              </w:rPr>
              <w:t>识别项目中的风险因素，制定风险应对策略，降低项目风险。</w:t>
            </w:r>
          </w:p>
        </w:tc>
        <w:tc>
          <w:tcPr>
            <w:tcW w:w="0" w:type="auto"/>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jc w:val="center"/>
              <w:rPr>
                <w:b w:val="0"/>
                <w:bCs w:val="0"/>
                <w:i w:val="0"/>
                <w:iCs w:val="0"/>
                <w:smallCaps w:val="0"/>
                <w:color w:val="000000"/>
                <w:sz w:val="32"/>
                <w:szCs w:val="32"/>
              </w:rPr>
            </w:pPr>
            <w:r>
              <w:rPr>
                <w:rFonts w:ascii="仿宋_GB2312" w:hAnsi="仿宋_GB2312" w:eastAsia="仿宋_GB2312" w:cs="仿宋_GB2312"/>
                <w:b w:val="0"/>
                <w:bCs w:val="0"/>
                <w:i w:val="0"/>
                <w:iCs w:val="0"/>
                <w:smallCaps w:val="0"/>
                <w:color w:val="000000"/>
                <w:sz w:val="18"/>
                <w:szCs w:val="18"/>
              </w:rPr>
              <w:t>提供承诺书</w:t>
            </w:r>
          </w:p>
        </w:tc>
      </w:tr>
      <w:tr>
        <w:tblPrEx>
          <w:tblCellMar>
            <w:top w:w="15" w:type="dxa"/>
            <w:left w:w="15" w:type="dxa"/>
            <w:bottom w:w="15" w:type="dxa"/>
            <w:right w:w="15" w:type="dxa"/>
          </w:tblCellMar>
        </w:tblPrEx>
        <w:trPr>
          <w:trHeight w:val="750" w:hRule="atLeast"/>
          <w:tblCellSpacing w:w="0" w:type="dxa"/>
        </w:trPr>
        <w:tc>
          <w:tcPr>
            <w:tcW w:w="0" w:type="auto"/>
            <w:tcBorders>
              <w:left w:val="single" w:color="000000" w:sz="8" w:space="0"/>
              <w:bottom w:val="single" w:color="000000" w:sz="8" w:space="0"/>
              <w:right w:val="single" w:color="000000" w:sz="8" w:space="0"/>
            </w:tcBorders>
            <w:noWrap w:val="0"/>
            <w:tcMar>
              <w:top w:w="0" w:type="dxa"/>
              <w:left w:w="118" w:type="dxa"/>
              <w:bottom w:w="0" w:type="dxa"/>
              <w:right w:w="118" w:type="dxa"/>
            </w:tcMar>
            <w:vAlign w:val="center"/>
          </w:tcPr>
          <w:p>
            <w:pPr>
              <w:pStyle w:val="93"/>
              <w:spacing w:before="0" w:after="0"/>
              <w:ind w:left="425" w:right="0" w:hanging="425"/>
              <w:jc w:val="center"/>
              <w:rPr>
                <w:b w:val="0"/>
                <w:bCs w:val="0"/>
                <w:i w:val="0"/>
                <w:iCs w:val="0"/>
                <w:smallCaps w:val="0"/>
                <w:color w:val="000000"/>
                <w:sz w:val="32"/>
                <w:szCs w:val="32"/>
              </w:rPr>
            </w:pPr>
            <w:r>
              <w:rPr>
                <w:rFonts w:ascii="仿宋_GB2312" w:hAnsi="仿宋_GB2312" w:eastAsia="仿宋_GB2312" w:cs="仿宋_GB2312"/>
                <w:b w:val="0"/>
                <w:bCs w:val="0"/>
                <w:i w:val="0"/>
                <w:iCs w:val="0"/>
                <w:smallCaps w:val="0"/>
                <w:color w:val="000000"/>
                <w:sz w:val="18"/>
                <w:szCs w:val="18"/>
              </w:rPr>
              <w:t>13 </w:t>
            </w:r>
          </w:p>
        </w:tc>
        <w:tc>
          <w:tcPr>
            <w:vMerge w:val="continue"/>
            <w:tcBorders>
              <w:right w:val="single" w:color="000000" w:sz="8" w:space="0"/>
            </w:tcBorders>
            <w:vAlign w:val="center"/>
          </w:tcPr>
          <w:p>
            <w:pPr>
              <w:pStyle w:val="18"/>
              <w:rPr>
                <w:rFonts w:ascii="仿宋_GB2312" w:hAnsi="仿宋_GB2312" w:eastAsia="仿宋_GB2312" w:cs="仿宋_GB2312"/>
                <w:b w:val="0"/>
                <w:bCs w:val="0"/>
                <w:i w:val="0"/>
                <w:iCs w:val="0"/>
                <w:smallCaps w:val="0"/>
                <w:color w:val="000000"/>
                <w:sz w:val="18"/>
                <w:szCs w:val="18"/>
              </w:rPr>
            </w:pPr>
          </w:p>
        </w:tc>
        <w:tc>
          <w:tcPr>
            <w:vMerge w:val="continue"/>
            <w:tcBorders>
              <w:right w:val="single" w:color="000000" w:sz="8" w:space="0"/>
            </w:tcBorders>
            <w:vAlign w:val="center"/>
          </w:tcPr>
          <w:p>
            <w:pPr>
              <w:pStyle w:val="18"/>
              <w:rPr>
                <w:rFonts w:ascii="仿宋_GB2312" w:hAnsi="仿宋_GB2312" w:eastAsia="仿宋_GB2312" w:cs="仿宋_GB2312"/>
                <w:b w:val="0"/>
                <w:bCs w:val="0"/>
                <w:i w:val="0"/>
                <w:iCs w:val="0"/>
                <w:smallCaps w:val="0"/>
                <w:color w:val="000000"/>
                <w:sz w:val="18"/>
                <w:szCs w:val="18"/>
              </w:rPr>
            </w:pPr>
          </w:p>
        </w:tc>
        <w:tc>
          <w:tcPr>
            <w:tcW w:w="0" w:type="auto"/>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jc w:val="center"/>
              <w:rPr>
                <w:b w:val="0"/>
                <w:bCs w:val="0"/>
                <w:i w:val="0"/>
                <w:iCs w:val="0"/>
                <w:smallCaps w:val="0"/>
                <w:color w:val="000000"/>
                <w:sz w:val="32"/>
                <w:szCs w:val="32"/>
              </w:rPr>
            </w:pPr>
            <w:r>
              <w:rPr>
                <w:rFonts w:ascii="仿宋_GB2312" w:hAnsi="仿宋_GB2312" w:eastAsia="仿宋_GB2312" w:cs="仿宋_GB2312"/>
                <w:b w:val="0"/>
                <w:bCs w:val="0"/>
                <w:i w:val="0"/>
                <w:iCs w:val="0"/>
                <w:smallCaps w:val="0"/>
                <w:color w:val="000000"/>
                <w:sz w:val="18"/>
                <w:szCs w:val="18"/>
              </w:rPr>
              <w:t>#质量管理</w:t>
            </w:r>
          </w:p>
        </w:tc>
        <w:tc>
          <w:tcPr>
            <w:tcW w:w="0" w:type="auto"/>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rPr>
                <w:b w:val="0"/>
                <w:bCs w:val="0"/>
                <w:i w:val="0"/>
                <w:iCs w:val="0"/>
                <w:smallCaps w:val="0"/>
                <w:color w:val="000000"/>
                <w:sz w:val="32"/>
                <w:szCs w:val="32"/>
              </w:rPr>
            </w:pPr>
            <w:r>
              <w:rPr>
                <w:rFonts w:ascii="仿宋_GB2312" w:hAnsi="仿宋_GB2312" w:eastAsia="仿宋_GB2312" w:cs="仿宋_GB2312"/>
                <w:b w:val="0"/>
                <w:bCs w:val="0"/>
                <w:i w:val="0"/>
                <w:iCs w:val="0"/>
                <w:smallCaps w:val="0"/>
                <w:color w:val="000000"/>
                <w:sz w:val="18"/>
                <w:szCs w:val="18"/>
              </w:rPr>
              <w:t>建立质量管理体系，确保软件的质量符合要求。</w:t>
            </w:r>
          </w:p>
        </w:tc>
        <w:tc>
          <w:tcPr>
            <w:tcW w:w="0" w:type="auto"/>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jc w:val="center"/>
              <w:rPr>
                <w:b w:val="0"/>
                <w:bCs w:val="0"/>
                <w:i w:val="0"/>
                <w:iCs w:val="0"/>
                <w:smallCaps w:val="0"/>
                <w:color w:val="000000"/>
                <w:sz w:val="32"/>
                <w:szCs w:val="32"/>
              </w:rPr>
            </w:pPr>
            <w:r>
              <w:rPr>
                <w:rFonts w:ascii="仿宋_GB2312" w:hAnsi="仿宋_GB2312" w:eastAsia="仿宋_GB2312" w:cs="仿宋_GB2312"/>
                <w:b w:val="0"/>
                <w:bCs w:val="0"/>
                <w:i w:val="0"/>
                <w:iCs w:val="0"/>
                <w:smallCaps w:val="0"/>
                <w:color w:val="000000"/>
                <w:sz w:val="18"/>
                <w:szCs w:val="18"/>
              </w:rPr>
              <w:t>提供承诺书</w:t>
            </w:r>
          </w:p>
        </w:tc>
      </w:tr>
      <w:tr>
        <w:tblPrEx>
          <w:tblCellMar>
            <w:top w:w="15" w:type="dxa"/>
            <w:left w:w="15" w:type="dxa"/>
            <w:bottom w:w="15" w:type="dxa"/>
            <w:right w:w="15" w:type="dxa"/>
          </w:tblCellMar>
        </w:tblPrEx>
        <w:trPr>
          <w:trHeight w:val="1050" w:hRule="atLeast"/>
          <w:tblCellSpacing w:w="0" w:type="dxa"/>
        </w:trPr>
        <w:tc>
          <w:tcPr>
            <w:tcW w:w="0" w:type="auto"/>
            <w:tcBorders>
              <w:left w:val="single" w:color="000000" w:sz="8" w:space="0"/>
              <w:bottom w:val="single" w:color="000000" w:sz="8" w:space="0"/>
              <w:right w:val="single" w:color="000000" w:sz="8" w:space="0"/>
            </w:tcBorders>
            <w:noWrap w:val="0"/>
            <w:tcMar>
              <w:top w:w="0" w:type="dxa"/>
              <w:left w:w="118" w:type="dxa"/>
              <w:bottom w:w="0" w:type="dxa"/>
              <w:right w:w="118" w:type="dxa"/>
            </w:tcMar>
            <w:vAlign w:val="center"/>
          </w:tcPr>
          <w:p>
            <w:pPr>
              <w:pStyle w:val="93"/>
              <w:spacing w:before="0" w:after="0"/>
              <w:ind w:left="425" w:right="0" w:hanging="425"/>
              <w:jc w:val="center"/>
              <w:rPr>
                <w:b w:val="0"/>
                <w:bCs w:val="0"/>
                <w:i w:val="0"/>
                <w:iCs w:val="0"/>
                <w:smallCaps w:val="0"/>
                <w:color w:val="000000"/>
                <w:sz w:val="32"/>
                <w:szCs w:val="32"/>
              </w:rPr>
            </w:pPr>
            <w:r>
              <w:rPr>
                <w:rFonts w:ascii="仿宋_GB2312" w:hAnsi="仿宋_GB2312" w:eastAsia="仿宋_GB2312" w:cs="仿宋_GB2312"/>
                <w:b w:val="0"/>
                <w:bCs w:val="0"/>
                <w:i w:val="0"/>
                <w:iCs w:val="0"/>
                <w:smallCaps w:val="0"/>
                <w:color w:val="000000"/>
                <w:sz w:val="18"/>
                <w:szCs w:val="18"/>
              </w:rPr>
              <w:t>14 </w:t>
            </w:r>
          </w:p>
        </w:tc>
        <w:tc>
          <w:tcPr>
            <w:vMerge w:val="continue"/>
            <w:tcBorders>
              <w:right w:val="single" w:color="000000" w:sz="8" w:space="0"/>
            </w:tcBorders>
            <w:vAlign w:val="center"/>
          </w:tcPr>
          <w:p>
            <w:pPr>
              <w:pStyle w:val="18"/>
              <w:rPr>
                <w:rFonts w:ascii="仿宋_GB2312" w:hAnsi="仿宋_GB2312" w:eastAsia="仿宋_GB2312" w:cs="仿宋_GB2312"/>
                <w:b w:val="0"/>
                <w:bCs w:val="0"/>
                <w:i w:val="0"/>
                <w:iCs w:val="0"/>
                <w:smallCaps w:val="0"/>
                <w:color w:val="000000"/>
                <w:sz w:val="18"/>
                <w:szCs w:val="18"/>
              </w:rPr>
            </w:pPr>
          </w:p>
        </w:tc>
        <w:tc>
          <w:tcPr>
            <w:vMerge w:val="continue"/>
            <w:tcBorders>
              <w:bottom w:val="single" w:color="000000" w:sz="8" w:space="0"/>
              <w:right w:val="single" w:color="000000" w:sz="8" w:space="0"/>
            </w:tcBorders>
            <w:vAlign w:val="center"/>
          </w:tcPr>
          <w:p>
            <w:pPr>
              <w:pStyle w:val="18"/>
              <w:rPr>
                <w:rFonts w:ascii="仿宋_GB2312" w:hAnsi="仿宋_GB2312" w:eastAsia="仿宋_GB2312" w:cs="仿宋_GB2312"/>
                <w:b w:val="0"/>
                <w:bCs w:val="0"/>
                <w:i w:val="0"/>
                <w:iCs w:val="0"/>
                <w:smallCaps w:val="0"/>
                <w:color w:val="000000"/>
                <w:sz w:val="18"/>
                <w:szCs w:val="18"/>
              </w:rPr>
            </w:pPr>
          </w:p>
        </w:tc>
        <w:tc>
          <w:tcPr>
            <w:tcW w:w="0" w:type="auto"/>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jc w:val="center"/>
              <w:rPr>
                <w:b w:val="0"/>
                <w:bCs w:val="0"/>
                <w:i w:val="0"/>
                <w:iCs w:val="0"/>
                <w:smallCaps w:val="0"/>
                <w:color w:val="000000"/>
                <w:sz w:val="32"/>
                <w:szCs w:val="32"/>
              </w:rPr>
            </w:pPr>
            <w:r>
              <w:rPr>
                <w:rFonts w:ascii="仿宋_GB2312" w:hAnsi="仿宋_GB2312" w:eastAsia="仿宋_GB2312" w:cs="仿宋_GB2312"/>
                <w:b w:val="0"/>
                <w:bCs w:val="0"/>
                <w:i w:val="0"/>
                <w:iCs w:val="0"/>
                <w:smallCaps w:val="0"/>
                <w:color w:val="000000"/>
                <w:sz w:val="18"/>
                <w:szCs w:val="18"/>
              </w:rPr>
              <w:t>#进度控制</w:t>
            </w:r>
          </w:p>
        </w:tc>
        <w:tc>
          <w:tcPr>
            <w:tcW w:w="0" w:type="auto"/>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rPr>
                <w:b w:val="0"/>
                <w:bCs w:val="0"/>
                <w:i w:val="0"/>
                <w:iCs w:val="0"/>
                <w:smallCaps w:val="0"/>
                <w:color w:val="000000"/>
                <w:sz w:val="32"/>
                <w:szCs w:val="32"/>
              </w:rPr>
            </w:pPr>
            <w:r>
              <w:rPr>
                <w:rFonts w:ascii="仿宋_GB2312" w:hAnsi="仿宋_GB2312" w:eastAsia="仿宋_GB2312" w:cs="仿宋_GB2312"/>
                <w:b w:val="0"/>
                <w:bCs w:val="0"/>
                <w:i w:val="0"/>
                <w:iCs w:val="0"/>
                <w:smallCaps w:val="0"/>
                <w:color w:val="000000"/>
                <w:sz w:val="18"/>
                <w:szCs w:val="18"/>
              </w:rPr>
              <w:t>监控项目的进度，及时调整计划，确保项目按时完成。</w:t>
            </w:r>
          </w:p>
        </w:tc>
        <w:tc>
          <w:tcPr>
            <w:tcW w:w="0" w:type="auto"/>
            <w:tcBorders>
              <w:bottom w:val="single" w:color="000000" w:sz="8" w:space="0"/>
              <w:right w:val="single" w:color="000000" w:sz="8" w:space="0"/>
            </w:tcBorders>
            <w:noWrap w:val="0"/>
            <w:tcMar>
              <w:top w:w="0" w:type="dxa"/>
              <w:left w:w="108" w:type="dxa"/>
              <w:bottom w:w="0" w:type="dxa"/>
              <w:right w:w="118" w:type="dxa"/>
            </w:tcMar>
            <w:vAlign w:val="center"/>
          </w:tcPr>
          <w:p>
            <w:pPr>
              <w:pStyle w:val="93"/>
              <w:rPr>
                <w:rFonts w:ascii="等线" w:hAnsi="等线" w:eastAsia="等线" w:cs="等线"/>
                <w:b w:val="0"/>
                <w:bCs w:val="0"/>
                <w:i w:val="0"/>
                <w:iCs w:val="0"/>
                <w:smallCaps w:val="0"/>
                <w:color w:val="000000"/>
                <w:sz w:val="20"/>
                <w:szCs w:val="20"/>
              </w:rPr>
            </w:pPr>
            <w:r>
              <w:rPr>
                <w:rFonts w:ascii="仿宋_GB2312" w:hAnsi="仿宋_GB2312" w:eastAsia="仿宋_GB2312" w:cs="仿宋_GB2312"/>
                <w:b w:val="0"/>
                <w:bCs w:val="0"/>
                <w:i w:val="0"/>
                <w:iCs w:val="0"/>
                <w:smallCaps w:val="0"/>
                <w:color w:val="000000"/>
                <w:sz w:val="18"/>
                <w:szCs w:val="18"/>
              </w:rPr>
              <w:t>提供承诺书</w:t>
            </w:r>
          </w:p>
        </w:tc>
      </w:tr>
      <w:tr>
        <w:tblPrEx>
          <w:tblCellMar>
            <w:top w:w="15" w:type="dxa"/>
            <w:left w:w="15" w:type="dxa"/>
            <w:bottom w:w="15" w:type="dxa"/>
            <w:right w:w="15" w:type="dxa"/>
          </w:tblCellMar>
        </w:tblPrEx>
        <w:trPr>
          <w:trHeight w:val="1050" w:hRule="atLeast"/>
          <w:tblCellSpacing w:w="0" w:type="dxa"/>
        </w:trPr>
        <w:tc>
          <w:tcPr>
            <w:tcW w:w="0" w:type="auto"/>
            <w:tcBorders>
              <w:left w:val="single" w:color="000000" w:sz="8" w:space="0"/>
              <w:bottom w:val="single" w:color="000000" w:sz="8" w:space="0"/>
              <w:right w:val="single" w:color="000000" w:sz="8" w:space="0"/>
            </w:tcBorders>
            <w:noWrap w:val="0"/>
            <w:tcMar>
              <w:top w:w="0" w:type="dxa"/>
              <w:left w:w="118" w:type="dxa"/>
              <w:bottom w:w="0" w:type="dxa"/>
              <w:right w:w="118" w:type="dxa"/>
            </w:tcMar>
            <w:vAlign w:val="center"/>
          </w:tcPr>
          <w:p>
            <w:pPr>
              <w:pStyle w:val="93"/>
              <w:spacing w:before="0" w:after="0"/>
              <w:ind w:left="425" w:right="0" w:hanging="425"/>
              <w:jc w:val="center"/>
              <w:rPr>
                <w:b w:val="0"/>
                <w:bCs w:val="0"/>
                <w:i w:val="0"/>
                <w:iCs w:val="0"/>
                <w:smallCaps w:val="0"/>
                <w:color w:val="000000"/>
                <w:sz w:val="32"/>
                <w:szCs w:val="32"/>
              </w:rPr>
            </w:pPr>
            <w:r>
              <w:rPr>
                <w:rFonts w:ascii="仿宋_GB2312" w:hAnsi="仿宋_GB2312" w:eastAsia="仿宋_GB2312" w:cs="仿宋_GB2312"/>
                <w:b w:val="0"/>
                <w:bCs w:val="0"/>
                <w:i w:val="0"/>
                <w:iCs w:val="0"/>
                <w:smallCaps w:val="0"/>
                <w:color w:val="000000"/>
                <w:sz w:val="18"/>
                <w:szCs w:val="18"/>
              </w:rPr>
              <w:t>15</w:t>
            </w:r>
          </w:p>
        </w:tc>
        <w:tc>
          <w:tcPr>
            <w:vMerge w:val="continue"/>
            <w:tcBorders>
              <w:right w:val="single" w:color="000000" w:sz="8" w:space="0"/>
            </w:tcBorders>
            <w:vAlign w:val="center"/>
          </w:tcPr>
          <w:p>
            <w:pPr>
              <w:pStyle w:val="18"/>
              <w:rPr>
                <w:rFonts w:ascii="仿宋_GB2312" w:hAnsi="仿宋_GB2312" w:eastAsia="仿宋_GB2312" w:cs="仿宋_GB2312"/>
                <w:b w:val="0"/>
                <w:bCs w:val="0"/>
                <w:i w:val="0"/>
                <w:iCs w:val="0"/>
                <w:smallCaps w:val="0"/>
                <w:color w:val="000000"/>
                <w:sz w:val="18"/>
                <w:szCs w:val="18"/>
              </w:rPr>
            </w:pPr>
          </w:p>
        </w:tc>
        <w:tc>
          <w:tcPr>
            <w:tcW w:w="0" w:type="auto"/>
            <w:vMerge w:val="restart"/>
            <w:tcBorders>
              <w:bottom w:val="nil"/>
              <w:right w:val="single" w:color="000000" w:sz="8" w:space="0"/>
            </w:tcBorders>
            <w:noWrap w:val="0"/>
            <w:tcMar>
              <w:top w:w="0" w:type="dxa"/>
              <w:left w:w="108" w:type="dxa"/>
              <w:bottom w:w="0" w:type="dxa"/>
              <w:right w:w="118" w:type="dxa"/>
            </w:tcMar>
            <w:vAlign w:val="center"/>
          </w:tcPr>
          <w:p>
            <w:pPr>
              <w:pStyle w:val="93"/>
              <w:spacing w:before="0" w:after="0"/>
              <w:ind w:left="0" w:right="0"/>
              <w:jc w:val="center"/>
              <w:rPr>
                <w:b w:val="0"/>
                <w:bCs w:val="0"/>
                <w:i w:val="0"/>
                <w:iCs w:val="0"/>
                <w:smallCaps w:val="0"/>
                <w:color w:val="000000"/>
                <w:sz w:val="32"/>
                <w:szCs w:val="32"/>
              </w:rPr>
            </w:pPr>
            <w:r>
              <w:rPr>
                <w:rFonts w:ascii="仿宋_GB2312" w:hAnsi="仿宋_GB2312" w:eastAsia="仿宋_GB2312" w:cs="仿宋_GB2312"/>
                <w:b w:val="0"/>
                <w:bCs w:val="0"/>
                <w:i w:val="0"/>
                <w:iCs w:val="0"/>
                <w:smallCaps w:val="0"/>
                <w:color w:val="000000"/>
                <w:sz w:val="18"/>
                <w:szCs w:val="18"/>
              </w:rPr>
              <w:t> </w:t>
            </w:r>
          </w:p>
          <w:p>
            <w:pPr>
              <w:pStyle w:val="93"/>
              <w:spacing w:before="0" w:after="0"/>
              <w:ind w:left="0" w:right="0"/>
              <w:jc w:val="center"/>
              <w:rPr>
                <w:b w:val="0"/>
                <w:bCs w:val="0"/>
                <w:i w:val="0"/>
                <w:iCs w:val="0"/>
                <w:smallCaps w:val="0"/>
                <w:color w:val="000000"/>
                <w:sz w:val="32"/>
                <w:szCs w:val="32"/>
              </w:rPr>
            </w:pPr>
            <w:r>
              <w:rPr>
                <w:rFonts w:ascii="仿宋_GB2312" w:hAnsi="仿宋_GB2312" w:eastAsia="仿宋_GB2312" w:cs="仿宋_GB2312"/>
                <w:b w:val="0"/>
                <w:bCs w:val="0"/>
                <w:i w:val="0"/>
                <w:iCs w:val="0"/>
                <w:smallCaps w:val="0"/>
                <w:color w:val="000000"/>
                <w:sz w:val="18"/>
                <w:szCs w:val="18"/>
              </w:rPr>
              <w:t> </w:t>
            </w:r>
          </w:p>
          <w:p>
            <w:pPr>
              <w:pStyle w:val="93"/>
              <w:spacing w:before="0" w:after="0"/>
              <w:ind w:left="0" w:right="0"/>
              <w:jc w:val="center"/>
              <w:rPr>
                <w:b w:val="0"/>
                <w:bCs w:val="0"/>
                <w:i w:val="0"/>
                <w:iCs w:val="0"/>
                <w:smallCaps w:val="0"/>
                <w:color w:val="000000"/>
                <w:sz w:val="32"/>
                <w:szCs w:val="32"/>
              </w:rPr>
            </w:pPr>
            <w:r>
              <w:rPr>
                <w:rFonts w:ascii="仿宋_GB2312" w:hAnsi="仿宋_GB2312" w:eastAsia="仿宋_GB2312" w:cs="仿宋_GB2312"/>
                <w:b w:val="0"/>
                <w:bCs w:val="0"/>
                <w:i w:val="0"/>
                <w:iCs w:val="0"/>
                <w:smallCaps w:val="0"/>
                <w:color w:val="000000"/>
                <w:sz w:val="18"/>
                <w:szCs w:val="18"/>
              </w:rPr>
              <w:t> </w:t>
            </w:r>
          </w:p>
          <w:p>
            <w:pPr>
              <w:pStyle w:val="93"/>
              <w:spacing w:before="0" w:after="0"/>
              <w:ind w:left="0" w:right="0"/>
              <w:jc w:val="center"/>
              <w:rPr>
                <w:b w:val="0"/>
                <w:bCs w:val="0"/>
                <w:i w:val="0"/>
                <w:iCs w:val="0"/>
                <w:smallCaps w:val="0"/>
                <w:color w:val="000000"/>
                <w:sz w:val="32"/>
                <w:szCs w:val="32"/>
              </w:rPr>
            </w:pPr>
            <w:r>
              <w:rPr>
                <w:rFonts w:ascii="仿宋_GB2312" w:hAnsi="仿宋_GB2312" w:eastAsia="仿宋_GB2312" w:cs="仿宋_GB2312"/>
                <w:b w:val="0"/>
                <w:bCs w:val="0"/>
                <w:i w:val="0"/>
                <w:iCs w:val="0"/>
                <w:smallCaps w:val="0"/>
                <w:color w:val="000000"/>
                <w:sz w:val="18"/>
                <w:szCs w:val="18"/>
              </w:rPr>
              <w:t> </w:t>
            </w:r>
          </w:p>
          <w:p>
            <w:pPr>
              <w:pStyle w:val="93"/>
              <w:spacing w:before="0" w:after="0"/>
              <w:ind w:left="0" w:right="0"/>
              <w:jc w:val="center"/>
              <w:rPr>
                <w:b w:val="0"/>
                <w:bCs w:val="0"/>
                <w:i w:val="0"/>
                <w:iCs w:val="0"/>
                <w:smallCaps w:val="0"/>
                <w:color w:val="000000"/>
                <w:sz w:val="32"/>
                <w:szCs w:val="32"/>
              </w:rPr>
            </w:pPr>
            <w:r>
              <w:rPr>
                <w:rFonts w:ascii="仿宋_GB2312" w:hAnsi="仿宋_GB2312" w:eastAsia="仿宋_GB2312" w:cs="仿宋_GB2312"/>
                <w:b w:val="0"/>
                <w:bCs w:val="0"/>
                <w:i w:val="0"/>
                <w:iCs w:val="0"/>
                <w:smallCaps w:val="0"/>
                <w:color w:val="000000"/>
                <w:sz w:val="18"/>
                <w:szCs w:val="18"/>
              </w:rPr>
              <w:t> </w:t>
            </w:r>
          </w:p>
          <w:p>
            <w:pPr>
              <w:pStyle w:val="93"/>
              <w:spacing w:before="0" w:after="0"/>
              <w:ind w:left="0" w:right="0"/>
              <w:jc w:val="center"/>
              <w:rPr>
                <w:b w:val="0"/>
                <w:bCs w:val="0"/>
                <w:i w:val="0"/>
                <w:iCs w:val="0"/>
                <w:smallCaps w:val="0"/>
                <w:color w:val="000000"/>
                <w:sz w:val="32"/>
                <w:szCs w:val="32"/>
              </w:rPr>
            </w:pPr>
            <w:r>
              <w:rPr>
                <w:rFonts w:ascii="仿宋_GB2312" w:hAnsi="仿宋_GB2312" w:eastAsia="仿宋_GB2312" w:cs="仿宋_GB2312"/>
                <w:b w:val="0"/>
                <w:bCs w:val="0"/>
                <w:i w:val="0"/>
                <w:iCs w:val="0"/>
                <w:smallCaps w:val="0"/>
                <w:color w:val="000000"/>
                <w:sz w:val="18"/>
                <w:szCs w:val="18"/>
              </w:rPr>
              <w:t>#业务需求</w:t>
            </w:r>
          </w:p>
        </w:tc>
        <w:tc>
          <w:tcPr>
            <w:tcW w:w="0" w:type="auto"/>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jc w:val="center"/>
              <w:rPr>
                <w:b w:val="0"/>
                <w:bCs w:val="0"/>
                <w:i w:val="0"/>
                <w:iCs w:val="0"/>
                <w:smallCaps w:val="0"/>
                <w:color w:val="000000"/>
                <w:sz w:val="32"/>
                <w:szCs w:val="32"/>
              </w:rPr>
            </w:pPr>
            <w:r>
              <w:rPr>
                <w:rFonts w:ascii="仿宋_GB2312" w:hAnsi="仿宋_GB2312" w:eastAsia="仿宋_GB2312" w:cs="仿宋_GB2312"/>
                <w:b w:val="0"/>
                <w:bCs w:val="0"/>
                <w:i w:val="0"/>
                <w:iCs w:val="0"/>
                <w:smallCaps w:val="0"/>
                <w:color w:val="000000"/>
                <w:sz w:val="20"/>
                <w:szCs w:val="20"/>
              </w:rPr>
              <w:t>#</w:t>
            </w:r>
            <w:r>
              <w:rPr>
                <w:rFonts w:ascii="仿宋_GB2312" w:hAnsi="仿宋_GB2312" w:eastAsia="仿宋_GB2312" w:cs="仿宋_GB2312"/>
                <w:b w:val="0"/>
                <w:bCs w:val="0"/>
                <w:i w:val="0"/>
                <w:iCs w:val="0"/>
                <w:smallCaps w:val="0"/>
                <w:color w:val="000000"/>
                <w:sz w:val="18"/>
                <w:szCs w:val="18"/>
              </w:rPr>
              <w:t>数据同步链路建设</w:t>
            </w:r>
          </w:p>
        </w:tc>
        <w:tc>
          <w:tcPr>
            <w:tcW w:w="0" w:type="auto"/>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rPr>
                <w:b w:val="0"/>
                <w:bCs w:val="0"/>
                <w:i w:val="0"/>
                <w:iCs w:val="0"/>
                <w:smallCaps w:val="0"/>
                <w:color w:val="000000"/>
                <w:sz w:val="32"/>
                <w:szCs w:val="32"/>
              </w:rPr>
            </w:pPr>
            <w:r>
              <w:rPr>
                <w:rFonts w:ascii="仿宋_GB2312" w:hAnsi="仿宋_GB2312" w:eastAsia="仿宋_GB2312" w:cs="仿宋_GB2312"/>
                <w:b w:val="0"/>
                <w:bCs w:val="0"/>
                <w:i w:val="0"/>
                <w:iCs w:val="0"/>
                <w:smallCaps w:val="0"/>
                <w:color w:val="000000"/>
                <w:sz w:val="18"/>
                <w:szCs w:val="18"/>
              </w:rPr>
              <w:t>搭建数据同步应用服务器，按照总局方案搭建数据同步链路SS96_2,源端为ORACLE数据库，目标端为应用系统云上汇聚区Postgre数据库。</w:t>
            </w:r>
          </w:p>
        </w:tc>
        <w:tc>
          <w:tcPr>
            <w:tcW w:w="0" w:type="auto"/>
            <w:tcBorders>
              <w:bottom w:val="single" w:color="000000" w:sz="8" w:space="0"/>
              <w:right w:val="single" w:color="000000" w:sz="8" w:space="0"/>
            </w:tcBorders>
            <w:noWrap w:val="0"/>
            <w:tcMar>
              <w:top w:w="0" w:type="dxa"/>
              <w:left w:w="108" w:type="dxa"/>
              <w:bottom w:w="0" w:type="dxa"/>
              <w:right w:w="118" w:type="dxa"/>
            </w:tcMar>
            <w:vAlign w:val="center"/>
          </w:tcPr>
          <w:p>
            <w:pPr>
              <w:pStyle w:val="93"/>
              <w:rPr>
                <w:rFonts w:ascii="等线" w:hAnsi="等线" w:eastAsia="等线" w:cs="等线"/>
                <w:b w:val="0"/>
                <w:bCs w:val="0"/>
                <w:i w:val="0"/>
                <w:iCs w:val="0"/>
                <w:smallCaps w:val="0"/>
                <w:color w:val="000000"/>
                <w:sz w:val="20"/>
                <w:szCs w:val="20"/>
              </w:rPr>
            </w:pPr>
            <w:r>
              <w:rPr>
                <w:rFonts w:ascii="仿宋_GB2312" w:hAnsi="仿宋_GB2312" w:eastAsia="仿宋_GB2312" w:cs="仿宋_GB2312"/>
                <w:b w:val="0"/>
                <w:bCs w:val="0"/>
                <w:i w:val="0"/>
                <w:iCs w:val="0"/>
                <w:smallCaps w:val="0"/>
                <w:color w:val="000000"/>
                <w:sz w:val="18"/>
                <w:szCs w:val="18"/>
              </w:rPr>
              <w:t>提供承诺书</w:t>
            </w:r>
          </w:p>
        </w:tc>
      </w:tr>
      <w:tr>
        <w:tblPrEx>
          <w:tblCellMar>
            <w:top w:w="15" w:type="dxa"/>
            <w:left w:w="15" w:type="dxa"/>
            <w:bottom w:w="15" w:type="dxa"/>
            <w:right w:w="15" w:type="dxa"/>
          </w:tblCellMar>
        </w:tblPrEx>
        <w:trPr>
          <w:trHeight w:val="1050" w:hRule="atLeast"/>
          <w:tblCellSpacing w:w="0" w:type="dxa"/>
        </w:trPr>
        <w:tc>
          <w:tcPr>
            <w:tcW w:w="0" w:type="auto"/>
            <w:tcBorders>
              <w:left w:val="single" w:color="000000" w:sz="8" w:space="0"/>
              <w:bottom w:val="single" w:color="000000" w:sz="8" w:space="0"/>
              <w:right w:val="single" w:color="000000" w:sz="8" w:space="0"/>
            </w:tcBorders>
            <w:noWrap w:val="0"/>
            <w:tcMar>
              <w:top w:w="0" w:type="dxa"/>
              <w:left w:w="118" w:type="dxa"/>
              <w:bottom w:w="0" w:type="dxa"/>
              <w:right w:w="118" w:type="dxa"/>
            </w:tcMar>
            <w:vAlign w:val="center"/>
          </w:tcPr>
          <w:p>
            <w:pPr>
              <w:pStyle w:val="93"/>
              <w:spacing w:before="0" w:after="0"/>
              <w:ind w:left="425" w:right="0" w:hanging="425"/>
              <w:jc w:val="center"/>
              <w:rPr>
                <w:b w:val="0"/>
                <w:bCs w:val="0"/>
                <w:i w:val="0"/>
                <w:iCs w:val="0"/>
                <w:smallCaps w:val="0"/>
                <w:color w:val="000000"/>
                <w:sz w:val="32"/>
                <w:szCs w:val="32"/>
              </w:rPr>
            </w:pPr>
            <w:r>
              <w:rPr>
                <w:rFonts w:ascii="仿宋_GB2312" w:hAnsi="仿宋_GB2312" w:eastAsia="仿宋_GB2312" w:cs="仿宋_GB2312"/>
                <w:b w:val="0"/>
                <w:bCs w:val="0"/>
                <w:i w:val="0"/>
                <w:iCs w:val="0"/>
                <w:smallCaps w:val="0"/>
                <w:color w:val="000000"/>
                <w:sz w:val="18"/>
                <w:szCs w:val="18"/>
              </w:rPr>
              <w:t>16</w:t>
            </w:r>
          </w:p>
        </w:tc>
        <w:tc>
          <w:tcPr>
            <w:vMerge w:val="continue"/>
            <w:tcBorders>
              <w:right w:val="single" w:color="000000" w:sz="8" w:space="0"/>
            </w:tcBorders>
            <w:vAlign w:val="center"/>
          </w:tcPr>
          <w:p>
            <w:pPr>
              <w:pStyle w:val="18"/>
              <w:rPr>
                <w:rFonts w:ascii="仿宋_GB2312" w:hAnsi="仿宋_GB2312" w:eastAsia="仿宋_GB2312" w:cs="仿宋_GB2312"/>
                <w:b w:val="0"/>
                <w:bCs w:val="0"/>
                <w:i w:val="0"/>
                <w:iCs w:val="0"/>
                <w:smallCaps w:val="0"/>
                <w:color w:val="000000"/>
                <w:sz w:val="18"/>
                <w:szCs w:val="18"/>
              </w:rPr>
            </w:pPr>
          </w:p>
        </w:tc>
        <w:tc>
          <w:tcPr>
            <w:vMerge w:val="continue"/>
            <w:tcBorders>
              <w:right w:val="single" w:color="000000" w:sz="8" w:space="0"/>
            </w:tcBorders>
            <w:vAlign w:val="center"/>
          </w:tcPr>
          <w:p>
            <w:pPr>
              <w:pStyle w:val="18"/>
              <w:rPr>
                <w:rFonts w:ascii="仿宋_GB2312" w:hAnsi="仿宋_GB2312" w:eastAsia="仿宋_GB2312" w:cs="仿宋_GB2312"/>
                <w:b w:val="0"/>
                <w:bCs w:val="0"/>
                <w:i w:val="0"/>
                <w:iCs w:val="0"/>
                <w:smallCaps w:val="0"/>
                <w:color w:val="000000"/>
                <w:sz w:val="18"/>
                <w:szCs w:val="18"/>
              </w:rPr>
            </w:pPr>
          </w:p>
        </w:tc>
        <w:tc>
          <w:tcPr>
            <w:tcW w:w="0" w:type="auto"/>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jc w:val="center"/>
              <w:rPr>
                <w:b w:val="0"/>
                <w:bCs w:val="0"/>
                <w:i w:val="0"/>
                <w:iCs w:val="0"/>
                <w:smallCaps w:val="0"/>
                <w:color w:val="000000"/>
                <w:sz w:val="32"/>
                <w:szCs w:val="32"/>
              </w:rPr>
            </w:pPr>
            <w:r>
              <w:rPr>
                <w:rFonts w:ascii="仿宋_GB2312" w:hAnsi="仿宋_GB2312" w:eastAsia="仿宋_GB2312" w:cs="仿宋_GB2312"/>
                <w:b w:val="0"/>
                <w:bCs w:val="0"/>
                <w:i w:val="0"/>
                <w:iCs w:val="0"/>
                <w:smallCaps w:val="0"/>
                <w:color w:val="000000"/>
                <w:sz w:val="20"/>
                <w:szCs w:val="20"/>
              </w:rPr>
              <w:t>#</w:t>
            </w:r>
            <w:r>
              <w:rPr>
                <w:rFonts w:ascii="仿宋_GB2312" w:hAnsi="仿宋_GB2312" w:eastAsia="仿宋_GB2312" w:cs="仿宋_GB2312"/>
                <w:b w:val="0"/>
                <w:bCs w:val="0"/>
                <w:i w:val="0"/>
                <w:iCs w:val="0"/>
                <w:smallCaps w:val="0"/>
                <w:color w:val="000000"/>
                <w:sz w:val="18"/>
                <w:szCs w:val="18"/>
              </w:rPr>
              <w:t>数据初始化</w:t>
            </w:r>
          </w:p>
        </w:tc>
        <w:tc>
          <w:tcPr>
            <w:tcW w:w="0" w:type="auto"/>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rPr>
                <w:b w:val="0"/>
                <w:bCs w:val="0"/>
                <w:i w:val="0"/>
                <w:iCs w:val="0"/>
                <w:smallCaps w:val="0"/>
                <w:color w:val="000000"/>
                <w:sz w:val="32"/>
                <w:szCs w:val="32"/>
              </w:rPr>
            </w:pPr>
            <w:r>
              <w:rPr>
                <w:rFonts w:ascii="仿宋_GB2312" w:hAnsi="仿宋_GB2312" w:eastAsia="仿宋_GB2312" w:cs="仿宋_GB2312"/>
                <w:b w:val="0"/>
                <w:bCs w:val="0"/>
                <w:i w:val="0"/>
                <w:iCs w:val="0"/>
                <w:smallCaps w:val="0"/>
                <w:color w:val="000000"/>
                <w:sz w:val="18"/>
                <w:szCs w:val="18"/>
              </w:rPr>
              <w:t>对下面的数据表进行全量数据初始化。</w:t>
            </w:r>
          </w:p>
        </w:tc>
        <w:tc>
          <w:tcPr>
            <w:tcW w:w="0" w:type="auto"/>
            <w:tcBorders>
              <w:bottom w:val="single" w:color="000000" w:sz="8" w:space="0"/>
              <w:right w:val="single" w:color="000000" w:sz="8" w:space="0"/>
            </w:tcBorders>
            <w:noWrap w:val="0"/>
            <w:tcMar>
              <w:top w:w="0" w:type="dxa"/>
              <w:left w:w="108" w:type="dxa"/>
              <w:bottom w:w="0" w:type="dxa"/>
              <w:right w:w="118" w:type="dxa"/>
            </w:tcMar>
            <w:vAlign w:val="center"/>
          </w:tcPr>
          <w:p>
            <w:pPr>
              <w:pStyle w:val="93"/>
              <w:rPr>
                <w:rFonts w:ascii="等线" w:hAnsi="等线" w:eastAsia="等线" w:cs="等线"/>
                <w:b w:val="0"/>
                <w:bCs w:val="0"/>
                <w:i w:val="0"/>
                <w:iCs w:val="0"/>
                <w:smallCaps w:val="0"/>
                <w:color w:val="000000"/>
                <w:sz w:val="20"/>
                <w:szCs w:val="20"/>
              </w:rPr>
            </w:pPr>
            <w:r>
              <w:rPr>
                <w:rFonts w:ascii="仿宋_GB2312" w:hAnsi="仿宋_GB2312" w:eastAsia="仿宋_GB2312" w:cs="仿宋_GB2312"/>
                <w:b w:val="0"/>
                <w:bCs w:val="0"/>
                <w:i w:val="0"/>
                <w:iCs w:val="0"/>
                <w:smallCaps w:val="0"/>
                <w:color w:val="000000"/>
                <w:sz w:val="18"/>
                <w:szCs w:val="18"/>
              </w:rPr>
              <w:t>提供承诺书</w:t>
            </w:r>
          </w:p>
        </w:tc>
      </w:tr>
      <w:tr>
        <w:tblPrEx>
          <w:tblCellMar>
            <w:top w:w="15" w:type="dxa"/>
            <w:left w:w="15" w:type="dxa"/>
            <w:bottom w:w="15" w:type="dxa"/>
            <w:right w:w="15" w:type="dxa"/>
          </w:tblCellMar>
        </w:tblPrEx>
        <w:trPr>
          <w:trHeight w:val="750" w:hRule="atLeast"/>
          <w:tblCellSpacing w:w="0" w:type="dxa"/>
        </w:trPr>
        <w:tc>
          <w:tcPr>
            <w:tcW w:w="0" w:type="auto"/>
            <w:tcBorders>
              <w:left w:val="single" w:color="000000" w:sz="8" w:space="0"/>
              <w:bottom w:val="single" w:color="000000" w:sz="8" w:space="0"/>
              <w:right w:val="single" w:color="000000" w:sz="8" w:space="0"/>
            </w:tcBorders>
            <w:noWrap w:val="0"/>
            <w:tcMar>
              <w:top w:w="0" w:type="dxa"/>
              <w:left w:w="118" w:type="dxa"/>
              <w:bottom w:w="0" w:type="dxa"/>
              <w:right w:w="118" w:type="dxa"/>
            </w:tcMar>
            <w:vAlign w:val="center"/>
          </w:tcPr>
          <w:p>
            <w:pPr>
              <w:pStyle w:val="93"/>
              <w:spacing w:before="0" w:after="0"/>
              <w:ind w:left="425" w:right="0" w:hanging="425"/>
              <w:jc w:val="center"/>
              <w:rPr>
                <w:b w:val="0"/>
                <w:bCs w:val="0"/>
                <w:i w:val="0"/>
                <w:iCs w:val="0"/>
                <w:smallCaps w:val="0"/>
                <w:color w:val="000000"/>
                <w:sz w:val="32"/>
                <w:szCs w:val="32"/>
              </w:rPr>
            </w:pPr>
            <w:r>
              <w:rPr>
                <w:rFonts w:ascii="仿宋_GB2312" w:hAnsi="仿宋_GB2312" w:eastAsia="仿宋_GB2312" w:cs="仿宋_GB2312"/>
                <w:b w:val="0"/>
                <w:bCs w:val="0"/>
                <w:i w:val="0"/>
                <w:iCs w:val="0"/>
                <w:smallCaps w:val="0"/>
                <w:color w:val="000000"/>
                <w:sz w:val="18"/>
                <w:szCs w:val="18"/>
              </w:rPr>
              <w:t>17</w:t>
            </w:r>
          </w:p>
        </w:tc>
        <w:tc>
          <w:tcPr>
            <w:vMerge w:val="continue"/>
            <w:tcBorders>
              <w:right w:val="single" w:color="000000" w:sz="8" w:space="0"/>
            </w:tcBorders>
            <w:vAlign w:val="center"/>
          </w:tcPr>
          <w:p>
            <w:pPr>
              <w:pStyle w:val="18"/>
              <w:rPr>
                <w:rFonts w:ascii="仿宋_GB2312" w:hAnsi="仿宋_GB2312" w:eastAsia="仿宋_GB2312" w:cs="仿宋_GB2312"/>
                <w:b w:val="0"/>
                <w:bCs w:val="0"/>
                <w:i w:val="0"/>
                <w:iCs w:val="0"/>
                <w:smallCaps w:val="0"/>
                <w:color w:val="000000"/>
                <w:sz w:val="18"/>
                <w:szCs w:val="18"/>
              </w:rPr>
            </w:pPr>
          </w:p>
        </w:tc>
        <w:tc>
          <w:tcPr>
            <w:vMerge w:val="continue"/>
            <w:tcBorders>
              <w:right w:val="single" w:color="000000" w:sz="8" w:space="0"/>
            </w:tcBorders>
            <w:vAlign w:val="center"/>
          </w:tcPr>
          <w:p>
            <w:pPr>
              <w:pStyle w:val="18"/>
              <w:rPr>
                <w:rFonts w:ascii="仿宋_GB2312" w:hAnsi="仿宋_GB2312" w:eastAsia="仿宋_GB2312" w:cs="仿宋_GB2312"/>
                <w:b w:val="0"/>
                <w:bCs w:val="0"/>
                <w:i w:val="0"/>
                <w:iCs w:val="0"/>
                <w:smallCaps w:val="0"/>
                <w:color w:val="000000"/>
                <w:sz w:val="18"/>
                <w:szCs w:val="18"/>
              </w:rPr>
            </w:pPr>
          </w:p>
        </w:tc>
        <w:tc>
          <w:tcPr>
            <w:tcW w:w="0" w:type="auto"/>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jc w:val="center"/>
              <w:rPr>
                <w:b w:val="0"/>
                <w:bCs w:val="0"/>
                <w:i w:val="0"/>
                <w:iCs w:val="0"/>
                <w:smallCaps w:val="0"/>
                <w:color w:val="000000"/>
                <w:sz w:val="32"/>
                <w:szCs w:val="32"/>
              </w:rPr>
            </w:pPr>
            <w:r>
              <w:rPr>
                <w:rFonts w:ascii="仿宋_GB2312" w:hAnsi="仿宋_GB2312" w:eastAsia="仿宋_GB2312" w:cs="仿宋_GB2312"/>
                <w:b w:val="0"/>
                <w:bCs w:val="0"/>
                <w:i w:val="0"/>
                <w:iCs w:val="0"/>
                <w:smallCaps w:val="0"/>
                <w:color w:val="000000"/>
                <w:sz w:val="20"/>
                <w:szCs w:val="20"/>
              </w:rPr>
              <w:t>#数据</w:t>
            </w:r>
            <w:r>
              <w:rPr>
                <w:rFonts w:ascii="仿宋_GB2312" w:hAnsi="仿宋_GB2312" w:eastAsia="仿宋_GB2312" w:cs="仿宋_GB2312"/>
                <w:b w:val="0"/>
                <w:bCs w:val="0"/>
                <w:i w:val="0"/>
                <w:iCs w:val="0"/>
                <w:smallCaps w:val="0"/>
                <w:color w:val="000000"/>
                <w:sz w:val="18"/>
                <w:szCs w:val="18"/>
              </w:rPr>
              <w:t>增量同步</w:t>
            </w:r>
          </w:p>
        </w:tc>
        <w:tc>
          <w:tcPr>
            <w:tcW w:w="0" w:type="auto"/>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rPr>
                <w:b w:val="0"/>
                <w:bCs w:val="0"/>
                <w:i w:val="0"/>
                <w:iCs w:val="0"/>
                <w:smallCaps w:val="0"/>
                <w:color w:val="000000"/>
                <w:sz w:val="32"/>
                <w:szCs w:val="32"/>
              </w:rPr>
            </w:pPr>
            <w:r>
              <w:rPr>
                <w:rFonts w:ascii="仿宋_GB2312" w:hAnsi="仿宋_GB2312" w:eastAsia="仿宋_GB2312" w:cs="仿宋_GB2312"/>
                <w:b w:val="0"/>
                <w:bCs w:val="0"/>
                <w:i w:val="0"/>
                <w:iCs w:val="0"/>
                <w:smallCaps w:val="0"/>
                <w:color w:val="000000"/>
                <w:sz w:val="18"/>
                <w:szCs w:val="18"/>
              </w:rPr>
              <w:t>实现实时增量数据同步。</w:t>
            </w:r>
          </w:p>
        </w:tc>
        <w:tc>
          <w:tcPr>
            <w:tcW w:w="0" w:type="auto"/>
            <w:tcBorders>
              <w:bottom w:val="single" w:color="000000" w:sz="8" w:space="0"/>
              <w:right w:val="single" w:color="000000" w:sz="8" w:space="0"/>
            </w:tcBorders>
            <w:noWrap w:val="0"/>
            <w:tcMar>
              <w:top w:w="0" w:type="dxa"/>
              <w:left w:w="108" w:type="dxa"/>
              <w:bottom w:w="0" w:type="dxa"/>
              <w:right w:w="118" w:type="dxa"/>
            </w:tcMar>
            <w:vAlign w:val="center"/>
          </w:tcPr>
          <w:p>
            <w:pPr>
              <w:pStyle w:val="93"/>
              <w:rPr>
                <w:rFonts w:ascii="等线" w:hAnsi="等线" w:eastAsia="等线" w:cs="等线"/>
                <w:b w:val="0"/>
                <w:bCs w:val="0"/>
                <w:i w:val="0"/>
                <w:iCs w:val="0"/>
                <w:smallCaps w:val="0"/>
                <w:color w:val="000000"/>
                <w:sz w:val="20"/>
                <w:szCs w:val="20"/>
              </w:rPr>
            </w:pPr>
            <w:r>
              <w:rPr>
                <w:rFonts w:ascii="仿宋_GB2312" w:hAnsi="仿宋_GB2312" w:eastAsia="仿宋_GB2312" w:cs="仿宋_GB2312"/>
                <w:b w:val="0"/>
                <w:bCs w:val="0"/>
                <w:i w:val="0"/>
                <w:iCs w:val="0"/>
                <w:smallCaps w:val="0"/>
                <w:color w:val="000000"/>
                <w:sz w:val="18"/>
                <w:szCs w:val="18"/>
              </w:rPr>
              <w:t>提供承诺书</w:t>
            </w:r>
          </w:p>
        </w:tc>
      </w:tr>
      <w:tr>
        <w:tblPrEx>
          <w:tblCellMar>
            <w:top w:w="15" w:type="dxa"/>
            <w:left w:w="15" w:type="dxa"/>
            <w:bottom w:w="15" w:type="dxa"/>
            <w:right w:w="15" w:type="dxa"/>
          </w:tblCellMar>
        </w:tblPrEx>
        <w:trPr>
          <w:trHeight w:val="750" w:hRule="atLeast"/>
          <w:tblCellSpacing w:w="0" w:type="dxa"/>
        </w:trPr>
        <w:tc>
          <w:tcPr>
            <w:tcW w:w="0" w:type="auto"/>
            <w:tcBorders>
              <w:left w:val="single" w:color="000000" w:sz="8" w:space="0"/>
              <w:bottom w:val="single" w:color="000000" w:sz="8" w:space="0"/>
              <w:right w:val="single" w:color="000000" w:sz="8" w:space="0"/>
            </w:tcBorders>
            <w:noWrap w:val="0"/>
            <w:tcMar>
              <w:top w:w="0" w:type="dxa"/>
              <w:left w:w="118" w:type="dxa"/>
              <w:bottom w:w="0" w:type="dxa"/>
              <w:right w:w="118" w:type="dxa"/>
            </w:tcMar>
            <w:vAlign w:val="center"/>
          </w:tcPr>
          <w:p>
            <w:pPr>
              <w:pStyle w:val="93"/>
              <w:spacing w:before="0" w:after="0"/>
              <w:ind w:left="425" w:right="0" w:hanging="425"/>
              <w:jc w:val="center"/>
              <w:rPr>
                <w:b w:val="0"/>
                <w:bCs w:val="0"/>
                <w:i w:val="0"/>
                <w:iCs w:val="0"/>
                <w:smallCaps w:val="0"/>
                <w:color w:val="000000"/>
                <w:sz w:val="32"/>
                <w:szCs w:val="32"/>
              </w:rPr>
            </w:pPr>
            <w:r>
              <w:rPr>
                <w:rFonts w:ascii="仿宋_GB2312" w:hAnsi="仿宋_GB2312" w:eastAsia="仿宋_GB2312" w:cs="仿宋_GB2312"/>
                <w:b w:val="0"/>
                <w:bCs w:val="0"/>
                <w:i w:val="0"/>
                <w:iCs w:val="0"/>
                <w:smallCaps w:val="0"/>
                <w:color w:val="000000"/>
                <w:sz w:val="18"/>
                <w:szCs w:val="18"/>
              </w:rPr>
              <w:t>18</w:t>
            </w:r>
          </w:p>
        </w:tc>
        <w:tc>
          <w:tcPr>
            <w:vMerge w:val="continue"/>
            <w:tcBorders>
              <w:right w:val="single" w:color="000000" w:sz="8" w:space="0"/>
            </w:tcBorders>
            <w:vAlign w:val="center"/>
          </w:tcPr>
          <w:p>
            <w:pPr>
              <w:pStyle w:val="18"/>
              <w:rPr>
                <w:rFonts w:ascii="仿宋_GB2312" w:hAnsi="仿宋_GB2312" w:eastAsia="仿宋_GB2312" w:cs="仿宋_GB2312"/>
                <w:b w:val="0"/>
                <w:bCs w:val="0"/>
                <w:i w:val="0"/>
                <w:iCs w:val="0"/>
                <w:smallCaps w:val="0"/>
                <w:color w:val="000000"/>
                <w:sz w:val="18"/>
                <w:szCs w:val="18"/>
              </w:rPr>
            </w:pPr>
          </w:p>
        </w:tc>
        <w:tc>
          <w:tcPr>
            <w:vMerge w:val="continue"/>
            <w:tcBorders>
              <w:right w:val="single" w:color="000000" w:sz="8" w:space="0"/>
            </w:tcBorders>
            <w:vAlign w:val="center"/>
          </w:tcPr>
          <w:p>
            <w:pPr>
              <w:pStyle w:val="18"/>
              <w:rPr>
                <w:rFonts w:ascii="仿宋_GB2312" w:hAnsi="仿宋_GB2312" w:eastAsia="仿宋_GB2312" w:cs="仿宋_GB2312"/>
                <w:b w:val="0"/>
                <w:bCs w:val="0"/>
                <w:i w:val="0"/>
                <w:iCs w:val="0"/>
                <w:smallCaps w:val="0"/>
                <w:color w:val="000000"/>
                <w:sz w:val="18"/>
                <w:szCs w:val="18"/>
              </w:rPr>
            </w:pPr>
          </w:p>
        </w:tc>
        <w:tc>
          <w:tcPr>
            <w:tcW w:w="0" w:type="auto"/>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jc w:val="center"/>
              <w:rPr>
                <w:b w:val="0"/>
                <w:bCs w:val="0"/>
                <w:i w:val="0"/>
                <w:iCs w:val="0"/>
                <w:smallCaps w:val="0"/>
                <w:color w:val="000000"/>
                <w:sz w:val="32"/>
                <w:szCs w:val="32"/>
              </w:rPr>
            </w:pPr>
            <w:r>
              <w:rPr>
                <w:rFonts w:ascii="仿宋_GB2312" w:hAnsi="仿宋_GB2312" w:eastAsia="仿宋_GB2312" w:cs="仿宋_GB2312"/>
                <w:b w:val="0"/>
                <w:bCs w:val="0"/>
                <w:i w:val="0"/>
                <w:iCs w:val="0"/>
                <w:smallCaps w:val="0"/>
                <w:color w:val="000000"/>
                <w:sz w:val="20"/>
                <w:szCs w:val="20"/>
              </w:rPr>
              <w:t>#数据同步监控</w:t>
            </w:r>
          </w:p>
        </w:tc>
        <w:tc>
          <w:tcPr>
            <w:tcW w:w="0" w:type="auto"/>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rPr>
                <w:b w:val="0"/>
                <w:bCs w:val="0"/>
                <w:i w:val="0"/>
                <w:iCs w:val="0"/>
                <w:smallCaps w:val="0"/>
                <w:color w:val="000000"/>
                <w:sz w:val="32"/>
                <w:szCs w:val="32"/>
              </w:rPr>
            </w:pPr>
            <w:r>
              <w:rPr>
                <w:rFonts w:ascii="仿宋_GB2312" w:hAnsi="仿宋_GB2312" w:eastAsia="仿宋_GB2312" w:cs="仿宋_GB2312"/>
                <w:b w:val="0"/>
                <w:bCs w:val="0"/>
                <w:i w:val="0"/>
                <w:iCs w:val="0"/>
                <w:smallCaps w:val="0"/>
                <w:color w:val="000000"/>
                <w:sz w:val="18"/>
                <w:szCs w:val="18"/>
              </w:rPr>
              <w:t>每天三次监控数同步情况，并及时进行问题处理。</w:t>
            </w:r>
          </w:p>
        </w:tc>
        <w:tc>
          <w:tcPr>
            <w:tcW w:w="0" w:type="auto"/>
            <w:tcBorders>
              <w:bottom w:val="single" w:color="000000" w:sz="8" w:space="0"/>
              <w:right w:val="single" w:color="000000" w:sz="8" w:space="0"/>
            </w:tcBorders>
            <w:noWrap w:val="0"/>
            <w:tcMar>
              <w:top w:w="0" w:type="dxa"/>
              <w:left w:w="108" w:type="dxa"/>
              <w:bottom w:w="0" w:type="dxa"/>
              <w:right w:w="118" w:type="dxa"/>
            </w:tcMar>
            <w:vAlign w:val="center"/>
          </w:tcPr>
          <w:p>
            <w:pPr>
              <w:pStyle w:val="93"/>
              <w:rPr>
                <w:rFonts w:ascii="等线" w:hAnsi="等线" w:eastAsia="等线" w:cs="等线"/>
                <w:b w:val="0"/>
                <w:bCs w:val="0"/>
                <w:i w:val="0"/>
                <w:iCs w:val="0"/>
                <w:smallCaps w:val="0"/>
                <w:color w:val="000000"/>
                <w:sz w:val="20"/>
                <w:szCs w:val="20"/>
              </w:rPr>
            </w:pPr>
            <w:r>
              <w:rPr>
                <w:rFonts w:ascii="仿宋_GB2312" w:hAnsi="仿宋_GB2312" w:eastAsia="仿宋_GB2312" w:cs="仿宋_GB2312"/>
                <w:b w:val="0"/>
                <w:bCs w:val="0"/>
                <w:i w:val="0"/>
                <w:iCs w:val="0"/>
                <w:smallCaps w:val="0"/>
                <w:color w:val="000000"/>
                <w:sz w:val="18"/>
                <w:szCs w:val="18"/>
              </w:rPr>
              <w:t>提供承诺书</w:t>
            </w:r>
          </w:p>
        </w:tc>
      </w:tr>
      <w:tr>
        <w:tblPrEx>
          <w:tblCellMar>
            <w:top w:w="15" w:type="dxa"/>
            <w:left w:w="15" w:type="dxa"/>
            <w:bottom w:w="15" w:type="dxa"/>
            <w:right w:w="15" w:type="dxa"/>
          </w:tblCellMar>
        </w:tblPrEx>
        <w:trPr>
          <w:trHeight w:val="750" w:hRule="atLeast"/>
          <w:tblCellSpacing w:w="0" w:type="dxa"/>
        </w:trPr>
        <w:tc>
          <w:tcPr>
            <w:tcW w:w="0" w:type="auto"/>
            <w:tcBorders>
              <w:left w:val="single" w:color="000000" w:sz="8" w:space="0"/>
              <w:bottom w:val="single" w:color="000000" w:sz="8" w:space="0"/>
              <w:right w:val="single" w:color="000000" w:sz="8" w:space="0"/>
            </w:tcBorders>
            <w:noWrap w:val="0"/>
            <w:tcMar>
              <w:top w:w="0" w:type="dxa"/>
              <w:left w:w="118" w:type="dxa"/>
              <w:bottom w:w="0" w:type="dxa"/>
              <w:right w:w="118" w:type="dxa"/>
            </w:tcMar>
            <w:vAlign w:val="center"/>
          </w:tcPr>
          <w:p>
            <w:pPr>
              <w:pStyle w:val="93"/>
              <w:spacing w:before="0" w:after="0"/>
              <w:ind w:left="425" w:right="0" w:hanging="425"/>
              <w:jc w:val="center"/>
              <w:rPr>
                <w:b w:val="0"/>
                <w:bCs w:val="0"/>
                <w:i w:val="0"/>
                <w:iCs w:val="0"/>
                <w:smallCaps w:val="0"/>
                <w:color w:val="000000"/>
                <w:sz w:val="32"/>
                <w:szCs w:val="32"/>
              </w:rPr>
            </w:pPr>
            <w:r>
              <w:rPr>
                <w:rFonts w:ascii="仿宋_GB2312" w:hAnsi="仿宋_GB2312" w:eastAsia="仿宋_GB2312" w:cs="仿宋_GB2312"/>
                <w:b w:val="0"/>
                <w:bCs w:val="0"/>
                <w:i w:val="0"/>
                <w:iCs w:val="0"/>
                <w:smallCaps w:val="0"/>
                <w:color w:val="000000"/>
                <w:sz w:val="18"/>
                <w:szCs w:val="18"/>
              </w:rPr>
              <w:t>19</w:t>
            </w:r>
          </w:p>
        </w:tc>
        <w:tc>
          <w:tcPr>
            <w:vMerge w:val="continue"/>
            <w:tcBorders>
              <w:right w:val="single" w:color="000000" w:sz="8" w:space="0"/>
            </w:tcBorders>
            <w:vAlign w:val="center"/>
          </w:tcPr>
          <w:p>
            <w:pPr>
              <w:pStyle w:val="18"/>
              <w:rPr>
                <w:rFonts w:ascii="仿宋_GB2312" w:hAnsi="仿宋_GB2312" w:eastAsia="仿宋_GB2312" w:cs="仿宋_GB2312"/>
                <w:b w:val="0"/>
                <w:bCs w:val="0"/>
                <w:i w:val="0"/>
                <w:iCs w:val="0"/>
                <w:smallCaps w:val="0"/>
                <w:color w:val="000000"/>
                <w:sz w:val="18"/>
                <w:szCs w:val="18"/>
              </w:rPr>
            </w:pPr>
          </w:p>
        </w:tc>
        <w:tc>
          <w:tcPr>
            <w:vMerge w:val="continue"/>
            <w:tcBorders>
              <w:right w:val="single" w:color="000000" w:sz="8" w:space="0"/>
            </w:tcBorders>
            <w:vAlign w:val="center"/>
          </w:tcPr>
          <w:p>
            <w:pPr>
              <w:pStyle w:val="18"/>
              <w:rPr>
                <w:rFonts w:ascii="仿宋_GB2312" w:hAnsi="仿宋_GB2312" w:eastAsia="仿宋_GB2312" w:cs="仿宋_GB2312"/>
                <w:b w:val="0"/>
                <w:bCs w:val="0"/>
                <w:i w:val="0"/>
                <w:iCs w:val="0"/>
                <w:smallCaps w:val="0"/>
                <w:color w:val="000000"/>
                <w:sz w:val="18"/>
                <w:szCs w:val="18"/>
              </w:rPr>
            </w:pPr>
          </w:p>
        </w:tc>
        <w:tc>
          <w:tcPr>
            <w:tcW w:w="0" w:type="auto"/>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jc w:val="center"/>
              <w:rPr>
                <w:b w:val="0"/>
                <w:bCs w:val="0"/>
                <w:i w:val="0"/>
                <w:iCs w:val="0"/>
                <w:smallCaps w:val="0"/>
                <w:color w:val="000000"/>
                <w:sz w:val="32"/>
                <w:szCs w:val="32"/>
              </w:rPr>
            </w:pPr>
            <w:r>
              <w:rPr>
                <w:rFonts w:ascii="仿宋_GB2312" w:hAnsi="仿宋_GB2312" w:eastAsia="仿宋_GB2312" w:cs="仿宋_GB2312"/>
                <w:b w:val="0"/>
                <w:bCs w:val="0"/>
                <w:i w:val="0"/>
                <w:iCs w:val="0"/>
                <w:smallCaps w:val="0"/>
                <w:color w:val="000000"/>
                <w:sz w:val="20"/>
                <w:szCs w:val="20"/>
              </w:rPr>
              <w:t>#</w:t>
            </w:r>
            <w:r>
              <w:rPr>
                <w:rFonts w:ascii="仿宋_GB2312" w:hAnsi="仿宋_GB2312" w:eastAsia="仿宋_GB2312" w:cs="仿宋_GB2312"/>
                <w:b w:val="0"/>
                <w:bCs w:val="0"/>
                <w:i w:val="0"/>
                <w:iCs w:val="0"/>
                <w:smallCaps w:val="0"/>
                <w:color w:val="000000"/>
                <w:sz w:val="18"/>
                <w:szCs w:val="18"/>
              </w:rPr>
              <w:t>信息共享接口改造</w:t>
            </w:r>
          </w:p>
        </w:tc>
        <w:tc>
          <w:tcPr>
            <w:tcW w:w="0" w:type="auto"/>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rPr>
                <w:b w:val="0"/>
                <w:bCs w:val="0"/>
                <w:i w:val="0"/>
                <w:iCs w:val="0"/>
                <w:smallCaps w:val="0"/>
                <w:color w:val="000000"/>
                <w:sz w:val="32"/>
                <w:szCs w:val="32"/>
              </w:rPr>
            </w:pPr>
            <w:r>
              <w:rPr>
                <w:rFonts w:ascii="仿宋_GB2312" w:hAnsi="仿宋_GB2312" w:eastAsia="仿宋_GB2312" w:cs="仿宋_GB2312"/>
                <w:b w:val="0"/>
                <w:bCs w:val="0"/>
                <w:i w:val="0"/>
                <w:iCs w:val="0"/>
                <w:smallCaps w:val="0"/>
                <w:color w:val="000000"/>
                <w:sz w:val="18"/>
                <w:szCs w:val="18"/>
              </w:rPr>
              <w:t>与市监部门对企业、个体工商户智能开业所需数据项逐一核对，保证每项数据的准确性，如有缺失数据项，两端同时进行改造。</w:t>
            </w:r>
          </w:p>
        </w:tc>
        <w:tc>
          <w:tcPr>
            <w:tcW w:w="0" w:type="auto"/>
            <w:tcBorders>
              <w:bottom w:val="single" w:color="000000" w:sz="8" w:space="0"/>
              <w:right w:val="single" w:color="000000" w:sz="8" w:space="0"/>
            </w:tcBorders>
            <w:noWrap w:val="0"/>
            <w:tcMar>
              <w:top w:w="0" w:type="dxa"/>
              <w:left w:w="108" w:type="dxa"/>
              <w:bottom w:w="0" w:type="dxa"/>
              <w:right w:w="118" w:type="dxa"/>
            </w:tcMar>
            <w:vAlign w:val="center"/>
          </w:tcPr>
          <w:p>
            <w:pPr>
              <w:pStyle w:val="93"/>
              <w:rPr>
                <w:rFonts w:ascii="等线" w:hAnsi="等线" w:eastAsia="等线" w:cs="等线"/>
                <w:b w:val="0"/>
                <w:bCs w:val="0"/>
                <w:i w:val="0"/>
                <w:iCs w:val="0"/>
                <w:smallCaps w:val="0"/>
                <w:color w:val="000000"/>
                <w:sz w:val="20"/>
                <w:szCs w:val="20"/>
              </w:rPr>
            </w:pPr>
            <w:r>
              <w:rPr>
                <w:rFonts w:ascii="仿宋_GB2312" w:hAnsi="仿宋_GB2312" w:eastAsia="仿宋_GB2312" w:cs="仿宋_GB2312"/>
                <w:b w:val="0"/>
                <w:bCs w:val="0"/>
                <w:i w:val="0"/>
                <w:iCs w:val="0"/>
                <w:smallCaps w:val="0"/>
                <w:color w:val="000000"/>
                <w:sz w:val="18"/>
                <w:szCs w:val="18"/>
              </w:rPr>
              <w:t>提供承诺书</w:t>
            </w:r>
          </w:p>
        </w:tc>
      </w:tr>
      <w:tr>
        <w:tblPrEx>
          <w:tblCellMar>
            <w:top w:w="15" w:type="dxa"/>
            <w:left w:w="15" w:type="dxa"/>
            <w:bottom w:w="15" w:type="dxa"/>
            <w:right w:w="15" w:type="dxa"/>
          </w:tblCellMar>
        </w:tblPrEx>
        <w:trPr>
          <w:trHeight w:val="750" w:hRule="atLeast"/>
          <w:tblCellSpacing w:w="0" w:type="dxa"/>
        </w:trPr>
        <w:tc>
          <w:tcPr>
            <w:tcW w:w="0" w:type="auto"/>
            <w:tcBorders>
              <w:left w:val="single" w:color="000000" w:sz="8" w:space="0"/>
              <w:bottom w:val="single" w:color="000000" w:sz="8" w:space="0"/>
              <w:right w:val="single" w:color="000000" w:sz="8" w:space="0"/>
            </w:tcBorders>
            <w:noWrap w:val="0"/>
            <w:tcMar>
              <w:top w:w="0" w:type="dxa"/>
              <w:left w:w="118" w:type="dxa"/>
              <w:bottom w:w="0" w:type="dxa"/>
              <w:right w:w="118" w:type="dxa"/>
            </w:tcMar>
            <w:vAlign w:val="center"/>
          </w:tcPr>
          <w:p>
            <w:pPr>
              <w:pStyle w:val="93"/>
              <w:spacing w:before="0" w:after="0"/>
              <w:ind w:left="425" w:right="0" w:hanging="425"/>
              <w:jc w:val="center"/>
              <w:rPr>
                <w:b w:val="0"/>
                <w:bCs w:val="0"/>
                <w:i w:val="0"/>
                <w:iCs w:val="0"/>
                <w:smallCaps w:val="0"/>
                <w:color w:val="000000"/>
                <w:sz w:val="32"/>
                <w:szCs w:val="32"/>
              </w:rPr>
            </w:pPr>
            <w:r>
              <w:rPr>
                <w:rFonts w:ascii="仿宋_GB2312" w:hAnsi="仿宋_GB2312" w:eastAsia="仿宋_GB2312" w:cs="仿宋_GB2312"/>
                <w:b w:val="0"/>
                <w:bCs w:val="0"/>
                <w:i w:val="0"/>
                <w:iCs w:val="0"/>
                <w:smallCaps w:val="0"/>
                <w:color w:val="000000"/>
                <w:sz w:val="18"/>
                <w:szCs w:val="18"/>
              </w:rPr>
              <w:t>20</w:t>
            </w:r>
          </w:p>
        </w:tc>
        <w:tc>
          <w:tcPr>
            <w:vMerge w:val="continue"/>
            <w:tcBorders>
              <w:bottom w:val="single" w:color="000000" w:sz="8" w:space="0"/>
              <w:right w:val="single" w:color="000000" w:sz="8" w:space="0"/>
            </w:tcBorders>
            <w:vAlign w:val="center"/>
          </w:tcPr>
          <w:p>
            <w:pPr>
              <w:pStyle w:val="18"/>
              <w:rPr>
                <w:rFonts w:ascii="仿宋_GB2312" w:hAnsi="仿宋_GB2312" w:eastAsia="仿宋_GB2312" w:cs="仿宋_GB2312"/>
                <w:b w:val="0"/>
                <w:bCs w:val="0"/>
                <w:i w:val="0"/>
                <w:iCs w:val="0"/>
                <w:smallCaps w:val="0"/>
                <w:color w:val="000000"/>
                <w:sz w:val="18"/>
                <w:szCs w:val="18"/>
              </w:rPr>
            </w:pPr>
          </w:p>
        </w:tc>
        <w:tc>
          <w:tcPr>
            <w:vMerge w:val="continue"/>
            <w:tcBorders>
              <w:bottom w:val="single" w:color="000000" w:sz="8" w:space="0"/>
              <w:right w:val="single" w:color="000000" w:sz="8" w:space="0"/>
            </w:tcBorders>
            <w:vAlign w:val="center"/>
          </w:tcPr>
          <w:p>
            <w:pPr>
              <w:pStyle w:val="18"/>
              <w:rPr>
                <w:rFonts w:ascii="仿宋_GB2312" w:hAnsi="仿宋_GB2312" w:eastAsia="仿宋_GB2312" w:cs="仿宋_GB2312"/>
                <w:b w:val="0"/>
                <w:bCs w:val="0"/>
                <w:i w:val="0"/>
                <w:iCs w:val="0"/>
                <w:smallCaps w:val="0"/>
                <w:color w:val="000000"/>
                <w:sz w:val="18"/>
                <w:szCs w:val="18"/>
              </w:rPr>
            </w:pPr>
          </w:p>
        </w:tc>
        <w:tc>
          <w:tcPr>
            <w:tcW w:w="0" w:type="auto"/>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jc w:val="center"/>
              <w:rPr>
                <w:b w:val="0"/>
                <w:bCs w:val="0"/>
                <w:i w:val="0"/>
                <w:iCs w:val="0"/>
                <w:smallCaps w:val="0"/>
                <w:color w:val="000000"/>
                <w:sz w:val="32"/>
                <w:szCs w:val="32"/>
              </w:rPr>
            </w:pPr>
            <w:r>
              <w:rPr>
                <w:rFonts w:ascii="仿宋_GB2312" w:hAnsi="仿宋_GB2312" w:eastAsia="仿宋_GB2312" w:cs="仿宋_GB2312"/>
                <w:b w:val="0"/>
                <w:bCs w:val="0"/>
                <w:i w:val="0"/>
                <w:iCs w:val="0"/>
                <w:smallCaps w:val="0"/>
                <w:color w:val="000000"/>
                <w:sz w:val="20"/>
                <w:szCs w:val="20"/>
              </w:rPr>
              <w:t>#</w:t>
            </w:r>
            <w:r>
              <w:rPr>
                <w:rFonts w:ascii="仿宋_GB2312" w:hAnsi="仿宋_GB2312" w:eastAsia="仿宋_GB2312" w:cs="仿宋_GB2312"/>
                <w:b w:val="0"/>
                <w:bCs w:val="0"/>
                <w:i w:val="0"/>
                <w:iCs w:val="0"/>
                <w:smallCaps w:val="0"/>
                <w:color w:val="000000"/>
                <w:sz w:val="18"/>
                <w:szCs w:val="18"/>
              </w:rPr>
              <w:t>数据处理转换</w:t>
            </w:r>
          </w:p>
        </w:tc>
        <w:tc>
          <w:tcPr>
            <w:tcW w:w="0" w:type="auto"/>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before="0" w:after="0"/>
              <w:ind w:left="0" w:right="0"/>
              <w:rPr>
                <w:b w:val="0"/>
                <w:bCs w:val="0"/>
                <w:i w:val="0"/>
                <w:iCs w:val="0"/>
                <w:smallCaps w:val="0"/>
                <w:color w:val="000000"/>
                <w:sz w:val="32"/>
                <w:szCs w:val="32"/>
              </w:rPr>
            </w:pPr>
            <w:r>
              <w:rPr>
                <w:rFonts w:ascii="仿宋_GB2312" w:hAnsi="仿宋_GB2312" w:eastAsia="仿宋_GB2312" w:cs="仿宋_GB2312"/>
                <w:b w:val="0"/>
                <w:bCs w:val="0"/>
                <w:i w:val="0"/>
                <w:iCs w:val="0"/>
                <w:smallCaps w:val="0"/>
                <w:color w:val="000000"/>
                <w:sz w:val="18"/>
                <w:szCs w:val="18"/>
              </w:rPr>
              <w:t>对于税务端与市监端代码表不一致的情况，双方制定标准的代码对应关系，各自对需要的代码进行对照转换。</w:t>
            </w:r>
          </w:p>
        </w:tc>
        <w:tc>
          <w:tcPr>
            <w:tcW w:w="0" w:type="auto"/>
            <w:tcBorders>
              <w:bottom w:val="single" w:color="000000" w:sz="8" w:space="0"/>
              <w:right w:val="single" w:color="000000" w:sz="8" w:space="0"/>
            </w:tcBorders>
            <w:noWrap w:val="0"/>
            <w:tcMar>
              <w:top w:w="0" w:type="dxa"/>
              <w:left w:w="108" w:type="dxa"/>
              <w:bottom w:w="0" w:type="dxa"/>
              <w:right w:w="118" w:type="dxa"/>
            </w:tcMar>
            <w:vAlign w:val="center"/>
          </w:tcPr>
          <w:p>
            <w:pPr>
              <w:pStyle w:val="93"/>
              <w:rPr>
                <w:rFonts w:ascii="等线" w:hAnsi="等线" w:eastAsia="等线" w:cs="等线"/>
                <w:b w:val="0"/>
                <w:bCs w:val="0"/>
                <w:i w:val="0"/>
                <w:iCs w:val="0"/>
                <w:smallCaps w:val="0"/>
                <w:color w:val="000000"/>
                <w:sz w:val="20"/>
                <w:szCs w:val="20"/>
              </w:rPr>
            </w:pPr>
            <w:r>
              <w:rPr>
                <w:rFonts w:ascii="仿宋_GB2312" w:hAnsi="仿宋_GB2312" w:eastAsia="仿宋_GB2312" w:cs="仿宋_GB2312"/>
                <w:b w:val="0"/>
                <w:bCs w:val="0"/>
                <w:i w:val="0"/>
                <w:iCs w:val="0"/>
                <w:smallCaps w:val="0"/>
                <w:color w:val="000000"/>
                <w:sz w:val="18"/>
                <w:szCs w:val="18"/>
              </w:rPr>
              <w:t>提供承诺书</w:t>
            </w:r>
          </w:p>
        </w:tc>
      </w:tr>
    </w:tbl>
    <w:p>
      <w:pPr>
        <w:pStyle w:val="18"/>
        <w:spacing w:before="0" w:after="0" w:line="360" w:lineRule="auto"/>
        <w:jc w:val="left"/>
      </w:pPr>
    </w:p>
    <w:sectPr>
      <w:footerReference r:id="rId5" w:type="default"/>
      <w:pgSz w:w="11906" w:h="16838"/>
      <w:pgMar w:top="1440" w:right="1440" w:bottom="1440" w:left="1440" w:header="708" w:footer="708" w:gutter="0"/>
      <w:cols w:space="708"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CC"/>
    <w:family w:val="roman"/>
    <w:pitch w:val="default"/>
    <w:sig w:usb0="00000000" w:usb1="00000000" w:usb2="00000009"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SimSun">
    <w:panose1 w:val="02010600030101010101"/>
    <w:charset w:val="86"/>
    <w:family w:val="auto"/>
    <w:pitch w:val="default"/>
    <w:sig w:usb0="00000003" w:usb1="288F0000" w:usb2="00000006" w:usb3="00000000" w:csb0="00040001" w:csb1="00000000"/>
  </w:font>
  <w:font w:name="Arial">
    <w:altName w:val="DejaVu Sans"/>
    <w:panose1 w:val="020B0604020202020204"/>
    <w:charset w:val="CC"/>
    <w:family w:val="swiss"/>
    <w:pitch w:val="default"/>
    <w:sig w:usb0="00000000" w:usb1="00000000" w:usb2="00000009" w:usb3="00000000" w:csb0="000001FF" w:csb1="00000000"/>
  </w:font>
  <w:font w:name="SimHei">
    <w:panose1 w:val="02010609060101010101"/>
    <w:charset w:val="86"/>
    <w:family w:val="modern"/>
    <w:pitch w:val="default"/>
    <w:sig w:usb0="800002BF" w:usb1="38CF7CFA" w:usb2="00000016" w:usb3="00000000" w:csb0="00040001" w:csb1="00000000"/>
  </w:font>
  <w:font w:name="Verdana">
    <w:altName w:val="DejaVu Sans"/>
    <w:panose1 w:val="020B0604030504040204"/>
    <w:charset w:val="00"/>
    <w:family w:val="swiss"/>
    <w:pitch w:val="default"/>
    <w:sig w:usb0="00000000" w:usb1="00000000" w:usb2="00000010" w:usb3="00000000" w:csb0="0000019F" w:csb1="00000000"/>
  </w:font>
  <w:font w:name="FangSong_GB2312">
    <w:panose1 w:val="02010609030101010101"/>
    <w:charset w:val="86"/>
    <w:family w:val="auto"/>
    <w:pitch w:val="default"/>
    <w:sig w:usb0="00000001" w:usb1="080E0000" w:usb2="00000000" w:usb3="00000000" w:csb0="00040000" w:csb1="00000000"/>
  </w:font>
  <w:font w:name="Cambria">
    <w:altName w:val="Noto Sans Syriac Eastern"/>
    <w:panose1 w:val="02040503050406030204"/>
    <w:charset w:val="00"/>
    <w:family w:val="roman"/>
    <w:pitch w:val="default"/>
    <w:sig w:usb0="00000000" w:usb1="00000000" w:usb2="00000000" w:usb3="00000000" w:csb0="0000019F" w:csb1="00000000"/>
  </w:font>
  <w:font w:name="Microsoft YaHei">
    <w:panose1 w:val="020B0503020204020204"/>
    <w:charset w:val="86"/>
    <w:family w:val="swiss"/>
    <w:pitch w:val="default"/>
    <w:sig w:usb0="80000287" w:usb1="2A0F3C52" w:usb2="00000016" w:usb3="00000000" w:csb0="0004001F" w:csb1="00000000"/>
  </w:font>
  <w:font w:name="Courier New">
    <w:altName w:val="DejaVu Sans"/>
    <w:panose1 w:val="02070309020205020404"/>
    <w:charset w:val="00"/>
    <w:family w:val="modern"/>
    <w:pitch w:val="default"/>
    <w:sig w:usb0="00000000" w:usb1="00000000" w:usb2="00000009" w:usb3="00000000" w:csb0="000001FF" w:csb1="00000000"/>
  </w:font>
  <w:font w:name="仿宋_GB2312">
    <w:panose1 w:val="02010609030101010101"/>
    <w:charset w:val="86"/>
    <w:family w:val="auto"/>
    <w:pitch w:val="default"/>
    <w:sig w:usb0="00000001" w:usb1="080E0000" w:usb2="00000000" w:usb3="00000000" w:csb0="00040000" w:csb1="00000000"/>
  </w:font>
  <w:font w:name="长城仿宋">
    <w:altName w:val="Microsoft YaHei"/>
    <w:panose1 w:val="020B0604020202020204"/>
    <w:charset w:val="00"/>
    <w:family w:val="modern"/>
    <w:pitch w:val="default"/>
    <w:sig w:usb0="00000000" w:usb1="00000000" w:usb2="00000010" w:usb3="00000000" w:csb0="00040000" w:csb1="00000000"/>
  </w:font>
  <w:font w:name="Calibri Light">
    <w:altName w:val="DejaVu Sans"/>
    <w:panose1 w:val="020F0302020204030204"/>
    <w:charset w:val="00"/>
    <w:family w:val="swiss"/>
    <w:pitch w:val="default"/>
    <w:sig w:usb0="00000000" w:usb1="00000000" w:usb2="00000009" w:usb3="00000000" w:csb0="000001FF" w:csb1="00000000"/>
  </w:font>
  <w:font w:name="Tahoma">
    <w:altName w:val="DejaVu Sans"/>
    <w:panose1 w:val="020B0604030504040204"/>
    <w:charset w:val="00"/>
    <w:family w:val="swiss"/>
    <w:pitch w:val="default"/>
    <w:sig w:usb0="00000000" w:usb1="00000000" w:usb2="00000029" w:usb3="00000000" w:csb0="000101FF" w:csb1="00000000"/>
  </w:font>
  <w:font w:name="仿宋">
    <w:panose1 w:val="02010609060101010101"/>
    <w:charset w:val="86"/>
    <w:family w:val="auto"/>
    <w:pitch w:val="default"/>
    <w:sig w:usb0="800002BF" w:usb1="38CF7CFA" w:usb2="00000016" w:usb3="00000000" w:csb0="00040001" w:csb1="00000000"/>
  </w:font>
  <w:font w:name="等线">
    <w:altName w:val="微软雅黑"/>
    <w:panose1 w:val="00000000000000000000"/>
    <w:charset w:val="00"/>
    <w:family w:val="auto"/>
    <w:pitch w:val="default"/>
    <w:sig w:usb0="00000000" w:usb1="00000000" w:usb2="00000000" w:usb3="00000000" w:csb0="00000000" w:csb1="00000000"/>
  </w:font>
  <w:font w:name="方正小标宋简体">
    <w:panose1 w:val="02000000000000000000"/>
    <w:charset w:val="86"/>
    <w:family w:val="auto"/>
    <w:pitch w:val="default"/>
    <w:sig w:usb0="A00002BF" w:usb1="184F6CFA" w:usb2="00000012" w:usb3="00000000" w:csb0="00040001" w:csb1="00000000"/>
  </w:font>
  <w:font w:name="DejaVu Sans">
    <w:panose1 w:val="020B0603030804020204"/>
    <w:charset w:val="00"/>
    <w:family w:val="auto"/>
    <w:pitch w:val="default"/>
    <w:sig w:usb0="E7006EFF" w:usb1="D200FDFF" w:usb2="0A246029" w:usb3="0400200C" w:csb0="600001FF" w:csb1="DFFF0000"/>
  </w:font>
  <w:font w:name="微软雅黑">
    <w:panose1 w:val="020B0503020204020204"/>
    <w:charset w:val="86"/>
    <w:family w:val="auto"/>
    <w:pitch w:val="default"/>
    <w:sig w:usb0="80000287" w:usb1="2A0F3C52" w:usb2="00000016" w:usb3="00000000" w:csb0="0004001F" w:csb1="00000000"/>
  </w:font>
  <w:font w:name="方正宋体S-超大字符集">
    <w:panose1 w:val="02000000000000000000"/>
    <w:charset w:val="86"/>
    <w:family w:val="auto"/>
    <w:pitch w:val="default"/>
    <w:sig w:usb0="00000001" w:usb1="08000000" w:usb2="00000000" w:usb3="00000000" w:csb0="00040000" w:csb1="00000000"/>
  </w:font>
  <w:font w:name="Noto Sans Syriac Eastern">
    <w:panose1 w:val="02040503050306020203"/>
    <w:charset w:val="86"/>
    <w:family w:val="auto"/>
    <w:pitch w:val="default"/>
    <w:sig w:usb0="00000000" w:usb1="00000000" w:usb2="00000080" w:usb3="00000000" w:csb0="203E0161" w:csb1="D7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spacing w:before="0" w:after="0" w:line="360" w:lineRule="auto"/>
      <w:jc w:val="center"/>
    </w:pPr>
    <w:r>
      <w:fldChar w:fldCharType="begin"/>
    </w:r>
    <w:r>
      <w:instrText xml:space="preserve"> PAGE </w:instrText>
    </w:r>
    <w:r>
      <w:fldChar w:fldCharType="separate"/>
    </w:r>
    <w:r>
      <w:t>24</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9FB07A5"/>
    <w:multiLevelType w:val="singleLevel"/>
    <w:tmpl w:val="F9FB07A5"/>
    <w:lvl w:ilvl="0" w:tentative="0">
      <w:start w:val="1"/>
      <w:numFmt w:val="decimal"/>
      <w:pStyle w:val="12"/>
      <w:lvlText w:val="%1."/>
      <w:lvlJc w:val="left"/>
      <w:pPr>
        <w:tabs>
          <w:tab w:val="left" w:pos="780"/>
        </w:tabs>
        <w:ind w:left="780" w:hanging="360"/>
      </w:pPr>
    </w:lvl>
  </w:abstractNum>
  <w:abstractNum w:abstractNumId="1">
    <w:nsid w:val="00000002"/>
    <w:multiLevelType w:val="multilevel"/>
    <w:tmpl w:val="00000002"/>
    <w:lvl w:ilvl="0" w:tentative="0">
      <w:start w:val="1"/>
      <w:numFmt w:val="decimal"/>
      <w:pStyle w:val="84"/>
      <w:lvlText w:val="%1."/>
      <w:lvlJc w:val="left"/>
      <w:pPr>
        <w:tabs>
          <w:tab w:val="left" w:pos="900"/>
        </w:tabs>
        <w:ind w:left="900" w:hanging="420"/>
      </w:pPr>
      <w:rPr>
        <w:b w:val="0"/>
        <w:i w:val="0"/>
        <w:sz w:val="24"/>
        <w:szCs w:val="24"/>
      </w:r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2">
    <w:nsid w:val="00000003"/>
    <w:multiLevelType w:val="multilevel"/>
    <w:tmpl w:val="00000003"/>
    <w:lvl w:ilvl="0" w:tentative="0">
      <w:start w:val="1"/>
      <w:numFmt w:val="decimal"/>
      <w:pStyle w:val="64"/>
      <w:lvlText w:val="(%1)"/>
      <w:lvlJc w:val="left"/>
      <w:pPr>
        <w:tabs>
          <w:tab w:val="left" w:pos="420"/>
        </w:tabs>
        <w:ind w:left="420" w:hanging="420"/>
      </w:p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3">
    <w:nsid w:val="00000004"/>
    <w:multiLevelType w:val="multilevel"/>
    <w:tmpl w:val="00000004"/>
    <w:lvl w:ilvl="0" w:tentative="0">
      <w:start w:val="1"/>
      <w:numFmt w:val="decimal"/>
      <w:lvlText w:val="第%1章 "/>
      <w:lvlJc w:val="left"/>
      <w:pPr>
        <w:tabs>
          <w:tab w:val="left" w:pos="2400"/>
        </w:tabs>
        <w:ind w:left="1392" w:hanging="432"/>
      </w:pPr>
      <w:rPr>
        <w:rFonts w:hint="eastAsia" w:ascii="Times New Roman" w:hAnsi="Times New Roman" w:cs="Times New Roman"/>
        <w:i w:val="0"/>
        <w:iCs w:val="0"/>
        <w:caps w:val="0"/>
        <w:smallCaps w:val="0"/>
        <w:outline w:val="0"/>
        <w:shadow w:val="0"/>
        <w:spacing w:val="0"/>
        <w:kern w:val="0"/>
        <w:position w:val="0"/>
        <w:u w:val="none"/>
        <w:lang w:val="en-US"/>
      </w:rPr>
    </w:lvl>
    <w:lvl w:ilvl="1" w:tentative="0">
      <w:start w:val="1"/>
      <w:numFmt w:val="decimal"/>
      <w:pStyle w:val="4"/>
      <w:lvlText w:val="%1.%2"/>
      <w:lvlJc w:val="left"/>
      <w:pPr>
        <w:tabs>
          <w:tab w:val="left" w:pos="576"/>
        </w:tabs>
        <w:ind w:left="576" w:hanging="576"/>
      </w:pPr>
      <w:rPr>
        <w:rFonts w:hint="eastAsia"/>
      </w:rPr>
    </w:lvl>
    <w:lvl w:ilvl="2" w:tentative="0">
      <w:start w:val="1"/>
      <w:numFmt w:val="decimal"/>
      <w:lvlText w:val="%1.%2.%3"/>
      <w:lvlJc w:val="left"/>
      <w:pPr>
        <w:tabs>
          <w:tab w:val="left" w:pos="720"/>
        </w:tabs>
        <w:ind w:left="720" w:hanging="720"/>
      </w:pPr>
    </w:lvl>
    <w:lvl w:ilvl="3" w:tentative="0">
      <w:start w:val="1"/>
      <w:numFmt w:val="decimal"/>
      <w:lvlText w:val="%1.%2.%3.%4"/>
      <w:lvlJc w:val="left"/>
      <w:pPr>
        <w:tabs>
          <w:tab w:val="left" w:pos="964"/>
        </w:tabs>
        <w:ind w:left="964" w:hanging="964"/>
      </w:pPr>
      <w:rPr>
        <w:rFonts w:cs="Times New Roman"/>
        <w:b w:val="0"/>
        <w:bCs w:val="0"/>
        <w:i w:val="0"/>
        <w:iCs w:val="0"/>
        <w:caps w:val="0"/>
        <w:smallCaps w:val="0"/>
        <w:outline w:val="0"/>
        <w:shadow w:val="0"/>
        <w:emboss w:val="0"/>
        <w:imprint w:val="0"/>
        <w:vanish w:val="0"/>
        <w:spacing w:val="0"/>
        <w:position w:val="0"/>
        <w:u w:val="none"/>
        <w:vertAlign w:val="baseline"/>
      </w:rPr>
    </w:lvl>
    <w:lvl w:ilvl="4" w:tentative="0">
      <w:start w:val="1"/>
      <w:numFmt w:val="decimal"/>
      <w:lvlText w:val="%1.%2.%3.%4.%5"/>
      <w:lvlJc w:val="left"/>
      <w:pPr>
        <w:tabs>
          <w:tab w:val="left" w:pos="1008"/>
        </w:tabs>
        <w:ind w:left="1008" w:hanging="1008"/>
      </w:pPr>
      <w:rPr>
        <w:lang w:eastAsia="zh-CN"/>
      </w:rPr>
    </w:lvl>
    <w:lvl w:ilvl="5" w:tentative="0">
      <w:start w:val="1"/>
      <w:numFmt w:val="decimal"/>
      <w:lvlText w:val="%1.%2.%3.%4.%5.%6"/>
      <w:lvlJc w:val="left"/>
      <w:pPr>
        <w:tabs>
          <w:tab w:val="left" w:pos="2145"/>
        </w:tabs>
        <w:ind w:left="2145" w:hanging="1152"/>
      </w:pPr>
      <w:rPr>
        <w:color w:val="auto"/>
      </w:rPr>
    </w:lvl>
    <w:lvl w:ilvl="6" w:tentative="0">
      <w:start w:val="1"/>
      <w:numFmt w:val="decimal"/>
      <w:lvlText w:val="%1.%2.%3.%4.%5.%6.%7"/>
      <w:lvlJc w:val="left"/>
      <w:pPr>
        <w:tabs>
          <w:tab w:val="left" w:pos="1296"/>
        </w:tabs>
        <w:ind w:left="1296" w:hanging="1296"/>
      </w:pPr>
      <w:rPr>
        <w:rFonts w:hint="eastAsia"/>
      </w:rPr>
    </w:lvl>
    <w:lvl w:ilvl="7" w:tentative="0">
      <w:start w:val="1"/>
      <w:numFmt w:val="decimal"/>
      <w:lvlText w:val="%1.%2.%3.%4.%5.%6.%7.%8"/>
      <w:lvlJc w:val="left"/>
      <w:pPr>
        <w:tabs>
          <w:tab w:val="left" w:pos="1440"/>
        </w:tabs>
        <w:ind w:left="1440" w:hanging="1440"/>
      </w:pPr>
      <w:rPr>
        <w:rFonts w:hint="eastAsia"/>
      </w:rPr>
    </w:lvl>
    <w:lvl w:ilvl="8" w:tentative="0">
      <w:start w:val="1"/>
      <w:numFmt w:val="decimal"/>
      <w:lvlText w:val="%1.%2.%3.%4.%5.%6.%7.%8.%9"/>
      <w:lvlJc w:val="left"/>
      <w:pPr>
        <w:tabs>
          <w:tab w:val="left" w:pos="1584"/>
        </w:tabs>
        <w:ind w:left="1584" w:hanging="1584"/>
      </w:pPr>
      <w:rPr>
        <w:rFonts w:hint="eastAsia"/>
      </w:rPr>
    </w:lvl>
  </w:abstractNum>
  <w:abstractNum w:abstractNumId="4">
    <w:nsid w:val="3EBB3C91"/>
    <w:multiLevelType w:val="multilevel"/>
    <w:tmpl w:val="3EBB3C91"/>
    <w:lvl w:ilvl="0" w:tentative="0">
      <w:start w:val="1"/>
      <w:numFmt w:val="chineseCountingThousand"/>
      <w:suff w:val="space"/>
      <w:lvlText w:val="%1. "/>
      <w:lvlJc w:val="left"/>
      <w:pPr>
        <w:ind w:left="907" w:hanging="907"/>
      </w:pPr>
      <w:rPr>
        <w:rFonts w:hint="eastAsia"/>
      </w:rPr>
    </w:lvl>
    <w:lvl w:ilvl="1" w:tentative="0">
      <w:start w:val="1"/>
      <w:numFmt w:val="decimal"/>
      <w:isLgl/>
      <w:suff w:val="space"/>
      <w:lvlText w:val="%1.%2 "/>
      <w:lvlJc w:val="left"/>
      <w:pPr>
        <w:ind w:left="794" w:hanging="794"/>
      </w:pPr>
    </w:lvl>
    <w:lvl w:ilvl="2" w:tentative="0">
      <w:start w:val="0"/>
      <w:numFmt w:val="none"/>
      <w:lvlText w:val=""/>
      <w:lvlJc w:val="left"/>
      <w:pPr>
        <w:tabs>
          <w:tab w:val="left" w:pos="360"/>
        </w:tabs>
      </w:pPr>
      <w:rPr>
        <w:rFonts w:cs="Times New Roman"/>
      </w:rPr>
    </w:lvl>
    <w:lvl w:ilvl="3" w:tentative="0">
      <w:start w:val="0"/>
      <w:numFmt w:val="none"/>
      <w:lvlText w:val=""/>
      <w:lvlJc w:val="left"/>
      <w:pPr>
        <w:tabs>
          <w:tab w:val="left" w:pos="360"/>
        </w:tabs>
      </w:pPr>
      <w:rPr>
        <w:rFonts w:cs="Times New Roman"/>
      </w:rPr>
    </w:lvl>
    <w:lvl w:ilvl="4" w:tentative="0">
      <w:start w:val="0"/>
      <w:numFmt w:val="decimal"/>
      <w:pStyle w:val="77"/>
      <w:lvlText w:val=""/>
      <w:lvlJc w:val="left"/>
      <w:rPr>
        <w:rFonts w:cs="Times New Roman"/>
      </w:rPr>
    </w:lvl>
    <w:lvl w:ilvl="5" w:tentative="0">
      <w:start w:val="0"/>
      <w:numFmt w:val="decimal"/>
      <w:lvlText w:val=""/>
      <w:lvlJc w:val="left"/>
      <w:rPr>
        <w:rFonts w:cs="Times New Roman"/>
      </w:rPr>
    </w:lvl>
    <w:lvl w:ilvl="6" w:tentative="0">
      <w:start w:val="0"/>
      <w:numFmt w:val="decimal"/>
      <w:lvlText w:val=""/>
      <w:lvlJc w:val="left"/>
      <w:rPr>
        <w:rFonts w:cs="Times New Roman"/>
      </w:rPr>
    </w:lvl>
    <w:lvl w:ilvl="7" w:tentative="0">
      <w:start w:val="0"/>
      <w:numFmt w:val="decimal"/>
      <w:lvlText w:val=""/>
      <w:lvlJc w:val="left"/>
      <w:rPr>
        <w:rFonts w:cs="Times New Roman"/>
      </w:rPr>
    </w:lvl>
    <w:lvl w:ilvl="8" w:tentative="0">
      <w:start w:val="0"/>
      <w:numFmt w:val="decimal"/>
      <w:lvlText w:val=""/>
      <w:lvlJc w:val="left"/>
      <w:rPr>
        <w:rFonts w:cs="Times New Roman"/>
      </w:rPr>
    </w:lvl>
  </w:abstractNum>
  <w:num w:numId="1">
    <w:abstractNumId w:val="3"/>
  </w:num>
  <w:num w:numId="2">
    <w:abstractNumId w:val="0"/>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ocumentProtection w:enforcement="0"/>
  <w:defaultTabStop w:val="420"/>
  <w:drawingGridVerticalSpacing w:val="156"/>
  <w:displayHorizontalDrawingGridEvery w:val="0"/>
  <w:displayVerticalDrawingGridEvery w:val="2"/>
  <w:doNotShadeFormData w:val="true"/>
  <w:characterSpacingControl w:val="compressPunctuation"/>
  <w:noLineBreaksAfter w:lang="zh-CN" w:val="([{·‘“〈《「『【〔〖（．［｛￡￥"/>
  <w:noLineBreaksBefore w:lang="zh-CN" w:val="!),.:;?]}¨·ˇˉ―‖’”…∶、。〃々〉》」』】〕〗！＂＇），．：；？］｀｜｝～￠"/>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2A27"/>
    <w:rsid w:val="000101A9"/>
    <w:rsid w:val="00027682"/>
    <w:rsid w:val="000468F3"/>
    <w:rsid w:val="00054ECE"/>
    <w:rsid w:val="0007049E"/>
    <w:rsid w:val="000711A2"/>
    <w:rsid w:val="00071425"/>
    <w:rsid w:val="000810D4"/>
    <w:rsid w:val="000C301B"/>
    <w:rsid w:val="000E5BFB"/>
    <w:rsid w:val="000F2CE1"/>
    <w:rsid w:val="000F6B4F"/>
    <w:rsid w:val="00117A70"/>
    <w:rsid w:val="0012242B"/>
    <w:rsid w:val="00145700"/>
    <w:rsid w:val="00152F5C"/>
    <w:rsid w:val="00153423"/>
    <w:rsid w:val="0015788D"/>
    <w:rsid w:val="00172A27"/>
    <w:rsid w:val="00175EB9"/>
    <w:rsid w:val="001A3437"/>
    <w:rsid w:val="001A4CC5"/>
    <w:rsid w:val="001C6544"/>
    <w:rsid w:val="001D0665"/>
    <w:rsid w:val="001F674D"/>
    <w:rsid w:val="00224C41"/>
    <w:rsid w:val="00227D06"/>
    <w:rsid w:val="00236408"/>
    <w:rsid w:val="00253856"/>
    <w:rsid w:val="002540A7"/>
    <w:rsid w:val="00265F11"/>
    <w:rsid w:val="0027302E"/>
    <w:rsid w:val="002A1B53"/>
    <w:rsid w:val="002A2CA1"/>
    <w:rsid w:val="002B47CE"/>
    <w:rsid w:val="002B4B64"/>
    <w:rsid w:val="002F11FD"/>
    <w:rsid w:val="00326A94"/>
    <w:rsid w:val="00327011"/>
    <w:rsid w:val="00327F0A"/>
    <w:rsid w:val="00337D8A"/>
    <w:rsid w:val="00340048"/>
    <w:rsid w:val="0034295B"/>
    <w:rsid w:val="0034483D"/>
    <w:rsid w:val="0034704C"/>
    <w:rsid w:val="003538E8"/>
    <w:rsid w:val="003570ED"/>
    <w:rsid w:val="00381FED"/>
    <w:rsid w:val="00397B25"/>
    <w:rsid w:val="003E12F1"/>
    <w:rsid w:val="003E4B94"/>
    <w:rsid w:val="003F062B"/>
    <w:rsid w:val="003F6D70"/>
    <w:rsid w:val="004027A1"/>
    <w:rsid w:val="00426C16"/>
    <w:rsid w:val="00444459"/>
    <w:rsid w:val="00454AAB"/>
    <w:rsid w:val="00456D20"/>
    <w:rsid w:val="004577DD"/>
    <w:rsid w:val="00464182"/>
    <w:rsid w:val="00481585"/>
    <w:rsid w:val="00491845"/>
    <w:rsid w:val="00493775"/>
    <w:rsid w:val="004C3469"/>
    <w:rsid w:val="004E5295"/>
    <w:rsid w:val="004E7773"/>
    <w:rsid w:val="004F66A1"/>
    <w:rsid w:val="004F69C7"/>
    <w:rsid w:val="005017EA"/>
    <w:rsid w:val="005143FB"/>
    <w:rsid w:val="00523B2F"/>
    <w:rsid w:val="005338BF"/>
    <w:rsid w:val="005370F4"/>
    <w:rsid w:val="005557BF"/>
    <w:rsid w:val="00563AE2"/>
    <w:rsid w:val="00566CDD"/>
    <w:rsid w:val="0059778B"/>
    <w:rsid w:val="005A0A01"/>
    <w:rsid w:val="005B5D6E"/>
    <w:rsid w:val="005E6EC6"/>
    <w:rsid w:val="005F2D4E"/>
    <w:rsid w:val="006135DE"/>
    <w:rsid w:val="00634176"/>
    <w:rsid w:val="00636821"/>
    <w:rsid w:val="00685FD4"/>
    <w:rsid w:val="0069087E"/>
    <w:rsid w:val="00690ED0"/>
    <w:rsid w:val="00694DF9"/>
    <w:rsid w:val="006A0F9C"/>
    <w:rsid w:val="006B76A8"/>
    <w:rsid w:val="006C3D20"/>
    <w:rsid w:val="006C7E50"/>
    <w:rsid w:val="006D5572"/>
    <w:rsid w:val="006D5900"/>
    <w:rsid w:val="006F1B16"/>
    <w:rsid w:val="006F3076"/>
    <w:rsid w:val="0070258B"/>
    <w:rsid w:val="00706715"/>
    <w:rsid w:val="007107C0"/>
    <w:rsid w:val="0071316B"/>
    <w:rsid w:val="00736500"/>
    <w:rsid w:val="0074512F"/>
    <w:rsid w:val="0074538C"/>
    <w:rsid w:val="00764F83"/>
    <w:rsid w:val="00765335"/>
    <w:rsid w:val="00770ADF"/>
    <w:rsid w:val="00782F4E"/>
    <w:rsid w:val="00786DF9"/>
    <w:rsid w:val="00793237"/>
    <w:rsid w:val="0079513B"/>
    <w:rsid w:val="007968D0"/>
    <w:rsid w:val="007A0B90"/>
    <w:rsid w:val="007A421A"/>
    <w:rsid w:val="007A64D5"/>
    <w:rsid w:val="007A7CB5"/>
    <w:rsid w:val="007B6D64"/>
    <w:rsid w:val="007D5FDD"/>
    <w:rsid w:val="007D7FDE"/>
    <w:rsid w:val="008127A1"/>
    <w:rsid w:val="00814056"/>
    <w:rsid w:val="00814144"/>
    <w:rsid w:val="008141E3"/>
    <w:rsid w:val="00835D08"/>
    <w:rsid w:val="00850027"/>
    <w:rsid w:val="00854404"/>
    <w:rsid w:val="00855ACF"/>
    <w:rsid w:val="0086163F"/>
    <w:rsid w:val="00864C19"/>
    <w:rsid w:val="00866BF8"/>
    <w:rsid w:val="00866F2C"/>
    <w:rsid w:val="00881646"/>
    <w:rsid w:val="008834C6"/>
    <w:rsid w:val="008963C6"/>
    <w:rsid w:val="008B74C5"/>
    <w:rsid w:val="008B7AD9"/>
    <w:rsid w:val="008E5EC5"/>
    <w:rsid w:val="008F56AE"/>
    <w:rsid w:val="00902E0E"/>
    <w:rsid w:val="00940ECE"/>
    <w:rsid w:val="0094126B"/>
    <w:rsid w:val="0095098D"/>
    <w:rsid w:val="00963AF9"/>
    <w:rsid w:val="00966F87"/>
    <w:rsid w:val="00974822"/>
    <w:rsid w:val="0098103B"/>
    <w:rsid w:val="0098306B"/>
    <w:rsid w:val="009B772F"/>
    <w:rsid w:val="009C4EB4"/>
    <w:rsid w:val="009E1213"/>
    <w:rsid w:val="009E181F"/>
    <w:rsid w:val="009F6F34"/>
    <w:rsid w:val="009F6F8E"/>
    <w:rsid w:val="00A01F39"/>
    <w:rsid w:val="00A10F6E"/>
    <w:rsid w:val="00A33B31"/>
    <w:rsid w:val="00A35625"/>
    <w:rsid w:val="00A675B8"/>
    <w:rsid w:val="00A77B3E"/>
    <w:rsid w:val="00AB772E"/>
    <w:rsid w:val="00AC733E"/>
    <w:rsid w:val="00AF09DF"/>
    <w:rsid w:val="00B0107C"/>
    <w:rsid w:val="00B027C9"/>
    <w:rsid w:val="00B06277"/>
    <w:rsid w:val="00B11E7E"/>
    <w:rsid w:val="00B21A5A"/>
    <w:rsid w:val="00B2314E"/>
    <w:rsid w:val="00B24B26"/>
    <w:rsid w:val="00B30DE0"/>
    <w:rsid w:val="00B56165"/>
    <w:rsid w:val="00B61E9F"/>
    <w:rsid w:val="00B63DD2"/>
    <w:rsid w:val="00B64632"/>
    <w:rsid w:val="00B74818"/>
    <w:rsid w:val="00B90C59"/>
    <w:rsid w:val="00B93612"/>
    <w:rsid w:val="00BA18D0"/>
    <w:rsid w:val="00BC0EB1"/>
    <w:rsid w:val="00BC4A84"/>
    <w:rsid w:val="00BD3B91"/>
    <w:rsid w:val="00BD6A54"/>
    <w:rsid w:val="00BE26C4"/>
    <w:rsid w:val="00BF3BA2"/>
    <w:rsid w:val="00C03DE2"/>
    <w:rsid w:val="00C3220C"/>
    <w:rsid w:val="00C34363"/>
    <w:rsid w:val="00C56026"/>
    <w:rsid w:val="00C64E7D"/>
    <w:rsid w:val="00C66266"/>
    <w:rsid w:val="00C75C75"/>
    <w:rsid w:val="00C76A0C"/>
    <w:rsid w:val="00C86558"/>
    <w:rsid w:val="00CA48BB"/>
    <w:rsid w:val="00CA4BB1"/>
    <w:rsid w:val="00CA6B80"/>
    <w:rsid w:val="00CB1109"/>
    <w:rsid w:val="00CB78DA"/>
    <w:rsid w:val="00D167FB"/>
    <w:rsid w:val="00D354FF"/>
    <w:rsid w:val="00D47286"/>
    <w:rsid w:val="00D50AA4"/>
    <w:rsid w:val="00D76952"/>
    <w:rsid w:val="00D76CE0"/>
    <w:rsid w:val="00D86EC8"/>
    <w:rsid w:val="00D90A95"/>
    <w:rsid w:val="00DB6DB1"/>
    <w:rsid w:val="00DE351F"/>
    <w:rsid w:val="00DF3D5B"/>
    <w:rsid w:val="00DF7895"/>
    <w:rsid w:val="00E2383C"/>
    <w:rsid w:val="00E3390E"/>
    <w:rsid w:val="00E41A12"/>
    <w:rsid w:val="00E876EE"/>
    <w:rsid w:val="00E94EC3"/>
    <w:rsid w:val="00EA716A"/>
    <w:rsid w:val="00EB2451"/>
    <w:rsid w:val="00EC18B2"/>
    <w:rsid w:val="00ED5CD4"/>
    <w:rsid w:val="00F052A1"/>
    <w:rsid w:val="00F24A51"/>
    <w:rsid w:val="00F452EA"/>
    <w:rsid w:val="00F477FD"/>
    <w:rsid w:val="00F528FC"/>
    <w:rsid w:val="00F55DF6"/>
    <w:rsid w:val="00F64ECA"/>
    <w:rsid w:val="00F6780A"/>
    <w:rsid w:val="00F80829"/>
    <w:rsid w:val="00FA7CDE"/>
    <w:rsid w:val="00FB1D44"/>
    <w:rsid w:val="00FC582C"/>
    <w:rsid w:val="00FD3F0D"/>
    <w:rsid w:val="010C3FA7"/>
    <w:rsid w:val="01322E8E"/>
    <w:rsid w:val="01CF32DE"/>
    <w:rsid w:val="01F706AA"/>
    <w:rsid w:val="028D780A"/>
    <w:rsid w:val="02B253D3"/>
    <w:rsid w:val="02C31846"/>
    <w:rsid w:val="03255047"/>
    <w:rsid w:val="0408683A"/>
    <w:rsid w:val="04196E85"/>
    <w:rsid w:val="04357786"/>
    <w:rsid w:val="048C4A46"/>
    <w:rsid w:val="055D42F5"/>
    <w:rsid w:val="06505614"/>
    <w:rsid w:val="06877CC9"/>
    <w:rsid w:val="06B95302"/>
    <w:rsid w:val="06CA35AE"/>
    <w:rsid w:val="06F7338A"/>
    <w:rsid w:val="072401D0"/>
    <w:rsid w:val="074C6D57"/>
    <w:rsid w:val="07711916"/>
    <w:rsid w:val="079052BE"/>
    <w:rsid w:val="07BF562B"/>
    <w:rsid w:val="07EFA279"/>
    <w:rsid w:val="07F47A42"/>
    <w:rsid w:val="07FF9744"/>
    <w:rsid w:val="084356D6"/>
    <w:rsid w:val="08A6443A"/>
    <w:rsid w:val="08E72401"/>
    <w:rsid w:val="08FB1C4C"/>
    <w:rsid w:val="09C71031"/>
    <w:rsid w:val="09CF2D41"/>
    <w:rsid w:val="0A211753"/>
    <w:rsid w:val="0B0A7CB9"/>
    <w:rsid w:val="0BD4F518"/>
    <w:rsid w:val="0BE79187"/>
    <w:rsid w:val="0BFA9848"/>
    <w:rsid w:val="0C2F1F27"/>
    <w:rsid w:val="0C5C641A"/>
    <w:rsid w:val="0C5C7E64"/>
    <w:rsid w:val="0CE03E87"/>
    <w:rsid w:val="0CE104C0"/>
    <w:rsid w:val="0CF44BCD"/>
    <w:rsid w:val="0DB22FD1"/>
    <w:rsid w:val="0DDF080D"/>
    <w:rsid w:val="0E196E44"/>
    <w:rsid w:val="0E52420A"/>
    <w:rsid w:val="0E576294"/>
    <w:rsid w:val="0E6FBEC9"/>
    <w:rsid w:val="0E73144E"/>
    <w:rsid w:val="0F2D43D6"/>
    <w:rsid w:val="0F626F7D"/>
    <w:rsid w:val="0FBDCFF7"/>
    <w:rsid w:val="0FE84C3B"/>
    <w:rsid w:val="105748B8"/>
    <w:rsid w:val="10D609E3"/>
    <w:rsid w:val="11806702"/>
    <w:rsid w:val="11B819AE"/>
    <w:rsid w:val="123063C6"/>
    <w:rsid w:val="12441BD0"/>
    <w:rsid w:val="12632093"/>
    <w:rsid w:val="12B622B4"/>
    <w:rsid w:val="13020FC6"/>
    <w:rsid w:val="13BFFE24"/>
    <w:rsid w:val="13D576DE"/>
    <w:rsid w:val="13E21002"/>
    <w:rsid w:val="14B434DA"/>
    <w:rsid w:val="14F13770"/>
    <w:rsid w:val="150916C0"/>
    <w:rsid w:val="153F4B5B"/>
    <w:rsid w:val="156A4371"/>
    <w:rsid w:val="15F40433"/>
    <w:rsid w:val="1683537A"/>
    <w:rsid w:val="171E30D0"/>
    <w:rsid w:val="179D0613"/>
    <w:rsid w:val="17C73C8D"/>
    <w:rsid w:val="17E7E543"/>
    <w:rsid w:val="17FF5ED1"/>
    <w:rsid w:val="182F1207"/>
    <w:rsid w:val="18453F4E"/>
    <w:rsid w:val="184D654B"/>
    <w:rsid w:val="186C41B7"/>
    <w:rsid w:val="18845656"/>
    <w:rsid w:val="18B162FF"/>
    <w:rsid w:val="197B14EF"/>
    <w:rsid w:val="199C3918"/>
    <w:rsid w:val="19AE1774"/>
    <w:rsid w:val="19C3292F"/>
    <w:rsid w:val="1A7F4EBE"/>
    <w:rsid w:val="1AD4394C"/>
    <w:rsid w:val="1AEB1932"/>
    <w:rsid w:val="1B402B8C"/>
    <w:rsid w:val="1B637E2F"/>
    <w:rsid w:val="1BA453A0"/>
    <w:rsid w:val="1BBDE9D4"/>
    <w:rsid w:val="1BDF88CD"/>
    <w:rsid w:val="1BEE6D07"/>
    <w:rsid w:val="1BFE2D63"/>
    <w:rsid w:val="1C361086"/>
    <w:rsid w:val="1C654B13"/>
    <w:rsid w:val="1C676888"/>
    <w:rsid w:val="1CDA3F40"/>
    <w:rsid w:val="1DBFA3E0"/>
    <w:rsid w:val="1DEAA37E"/>
    <w:rsid w:val="1DFA7970"/>
    <w:rsid w:val="1DFE8A03"/>
    <w:rsid w:val="1E1C6945"/>
    <w:rsid w:val="1E776AEF"/>
    <w:rsid w:val="1E77CE46"/>
    <w:rsid w:val="1EF9484B"/>
    <w:rsid w:val="1F35607B"/>
    <w:rsid w:val="1F8D7731"/>
    <w:rsid w:val="1FAC22EB"/>
    <w:rsid w:val="1FBB5582"/>
    <w:rsid w:val="1FBF24CD"/>
    <w:rsid w:val="1FBFE7E5"/>
    <w:rsid w:val="1FDAC585"/>
    <w:rsid w:val="1FF685D7"/>
    <w:rsid w:val="20017660"/>
    <w:rsid w:val="200E7E3A"/>
    <w:rsid w:val="20434AA7"/>
    <w:rsid w:val="211A1385"/>
    <w:rsid w:val="2170186C"/>
    <w:rsid w:val="21AC28F2"/>
    <w:rsid w:val="21C56A28"/>
    <w:rsid w:val="220A0B93"/>
    <w:rsid w:val="225D01B4"/>
    <w:rsid w:val="22767546"/>
    <w:rsid w:val="2290760E"/>
    <w:rsid w:val="22C170F8"/>
    <w:rsid w:val="235FF394"/>
    <w:rsid w:val="23C75E0E"/>
    <w:rsid w:val="24657EE0"/>
    <w:rsid w:val="248C0300"/>
    <w:rsid w:val="24B10056"/>
    <w:rsid w:val="24D12D45"/>
    <w:rsid w:val="24F61669"/>
    <w:rsid w:val="2506741C"/>
    <w:rsid w:val="25094E76"/>
    <w:rsid w:val="25907578"/>
    <w:rsid w:val="265202E4"/>
    <w:rsid w:val="26742F04"/>
    <w:rsid w:val="269B60DA"/>
    <w:rsid w:val="271700EA"/>
    <w:rsid w:val="27372C63"/>
    <w:rsid w:val="275C676E"/>
    <w:rsid w:val="277FBDD9"/>
    <w:rsid w:val="278D5651"/>
    <w:rsid w:val="27CB2B9D"/>
    <w:rsid w:val="27CC2DF2"/>
    <w:rsid w:val="27DD8391"/>
    <w:rsid w:val="27F5DCDC"/>
    <w:rsid w:val="27FE2431"/>
    <w:rsid w:val="28655307"/>
    <w:rsid w:val="28E30935"/>
    <w:rsid w:val="292507E6"/>
    <w:rsid w:val="29443257"/>
    <w:rsid w:val="29977098"/>
    <w:rsid w:val="29BE0BBE"/>
    <w:rsid w:val="29BF83D5"/>
    <w:rsid w:val="29CE0B43"/>
    <w:rsid w:val="29D4206D"/>
    <w:rsid w:val="2A901BF0"/>
    <w:rsid w:val="2AAC48AB"/>
    <w:rsid w:val="2AC411DD"/>
    <w:rsid w:val="2AEF5505"/>
    <w:rsid w:val="2B1B7C7C"/>
    <w:rsid w:val="2B204ED2"/>
    <w:rsid w:val="2B7A4DED"/>
    <w:rsid w:val="2B860410"/>
    <w:rsid w:val="2B8E98B9"/>
    <w:rsid w:val="2BBD6D63"/>
    <w:rsid w:val="2BBE0649"/>
    <w:rsid w:val="2BCB1581"/>
    <w:rsid w:val="2BEF3C13"/>
    <w:rsid w:val="2BF3BB84"/>
    <w:rsid w:val="2C157311"/>
    <w:rsid w:val="2C1B0EE8"/>
    <w:rsid w:val="2C447F93"/>
    <w:rsid w:val="2CA74927"/>
    <w:rsid w:val="2CB9A3C7"/>
    <w:rsid w:val="2CFF93C0"/>
    <w:rsid w:val="2D0A0F57"/>
    <w:rsid w:val="2E0916E8"/>
    <w:rsid w:val="2ED7B167"/>
    <w:rsid w:val="2EDE1CD9"/>
    <w:rsid w:val="2EFC2BA8"/>
    <w:rsid w:val="2F73153F"/>
    <w:rsid w:val="2F731FEA"/>
    <w:rsid w:val="2F7E4166"/>
    <w:rsid w:val="2FBF7ABD"/>
    <w:rsid w:val="2FCB04D1"/>
    <w:rsid w:val="2FF4C68C"/>
    <w:rsid w:val="2FF6429B"/>
    <w:rsid w:val="2FFFD555"/>
    <w:rsid w:val="30880B1A"/>
    <w:rsid w:val="309659E4"/>
    <w:rsid w:val="31156A8E"/>
    <w:rsid w:val="318E7BFE"/>
    <w:rsid w:val="31C6224D"/>
    <w:rsid w:val="31C72D0A"/>
    <w:rsid w:val="320115AB"/>
    <w:rsid w:val="321D5534"/>
    <w:rsid w:val="32AE5944"/>
    <w:rsid w:val="32C76F6D"/>
    <w:rsid w:val="33295C1D"/>
    <w:rsid w:val="335C2FB7"/>
    <w:rsid w:val="3397FB7C"/>
    <w:rsid w:val="33B1746F"/>
    <w:rsid w:val="33D06380"/>
    <w:rsid w:val="33F6978F"/>
    <w:rsid w:val="34291D5F"/>
    <w:rsid w:val="34590088"/>
    <w:rsid w:val="3475843F"/>
    <w:rsid w:val="34F42A8A"/>
    <w:rsid w:val="34F97717"/>
    <w:rsid w:val="352E1AEE"/>
    <w:rsid w:val="35303643"/>
    <w:rsid w:val="35A35A3F"/>
    <w:rsid w:val="35C4570A"/>
    <w:rsid w:val="35D5FC96"/>
    <w:rsid w:val="35DA70C1"/>
    <w:rsid w:val="35DD67A3"/>
    <w:rsid w:val="35FF676D"/>
    <w:rsid w:val="36135CBE"/>
    <w:rsid w:val="36340818"/>
    <w:rsid w:val="36625D0C"/>
    <w:rsid w:val="36F75236"/>
    <w:rsid w:val="37470A1B"/>
    <w:rsid w:val="37A27938"/>
    <w:rsid w:val="37B54ADF"/>
    <w:rsid w:val="37DF6A8C"/>
    <w:rsid w:val="37F16680"/>
    <w:rsid w:val="37FB9CD6"/>
    <w:rsid w:val="37FBAB69"/>
    <w:rsid w:val="37FCF9E0"/>
    <w:rsid w:val="386865F3"/>
    <w:rsid w:val="38856E98"/>
    <w:rsid w:val="38AE7374"/>
    <w:rsid w:val="397CE9FA"/>
    <w:rsid w:val="3981356C"/>
    <w:rsid w:val="398FBE59"/>
    <w:rsid w:val="39AE0173"/>
    <w:rsid w:val="39CF9398"/>
    <w:rsid w:val="39E06BB7"/>
    <w:rsid w:val="39FE63DA"/>
    <w:rsid w:val="39FF16A6"/>
    <w:rsid w:val="3A5C1C8F"/>
    <w:rsid w:val="3AEE94BF"/>
    <w:rsid w:val="3AEF1518"/>
    <w:rsid w:val="3AFC5808"/>
    <w:rsid w:val="3AFF354D"/>
    <w:rsid w:val="3B6128AF"/>
    <w:rsid w:val="3B7FD698"/>
    <w:rsid w:val="3BA7155E"/>
    <w:rsid w:val="3BCE2B2E"/>
    <w:rsid w:val="3BDE8904"/>
    <w:rsid w:val="3BE15F28"/>
    <w:rsid w:val="3BEF69F1"/>
    <w:rsid w:val="3BEFF8CF"/>
    <w:rsid w:val="3BF26BA3"/>
    <w:rsid w:val="3BF79200"/>
    <w:rsid w:val="3BFF4957"/>
    <w:rsid w:val="3C063CAC"/>
    <w:rsid w:val="3C1C4055"/>
    <w:rsid w:val="3C52081E"/>
    <w:rsid w:val="3C53C5BC"/>
    <w:rsid w:val="3C8A1A52"/>
    <w:rsid w:val="3C8C2456"/>
    <w:rsid w:val="3CA217BD"/>
    <w:rsid w:val="3CA2779D"/>
    <w:rsid w:val="3CAC57E6"/>
    <w:rsid w:val="3CEB2CD0"/>
    <w:rsid w:val="3CFD645E"/>
    <w:rsid w:val="3D054486"/>
    <w:rsid w:val="3D225D1E"/>
    <w:rsid w:val="3D6C2E0F"/>
    <w:rsid w:val="3D714D63"/>
    <w:rsid w:val="3D8853BD"/>
    <w:rsid w:val="3D9EC0B9"/>
    <w:rsid w:val="3DAC68A9"/>
    <w:rsid w:val="3DCFFF36"/>
    <w:rsid w:val="3DE55C5C"/>
    <w:rsid w:val="3DE79E70"/>
    <w:rsid w:val="3DF64C8C"/>
    <w:rsid w:val="3DF99485"/>
    <w:rsid w:val="3DF9D1C7"/>
    <w:rsid w:val="3DFA2EC2"/>
    <w:rsid w:val="3DFEDA12"/>
    <w:rsid w:val="3E3F64B3"/>
    <w:rsid w:val="3E441781"/>
    <w:rsid w:val="3E4C04DD"/>
    <w:rsid w:val="3E9748C9"/>
    <w:rsid w:val="3EB43CEE"/>
    <w:rsid w:val="3EE13927"/>
    <w:rsid w:val="3EFFC0D2"/>
    <w:rsid w:val="3F13832E"/>
    <w:rsid w:val="3F74DECA"/>
    <w:rsid w:val="3F7F0620"/>
    <w:rsid w:val="3F7F8784"/>
    <w:rsid w:val="3F7FBF7F"/>
    <w:rsid w:val="3F91339B"/>
    <w:rsid w:val="3FEECAA6"/>
    <w:rsid w:val="3FF42639"/>
    <w:rsid w:val="3FF75D61"/>
    <w:rsid w:val="3FF78255"/>
    <w:rsid w:val="3FF960D8"/>
    <w:rsid w:val="3FFB074A"/>
    <w:rsid w:val="40B02E41"/>
    <w:rsid w:val="40B33108"/>
    <w:rsid w:val="40F83A24"/>
    <w:rsid w:val="411A3B51"/>
    <w:rsid w:val="411F26C2"/>
    <w:rsid w:val="41E50E32"/>
    <w:rsid w:val="41FA1742"/>
    <w:rsid w:val="42D107D9"/>
    <w:rsid w:val="42F926FB"/>
    <w:rsid w:val="432C22B1"/>
    <w:rsid w:val="43570C6E"/>
    <w:rsid w:val="43647E43"/>
    <w:rsid w:val="43AF7BBF"/>
    <w:rsid w:val="43C41C76"/>
    <w:rsid w:val="43F961C5"/>
    <w:rsid w:val="4410151C"/>
    <w:rsid w:val="452F3274"/>
    <w:rsid w:val="45844FCE"/>
    <w:rsid w:val="45AE931D"/>
    <w:rsid w:val="45D251E2"/>
    <w:rsid w:val="45DF0453"/>
    <w:rsid w:val="46874D3F"/>
    <w:rsid w:val="46CB39E2"/>
    <w:rsid w:val="46DB781C"/>
    <w:rsid w:val="47A52982"/>
    <w:rsid w:val="47BC2FDD"/>
    <w:rsid w:val="47F76339"/>
    <w:rsid w:val="47FF7ED1"/>
    <w:rsid w:val="483243FA"/>
    <w:rsid w:val="48D16F09"/>
    <w:rsid w:val="493C1E2A"/>
    <w:rsid w:val="49471A9B"/>
    <w:rsid w:val="49B87CAB"/>
    <w:rsid w:val="49D051BB"/>
    <w:rsid w:val="49FA7838"/>
    <w:rsid w:val="4A2F17E4"/>
    <w:rsid w:val="4B476E98"/>
    <w:rsid w:val="4BAE5EE7"/>
    <w:rsid w:val="4BBF65A2"/>
    <w:rsid w:val="4BEBB755"/>
    <w:rsid w:val="4BF39157"/>
    <w:rsid w:val="4BFF044F"/>
    <w:rsid w:val="4C4B6322"/>
    <w:rsid w:val="4CA446A1"/>
    <w:rsid w:val="4D0A437B"/>
    <w:rsid w:val="4D5F122E"/>
    <w:rsid w:val="4D671301"/>
    <w:rsid w:val="4D6C7BBE"/>
    <w:rsid w:val="4D7730E9"/>
    <w:rsid w:val="4D7A24FB"/>
    <w:rsid w:val="4DBB66D0"/>
    <w:rsid w:val="4DBC3976"/>
    <w:rsid w:val="4DDC7C37"/>
    <w:rsid w:val="4DFE5ECB"/>
    <w:rsid w:val="4DFF602E"/>
    <w:rsid w:val="4E021F42"/>
    <w:rsid w:val="4E23723D"/>
    <w:rsid w:val="4E5E23C1"/>
    <w:rsid w:val="4E613699"/>
    <w:rsid w:val="4E8E8560"/>
    <w:rsid w:val="4EAF32A6"/>
    <w:rsid w:val="4F1D1632"/>
    <w:rsid w:val="4F6C7A93"/>
    <w:rsid w:val="4F7EFE6F"/>
    <w:rsid w:val="4F7F3D76"/>
    <w:rsid w:val="4FD32CC0"/>
    <w:rsid w:val="4FD751FD"/>
    <w:rsid w:val="4FDE3C80"/>
    <w:rsid w:val="4FE96F96"/>
    <w:rsid w:val="4FFADD19"/>
    <w:rsid w:val="4FFDFA4D"/>
    <w:rsid w:val="4FFF3772"/>
    <w:rsid w:val="4FFF4671"/>
    <w:rsid w:val="501E4B4D"/>
    <w:rsid w:val="5020372F"/>
    <w:rsid w:val="503A4B3C"/>
    <w:rsid w:val="5046746D"/>
    <w:rsid w:val="5080539A"/>
    <w:rsid w:val="509C224E"/>
    <w:rsid w:val="510500D4"/>
    <w:rsid w:val="51573C03"/>
    <w:rsid w:val="51D8745C"/>
    <w:rsid w:val="520F6E00"/>
    <w:rsid w:val="5227225E"/>
    <w:rsid w:val="52D51C17"/>
    <w:rsid w:val="52DFC284"/>
    <w:rsid w:val="52FC7EA5"/>
    <w:rsid w:val="5318536C"/>
    <w:rsid w:val="535F6931"/>
    <w:rsid w:val="536A73F7"/>
    <w:rsid w:val="537F3341"/>
    <w:rsid w:val="538D4C64"/>
    <w:rsid w:val="53AE463C"/>
    <w:rsid w:val="53AE56BD"/>
    <w:rsid w:val="53F01F45"/>
    <w:rsid w:val="540862D7"/>
    <w:rsid w:val="54130674"/>
    <w:rsid w:val="54156F88"/>
    <w:rsid w:val="54B85071"/>
    <w:rsid w:val="55033D85"/>
    <w:rsid w:val="550E0DC6"/>
    <w:rsid w:val="55571332"/>
    <w:rsid w:val="5557AF97"/>
    <w:rsid w:val="5573F2FD"/>
    <w:rsid w:val="55BB4DE6"/>
    <w:rsid w:val="55BDC8F3"/>
    <w:rsid w:val="55CF7905"/>
    <w:rsid w:val="55D62783"/>
    <w:rsid w:val="55EF1DF6"/>
    <w:rsid w:val="55F91D60"/>
    <w:rsid w:val="563D6FA7"/>
    <w:rsid w:val="566643B6"/>
    <w:rsid w:val="56FD08D9"/>
    <w:rsid w:val="571217ED"/>
    <w:rsid w:val="572110A9"/>
    <w:rsid w:val="573F74FE"/>
    <w:rsid w:val="57586E99"/>
    <w:rsid w:val="577F4FCC"/>
    <w:rsid w:val="57EF86B5"/>
    <w:rsid w:val="57EF870C"/>
    <w:rsid w:val="57F2BCD7"/>
    <w:rsid w:val="57FBC581"/>
    <w:rsid w:val="57FEC794"/>
    <w:rsid w:val="58BD1203"/>
    <w:rsid w:val="58BEE190"/>
    <w:rsid w:val="58EB2FA4"/>
    <w:rsid w:val="58ED7E3F"/>
    <w:rsid w:val="59461922"/>
    <w:rsid w:val="59635AFF"/>
    <w:rsid w:val="59650F4C"/>
    <w:rsid w:val="59763351"/>
    <w:rsid w:val="59D14798"/>
    <w:rsid w:val="59F732A8"/>
    <w:rsid w:val="59FB7F99"/>
    <w:rsid w:val="5A2679B5"/>
    <w:rsid w:val="5A27795C"/>
    <w:rsid w:val="5A506E27"/>
    <w:rsid w:val="5A622C9F"/>
    <w:rsid w:val="5A872B3D"/>
    <w:rsid w:val="5A9C42A7"/>
    <w:rsid w:val="5ABC10CE"/>
    <w:rsid w:val="5AD85ED5"/>
    <w:rsid w:val="5B3754AC"/>
    <w:rsid w:val="5B77BCCC"/>
    <w:rsid w:val="5BBFB84A"/>
    <w:rsid w:val="5BDF6E46"/>
    <w:rsid w:val="5BDF87A3"/>
    <w:rsid w:val="5BFA40A1"/>
    <w:rsid w:val="5BFE3FB4"/>
    <w:rsid w:val="5BFEC130"/>
    <w:rsid w:val="5C75205D"/>
    <w:rsid w:val="5C7F2617"/>
    <w:rsid w:val="5CAF6973"/>
    <w:rsid w:val="5CB7BBFA"/>
    <w:rsid w:val="5CE32510"/>
    <w:rsid w:val="5CFF42F1"/>
    <w:rsid w:val="5D739DEF"/>
    <w:rsid w:val="5D9B5743"/>
    <w:rsid w:val="5DADE61A"/>
    <w:rsid w:val="5DCA7440"/>
    <w:rsid w:val="5DD81EB0"/>
    <w:rsid w:val="5DDFB65A"/>
    <w:rsid w:val="5DF25EA1"/>
    <w:rsid w:val="5DF2DCFE"/>
    <w:rsid w:val="5DFB3ADA"/>
    <w:rsid w:val="5E225D2B"/>
    <w:rsid w:val="5E3907E6"/>
    <w:rsid w:val="5E4C53A9"/>
    <w:rsid w:val="5E4F35CE"/>
    <w:rsid w:val="5E7F4643"/>
    <w:rsid w:val="5EA6B85F"/>
    <w:rsid w:val="5EBF491D"/>
    <w:rsid w:val="5EC63AD0"/>
    <w:rsid w:val="5EC7142D"/>
    <w:rsid w:val="5ED781AB"/>
    <w:rsid w:val="5ED7D437"/>
    <w:rsid w:val="5EDBBEEA"/>
    <w:rsid w:val="5EE71531"/>
    <w:rsid w:val="5F0B1B90"/>
    <w:rsid w:val="5F0F37F9"/>
    <w:rsid w:val="5F1F0156"/>
    <w:rsid w:val="5F3B676F"/>
    <w:rsid w:val="5F3D9862"/>
    <w:rsid w:val="5F5ECCCF"/>
    <w:rsid w:val="5F6F7888"/>
    <w:rsid w:val="5F741735"/>
    <w:rsid w:val="5F77C15B"/>
    <w:rsid w:val="5F7DDA5A"/>
    <w:rsid w:val="5F7E41F8"/>
    <w:rsid w:val="5F7FB8D7"/>
    <w:rsid w:val="5F9F2AF4"/>
    <w:rsid w:val="5FA598A8"/>
    <w:rsid w:val="5FB6C90B"/>
    <w:rsid w:val="5FBF10C9"/>
    <w:rsid w:val="5FBFA8DE"/>
    <w:rsid w:val="5FC72D43"/>
    <w:rsid w:val="5FD48A7F"/>
    <w:rsid w:val="5FDF272A"/>
    <w:rsid w:val="5FE49ED6"/>
    <w:rsid w:val="5FE79582"/>
    <w:rsid w:val="5FF3C4BD"/>
    <w:rsid w:val="5FFB1A71"/>
    <w:rsid w:val="5FFB8C6E"/>
    <w:rsid w:val="5FFE282E"/>
    <w:rsid w:val="5FFED246"/>
    <w:rsid w:val="600121C6"/>
    <w:rsid w:val="600A310B"/>
    <w:rsid w:val="60342AA2"/>
    <w:rsid w:val="605A709E"/>
    <w:rsid w:val="60606B37"/>
    <w:rsid w:val="613C5EC3"/>
    <w:rsid w:val="61757DF5"/>
    <w:rsid w:val="623D2F99"/>
    <w:rsid w:val="62CB057B"/>
    <w:rsid w:val="63DBB834"/>
    <w:rsid w:val="64596240"/>
    <w:rsid w:val="646944FD"/>
    <w:rsid w:val="64783FEC"/>
    <w:rsid w:val="64861737"/>
    <w:rsid w:val="648C5CFB"/>
    <w:rsid w:val="64E240DA"/>
    <w:rsid w:val="64FA4348"/>
    <w:rsid w:val="64FF39D6"/>
    <w:rsid w:val="651340F2"/>
    <w:rsid w:val="654D2483"/>
    <w:rsid w:val="657210B6"/>
    <w:rsid w:val="657E1F08"/>
    <w:rsid w:val="65E850E5"/>
    <w:rsid w:val="65FE312F"/>
    <w:rsid w:val="65FF9331"/>
    <w:rsid w:val="660C0377"/>
    <w:rsid w:val="662B7F26"/>
    <w:rsid w:val="662F6390"/>
    <w:rsid w:val="66771F4E"/>
    <w:rsid w:val="667D4EC7"/>
    <w:rsid w:val="669F651F"/>
    <w:rsid w:val="66A27BCD"/>
    <w:rsid w:val="66DE1220"/>
    <w:rsid w:val="66F9B333"/>
    <w:rsid w:val="6720362F"/>
    <w:rsid w:val="67466BF6"/>
    <w:rsid w:val="675FB1C9"/>
    <w:rsid w:val="677FB307"/>
    <w:rsid w:val="67C764CA"/>
    <w:rsid w:val="67CF6078"/>
    <w:rsid w:val="67F22EE1"/>
    <w:rsid w:val="67F77283"/>
    <w:rsid w:val="67F7EA61"/>
    <w:rsid w:val="67FB012C"/>
    <w:rsid w:val="67FDEBB4"/>
    <w:rsid w:val="67FF1237"/>
    <w:rsid w:val="68014CBD"/>
    <w:rsid w:val="6856019A"/>
    <w:rsid w:val="68626BDA"/>
    <w:rsid w:val="68BF8AEC"/>
    <w:rsid w:val="69C3610A"/>
    <w:rsid w:val="69FF7F75"/>
    <w:rsid w:val="6A352173"/>
    <w:rsid w:val="6A8E4FDE"/>
    <w:rsid w:val="6A9FD300"/>
    <w:rsid w:val="6AA66A8C"/>
    <w:rsid w:val="6AB9F4AD"/>
    <w:rsid w:val="6B0C2C50"/>
    <w:rsid w:val="6B1A0C6D"/>
    <w:rsid w:val="6B566FFB"/>
    <w:rsid w:val="6B593482"/>
    <w:rsid w:val="6B68065B"/>
    <w:rsid w:val="6BB81DF4"/>
    <w:rsid w:val="6BEF4EA0"/>
    <w:rsid w:val="6BFE165B"/>
    <w:rsid w:val="6C177B83"/>
    <w:rsid w:val="6C7F0DE9"/>
    <w:rsid w:val="6C9E1DB3"/>
    <w:rsid w:val="6CA87B16"/>
    <w:rsid w:val="6CB97305"/>
    <w:rsid w:val="6CF62C30"/>
    <w:rsid w:val="6CFBBD14"/>
    <w:rsid w:val="6D5B138D"/>
    <w:rsid w:val="6D736557"/>
    <w:rsid w:val="6D7463D1"/>
    <w:rsid w:val="6DBDE3F4"/>
    <w:rsid w:val="6DD3BE5C"/>
    <w:rsid w:val="6DD769CB"/>
    <w:rsid w:val="6DDE0C73"/>
    <w:rsid w:val="6DDFF55A"/>
    <w:rsid w:val="6DFD7DCB"/>
    <w:rsid w:val="6DFEB86C"/>
    <w:rsid w:val="6DFEF67D"/>
    <w:rsid w:val="6E437D62"/>
    <w:rsid w:val="6E47118D"/>
    <w:rsid w:val="6E58352F"/>
    <w:rsid w:val="6E6E9F58"/>
    <w:rsid w:val="6E7F846C"/>
    <w:rsid w:val="6E9D5F41"/>
    <w:rsid w:val="6EAE2733"/>
    <w:rsid w:val="6ECD4414"/>
    <w:rsid w:val="6EF748B3"/>
    <w:rsid w:val="6EF7F592"/>
    <w:rsid w:val="6EFF5192"/>
    <w:rsid w:val="6F101E5F"/>
    <w:rsid w:val="6F2BFD5F"/>
    <w:rsid w:val="6F3B9CB4"/>
    <w:rsid w:val="6F546DD6"/>
    <w:rsid w:val="6F5FFD67"/>
    <w:rsid w:val="6F77D9A4"/>
    <w:rsid w:val="6F79FA17"/>
    <w:rsid w:val="6F7DADC3"/>
    <w:rsid w:val="6F9237F4"/>
    <w:rsid w:val="6FAB4704"/>
    <w:rsid w:val="6FB7D88C"/>
    <w:rsid w:val="6FBF7179"/>
    <w:rsid w:val="6FC42FE0"/>
    <w:rsid w:val="6FD286C4"/>
    <w:rsid w:val="6FDF1BD1"/>
    <w:rsid w:val="6FE97875"/>
    <w:rsid w:val="6FEF3B06"/>
    <w:rsid w:val="6FFA8A58"/>
    <w:rsid w:val="6FFB3259"/>
    <w:rsid w:val="6FFB9495"/>
    <w:rsid w:val="6FFD8F02"/>
    <w:rsid w:val="6FFF589A"/>
    <w:rsid w:val="6FFFA7A8"/>
    <w:rsid w:val="6FFFADEB"/>
    <w:rsid w:val="700417FA"/>
    <w:rsid w:val="704941AB"/>
    <w:rsid w:val="70705A46"/>
    <w:rsid w:val="707B0806"/>
    <w:rsid w:val="70BE00E9"/>
    <w:rsid w:val="71026A1E"/>
    <w:rsid w:val="717FA606"/>
    <w:rsid w:val="71F24B3E"/>
    <w:rsid w:val="71F3297B"/>
    <w:rsid w:val="72063152"/>
    <w:rsid w:val="727FCB59"/>
    <w:rsid w:val="72B61473"/>
    <w:rsid w:val="72D73356"/>
    <w:rsid w:val="72F268F6"/>
    <w:rsid w:val="72FB753A"/>
    <w:rsid w:val="73324618"/>
    <w:rsid w:val="734C39D0"/>
    <w:rsid w:val="736FF217"/>
    <w:rsid w:val="73922D6F"/>
    <w:rsid w:val="73B39AC5"/>
    <w:rsid w:val="73B60D43"/>
    <w:rsid w:val="73BCD05E"/>
    <w:rsid w:val="73FA5241"/>
    <w:rsid w:val="73FF0AB2"/>
    <w:rsid w:val="73FF66D0"/>
    <w:rsid w:val="741957C2"/>
    <w:rsid w:val="7470361C"/>
    <w:rsid w:val="74BC4A4B"/>
    <w:rsid w:val="74F5A945"/>
    <w:rsid w:val="74F66410"/>
    <w:rsid w:val="757E1149"/>
    <w:rsid w:val="759B7C3F"/>
    <w:rsid w:val="75BCBDE7"/>
    <w:rsid w:val="75D1D076"/>
    <w:rsid w:val="75D8D52D"/>
    <w:rsid w:val="75DF957A"/>
    <w:rsid w:val="75F3CBAB"/>
    <w:rsid w:val="75F66CC9"/>
    <w:rsid w:val="75FF8C55"/>
    <w:rsid w:val="765FBF31"/>
    <w:rsid w:val="768E2916"/>
    <w:rsid w:val="769E716A"/>
    <w:rsid w:val="76C81EB1"/>
    <w:rsid w:val="77245633"/>
    <w:rsid w:val="772F8C49"/>
    <w:rsid w:val="773D42A7"/>
    <w:rsid w:val="775D3490"/>
    <w:rsid w:val="775F893D"/>
    <w:rsid w:val="776F0A63"/>
    <w:rsid w:val="776F1802"/>
    <w:rsid w:val="776FD525"/>
    <w:rsid w:val="777D097E"/>
    <w:rsid w:val="77900B87"/>
    <w:rsid w:val="779301BE"/>
    <w:rsid w:val="77984B58"/>
    <w:rsid w:val="77ABCF51"/>
    <w:rsid w:val="77B622BC"/>
    <w:rsid w:val="77BFC6EB"/>
    <w:rsid w:val="77BFE2CB"/>
    <w:rsid w:val="77DE52B2"/>
    <w:rsid w:val="77DF4994"/>
    <w:rsid w:val="77E7DA5D"/>
    <w:rsid w:val="77F78444"/>
    <w:rsid w:val="77F7F43E"/>
    <w:rsid w:val="77FF84FD"/>
    <w:rsid w:val="78B17334"/>
    <w:rsid w:val="78BF35B7"/>
    <w:rsid w:val="78BFFCAD"/>
    <w:rsid w:val="78EC26A9"/>
    <w:rsid w:val="78F47AA0"/>
    <w:rsid w:val="79537D73"/>
    <w:rsid w:val="796339EC"/>
    <w:rsid w:val="796626C4"/>
    <w:rsid w:val="797314CF"/>
    <w:rsid w:val="79BDAD24"/>
    <w:rsid w:val="79D57C8B"/>
    <w:rsid w:val="79DEFEBC"/>
    <w:rsid w:val="79EDA20A"/>
    <w:rsid w:val="79F700C8"/>
    <w:rsid w:val="7A1D2635"/>
    <w:rsid w:val="7A325BAB"/>
    <w:rsid w:val="7A3F45F3"/>
    <w:rsid w:val="7A461444"/>
    <w:rsid w:val="7A52C7CA"/>
    <w:rsid w:val="7A6F4ADE"/>
    <w:rsid w:val="7A7A3FB1"/>
    <w:rsid w:val="7A7B7626"/>
    <w:rsid w:val="7A7F7AF9"/>
    <w:rsid w:val="7ABFFA84"/>
    <w:rsid w:val="7ACBE27C"/>
    <w:rsid w:val="7B4EDBAB"/>
    <w:rsid w:val="7B571621"/>
    <w:rsid w:val="7B6B478F"/>
    <w:rsid w:val="7B77C213"/>
    <w:rsid w:val="7B7EBBEA"/>
    <w:rsid w:val="7B984663"/>
    <w:rsid w:val="7BB5424A"/>
    <w:rsid w:val="7BB73CDF"/>
    <w:rsid w:val="7BB89036"/>
    <w:rsid w:val="7BBB4E12"/>
    <w:rsid w:val="7BBC1088"/>
    <w:rsid w:val="7BBD17D1"/>
    <w:rsid w:val="7BC519BB"/>
    <w:rsid w:val="7BC7D714"/>
    <w:rsid w:val="7BD0D34C"/>
    <w:rsid w:val="7BD7E33F"/>
    <w:rsid w:val="7BDE8DD2"/>
    <w:rsid w:val="7BEFBEDD"/>
    <w:rsid w:val="7BF38B2A"/>
    <w:rsid w:val="7BF58731"/>
    <w:rsid w:val="7BFBDFEB"/>
    <w:rsid w:val="7BFC8FEF"/>
    <w:rsid w:val="7BFF111C"/>
    <w:rsid w:val="7BFF4FED"/>
    <w:rsid w:val="7BFFCB4E"/>
    <w:rsid w:val="7C216E39"/>
    <w:rsid w:val="7C7B0E18"/>
    <w:rsid w:val="7C9564F3"/>
    <w:rsid w:val="7CBF7C33"/>
    <w:rsid w:val="7CBFBFC5"/>
    <w:rsid w:val="7CD04806"/>
    <w:rsid w:val="7CFEF24E"/>
    <w:rsid w:val="7CFF0BED"/>
    <w:rsid w:val="7D022514"/>
    <w:rsid w:val="7D341CD6"/>
    <w:rsid w:val="7D5F9B1D"/>
    <w:rsid w:val="7D6185B4"/>
    <w:rsid w:val="7D77008D"/>
    <w:rsid w:val="7D790717"/>
    <w:rsid w:val="7D7B4652"/>
    <w:rsid w:val="7D7F6ABB"/>
    <w:rsid w:val="7D8F3ED5"/>
    <w:rsid w:val="7D9A72BC"/>
    <w:rsid w:val="7DB7E982"/>
    <w:rsid w:val="7DBF6FEF"/>
    <w:rsid w:val="7DBF89F1"/>
    <w:rsid w:val="7DCD54C0"/>
    <w:rsid w:val="7DCF8D23"/>
    <w:rsid w:val="7DD7271B"/>
    <w:rsid w:val="7DECE0B0"/>
    <w:rsid w:val="7DF54409"/>
    <w:rsid w:val="7DFAB730"/>
    <w:rsid w:val="7DFBEB08"/>
    <w:rsid w:val="7DFC0962"/>
    <w:rsid w:val="7DFD0A96"/>
    <w:rsid w:val="7DFE5D33"/>
    <w:rsid w:val="7DFEDF41"/>
    <w:rsid w:val="7DFEF71F"/>
    <w:rsid w:val="7DFF08D8"/>
    <w:rsid w:val="7DFF61EB"/>
    <w:rsid w:val="7DFF872E"/>
    <w:rsid w:val="7E3F68C4"/>
    <w:rsid w:val="7E624164"/>
    <w:rsid w:val="7E6F7954"/>
    <w:rsid w:val="7E7D6E6E"/>
    <w:rsid w:val="7E9142BF"/>
    <w:rsid w:val="7EA607EF"/>
    <w:rsid w:val="7EB7EC3B"/>
    <w:rsid w:val="7EBD549C"/>
    <w:rsid w:val="7ECF3098"/>
    <w:rsid w:val="7ECF7365"/>
    <w:rsid w:val="7ED741F6"/>
    <w:rsid w:val="7EDA7E5A"/>
    <w:rsid w:val="7EDB0EDB"/>
    <w:rsid w:val="7EDD8549"/>
    <w:rsid w:val="7EDF3331"/>
    <w:rsid w:val="7EFB2CC6"/>
    <w:rsid w:val="7EFDFAD1"/>
    <w:rsid w:val="7EFF4AEF"/>
    <w:rsid w:val="7EFF8638"/>
    <w:rsid w:val="7EFFA7DA"/>
    <w:rsid w:val="7EFFE719"/>
    <w:rsid w:val="7F3543C4"/>
    <w:rsid w:val="7F3D21E0"/>
    <w:rsid w:val="7F6FDB6F"/>
    <w:rsid w:val="7F7728FA"/>
    <w:rsid w:val="7F775E50"/>
    <w:rsid w:val="7F7B1AD9"/>
    <w:rsid w:val="7F7FA620"/>
    <w:rsid w:val="7F7FD998"/>
    <w:rsid w:val="7F8EB047"/>
    <w:rsid w:val="7F9E0363"/>
    <w:rsid w:val="7FA71501"/>
    <w:rsid w:val="7FA7C79F"/>
    <w:rsid w:val="7FAEB9FE"/>
    <w:rsid w:val="7FB75728"/>
    <w:rsid w:val="7FB7A248"/>
    <w:rsid w:val="7FB9BB9E"/>
    <w:rsid w:val="7FBC0CC7"/>
    <w:rsid w:val="7FC747D0"/>
    <w:rsid w:val="7FCBD10B"/>
    <w:rsid w:val="7FCDF9DA"/>
    <w:rsid w:val="7FD5CB05"/>
    <w:rsid w:val="7FDB7EE6"/>
    <w:rsid w:val="7FDF13AB"/>
    <w:rsid w:val="7FDF732F"/>
    <w:rsid w:val="7FDF8418"/>
    <w:rsid w:val="7FDF9B32"/>
    <w:rsid w:val="7FDFB846"/>
    <w:rsid w:val="7FE15C67"/>
    <w:rsid w:val="7FEC6468"/>
    <w:rsid w:val="7FEE8B33"/>
    <w:rsid w:val="7FEEBF5E"/>
    <w:rsid w:val="7FF4FCB2"/>
    <w:rsid w:val="7FF6133E"/>
    <w:rsid w:val="7FF70147"/>
    <w:rsid w:val="7FF711F0"/>
    <w:rsid w:val="7FF75515"/>
    <w:rsid w:val="7FF76F98"/>
    <w:rsid w:val="7FF7DC1F"/>
    <w:rsid w:val="7FFAEF5D"/>
    <w:rsid w:val="7FFBE3EB"/>
    <w:rsid w:val="7FFC1B3A"/>
    <w:rsid w:val="7FFDC1B9"/>
    <w:rsid w:val="7FFDC29C"/>
    <w:rsid w:val="7FFEEFFC"/>
    <w:rsid w:val="7FFF0F36"/>
    <w:rsid w:val="7FFF1221"/>
    <w:rsid w:val="7FFF5C8F"/>
    <w:rsid w:val="7FFF92FD"/>
    <w:rsid w:val="7FFFAF90"/>
    <w:rsid w:val="7FFFC32F"/>
    <w:rsid w:val="7FFFF2C5"/>
    <w:rsid w:val="7FFFF62C"/>
    <w:rsid w:val="83E741E6"/>
    <w:rsid w:val="8AFD5FE4"/>
    <w:rsid w:val="8BB7B7DF"/>
    <w:rsid w:val="8BFFA716"/>
    <w:rsid w:val="8DFF2890"/>
    <w:rsid w:val="8E51E9D7"/>
    <w:rsid w:val="8ED71B7D"/>
    <w:rsid w:val="8FDF8E26"/>
    <w:rsid w:val="8FF7D9C7"/>
    <w:rsid w:val="8FF97BFF"/>
    <w:rsid w:val="8FF9EFD3"/>
    <w:rsid w:val="917B956D"/>
    <w:rsid w:val="95DBDEB5"/>
    <w:rsid w:val="97F66D8C"/>
    <w:rsid w:val="97FB9BDE"/>
    <w:rsid w:val="9BB64845"/>
    <w:rsid w:val="9BF9D04B"/>
    <w:rsid w:val="9C7F564E"/>
    <w:rsid w:val="9D7F0A30"/>
    <w:rsid w:val="9DBF5907"/>
    <w:rsid w:val="9DEB6262"/>
    <w:rsid w:val="9DEF7DD7"/>
    <w:rsid w:val="9DF69233"/>
    <w:rsid w:val="9EBF6D3C"/>
    <w:rsid w:val="9EFFA3C5"/>
    <w:rsid w:val="9F2B6F85"/>
    <w:rsid w:val="9F732433"/>
    <w:rsid w:val="9FDB7462"/>
    <w:rsid w:val="9FF2B3EC"/>
    <w:rsid w:val="9FFDF123"/>
    <w:rsid w:val="9FFE976E"/>
    <w:rsid w:val="9FFFEC1B"/>
    <w:rsid w:val="A2FB5CB6"/>
    <w:rsid w:val="A3DB2F9C"/>
    <w:rsid w:val="A4EB2798"/>
    <w:rsid w:val="A52B2461"/>
    <w:rsid w:val="A5FFE412"/>
    <w:rsid w:val="A6F7F33B"/>
    <w:rsid w:val="A6FE19FF"/>
    <w:rsid w:val="A73A3C54"/>
    <w:rsid w:val="A7EAD8F6"/>
    <w:rsid w:val="A9ED98BF"/>
    <w:rsid w:val="ADF55057"/>
    <w:rsid w:val="AE0F1250"/>
    <w:rsid w:val="AEF4B464"/>
    <w:rsid w:val="AF73836A"/>
    <w:rsid w:val="AFDDDFCB"/>
    <w:rsid w:val="AFDE7843"/>
    <w:rsid w:val="AFED8EAC"/>
    <w:rsid w:val="AFEFEB2D"/>
    <w:rsid w:val="AFF9C10E"/>
    <w:rsid w:val="AFFFFF6D"/>
    <w:rsid w:val="B12FD5A9"/>
    <w:rsid w:val="B1EEEF5E"/>
    <w:rsid w:val="B2CF58B4"/>
    <w:rsid w:val="B37CF7BB"/>
    <w:rsid w:val="B3C8B463"/>
    <w:rsid w:val="B3D31583"/>
    <w:rsid w:val="B3DE7BE4"/>
    <w:rsid w:val="B3E6101E"/>
    <w:rsid w:val="B59F766D"/>
    <w:rsid w:val="B5FD8844"/>
    <w:rsid w:val="B6F7532B"/>
    <w:rsid w:val="B77BF44C"/>
    <w:rsid w:val="B77FBD7A"/>
    <w:rsid w:val="B77FD65D"/>
    <w:rsid w:val="B7B05DC7"/>
    <w:rsid w:val="B7E3A70E"/>
    <w:rsid w:val="B7E75FE0"/>
    <w:rsid w:val="B7EBE5DB"/>
    <w:rsid w:val="B7FFAFBD"/>
    <w:rsid w:val="B8B4BD3F"/>
    <w:rsid w:val="B9755EB2"/>
    <w:rsid w:val="B9F77897"/>
    <w:rsid w:val="BA7FBBF9"/>
    <w:rsid w:val="BB630427"/>
    <w:rsid w:val="BB67B601"/>
    <w:rsid w:val="BB7FEED6"/>
    <w:rsid w:val="BBDF29CA"/>
    <w:rsid w:val="BBE534A2"/>
    <w:rsid w:val="BBF539BA"/>
    <w:rsid w:val="BBF78487"/>
    <w:rsid w:val="BBFD3148"/>
    <w:rsid w:val="BBFDEFC2"/>
    <w:rsid w:val="BBFF98B6"/>
    <w:rsid w:val="BCDF6DAD"/>
    <w:rsid w:val="BCEB686C"/>
    <w:rsid w:val="BD2F654B"/>
    <w:rsid w:val="BD7DEDCC"/>
    <w:rsid w:val="BDBF0CE0"/>
    <w:rsid w:val="BDE7841D"/>
    <w:rsid w:val="BDF3838D"/>
    <w:rsid w:val="BDFCA53E"/>
    <w:rsid w:val="BDFE24E6"/>
    <w:rsid w:val="BEBBAA37"/>
    <w:rsid w:val="BEBF0673"/>
    <w:rsid w:val="BEBF52B3"/>
    <w:rsid w:val="BEDF2E97"/>
    <w:rsid w:val="BEFB5F9F"/>
    <w:rsid w:val="BEFD4CE7"/>
    <w:rsid w:val="BEFF960E"/>
    <w:rsid w:val="BF5696D8"/>
    <w:rsid w:val="BF6B8260"/>
    <w:rsid w:val="BF76C53B"/>
    <w:rsid w:val="BF7D98DD"/>
    <w:rsid w:val="BF7FDE3D"/>
    <w:rsid w:val="BF8CD6BE"/>
    <w:rsid w:val="BFA74CDA"/>
    <w:rsid w:val="BFAE4383"/>
    <w:rsid w:val="BFB65FD4"/>
    <w:rsid w:val="BFBAAB60"/>
    <w:rsid w:val="BFCF0BDA"/>
    <w:rsid w:val="BFCF892E"/>
    <w:rsid w:val="BFDB229D"/>
    <w:rsid w:val="BFDF2BB6"/>
    <w:rsid w:val="BFEE84EE"/>
    <w:rsid w:val="BFFA8FD6"/>
    <w:rsid w:val="BFFAB969"/>
    <w:rsid w:val="BFFADC54"/>
    <w:rsid w:val="BFFD8B84"/>
    <w:rsid w:val="BFFE18D3"/>
    <w:rsid w:val="BFFF501F"/>
    <w:rsid w:val="BFFFA05E"/>
    <w:rsid w:val="BFFFE4E8"/>
    <w:rsid w:val="C37F778E"/>
    <w:rsid w:val="C67D8ACF"/>
    <w:rsid w:val="C6B268CB"/>
    <w:rsid w:val="C6D6C223"/>
    <w:rsid w:val="C7DB265A"/>
    <w:rsid w:val="C7DECF56"/>
    <w:rsid w:val="C9DF8FA8"/>
    <w:rsid w:val="C9F741CB"/>
    <w:rsid w:val="CB7B4F79"/>
    <w:rsid w:val="CD5E95A6"/>
    <w:rsid w:val="CDBDFB92"/>
    <w:rsid w:val="CDC36CF8"/>
    <w:rsid w:val="CF2A265B"/>
    <w:rsid w:val="CF76609D"/>
    <w:rsid w:val="CFAF9C2E"/>
    <w:rsid w:val="CFDD247B"/>
    <w:rsid w:val="CFFD2F65"/>
    <w:rsid w:val="D3B466F7"/>
    <w:rsid w:val="D45F5F59"/>
    <w:rsid w:val="D5BB1759"/>
    <w:rsid w:val="D5BF06CF"/>
    <w:rsid w:val="D60BC8CB"/>
    <w:rsid w:val="D6DE1A44"/>
    <w:rsid w:val="D6EA2E41"/>
    <w:rsid w:val="D7121B13"/>
    <w:rsid w:val="D77E6928"/>
    <w:rsid w:val="D77FEBD0"/>
    <w:rsid w:val="D78F792C"/>
    <w:rsid w:val="D792952B"/>
    <w:rsid w:val="D7B73DBD"/>
    <w:rsid w:val="D7BDA7C7"/>
    <w:rsid w:val="D7DD5E3B"/>
    <w:rsid w:val="D7DF5ED6"/>
    <w:rsid w:val="D7E28AD3"/>
    <w:rsid w:val="D7E552CC"/>
    <w:rsid w:val="D9357834"/>
    <w:rsid w:val="D9FF881C"/>
    <w:rsid w:val="DAB11124"/>
    <w:rsid w:val="DADFDE2A"/>
    <w:rsid w:val="DAF72DE5"/>
    <w:rsid w:val="DAFBB832"/>
    <w:rsid w:val="DB514461"/>
    <w:rsid w:val="DBAF315B"/>
    <w:rsid w:val="DBAF760B"/>
    <w:rsid w:val="DBB904F5"/>
    <w:rsid w:val="DBD7C4EC"/>
    <w:rsid w:val="DBEF2A9C"/>
    <w:rsid w:val="DBEF5A4B"/>
    <w:rsid w:val="DBFF766E"/>
    <w:rsid w:val="DBFF771D"/>
    <w:rsid w:val="DC4777D1"/>
    <w:rsid w:val="DC4F651B"/>
    <w:rsid w:val="DCEFC3D6"/>
    <w:rsid w:val="DD0ED113"/>
    <w:rsid w:val="DD7B7089"/>
    <w:rsid w:val="DD7E9D1F"/>
    <w:rsid w:val="DD92F0E7"/>
    <w:rsid w:val="DDF5FFF3"/>
    <w:rsid w:val="DE6F3681"/>
    <w:rsid w:val="DE769F10"/>
    <w:rsid w:val="DEDE5523"/>
    <w:rsid w:val="DEDF3C42"/>
    <w:rsid w:val="DEFF8533"/>
    <w:rsid w:val="DF0394F1"/>
    <w:rsid w:val="DF07DD7D"/>
    <w:rsid w:val="DF5AF944"/>
    <w:rsid w:val="DF695B5E"/>
    <w:rsid w:val="DF6CAE14"/>
    <w:rsid w:val="DF7F2C36"/>
    <w:rsid w:val="DF9D3BF5"/>
    <w:rsid w:val="DF9F5328"/>
    <w:rsid w:val="DFA79409"/>
    <w:rsid w:val="DFBE9958"/>
    <w:rsid w:val="DFBF89C8"/>
    <w:rsid w:val="DFCD2D11"/>
    <w:rsid w:val="DFDF43D7"/>
    <w:rsid w:val="DFE5F416"/>
    <w:rsid w:val="DFEB4A4F"/>
    <w:rsid w:val="DFED20A2"/>
    <w:rsid w:val="DFF1D4FC"/>
    <w:rsid w:val="DFF583A8"/>
    <w:rsid w:val="DFF7E6EF"/>
    <w:rsid w:val="DFFB2450"/>
    <w:rsid w:val="DFFC0D2D"/>
    <w:rsid w:val="DFFD6EB5"/>
    <w:rsid w:val="DFFDD891"/>
    <w:rsid w:val="DFFF66B3"/>
    <w:rsid w:val="E3CEC2EC"/>
    <w:rsid w:val="E3F73F93"/>
    <w:rsid w:val="E3FF01F6"/>
    <w:rsid w:val="E4271B82"/>
    <w:rsid w:val="E48F14A3"/>
    <w:rsid w:val="E4ED83B3"/>
    <w:rsid w:val="E4FDE3A9"/>
    <w:rsid w:val="E54F4605"/>
    <w:rsid w:val="E5F8B5CC"/>
    <w:rsid w:val="E6FED0CD"/>
    <w:rsid w:val="E6FF3C7B"/>
    <w:rsid w:val="E73D2FA5"/>
    <w:rsid w:val="E73F8B09"/>
    <w:rsid w:val="E76F1EAB"/>
    <w:rsid w:val="E77F8439"/>
    <w:rsid w:val="E7DF9F04"/>
    <w:rsid w:val="E7F2706B"/>
    <w:rsid w:val="E7FDF1CF"/>
    <w:rsid w:val="E8DFFC9A"/>
    <w:rsid w:val="E8FF64BF"/>
    <w:rsid w:val="E9F955D9"/>
    <w:rsid w:val="EA6B44AD"/>
    <w:rsid w:val="EA9F4E4A"/>
    <w:rsid w:val="EADE1719"/>
    <w:rsid w:val="EB576BF5"/>
    <w:rsid w:val="EB732E93"/>
    <w:rsid w:val="EB9B7451"/>
    <w:rsid w:val="EBAD98C1"/>
    <w:rsid w:val="EBFEF0DD"/>
    <w:rsid w:val="EC5F58CD"/>
    <w:rsid w:val="ECB72FC0"/>
    <w:rsid w:val="ECF75331"/>
    <w:rsid w:val="ECF9E152"/>
    <w:rsid w:val="ED7F94D7"/>
    <w:rsid w:val="EDD530BE"/>
    <w:rsid w:val="EDE78887"/>
    <w:rsid w:val="EDE7B14F"/>
    <w:rsid w:val="EDF387D9"/>
    <w:rsid w:val="EDFB8919"/>
    <w:rsid w:val="EDFFC030"/>
    <w:rsid w:val="EDFFE066"/>
    <w:rsid w:val="EE3E3ABA"/>
    <w:rsid w:val="EE5EE4E9"/>
    <w:rsid w:val="EE5FFFEF"/>
    <w:rsid w:val="EE674FB9"/>
    <w:rsid w:val="EEE6E3F2"/>
    <w:rsid w:val="EEE9F615"/>
    <w:rsid w:val="EEEB70FE"/>
    <w:rsid w:val="EEF3B450"/>
    <w:rsid w:val="EEF7D0B3"/>
    <w:rsid w:val="EEFDC233"/>
    <w:rsid w:val="EEFDE6E9"/>
    <w:rsid w:val="EEFE7CAD"/>
    <w:rsid w:val="EF156EC4"/>
    <w:rsid w:val="EF4B3BFF"/>
    <w:rsid w:val="EF6AABDA"/>
    <w:rsid w:val="EF7EF75D"/>
    <w:rsid w:val="EF7F6BFC"/>
    <w:rsid w:val="EF7FD2C5"/>
    <w:rsid w:val="EF9F5705"/>
    <w:rsid w:val="EFC683D2"/>
    <w:rsid w:val="EFCFD8DD"/>
    <w:rsid w:val="EFD9914E"/>
    <w:rsid w:val="EFDFABD0"/>
    <w:rsid w:val="EFE7E391"/>
    <w:rsid w:val="EFEF46D2"/>
    <w:rsid w:val="EFEFB160"/>
    <w:rsid w:val="EFF75619"/>
    <w:rsid w:val="EFFC5801"/>
    <w:rsid w:val="EFFE0A90"/>
    <w:rsid w:val="EFFEB9DE"/>
    <w:rsid w:val="EFFF3CE0"/>
    <w:rsid w:val="EFFF93C9"/>
    <w:rsid w:val="EFFFE146"/>
    <w:rsid w:val="F1F75B52"/>
    <w:rsid w:val="F27EB8D8"/>
    <w:rsid w:val="F27FFC4C"/>
    <w:rsid w:val="F2DD63CF"/>
    <w:rsid w:val="F379922A"/>
    <w:rsid w:val="F3DEEDF4"/>
    <w:rsid w:val="F3FEF0CF"/>
    <w:rsid w:val="F4F7C09B"/>
    <w:rsid w:val="F55D8B06"/>
    <w:rsid w:val="F57F0648"/>
    <w:rsid w:val="F5E79497"/>
    <w:rsid w:val="F5EF4119"/>
    <w:rsid w:val="F5FF85D2"/>
    <w:rsid w:val="F5FFA069"/>
    <w:rsid w:val="F61B1BB3"/>
    <w:rsid w:val="F63BFED3"/>
    <w:rsid w:val="F66ED278"/>
    <w:rsid w:val="F68FECCC"/>
    <w:rsid w:val="F6FE1E51"/>
    <w:rsid w:val="F6FEB40C"/>
    <w:rsid w:val="F73FF092"/>
    <w:rsid w:val="F75E3E1F"/>
    <w:rsid w:val="F75F8222"/>
    <w:rsid w:val="F77F0681"/>
    <w:rsid w:val="F77F21DC"/>
    <w:rsid w:val="F79730AD"/>
    <w:rsid w:val="F79E65E6"/>
    <w:rsid w:val="F7B31CDD"/>
    <w:rsid w:val="F7B592D5"/>
    <w:rsid w:val="F7BD2589"/>
    <w:rsid w:val="F7BF2861"/>
    <w:rsid w:val="F7CFDD6C"/>
    <w:rsid w:val="F7DFD9B0"/>
    <w:rsid w:val="F7EFBC5A"/>
    <w:rsid w:val="F7FAA18D"/>
    <w:rsid w:val="F7FBAF1D"/>
    <w:rsid w:val="F7FE0FF4"/>
    <w:rsid w:val="F7FE9C03"/>
    <w:rsid w:val="F7FF2410"/>
    <w:rsid w:val="F7FFB7F6"/>
    <w:rsid w:val="F7FFE387"/>
    <w:rsid w:val="F7FFE903"/>
    <w:rsid w:val="F87A081D"/>
    <w:rsid w:val="F89D304E"/>
    <w:rsid w:val="F8D346C8"/>
    <w:rsid w:val="F8ED2250"/>
    <w:rsid w:val="F8FF44B6"/>
    <w:rsid w:val="F972001A"/>
    <w:rsid w:val="F97F1117"/>
    <w:rsid w:val="F97F999B"/>
    <w:rsid w:val="F98E4439"/>
    <w:rsid w:val="F99FDA36"/>
    <w:rsid w:val="F9B3F838"/>
    <w:rsid w:val="F9EF0914"/>
    <w:rsid w:val="F9F3EB7D"/>
    <w:rsid w:val="F9FD82E5"/>
    <w:rsid w:val="F9FDC70A"/>
    <w:rsid w:val="FA0EF94D"/>
    <w:rsid w:val="FA4E220D"/>
    <w:rsid w:val="FA982247"/>
    <w:rsid w:val="FABEB44F"/>
    <w:rsid w:val="FACF9AB9"/>
    <w:rsid w:val="FAF51BDB"/>
    <w:rsid w:val="FB77C25E"/>
    <w:rsid w:val="FB9F7AD3"/>
    <w:rsid w:val="FBAEDB19"/>
    <w:rsid w:val="FBD35E07"/>
    <w:rsid w:val="FBDA79DF"/>
    <w:rsid w:val="FBDFC074"/>
    <w:rsid w:val="FBE1AB99"/>
    <w:rsid w:val="FBEBC5D6"/>
    <w:rsid w:val="FBED3E85"/>
    <w:rsid w:val="FBEFFB7A"/>
    <w:rsid w:val="FBF3B8E0"/>
    <w:rsid w:val="FBFB910E"/>
    <w:rsid w:val="FBFC7B99"/>
    <w:rsid w:val="FBFD03A0"/>
    <w:rsid w:val="FBFD4DC7"/>
    <w:rsid w:val="FBFE4C98"/>
    <w:rsid w:val="FBFFCAA3"/>
    <w:rsid w:val="FC6FBC55"/>
    <w:rsid w:val="FC79A0BB"/>
    <w:rsid w:val="FC7F2C93"/>
    <w:rsid w:val="FCDE1A40"/>
    <w:rsid w:val="FCF72825"/>
    <w:rsid w:val="FCF78876"/>
    <w:rsid w:val="FCFB8D43"/>
    <w:rsid w:val="FD1F0DF1"/>
    <w:rsid w:val="FD1F740E"/>
    <w:rsid w:val="FD36F994"/>
    <w:rsid w:val="FD4F7CCC"/>
    <w:rsid w:val="FD59B623"/>
    <w:rsid w:val="FD5BC3A7"/>
    <w:rsid w:val="FD7878B4"/>
    <w:rsid w:val="FD7D2666"/>
    <w:rsid w:val="FD7E1E59"/>
    <w:rsid w:val="FD9533FF"/>
    <w:rsid w:val="FD9B0ED4"/>
    <w:rsid w:val="FDBFE9F3"/>
    <w:rsid w:val="FDCFB870"/>
    <w:rsid w:val="FDD122BB"/>
    <w:rsid w:val="FDDDF9D9"/>
    <w:rsid w:val="FDE58312"/>
    <w:rsid w:val="FDEC8F33"/>
    <w:rsid w:val="FDED4CF7"/>
    <w:rsid w:val="FDF3229F"/>
    <w:rsid w:val="FDF72368"/>
    <w:rsid w:val="FDFDAF82"/>
    <w:rsid w:val="FDFE3B2F"/>
    <w:rsid w:val="FDFEE3DE"/>
    <w:rsid w:val="FDFF00AA"/>
    <w:rsid w:val="FDFF33DF"/>
    <w:rsid w:val="FDFF91F4"/>
    <w:rsid w:val="FE3D643D"/>
    <w:rsid w:val="FE4BEE59"/>
    <w:rsid w:val="FE6F105A"/>
    <w:rsid w:val="FE7A4656"/>
    <w:rsid w:val="FE8DD527"/>
    <w:rsid w:val="FEAB5E58"/>
    <w:rsid w:val="FEB746FA"/>
    <w:rsid w:val="FEBDBBB2"/>
    <w:rsid w:val="FECC4353"/>
    <w:rsid w:val="FECF432C"/>
    <w:rsid w:val="FED01B59"/>
    <w:rsid w:val="FEF3282F"/>
    <w:rsid w:val="FEF59A29"/>
    <w:rsid w:val="FEF717ED"/>
    <w:rsid w:val="FEF7A559"/>
    <w:rsid w:val="FEF7BC32"/>
    <w:rsid w:val="FEFF3C62"/>
    <w:rsid w:val="FF0B5F84"/>
    <w:rsid w:val="FF0CDEB5"/>
    <w:rsid w:val="FF16A798"/>
    <w:rsid w:val="FF361E29"/>
    <w:rsid w:val="FF372CDD"/>
    <w:rsid w:val="FF48A5DE"/>
    <w:rsid w:val="FF4D014D"/>
    <w:rsid w:val="FF6E71E1"/>
    <w:rsid w:val="FF7321C8"/>
    <w:rsid w:val="FF76E2E0"/>
    <w:rsid w:val="FF7D9772"/>
    <w:rsid w:val="FF7E213E"/>
    <w:rsid w:val="FF7E666D"/>
    <w:rsid w:val="FF7ED418"/>
    <w:rsid w:val="FF7F6F12"/>
    <w:rsid w:val="FF8E5A6F"/>
    <w:rsid w:val="FF8FDA20"/>
    <w:rsid w:val="FF9EEFAF"/>
    <w:rsid w:val="FFA78F94"/>
    <w:rsid w:val="FFA7B0A6"/>
    <w:rsid w:val="FFAEFD10"/>
    <w:rsid w:val="FFBDF1C0"/>
    <w:rsid w:val="FFBE005B"/>
    <w:rsid w:val="FFBE3D54"/>
    <w:rsid w:val="FFBF3AB7"/>
    <w:rsid w:val="FFBF41CF"/>
    <w:rsid w:val="FFC734A8"/>
    <w:rsid w:val="FFCBC5AE"/>
    <w:rsid w:val="FFD9A6CE"/>
    <w:rsid w:val="FFDD321B"/>
    <w:rsid w:val="FFDFA1A0"/>
    <w:rsid w:val="FFE142B7"/>
    <w:rsid w:val="FFE5314D"/>
    <w:rsid w:val="FFE70E16"/>
    <w:rsid w:val="FFEAEB6B"/>
    <w:rsid w:val="FFEBB1B4"/>
    <w:rsid w:val="FFECEC2D"/>
    <w:rsid w:val="FFED6F1C"/>
    <w:rsid w:val="FFEEB330"/>
    <w:rsid w:val="FFEEF054"/>
    <w:rsid w:val="FFEF0495"/>
    <w:rsid w:val="FFEF3CF4"/>
    <w:rsid w:val="FFEF4004"/>
    <w:rsid w:val="FFEF7D7E"/>
    <w:rsid w:val="FFEFE1FF"/>
    <w:rsid w:val="FFF34AB2"/>
    <w:rsid w:val="FFF5D327"/>
    <w:rsid w:val="FFF77D2C"/>
    <w:rsid w:val="FFF7FD3B"/>
    <w:rsid w:val="FFFB358F"/>
    <w:rsid w:val="FFFBA1B8"/>
    <w:rsid w:val="FFFBB436"/>
    <w:rsid w:val="FFFC35CB"/>
    <w:rsid w:val="FFFD2880"/>
    <w:rsid w:val="FFFE40A5"/>
    <w:rsid w:val="FFFE79F0"/>
    <w:rsid w:val="FFFF1FA2"/>
    <w:rsid w:val="FFFF3361"/>
    <w:rsid w:val="FFFF5817"/>
    <w:rsid w:val="FFFF6BA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SimSun"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qFormat="1"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qFormat="1" w:unhideWhenUsed="0" w:uiPriority="0" w:semiHidden="0" w:name="Body Text 2"/>
    <w:lsdException w:qFormat="1" w:uiPriority="99" w:semiHidden="0" w:name="Body Text 3"/>
    <w:lsdException w:qFormat="1" w:unhideWhenUsed="0" w:uiPriority="0" w:semiHidden="0" w:name="Body Text Indent 2"/>
    <w:lsdException w:qFormat="1"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after="160" w:line="259" w:lineRule="auto"/>
      <w:jc w:val="both"/>
    </w:pPr>
    <w:rPr>
      <w:rFonts w:ascii="Times New Roman" w:hAnsi="Times New Roman" w:eastAsia="SimSun" w:cs="Times New Roman"/>
      <w:kern w:val="2"/>
      <w:sz w:val="21"/>
      <w:szCs w:val="24"/>
      <w:lang w:val="en-US" w:eastAsia="zh-CN" w:bidi="ar-SA"/>
    </w:rPr>
  </w:style>
  <w:style w:type="paragraph" w:styleId="3">
    <w:name w:val="heading 1"/>
    <w:basedOn w:val="1"/>
    <w:next w:val="1"/>
    <w:link w:val="39"/>
    <w:qFormat/>
    <w:uiPriority w:val="0"/>
    <w:pPr>
      <w:keepNext/>
      <w:keepLines/>
      <w:spacing w:before="340" w:after="330" w:line="576" w:lineRule="auto"/>
      <w:outlineLvl w:val="0"/>
    </w:pPr>
    <w:rPr>
      <w:b/>
      <w:bCs/>
      <w:kern w:val="44"/>
      <w:sz w:val="44"/>
      <w:szCs w:val="44"/>
    </w:rPr>
  </w:style>
  <w:style w:type="paragraph" w:styleId="4">
    <w:name w:val="heading 2"/>
    <w:basedOn w:val="3"/>
    <w:next w:val="5"/>
    <w:qFormat/>
    <w:uiPriority w:val="0"/>
    <w:pPr>
      <w:numPr>
        <w:ilvl w:val="1"/>
        <w:numId w:val="1"/>
      </w:numPr>
      <w:tabs>
        <w:tab w:val="left" w:pos="2400"/>
      </w:tabs>
      <w:spacing w:before="260" w:afterLines="50" w:line="416" w:lineRule="auto"/>
      <w:outlineLvl w:val="1"/>
    </w:pPr>
    <w:rPr>
      <w:rFonts w:ascii="Arial" w:hAnsi="Arial" w:eastAsia="SimHei" w:cs="Calibri"/>
      <w:sz w:val="32"/>
      <w:szCs w:val="32"/>
    </w:rPr>
  </w:style>
  <w:style w:type="paragraph" w:styleId="5">
    <w:name w:val="heading 3"/>
    <w:basedOn w:val="1"/>
    <w:next w:val="1"/>
    <w:link w:val="40"/>
    <w:qFormat/>
    <w:uiPriority w:val="0"/>
    <w:pPr>
      <w:keepNext/>
      <w:keepLines/>
      <w:tabs>
        <w:tab w:val="left" w:pos="0"/>
      </w:tabs>
      <w:spacing w:before="260" w:after="260" w:line="415" w:lineRule="auto"/>
      <w:outlineLvl w:val="2"/>
    </w:pPr>
    <w:rPr>
      <w:b/>
      <w:sz w:val="32"/>
      <w:szCs w:val="32"/>
    </w:rPr>
  </w:style>
  <w:style w:type="paragraph" w:styleId="6">
    <w:name w:val="heading 4"/>
    <w:basedOn w:val="1"/>
    <w:next w:val="1"/>
    <w:link w:val="41"/>
    <w:qFormat/>
    <w:uiPriority w:val="0"/>
    <w:pPr>
      <w:keepNext/>
      <w:autoSpaceDE w:val="0"/>
      <w:autoSpaceDN w:val="0"/>
      <w:adjustRightInd w:val="0"/>
      <w:jc w:val="left"/>
      <w:outlineLvl w:val="3"/>
    </w:pPr>
    <w:rPr>
      <w:rFonts w:ascii="SimSun" w:hAnsi="SimSun"/>
      <w:color w:val="0000FF"/>
      <w:kern w:val="0"/>
      <w:sz w:val="28"/>
      <w:szCs w:val="20"/>
    </w:rPr>
  </w:style>
  <w:style w:type="paragraph" w:styleId="7">
    <w:name w:val="heading 5"/>
    <w:basedOn w:val="1"/>
    <w:next w:val="1"/>
    <w:link w:val="42"/>
    <w:qFormat/>
    <w:uiPriority w:val="0"/>
    <w:pPr>
      <w:keepNext/>
      <w:keepLines/>
      <w:tabs>
        <w:tab w:val="left" w:pos="1008"/>
      </w:tabs>
      <w:spacing w:before="280" w:after="290" w:line="374" w:lineRule="auto"/>
      <w:ind w:left="1008" w:hanging="1008"/>
      <w:outlineLvl w:val="4"/>
    </w:pPr>
    <w:rPr>
      <w:rFonts w:ascii="Verdana" w:hAnsi="Verdana"/>
      <w:b/>
      <w:bCs/>
      <w:sz w:val="28"/>
      <w:szCs w:val="28"/>
    </w:rPr>
  </w:style>
  <w:style w:type="paragraph" w:styleId="8">
    <w:name w:val="heading 6"/>
    <w:basedOn w:val="1"/>
    <w:next w:val="1"/>
    <w:link w:val="43"/>
    <w:qFormat/>
    <w:uiPriority w:val="0"/>
    <w:pPr>
      <w:keepNext/>
      <w:keepLines/>
      <w:tabs>
        <w:tab w:val="left" w:pos="1152"/>
      </w:tabs>
      <w:spacing w:before="240" w:after="64" w:line="319" w:lineRule="auto"/>
      <w:ind w:left="1152" w:hanging="1152"/>
      <w:outlineLvl w:val="5"/>
    </w:pPr>
    <w:rPr>
      <w:rFonts w:ascii="Arial" w:hAnsi="Arial" w:eastAsia="SimHei"/>
      <w:b/>
      <w:bCs/>
      <w:sz w:val="24"/>
    </w:rPr>
  </w:style>
  <w:style w:type="paragraph" w:styleId="9">
    <w:name w:val="heading 7"/>
    <w:basedOn w:val="1"/>
    <w:next w:val="1"/>
    <w:link w:val="44"/>
    <w:qFormat/>
    <w:uiPriority w:val="0"/>
    <w:pPr>
      <w:keepNext/>
      <w:keepLines/>
      <w:tabs>
        <w:tab w:val="left" w:pos="1296"/>
      </w:tabs>
      <w:spacing w:before="240" w:after="64" w:line="319" w:lineRule="auto"/>
      <w:ind w:left="1296" w:hanging="1296"/>
      <w:outlineLvl w:val="6"/>
    </w:pPr>
    <w:rPr>
      <w:b/>
      <w:bCs/>
      <w:sz w:val="24"/>
    </w:rPr>
  </w:style>
  <w:style w:type="paragraph" w:styleId="10">
    <w:name w:val="heading 8"/>
    <w:basedOn w:val="1"/>
    <w:next w:val="1"/>
    <w:link w:val="45"/>
    <w:qFormat/>
    <w:uiPriority w:val="0"/>
    <w:pPr>
      <w:keepNext/>
      <w:keepLines/>
      <w:tabs>
        <w:tab w:val="left" w:pos="1440"/>
      </w:tabs>
      <w:spacing w:before="240" w:after="64" w:line="319" w:lineRule="auto"/>
      <w:ind w:left="1440" w:hanging="1440"/>
      <w:outlineLvl w:val="7"/>
    </w:pPr>
    <w:rPr>
      <w:rFonts w:ascii="Arial" w:hAnsi="Arial" w:eastAsia="SimHei"/>
      <w:sz w:val="24"/>
    </w:rPr>
  </w:style>
  <w:style w:type="paragraph" w:styleId="11">
    <w:name w:val="heading 9"/>
    <w:basedOn w:val="1"/>
    <w:next w:val="1"/>
    <w:link w:val="46"/>
    <w:qFormat/>
    <w:uiPriority w:val="0"/>
    <w:pPr>
      <w:keepNext/>
      <w:keepLines/>
      <w:tabs>
        <w:tab w:val="left" w:pos="1584"/>
      </w:tabs>
      <w:spacing w:before="240" w:after="64" w:line="319" w:lineRule="auto"/>
      <w:ind w:left="1584" w:hanging="1584"/>
      <w:outlineLvl w:val="8"/>
    </w:pPr>
    <w:rPr>
      <w:rFonts w:ascii="Arial" w:hAnsi="Arial" w:eastAsia="SimHei"/>
      <w:szCs w:val="21"/>
    </w:rPr>
  </w:style>
  <w:style w:type="character" w:default="1" w:styleId="33">
    <w:name w:val="Default Paragraph Font"/>
    <w:semiHidden/>
    <w:unhideWhenUsed/>
    <w:qFormat/>
    <w:uiPriority w:val="1"/>
  </w:style>
  <w:style w:type="table" w:default="1" w:styleId="32">
    <w:name w:val="Normal Table"/>
    <w:semiHidden/>
    <w:unhideWhenUsed/>
    <w:qFormat/>
    <w:uiPriority w:val="99"/>
    <w:tblPr>
      <w:tblCellMar>
        <w:top w:w="0" w:type="dxa"/>
        <w:left w:w="108" w:type="dxa"/>
        <w:bottom w:w="0" w:type="dxa"/>
        <w:right w:w="108" w:type="dxa"/>
      </w:tblCellMar>
    </w:tblPr>
  </w:style>
  <w:style w:type="paragraph" w:styleId="2">
    <w:name w:val="Body Text"/>
    <w:basedOn w:val="1"/>
    <w:link w:val="38"/>
    <w:qFormat/>
    <w:uiPriority w:val="0"/>
    <w:pPr>
      <w:spacing w:after="120"/>
    </w:pPr>
  </w:style>
  <w:style w:type="paragraph" w:styleId="12">
    <w:name w:val="List Number 2"/>
    <w:basedOn w:val="1"/>
    <w:qFormat/>
    <w:uiPriority w:val="0"/>
    <w:pPr>
      <w:numPr>
        <w:ilvl w:val="0"/>
        <w:numId w:val="2"/>
      </w:numPr>
    </w:pPr>
  </w:style>
  <w:style w:type="paragraph" w:styleId="13">
    <w:name w:val="Document Map"/>
    <w:basedOn w:val="1"/>
    <w:link w:val="47"/>
    <w:qFormat/>
    <w:uiPriority w:val="0"/>
    <w:pPr>
      <w:shd w:val="clear" w:color="auto" w:fill="000080"/>
    </w:pPr>
    <w:rPr>
      <w:kern w:val="0"/>
      <w:sz w:val="20"/>
      <w:shd w:val="clear" w:color="auto" w:fill="000080"/>
    </w:rPr>
  </w:style>
  <w:style w:type="paragraph" w:styleId="14">
    <w:name w:val="annotation text"/>
    <w:basedOn w:val="1"/>
    <w:qFormat/>
    <w:uiPriority w:val="0"/>
    <w:pPr>
      <w:jc w:val="left"/>
    </w:pPr>
  </w:style>
  <w:style w:type="paragraph" w:styleId="15">
    <w:name w:val="Body Text 3"/>
    <w:basedOn w:val="1"/>
    <w:unhideWhenUsed/>
    <w:qFormat/>
    <w:uiPriority w:val="99"/>
    <w:pPr>
      <w:widowControl/>
      <w:kinsoku w:val="0"/>
      <w:autoSpaceDE w:val="0"/>
      <w:autoSpaceDN w:val="0"/>
      <w:adjustRightInd w:val="0"/>
      <w:snapToGrid w:val="0"/>
      <w:spacing w:after="120"/>
      <w:jc w:val="left"/>
      <w:textAlignment w:val="baseline"/>
    </w:pPr>
    <w:rPr>
      <w:rFonts w:ascii="Cambria" w:hAnsi="Cambria" w:eastAsia="Microsoft YaHei" w:cs="Arial"/>
      <w:snapToGrid w:val="0"/>
      <w:color w:val="595959"/>
      <w:kern w:val="20"/>
      <w:sz w:val="16"/>
      <w:szCs w:val="20"/>
      <w:lang w:val="zh-CN" w:eastAsia="en-US"/>
    </w:rPr>
  </w:style>
  <w:style w:type="paragraph" w:styleId="16">
    <w:name w:val="Body Text Indent"/>
    <w:basedOn w:val="1"/>
    <w:link w:val="48"/>
    <w:qFormat/>
    <w:uiPriority w:val="0"/>
    <w:pPr>
      <w:ind w:firstLine="360"/>
    </w:pPr>
    <w:rPr>
      <w:kern w:val="0"/>
      <w:sz w:val="20"/>
      <w:szCs w:val="20"/>
    </w:rPr>
  </w:style>
  <w:style w:type="paragraph" w:styleId="17">
    <w:name w:val="toc 3"/>
    <w:basedOn w:val="1"/>
    <w:next w:val="18"/>
    <w:qFormat/>
    <w:uiPriority w:val="0"/>
    <w:pPr>
      <w:widowControl/>
      <w:spacing w:after="0" w:line="240" w:lineRule="auto"/>
      <w:ind w:left="480"/>
      <w:jc w:val="left"/>
    </w:pPr>
    <w:rPr>
      <w:rFonts w:ascii="仿宋_GB2312" w:hAnsi="仿宋_GB2312" w:eastAsia="仿宋_GB2312" w:cs="仿宋_GB2312"/>
      <w:color w:val="000000"/>
      <w:kern w:val="0"/>
      <w:sz w:val="24"/>
      <w:lang w:eastAsia="en-US"/>
    </w:rPr>
  </w:style>
  <w:style w:type="paragraph" w:customStyle="1" w:styleId="18">
    <w:name w:val="Normal_0"/>
    <w:qFormat/>
    <w:uiPriority w:val="0"/>
    <w:rPr>
      <w:rFonts w:ascii="Times New Roman" w:hAnsi="Times New Roman" w:eastAsia="Times New Roman" w:cs="Times New Roman"/>
      <w:sz w:val="24"/>
      <w:szCs w:val="24"/>
      <w:lang w:val="en-US" w:eastAsia="en-US" w:bidi="ar-SA"/>
    </w:rPr>
  </w:style>
  <w:style w:type="paragraph" w:styleId="19">
    <w:name w:val="Plain Text"/>
    <w:basedOn w:val="1"/>
    <w:link w:val="49"/>
    <w:qFormat/>
    <w:uiPriority w:val="0"/>
    <w:pPr>
      <w:spacing w:after="0"/>
    </w:pPr>
    <w:rPr>
      <w:rFonts w:ascii="SimSun" w:hAnsi="Courier New"/>
      <w:kern w:val="0"/>
      <w:sz w:val="20"/>
      <w:szCs w:val="21"/>
    </w:rPr>
  </w:style>
  <w:style w:type="paragraph" w:styleId="20">
    <w:name w:val="Date"/>
    <w:basedOn w:val="1"/>
    <w:next w:val="1"/>
    <w:link w:val="50"/>
    <w:qFormat/>
    <w:uiPriority w:val="0"/>
    <w:pPr>
      <w:ind w:left="100" w:leftChars="2500"/>
    </w:pPr>
    <w:rPr>
      <w:kern w:val="0"/>
      <w:sz w:val="20"/>
    </w:rPr>
  </w:style>
  <w:style w:type="paragraph" w:styleId="21">
    <w:name w:val="Body Text Indent 2"/>
    <w:basedOn w:val="1"/>
    <w:link w:val="51"/>
    <w:qFormat/>
    <w:uiPriority w:val="0"/>
    <w:pPr>
      <w:ind w:firstLine="630"/>
    </w:pPr>
    <w:rPr>
      <w:rFonts w:ascii="SimSun"/>
      <w:kern w:val="0"/>
      <w:sz w:val="28"/>
      <w:szCs w:val="20"/>
    </w:rPr>
  </w:style>
  <w:style w:type="paragraph" w:styleId="22">
    <w:name w:val="Balloon Text"/>
    <w:basedOn w:val="1"/>
    <w:link w:val="52"/>
    <w:qFormat/>
    <w:uiPriority w:val="0"/>
    <w:rPr>
      <w:kern w:val="0"/>
      <w:sz w:val="18"/>
      <w:szCs w:val="18"/>
    </w:rPr>
  </w:style>
  <w:style w:type="paragraph" w:styleId="23">
    <w:name w:val="footer"/>
    <w:basedOn w:val="1"/>
    <w:link w:val="53"/>
    <w:qFormat/>
    <w:uiPriority w:val="0"/>
    <w:pPr>
      <w:tabs>
        <w:tab w:val="center" w:pos="4140"/>
        <w:tab w:val="right" w:pos="8300"/>
      </w:tabs>
      <w:snapToGrid w:val="0"/>
      <w:spacing w:after="0"/>
      <w:jc w:val="left"/>
    </w:pPr>
    <w:rPr>
      <w:kern w:val="0"/>
      <w:sz w:val="18"/>
    </w:rPr>
  </w:style>
  <w:style w:type="paragraph" w:styleId="24">
    <w:name w:val="header"/>
    <w:basedOn w:val="1"/>
    <w:link w:val="54"/>
    <w:qFormat/>
    <w:uiPriority w:val="0"/>
    <w:pPr>
      <w:pBdr>
        <w:bottom w:val="single" w:color="auto" w:sz="6" w:space="1"/>
      </w:pBdr>
      <w:tabs>
        <w:tab w:val="center" w:pos="4153"/>
        <w:tab w:val="right" w:pos="8306"/>
      </w:tabs>
      <w:snapToGrid w:val="0"/>
      <w:jc w:val="center"/>
    </w:pPr>
    <w:rPr>
      <w:kern w:val="0"/>
      <w:sz w:val="18"/>
      <w:szCs w:val="18"/>
    </w:rPr>
  </w:style>
  <w:style w:type="paragraph" w:styleId="25">
    <w:name w:val="toc 1"/>
    <w:basedOn w:val="1"/>
    <w:next w:val="1"/>
    <w:qFormat/>
    <w:uiPriority w:val="0"/>
    <w:pPr>
      <w:spacing w:before="120" w:after="120"/>
      <w:jc w:val="left"/>
    </w:pPr>
    <w:rPr>
      <w:rFonts w:ascii="仿宋_GB2312" w:hAnsi="仿宋_GB2312" w:eastAsia="仿宋_GB2312" w:cs="仿宋_GB2312"/>
      <w:bCs/>
      <w:caps/>
      <w:color w:val="000000"/>
      <w:sz w:val="24"/>
      <w:szCs w:val="20"/>
    </w:rPr>
  </w:style>
  <w:style w:type="paragraph" w:styleId="26">
    <w:name w:val="Body Text Indent 3"/>
    <w:basedOn w:val="1"/>
    <w:link w:val="55"/>
    <w:qFormat/>
    <w:uiPriority w:val="0"/>
    <w:pPr>
      <w:spacing w:line="360" w:lineRule="auto"/>
      <w:ind w:firstLine="480" w:firstLineChars="200"/>
      <w:jc w:val="left"/>
    </w:pPr>
    <w:rPr>
      <w:kern w:val="0"/>
      <w:sz w:val="24"/>
      <w:szCs w:val="20"/>
    </w:rPr>
  </w:style>
  <w:style w:type="paragraph" w:styleId="27">
    <w:name w:val="toc 2"/>
    <w:basedOn w:val="1"/>
    <w:next w:val="18"/>
    <w:qFormat/>
    <w:uiPriority w:val="0"/>
    <w:pPr>
      <w:widowControl/>
      <w:spacing w:after="0" w:line="240" w:lineRule="auto"/>
      <w:ind w:left="240"/>
      <w:jc w:val="left"/>
    </w:pPr>
    <w:rPr>
      <w:rFonts w:ascii="仿宋_GB2312" w:hAnsi="仿宋_GB2312" w:eastAsia="仿宋_GB2312" w:cs="仿宋_GB2312"/>
      <w:color w:val="000000"/>
      <w:kern w:val="0"/>
      <w:sz w:val="24"/>
      <w:lang w:eastAsia="en-US"/>
    </w:rPr>
  </w:style>
  <w:style w:type="paragraph" w:styleId="28">
    <w:name w:val="Body Text 2"/>
    <w:basedOn w:val="1"/>
    <w:link w:val="56"/>
    <w:qFormat/>
    <w:uiPriority w:val="0"/>
    <w:rPr>
      <w:rFonts w:ascii="FangSong_GB2312" w:eastAsia="FangSong_GB2312"/>
      <w:kern w:val="0"/>
      <w:sz w:val="28"/>
      <w:szCs w:val="20"/>
    </w:rPr>
  </w:style>
  <w:style w:type="paragraph" w:styleId="29">
    <w:name w:val="Normal (Web)"/>
    <w:basedOn w:val="1"/>
    <w:qFormat/>
    <w:uiPriority w:val="0"/>
    <w:pPr>
      <w:spacing w:before="100" w:beforeAutospacing="1" w:after="100" w:afterAutospacing="1"/>
      <w:jc w:val="left"/>
    </w:pPr>
    <w:rPr>
      <w:kern w:val="0"/>
      <w:sz w:val="24"/>
    </w:rPr>
  </w:style>
  <w:style w:type="paragraph" w:styleId="30">
    <w:name w:val="Title"/>
    <w:basedOn w:val="1"/>
    <w:link w:val="57"/>
    <w:qFormat/>
    <w:uiPriority w:val="0"/>
    <w:pPr>
      <w:spacing w:before="240" w:after="60"/>
      <w:jc w:val="center"/>
      <w:outlineLvl w:val="0"/>
    </w:pPr>
    <w:rPr>
      <w:rFonts w:ascii="Cambria" w:hAnsi="Cambria"/>
      <w:b/>
      <w:bCs/>
      <w:kern w:val="0"/>
      <w:sz w:val="32"/>
      <w:szCs w:val="32"/>
    </w:rPr>
  </w:style>
  <w:style w:type="paragraph" w:styleId="31">
    <w:name w:val="Body Text First Indent"/>
    <w:basedOn w:val="2"/>
    <w:link w:val="58"/>
    <w:qFormat/>
    <w:uiPriority w:val="0"/>
    <w:pPr>
      <w:ind w:firstLine="420" w:firstLineChars="100"/>
    </w:pPr>
    <w:rPr>
      <w:kern w:val="0"/>
      <w:sz w:val="20"/>
    </w:rPr>
  </w:style>
  <w:style w:type="character" w:styleId="34">
    <w:name w:val="Strong"/>
    <w:qFormat/>
    <w:uiPriority w:val="0"/>
    <w:rPr>
      <w:rFonts w:ascii="Times New Roman" w:hAnsi="Times New Roman" w:eastAsia="SimSun" w:cs="Times New Roman"/>
      <w:b/>
    </w:rPr>
  </w:style>
  <w:style w:type="character" w:styleId="35">
    <w:name w:val="page number"/>
    <w:qFormat/>
    <w:uiPriority w:val="0"/>
    <w:rPr>
      <w:rFonts w:ascii="Times New Roman" w:hAnsi="Times New Roman" w:eastAsia="SimSun" w:cs="Times New Roman"/>
    </w:rPr>
  </w:style>
  <w:style w:type="character" w:styleId="36">
    <w:name w:val="FollowedHyperlink"/>
    <w:qFormat/>
    <w:uiPriority w:val="0"/>
    <w:rPr>
      <w:rFonts w:hint="eastAsia" w:ascii="Microsoft YaHei" w:hAnsi="Microsoft YaHei" w:eastAsia="Microsoft YaHei" w:cs="Microsoft YaHei"/>
      <w:color w:val="02396F"/>
      <w:u w:val="single"/>
    </w:rPr>
  </w:style>
  <w:style w:type="character" w:styleId="37">
    <w:name w:val="Hyperlink"/>
    <w:qFormat/>
    <w:uiPriority w:val="0"/>
    <w:rPr>
      <w:rFonts w:ascii="Times New Roman" w:hAnsi="Times New Roman" w:eastAsia="SimSun" w:cs="Times New Roman"/>
      <w:color w:val="0000FF"/>
      <w:u w:val="single"/>
    </w:rPr>
  </w:style>
  <w:style w:type="character" w:customStyle="1" w:styleId="38">
    <w:name w:val="Body Text Char"/>
    <w:link w:val="2"/>
    <w:qFormat/>
    <w:uiPriority w:val="0"/>
    <w:rPr>
      <w:rFonts w:ascii="Times New Roman" w:hAnsi="Times New Roman" w:eastAsia="SimSun" w:cs="Times New Roman"/>
      <w:kern w:val="2"/>
      <w:sz w:val="21"/>
      <w:szCs w:val="24"/>
      <w:lang w:val="en-US" w:eastAsia="zh-CN" w:bidi="ar-SA"/>
    </w:rPr>
  </w:style>
  <w:style w:type="character" w:customStyle="1" w:styleId="39">
    <w:name w:val="Heading 1 Char"/>
    <w:link w:val="3"/>
    <w:qFormat/>
    <w:uiPriority w:val="0"/>
    <w:rPr>
      <w:rFonts w:ascii="Times New Roman" w:hAnsi="Times New Roman" w:eastAsia="SimSun" w:cs="Times New Roman"/>
      <w:b/>
      <w:bCs/>
      <w:kern w:val="44"/>
      <w:sz w:val="44"/>
      <w:szCs w:val="44"/>
      <w:lang w:val="en-US" w:eastAsia="zh-CN" w:bidi="ar-SA"/>
    </w:rPr>
  </w:style>
  <w:style w:type="character" w:customStyle="1" w:styleId="40">
    <w:name w:val="Heading 3 Char"/>
    <w:link w:val="5"/>
    <w:qFormat/>
    <w:uiPriority w:val="0"/>
    <w:rPr>
      <w:rFonts w:ascii="Times New Roman" w:hAnsi="Times New Roman" w:eastAsia="SimSun" w:cs="Times New Roman"/>
      <w:b/>
      <w:bCs/>
      <w:kern w:val="2"/>
      <w:sz w:val="32"/>
      <w:szCs w:val="32"/>
      <w:lang w:val="en-US" w:eastAsia="zh-CN" w:bidi="ar-SA"/>
    </w:rPr>
  </w:style>
  <w:style w:type="character" w:customStyle="1" w:styleId="41">
    <w:name w:val="Heading 4 Char"/>
    <w:link w:val="6"/>
    <w:qFormat/>
    <w:uiPriority w:val="0"/>
    <w:rPr>
      <w:rFonts w:ascii="SimSun" w:hAnsi="SimSun" w:eastAsia="SimSun" w:cs="Times New Roman"/>
      <w:color w:val="0000FF"/>
      <w:sz w:val="28"/>
      <w:lang w:val="en-US" w:eastAsia="zh-CN" w:bidi="ar-SA"/>
    </w:rPr>
  </w:style>
  <w:style w:type="character" w:customStyle="1" w:styleId="42">
    <w:name w:val="Heading 5 Char"/>
    <w:link w:val="7"/>
    <w:qFormat/>
    <w:uiPriority w:val="0"/>
    <w:rPr>
      <w:rFonts w:ascii="Verdana" w:hAnsi="Verdana" w:eastAsia="SimSun" w:cs="Times New Roman"/>
      <w:b/>
      <w:bCs/>
      <w:kern w:val="2"/>
      <w:sz w:val="28"/>
      <w:szCs w:val="28"/>
      <w:lang w:val="en-US" w:eastAsia="zh-CN" w:bidi="ar-SA"/>
    </w:rPr>
  </w:style>
  <w:style w:type="character" w:customStyle="1" w:styleId="43">
    <w:name w:val="Heading 6 Char"/>
    <w:link w:val="8"/>
    <w:qFormat/>
    <w:uiPriority w:val="0"/>
    <w:rPr>
      <w:rFonts w:ascii="Arial" w:hAnsi="Arial" w:eastAsia="SimHei" w:cs="Times New Roman"/>
      <w:b/>
      <w:bCs/>
      <w:kern w:val="2"/>
      <w:sz w:val="24"/>
      <w:szCs w:val="24"/>
      <w:lang w:val="en-US" w:eastAsia="zh-CN" w:bidi="ar-SA"/>
    </w:rPr>
  </w:style>
  <w:style w:type="character" w:customStyle="1" w:styleId="44">
    <w:name w:val="Heading 7 Char"/>
    <w:link w:val="9"/>
    <w:qFormat/>
    <w:uiPriority w:val="0"/>
    <w:rPr>
      <w:rFonts w:ascii="Times New Roman" w:hAnsi="Times New Roman" w:eastAsia="SimSun" w:cs="Times New Roman"/>
      <w:b/>
      <w:bCs/>
      <w:kern w:val="2"/>
      <w:sz w:val="24"/>
      <w:szCs w:val="24"/>
      <w:lang w:val="en-US" w:eastAsia="zh-CN" w:bidi="ar-SA"/>
    </w:rPr>
  </w:style>
  <w:style w:type="character" w:customStyle="1" w:styleId="45">
    <w:name w:val="Heading 8 Char"/>
    <w:link w:val="10"/>
    <w:qFormat/>
    <w:uiPriority w:val="0"/>
    <w:rPr>
      <w:rFonts w:ascii="Arial" w:hAnsi="Arial" w:eastAsia="SimHei" w:cs="Times New Roman"/>
      <w:kern w:val="2"/>
      <w:sz w:val="24"/>
      <w:szCs w:val="24"/>
      <w:lang w:val="en-US" w:eastAsia="zh-CN" w:bidi="ar-SA"/>
    </w:rPr>
  </w:style>
  <w:style w:type="character" w:customStyle="1" w:styleId="46">
    <w:name w:val="Heading 9 Char"/>
    <w:link w:val="11"/>
    <w:qFormat/>
    <w:uiPriority w:val="0"/>
    <w:rPr>
      <w:rFonts w:ascii="Arial" w:hAnsi="Arial" w:eastAsia="SimHei" w:cs="Times New Roman"/>
      <w:kern w:val="2"/>
      <w:sz w:val="21"/>
      <w:szCs w:val="21"/>
      <w:lang w:val="en-US" w:eastAsia="zh-CN" w:bidi="ar-SA"/>
    </w:rPr>
  </w:style>
  <w:style w:type="character" w:customStyle="1" w:styleId="47">
    <w:name w:val="Document Map Char"/>
    <w:link w:val="13"/>
    <w:qFormat/>
    <w:uiPriority w:val="0"/>
    <w:rPr>
      <w:rFonts w:ascii="Times New Roman" w:hAnsi="Times New Roman" w:eastAsia="SimSun" w:cs="Times New Roman"/>
      <w:szCs w:val="24"/>
      <w:shd w:val="clear" w:color="auto" w:fill="000080"/>
      <w:lang w:bidi="ar-SA"/>
    </w:rPr>
  </w:style>
  <w:style w:type="character" w:customStyle="1" w:styleId="48">
    <w:name w:val="Body Text Indent Char"/>
    <w:link w:val="16"/>
    <w:qFormat/>
    <w:uiPriority w:val="0"/>
    <w:rPr>
      <w:rFonts w:ascii="Times New Roman" w:hAnsi="Times New Roman" w:eastAsia="SimSun" w:cs="Times New Roman"/>
      <w:lang w:bidi="ar-SA"/>
    </w:rPr>
  </w:style>
  <w:style w:type="character" w:customStyle="1" w:styleId="49">
    <w:name w:val="Plain Text Char"/>
    <w:link w:val="19"/>
    <w:qFormat/>
    <w:uiPriority w:val="0"/>
    <w:rPr>
      <w:rFonts w:ascii="SimSun" w:hAnsi="Courier New" w:eastAsia="SimSun" w:cs="Times New Roman"/>
      <w:szCs w:val="21"/>
      <w:lang w:bidi="ar-SA"/>
    </w:rPr>
  </w:style>
  <w:style w:type="character" w:customStyle="1" w:styleId="50">
    <w:name w:val="Date Char"/>
    <w:link w:val="20"/>
    <w:qFormat/>
    <w:uiPriority w:val="0"/>
    <w:rPr>
      <w:rFonts w:ascii="Times New Roman" w:hAnsi="Times New Roman" w:eastAsia="SimSun" w:cs="Times New Roman"/>
      <w:szCs w:val="24"/>
      <w:lang w:bidi="ar-SA"/>
    </w:rPr>
  </w:style>
  <w:style w:type="character" w:customStyle="1" w:styleId="51">
    <w:name w:val="Body Text Indent 2 Char"/>
    <w:link w:val="21"/>
    <w:qFormat/>
    <w:uiPriority w:val="0"/>
    <w:rPr>
      <w:rFonts w:ascii="SimSun" w:hAnsi="Times New Roman" w:eastAsia="SimSun" w:cs="Times New Roman"/>
      <w:sz w:val="28"/>
      <w:lang w:bidi="ar-SA"/>
    </w:rPr>
  </w:style>
  <w:style w:type="character" w:customStyle="1" w:styleId="52">
    <w:name w:val="Balloon Text Char"/>
    <w:link w:val="22"/>
    <w:qFormat/>
    <w:uiPriority w:val="0"/>
    <w:rPr>
      <w:rFonts w:ascii="Times New Roman" w:hAnsi="Times New Roman" w:eastAsia="SimSun" w:cs="Times New Roman"/>
      <w:sz w:val="18"/>
      <w:szCs w:val="18"/>
      <w:lang w:bidi="ar-SA"/>
    </w:rPr>
  </w:style>
  <w:style w:type="character" w:customStyle="1" w:styleId="53">
    <w:name w:val="Footer Char"/>
    <w:link w:val="23"/>
    <w:qFormat/>
    <w:uiPriority w:val="0"/>
    <w:rPr>
      <w:rFonts w:ascii="Times New Roman" w:hAnsi="Times New Roman" w:eastAsia="SimSun" w:cs="Times New Roman"/>
      <w:sz w:val="18"/>
      <w:szCs w:val="24"/>
      <w:lang w:bidi="ar-SA"/>
    </w:rPr>
  </w:style>
  <w:style w:type="character" w:customStyle="1" w:styleId="54">
    <w:name w:val="Header Char"/>
    <w:link w:val="24"/>
    <w:qFormat/>
    <w:uiPriority w:val="0"/>
    <w:rPr>
      <w:rFonts w:ascii="Times New Roman" w:hAnsi="Times New Roman" w:eastAsia="SimSun" w:cs="Times New Roman"/>
      <w:sz w:val="18"/>
      <w:szCs w:val="18"/>
      <w:lang w:bidi="ar-SA"/>
    </w:rPr>
  </w:style>
  <w:style w:type="character" w:customStyle="1" w:styleId="55">
    <w:name w:val="Body Text Indent 3 Char"/>
    <w:link w:val="26"/>
    <w:qFormat/>
    <w:uiPriority w:val="0"/>
    <w:rPr>
      <w:rFonts w:ascii="Times New Roman" w:hAnsi="Times New Roman" w:eastAsia="SimSun" w:cs="Times New Roman"/>
      <w:sz w:val="24"/>
      <w:lang w:bidi="ar-SA"/>
    </w:rPr>
  </w:style>
  <w:style w:type="character" w:customStyle="1" w:styleId="56">
    <w:name w:val="Body Text 2 Char"/>
    <w:link w:val="28"/>
    <w:qFormat/>
    <w:uiPriority w:val="0"/>
    <w:rPr>
      <w:rFonts w:ascii="FangSong_GB2312" w:hAnsi="Times New Roman" w:eastAsia="FangSong_GB2312" w:cs="Times New Roman"/>
      <w:sz w:val="28"/>
      <w:lang w:bidi="ar-SA"/>
    </w:rPr>
  </w:style>
  <w:style w:type="character" w:customStyle="1" w:styleId="57">
    <w:name w:val="Title Char"/>
    <w:link w:val="30"/>
    <w:qFormat/>
    <w:uiPriority w:val="0"/>
    <w:rPr>
      <w:rFonts w:ascii="Cambria" w:hAnsi="Cambria" w:eastAsia="SimSun" w:cs="Times New Roman"/>
      <w:b/>
      <w:bCs/>
      <w:sz w:val="32"/>
      <w:szCs w:val="32"/>
      <w:lang w:bidi="ar-SA"/>
    </w:rPr>
  </w:style>
  <w:style w:type="character" w:customStyle="1" w:styleId="58">
    <w:name w:val="Body Text First Indent Char"/>
    <w:link w:val="31"/>
    <w:qFormat/>
    <w:uiPriority w:val="0"/>
    <w:rPr>
      <w:rFonts w:ascii="Times New Roman" w:hAnsi="Times New Roman" w:eastAsia="SimSun" w:cs="Times New Roman"/>
      <w:szCs w:val="24"/>
      <w:lang w:bidi="ar-SA"/>
    </w:rPr>
  </w:style>
  <w:style w:type="character" w:customStyle="1" w:styleId="59">
    <w:name w:val="gjfg"/>
    <w:basedOn w:val="33"/>
    <w:qFormat/>
    <w:uiPriority w:val="0"/>
  </w:style>
  <w:style w:type="character" w:customStyle="1" w:styleId="60">
    <w:name w:val="cfdate"/>
    <w:qFormat/>
    <w:uiPriority w:val="0"/>
    <w:rPr>
      <w:rFonts w:ascii="Times New Roman" w:hAnsi="Times New Roman" w:eastAsia="SimSun" w:cs="Times New Roman"/>
      <w:color w:val="333333"/>
      <w:sz w:val="12"/>
      <w:szCs w:val="12"/>
    </w:rPr>
  </w:style>
  <w:style w:type="character" w:customStyle="1" w:styleId="61">
    <w:name w:val="正文文本 Char1"/>
    <w:qFormat/>
    <w:uiPriority w:val="0"/>
    <w:rPr>
      <w:rFonts w:ascii="Times New Roman" w:hAnsi="Times New Roman" w:eastAsia="SimSun" w:cs="Times New Roman"/>
      <w:szCs w:val="24"/>
    </w:rPr>
  </w:style>
  <w:style w:type="character" w:customStyle="1" w:styleId="62">
    <w:name w:val="redfilenumber"/>
    <w:qFormat/>
    <w:uiPriority w:val="0"/>
    <w:rPr>
      <w:rFonts w:ascii="Times New Roman" w:hAnsi="Times New Roman" w:eastAsia="SimSun" w:cs="Times New Roman"/>
      <w:color w:val="BA2636"/>
      <w:sz w:val="12"/>
      <w:szCs w:val="12"/>
    </w:rPr>
  </w:style>
  <w:style w:type="character" w:customStyle="1" w:styleId="63">
    <w:name w:val="ll2 Char Char"/>
    <w:link w:val="64"/>
    <w:qFormat/>
    <w:uiPriority w:val="0"/>
    <w:rPr>
      <w:rFonts w:ascii="SimSun" w:hAnsi="SimSun" w:eastAsia="Times New Roman" w:cs="Times New Roman"/>
      <w:bCs/>
      <w:color w:val="000000"/>
      <w:sz w:val="24"/>
      <w:szCs w:val="32"/>
      <w:lang w:val="en-US" w:eastAsia="zh-CN" w:bidi="ar-SA"/>
    </w:rPr>
  </w:style>
  <w:style w:type="paragraph" w:customStyle="1" w:styleId="64">
    <w:name w:val="ll2"/>
    <w:link w:val="63"/>
    <w:qFormat/>
    <w:uiPriority w:val="0"/>
    <w:pPr>
      <w:numPr>
        <w:ilvl w:val="0"/>
        <w:numId w:val="3"/>
      </w:numPr>
      <w:tabs>
        <w:tab w:val="left" w:pos="0"/>
      </w:tabs>
      <w:snapToGrid w:val="0"/>
      <w:spacing w:after="160" w:line="240" w:lineRule="atLeast"/>
      <w:ind w:left="0" w:firstLine="0"/>
    </w:pPr>
    <w:rPr>
      <w:rFonts w:ascii="SimSun" w:hAnsi="SimSun" w:eastAsia="Times New Roman" w:cs="Times New Roman"/>
      <w:bCs/>
      <w:color w:val="000000"/>
      <w:sz w:val="24"/>
      <w:szCs w:val="32"/>
      <w:lang w:val="en-US" w:eastAsia="zh-CN" w:bidi="ar-SA"/>
    </w:rPr>
  </w:style>
  <w:style w:type="character" w:customStyle="1" w:styleId="65">
    <w:name w:val="Style .. + 宋体 五号 Black Char"/>
    <w:link w:val="66"/>
    <w:qFormat/>
    <w:uiPriority w:val="0"/>
    <w:rPr>
      <w:rFonts w:ascii="SimSun" w:hAnsi="SimSun" w:eastAsia="SimSun" w:cs="Times New Roman"/>
      <w:color w:val="000000"/>
      <w:sz w:val="24"/>
      <w:lang w:bidi="ar-SA"/>
    </w:rPr>
  </w:style>
  <w:style w:type="paragraph" w:customStyle="1" w:styleId="66">
    <w:name w:val="Style .. + 宋体 五号 Black"/>
    <w:basedOn w:val="1"/>
    <w:link w:val="65"/>
    <w:qFormat/>
    <w:uiPriority w:val="0"/>
    <w:pPr>
      <w:autoSpaceDE w:val="0"/>
      <w:autoSpaceDN w:val="0"/>
      <w:adjustRightInd w:val="0"/>
      <w:spacing w:line="360" w:lineRule="auto"/>
      <w:jc w:val="left"/>
    </w:pPr>
    <w:rPr>
      <w:rFonts w:ascii="SimSun" w:hAnsi="SimSun"/>
      <w:color w:val="000000"/>
      <w:kern w:val="0"/>
      <w:sz w:val="24"/>
      <w:szCs w:val="20"/>
    </w:rPr>
  </w:style>
  <w:style w:type="character" w:customStyle="1" w:styleId="67">
    <w:name w:val="15"/>
    <w:basedOn w:val="33"/>
    <w:qFormat/>
    <w:uiPriority w:val="0"/>
    <w:rPr>
      <w:rFonts w:hint="default" w:ascii="Times New Roman" w:hAnsi="Times New Roman" w:eastAsia="SimSun" w:cs="Times New Roman"/>
    </w:rPr>
  </w:style>
  <w:style w:type="character" w:customStyle="1" w:styleId="68">
    <w:name w:val="正文文字 Char"/>
    <w:link w:val="69"/>
    <w:qFormat/>
    <w:uiPriority w:val="0"/>
    <w:rPr>
      <w:rFonts w:ascii="Times New Roman" w:hAnsi="Times New Roman" w:eastAsia="SimSun" w:cs="Times New Roman"/>
      <w:sz w:val="24"/>
      <w:szCs w:val="24"/>
      <w:lang w:bidi="ar-SA"/>
    </w:rPr>
  </w:style>
  <w:style w:type="paragraph" w:customStyle="1" w:styleId="69">
    <w:name w:val="正文文字"/>
    <w:basedOn w:val="1"/>
    <w:link w:val="68"/>
    <w:qFormat/>
    <w:uiPriority w:val="0"/>
    <w:pPr>
      <w:spacing w:before="60" w:after="60" w:line="360" w:lineRule="auto"/>
      <w:ind w:firstLine="200" w:firstLineChars="200"/>
      <w:jc w:val="left"/>
    </w:pPr>
    <w:rPr>
      <w:kern w:val="0"/>
      <w:sz w:val="24"/>
    </w:rPr>
  </w:style>
  <w:style w:type="character" w:customStyle="1" w:styleId="70">
    <w:name w:val="文档正文 Char"/>
    <w:link w:val="71"/>
    <w:qFormat/>
    <w:uiPriority w:val="0"/>
    <w:rPr>
      <w:rFonts w:ascii="长城仿宋" w:hAnsi="Times New Roman" w:eastAsia="SimSun" w:cs="Times New Roman"/>
      <w:sz w:val="24"/>
      <w:lang w:bidi="ar-SA"/>
    </w:rPr>
  </w:style>
  <w:style w:type="paragraph" w:customStyle="1" w:styleId="71">
    <w:name w:val="文档正文"/>
    <w:basedOn w:val="1"/>
    <w:link w:val="70"/>
    <w:qFormat/>
    <w:uiPriority w:val="0"/>
    <w:pPr>
      <w:adjustRightInd w:val="0"/>
      <w:spacing w:line="480" w:lineRule="atLeast"/>
      <w:ind w:firstLine="567"/>
    </w:pPr>
    <w:rPr>
      <w:rFonts w:ascii="长城仿宋"/>
      <w:kern w:val="0"/>
      <w:sz w:val="24"/>
      <w:szCs w:val="20"/>
    </w:rPr>
  </w:style>
  <w:style w:type="character" w:customStyle="1" w:styleId="72">
    <w:name w:val="displayarti"/>
    <w:qFormat/>
    <w:uiPriority w:val="0"/>
    <w:rPr>
      <w:rFonts w:ascii="Times New Roman" w:hAnsi="Times New Roman" w:eastAsia="SimSun" w:cs="Times New Roman"/>
      <w:color w:val="FFFFFF"/>
      <w:shd w:val="clear" w:color="auto" w:fill="A00000"/>
    </w:rPr>
  </w:style>
  <w:style w:type="character" w:customStyle="1" w:styleId="73">
    <w:name w:val="redfilefwwh"/>
    <w:qFormat/>
    <w:uiPriority w:val="0"/>
    <w:rPr>
      <w:rFonts w:ascii="Times New Roman" w:hAnsi="Times New Roman" w:eastAsia="SimSun" w:cs="Times New Roman"/>
      <w:color w:val="BA2636"/>
      <w:sz w:val="12"/>
      <w:szCs w:val="12"/>
    </w:rPr>
  </w:style>
  <w:style w:type="character" w:customStyle="1" w:styleId="74">
    <w:name w:val="qxdate"/>
    <w:qFormat/>
    <w:uiPriority w:val="0"/>
    <w:rPr>
      <w:rFonts w:ascii="Times New Roman" w:hAnsi="Times New Roman" w:eastAsia="SimSun" w:cs="Times New Roman"/>
      <w:color w:val="333333"/>
      <w:sz w:val="12"/>
      <w:szCs w:val="12"/>
    </w:rPr>
  </w:style>
  <w:style w:type="paragraph" w:customStyle="1" w:styleId="75">
    <w:name w:val="_Style 3"/>
    <w:basedOn w:val="3"/>
    <w:next w:val="1"/>
    <w:qFormat/>
    <w:uiPriority w:val="0"/>
    <w:pPr>
      <w:widowControl/>
      <w:tabs>
        <w:tab w:val="left" w:pos="0"/>
      </w:tabs>
      <w:spacing w:before="240" w:line="259" w:lineRule="auto"/>
      <w:jc w:val="left"/>
      <w:outlineLvl w:val="9"/>
    </w:pPr>
    <w:rPr>
      <w:rFonts w:ascii="Calibri Light" w:hAnsi="Calibri Light"/>
      <w:b w:val="0"/>
      <w:color w:val="2E74B5"/>
      <w:sz w:val="32"/>
      <w:szCs w:val="32"/>
    </w:rPr>
  </w:style>
  <w:style w:type="paragraph" w:customStyle="1" w:styleId="76">
    <w:name w:val="正文（绿盟科技）"/>
    <w:qFormat/>
    <w:uiPriority w:val="0"/>
    <w:pPr>
      <w:spacing w:after="160" w:line="300" w:lineRule="auto"/>
    </w:pPr>
    <w:rPr>
      <w:rFonts w:ascii="Arial" w:hAnsi="Arial" w:eastAsia="SimSun" w:cs="SimHei"/>
      <w:sz w:val="21"/>
      <w:szCs w:val="21"/>
      <w:lang w:val="en-US" w:eastAsia="zh-CN" w:bidi="ar-SA"/>
    </w:rPr>
  </w:style>
  <w:style w:type="paragraph" w:customStyle="1" w:styleId="77">
    <w:name w:val="标题 5（有编号）（绿盟科技）"/>
    <w:basedOn w:val="1"/>
    <w:next w:val="76"/>
    <w:qFormat/>
    <w:uiPriority w:val="0"/>
    <w:pPr>
      <w:keepNext/>
      <w:keepLines/>
      <w:numPr>
        <w:ilvl w:val="4"/>
        <w:numId w:val="4"/>
      </w:numPr>
      <w:spacing w:before="280" w:after="156" w:line="377" w:lineRule="auto"/>
      <w:jc w:val="left"/>
      <w:outlineLvl w:val="4"/>
    </w:pPr>
    <w:rPr>
      <w:rFonts w:ascii="Arial" w:hAnsi="Arial" w:eastAsia="SimHei" w:cs="SimHei"/>
      <w:b/>
      <w:kern w:val="0"/>
      <w:sz w:val="24"/>
      <w:szCs w:val="28"/>
    </w:rPr>
  </w:style>
  <w:style w:type="paragraph" w:customStyle="1" w:styleId="78">
    <w:name w:val="Char"/>
    <w:basedOn w:val="1"/>
    <w:qFormat/>
    <w:uiPriority w:val="0"/>
    <w:rPr>
      <w:rFonts w:ascii="Tahoma" w:hAnsi="Tahoma"/>
      <w:sz w:val="24"/>
      <w:szCs w:val="20"/>
    </w:rPr>
  </w:style>
  <w:style w:type="paragraph" w:styleId="79">
    <w:name w:val="List Paragraph"/>
    <w:basedOn w:val="1"/>
    <w:qFormat/>
    <w:uiPriority w:val="34"/>
    <w:pPr>
      <w:ind w:firstLine="420"/>
    </w:pPr>
    <w:rPr>
      <w:kern w:val="0"/>
      <w:szCs w:val="21"/>
    </w:rPr>
  </w:style>
  <w:style w:type="paragraph" w:customStyle="1" w:styleId="80">
    <w:name w:val="正常"/>
    <w:basedOn w:val="81"/>
    <w:qFormat/>
    <w:uiPriority w:val="0"/>
    <w:rPr>
      <w:sz w:val="24"/>
    </w:rPr>
  </w:style>
  <w:style w:type="paragraph" w:customStyle="1" w:styleId="81">
    <w:name w:val="小正常"/>
    <w:basedOn w:val="1"/>
    <w:qFormat/>
    <w:uiPriority w:val="0"/>
    <w:rPr>
      <w:sz w:val="20"/>
      <w:szCs w:val="20"/>
    </w:rPr>
  </w:style>
  <w:style w:type="paragraph" w:customStyle="1" w:styleId="82">
    <w:name w:val="样式 样式 样式 标题 2 + 宋体 五号 非加粗 黑色 + 段前: 6 磅 段后: 0 磅 行距: 单倍行距 + 段前: 12..."/>
    <w:basedOn w:val="1"/>
    <w:qFormat/>
    <w:uiPriority w:val="0"/>
    <w:pPr>
      <w:keepNext/>
      <w:keepLines/>
      <w:tabs>
        <w:tab w:val="left" w:pos="1875"/>
      </w:tabs>
      <w:adjustRightInd w:val="0"/>
      <w:spacing w:before="240"/>
      <w:ind w:left="1875" w:hanging="435"/>
      <w:jc w:val="left"/>
      <w:outlineLvl w:val="1"/>
    </w:pPr>
    <w:rPr>
      <w:rFonts w:ascii="SimSun" w:hAnsi="SimSun"/>
      <w:color w:val="000000"/>
      <w:kern w:val="0"/>
      <w:szCs w:val="20"/>
    </w:rPr>
  </w:style>
  <w:style w:type="paragraph" w:customStyle="1" w:styleId="83">
    <w:name w:val="列出段落1"/>
    <w:basedOn w:val="1"/>
    <w:qFormat/>
    <w:uiPriority w:val="0"/>
    <w:pPr>
      <w:spacing w:line="360" w:lineRule="auto"/>
      <w:ind w:firstLine="420" w:firstLineChars="200"/>
      <w:jc w:val="left"/>
    </w:pPr>
    <w:rPr>
      <w:rFonts w:ascii="Calibri" w:hAnsi="Calibri"/>
      <w:kern w:val="0"/>
      <w:szCs w:val="22"/>
      <w:lang w:bidi="en-US"/>
    </w:rPr>
  </w:style>
  <w:style w:type="paragraph" w:customStyle="1" w:styleId="84">
    <w:name w:val="样式1"/>
    <w:basedOn w:val="1"/>
    <w:qFormat/>
    <w:uiPriority w:val="0"/>
    <w:pPr>
      <w:numPr>
        <w:ilvl w:val="0"/>
        <w:numId w:val="5"/>
      </w:numPr>
      <w:adjustRightInd w:val="0"/>
    </w:pPr>
    <w:rPr>
      <w:rFonts w:ascii="SimSun" w:hAnsi="SimSun"/>
      <w:kern w:val="0"/>
      <w:szCs w:val="20"/>
    </w:rPr>
  </w:style>
  <w:style w:type="paragraph" w:customStyle="1" w:styleId="85">
    <w:name w:val="Char Char Char"/>
    <w:basedOn w:val="1"/>
    <w:qFormat/>
    <w:uiPriority w:val="0"/>
    <w:rPr>
      <w:rFonts w:ascii="Tahoma" w:hAnsi="Tahoma"/>
      <w:sz w:val="24"/>
      <w:szCs w:val="20"/>
    </w:rPr>
  </w:style>
  <w:style w:type="paragraph" w:customStyle="1" w:styleId="86">
    <w:name w:val="Normal Indent1"/>
    <w:qFormat/>
    <w:uiPriority w:val="0"/>
    <w:pPr>
      <w:spacing w:after="160" w:afterLines="50" w:line="360" w:lineRule="auto"/>
      <w:ind w:firstLine="420" w:firstLineChars="200"/>
    </w:pPr>
    <w:rPr>
      <w:rFonts w:ascii="Times New Roman" w:hAnsi="Times New Roman" w:eastAsia="SimSun" w:cs="Times New Roman"/>
      <w:lang w:val="en-US" w:eastAsia="zh-CN" w:bidi="ar-SA"/>
    </w:rPr>
  </w:style>
  <w:style w:type="table" w:customStyle="1" w:styleId="87">
    <w:name w:val="Table Normal_0"/>
    <w:unhideWhenUsed/>
    <w:qFormat/>
    <w:uiPriority w:val="0"/>
    <w:pPr>
      <w:spacing w:after="160" w:line="259" w:lineRule="auto"/>
    </w:pPr>
    <w:tblPr>
      <w:tblCellMar>
        <w:top w:w="0" w:type="dxa"/>
        <w:left w:w="0" w:type="dxa"/>
        <w:bottom w:w="0" w:type="dxa"/>
        <w:right w:w="0" w:type="dxa"/>
      </w:tblCellMar>
    </w:tblPr>
  </w:style>
  <w:style w:type="character" w:customStyle="1" w:styleId="88">
    <w:name w:val="Hyperlink_0"/>
    <w:basedOn w:val="33"/>
    <w:qFormat/>
    <w:uiPriority w:val="0"/>
    <w:rPr>
      <w:color w:val="0000FF"/>
      <w:u w:val="single"/>
    </w:rPr>
  </w:style>
  <w:style w:type="paragraph" w:customStyle="1" w:styleId="89">
    <w:name w:val="TOC 1_0"/>
    <w:basedOn w:val="1"/>
    <w:next w:val="18"/>
    <w:qFormat/>
    <w:uiPriority w:val="0"/>
    <w:pPr>
      <w:widowControl/>
      <w:spacing w:after="0" w:line="240" w:lineRule="auto"/>
      <w:jc w:val="left"/>
    </w:pPr>
    <w:rPr>
      <w:rFonts w:eastAsia="Times New Roman"/>
      <w:kern w:val="0"/>
      <w:sz w:val="24"/>
      <w:lang w:eastAsia="en-US"/>
    </w:rPr>
  </w:style>
  <w:style w:type="paragraph" w:customStyle="1" w:styleId="90">
    <w:name w:val="Heading 1_0"/>
    <w:basedOn w:val="1"/>
    <w:next w:val="18"/>
    <w:qFormat/>
    <w:uiPriority w:val="0"/>
    <w:pPr>
      <w:keepNext/>
      <w:widowControl/>
      <w:spacing w:before="240" w:after="60" w:line="240" w:lineRule="auto"/>
      <w:jc w:val="left"/>
      <w:outlineLvl w:val="0"/>
    </w:pPr>
    <w:rPr>
      <w:rFonts w:ascii="Arial" w:hAnsi="Arial" w:eastAsia="Times New Roman" w:cs="Arial"/>
      <w:b/>
      <w:bCs/>
      <w:kern w:val="32"/>
      <w:sz w:val="32"/>
      <w:szCs w:val="32"/>
      <w:lang w:eastAsia="en-US"/>
    </w:rPr>
  </w:style>
  <w:style w:type="paragraph" w:customStyle="1" w:styleId="91">
    <w:name w:val="Heading 2_0"/>
    <w:basedOn w:val="1"/>
    <w:next w:val="18"/>
    <w:qFormat/>
    <w:uiPriority w:val="0"/>
    <w:pPr>
      <w:keepNext/>
      <w:widowControl/>
      <w:spacing w:before="240" w:after="60" w:line="240" w:lineRule="auto"/>
      <w:jc w:val="left"/>
      <w:outlineLvl w:val="1"/>
    </w:pPr>
    <w:rPr>
      <w:rFonts w:ascii="Arial" w:hAnsi="Arial" w:eastAsia="Times New Roman" w:cs="Arial"/>
      <w:b/>
      <w:bCs/>
      <w:i/>
      <w:iCs/>
      <w:kern w:val="0"/>
      <w:sz w:val="28"/>
      <w:szCs w:val="28"/>
      <w:lang w:eastAsia="en-US"/>
    </w:rPr>
  </w:style>
  <w:style w:type="paragraph" w:customStyle="1" w:styleId="92">
    <w:name w:val="Heading 3_0"/>
    <w:basedOn w:val="1"/>
    <w:next w:val="18"/>
    <w:qFormat/>
    <w:uiPriority w:val="0"/>
    <w:pPr>
      <w:keepNext/>
      <w:widowControl/>
      <w:spacing w:before="240" w:after="60" w:line="240" w:lineRule="auto"/>
      <w:jc w:val="left"/>
      <w:outlineLvl w:val="2"/>
    </w:pPr>
    <w:rPr>
      <w:rFonts w:ascii="Arial" w:hAnsi="Arial" w:eastAsia="Times New Roman" w:cs="Arial"/>
      <w:b/>
      <w:bCs/>
      <w:kern w:val="0"/>
      <w:sz w:val="26"/>
      <w:szCs w:val="26"/>
      <w:lang w:eastAsia="en-US"/>
    </w:rPr>
  </w:style>
  <w:style w:type="paragraph" w:customStyle="1" w:styleId="93">
    <w:name w:val="MsoNormal"/>
    <w:basedOn w:val="1"/>
    <w:qFormat/>
    <w:uiPriority w:val="0"/>
    <w:pPr>
      <w:widowControl/>
      <w:spacing w:after="0" w:line="240" w:lineRule="auto"/>
      <w:jc w:val="left"/>
    </w:pPr>
    <w:rPr>
      <w:rFonts w:eastAsia="Times New Roman"/>
      <w:kern w:val="0"/>
      <w:sz w:val="24"/>
      <w:lang w:eastAsia="en-US"/>
    </w:rPr>
  </w:style>
  <w:style w:type="paragraph" w:customStyle="1" w:styleId="94">
    <w:name w:val="Heading 4_0"/>
    <w:basedOn w:val="1"/>
    <w:next w:val="18"/>
    <w:qFormat/>
    <w:uiPriority w:val="0"/>
    <w:pPr>
      <w:keepNext/>
      <w:widowControl/>
      <w:spacing w:before="240" w:after="60" w:line="240" w:lineRule="auto"/>
      <w:jc w:val="left"/>
      <w:outlineLvl w:val="3"/>
    </w:pPr>
    <w:rPr>
      <w:rFonts w:eastAsia="Times New Roman"/>
      <w:b/>
      <w:bCs/>
      <w:kern w:val="0"/>
      <w:sz w:val="28"/>
      <w:szCs w:val="28"/>
      <w:lang w:eastAsia="en-US"/>
    </w:rPr>
  </w:style>
  <w:style w:type="table" w:customStyle="1" w:styleId="95">
    <w:name w:val="MsoNormalTable"/>
    <w:basedOn w:val="32"/>
    <w:qFormat/>
    <w:uiPriority w:val="0"/>
    <w:rPr>
      <w:rFonts w:eastAsia="Times New Roman"/>
      <w:lang w:val="en-US" w:eastAsia="en-US"/>
    </w:rPr>
  </w:style>
  <w:style w:type="paragraph" w:customStyle="1" w:styleId="96">
    <w:name w:val="16"/>
    <w:basedOn w:val="1"/>
    <w:qFormat/>
    <w:uiPriority w:val="0"/>
    <w:pPr>
      <w:widowControl/>
      <w:spacing w:after="0" w:line="240" w:lineRule="auto"/>
      <w:jc w:val="left"/>
    </w:pPr>
    <w:rPr>
      <w:rFonts w:eastAsia="Times New Roman"/>
      <w:kern w:val="0"/>
      <w:sz w:val="24"/>
      <w:lang w:eastAsia="en-US"/>
    </w:rPr>
  </w:style>
  <w:style w:type="paragraph" w:customStyle="1" w:styleId="97">
    <w:name w:val="17"/>
    <w:basedOn w:val="1"/>
    <w:qFormat/>
    <w:uiPriority w:val="0"/>
    <w:pPr>
      <w:widowControl/>
      <w:spacing w:after="0" w:line="240" w:lineRule="auto"/>
      <w:jc w:val="left"/>
    </w:pPr>
    <w:rPr>
      <w:rFonts w:eastAsia="Times New Roman"/>
      <w:kern w:val="0"/>
      <w:sz w:val="24"/>
      <w:lang w:eastAsia="en-US"/>
    </w:rPr>
  </w:style>
  <w:style w:type="paragraph" w:customStyle="1" w:styleId="98">
    <w:name w:val="18"/>
    <w:basedOn w:val="1"/>
    <w:qFormat/>
    <w:uiPriority w:val="0"/>
    <w:pPr>
      <w:widowControl/>
      <w:spacing w:after="0" w:line="240" w:lineRule="auto"/>
      <w:jc w:val="left"/>
    </w:pPr>
    <w:rPr>
      <w:rFonts w:eastAsia="Times New Roman"/>
      <w:kern w:val="0"/>
      <w:sz w:val="24"/>
      <w:lang w:eastAsia="en-US"/>
    </w:rPr>
  </w:style>
  <w:style w:type="table" w:customStyle="1" w:styleId="99">
    <w:name w:val="19"/>
    <w:basedOn w:val="32"/>
    <w:qFormat/>
    <w:uiPriority w:val="0"/>
    <w:rPr>
      <w:rFonts w:eastAsia="Times New Roman"/>
      <w:lang w:val="en-US" w:eastAsia="en-US"/>
    </w:rPr>
  </w:style>
  <w:style w:type="character" w:customStyle="1" w:styleId="100">
    <w:name w:val="15 Character"/>
    <w:basedOn w:val="33"/>
    <w:qFormat/>
    <w:uiPriority w:val="0"/>
  </w:style>
  <w:style w:type="paragraph" w:customStyle="1" w:styleId="101">
    <w:name w:val="p"/>
    <w:basedOn w:val="1"/>
    <w:qFormat/>
    <w:uiPriority w:val="0"/>
    <w:pPr>
      <w:widowControl/>
      <w:spacing w:after="0" w:line="240" w:lineRule="auto"/>
      <w:jc w:val="left"/>
    </w:pPr>
    <w:rPr>
      <w:rFonts w:eastAsia="Times New Roman"/>
      <w:kern w:val="0"/>
      <w:sz w:val="24"/>
      <w:lang w:eastAsia="en-US"/>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China</Company>
  <Pages>24</Pages>
  <Words>9</Words>
  <Characters>53</Characters>
  <Lines>1</Lines>
  <Paragraphs>1</Paragraphs>
  <TotalTime>2</TotalTime>
  <ScaleCrop>false</ScaleCrop>
  <LinksUpToDate>false</LinksUpToDate>
  <CharactersWithSpaces>61</CharactersWithSpaces>
  <Application>WPS Office_11.8.2.10183_F1E327BC-269C-435d-A152-05C5408002CA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2020-05-09T15:26:00Z</dcterms:created>
  <dc:creator>Administrator</dc:creator>
  <cp:lastModifiedBy>user</cp:lastModifiedBy>
  <cp:lastPrinted>2025-12-12T10:38:19Z</cp:lastPrinted>
  <dcterms:modified xsi:type="dcterms:W3CDTF">2025-12-12T10:38:29Z</dcterms:modified>
  <dc:title>招 标 文 件</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4DC3F9C358FC1FFECED62967607CDEC6_43</vt:lpwstr>
  </property>
  <property fmtid="{D5CDD505-2E9C-101B-9397-08002B2CF9AE}" pid="3" name="KSOProductBuildVer">
    <vt:lpwstr>2052-11.8.2.10183</vt:lpwstr>
  </property>
</Properties>
</file>