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PingFang SC-Bold" w:hAnsi="PingFang SC-Bold" w:eastAsia="PingFang SC-Bold" w:cs="PingFang SC-Bold"/>
          <w:i w:val="0"/>
          <w:caps w:val="0"/>
          <w:color w:val="4285F4"/>
          <w:spacing w:val="0"/>
          <w:sz w:val="30"/>
          <w:szCs w:val="30"/>
          <w:shd w:val="clear" w:fill="FFFFFF"/>
        </w:rPr>
      </w:pPr>
      <w:r>
        <w:rPr>
          <w:rFonts w:ascii="PingFang SC-Bold" w:hAnsi="PingFang SC-Bold" w:eastAsia="PingFang SC-Bold" w:cs="PingFang SC-Bold"/>
          <w:i w:val="0"/>
          <w:caps w:val="0"/>
          <w:color w:val="4285F4"/>
          <w:spacing w:val="0"/>
          <w:sz w:val="30"/>
          <w:szCs w:val="30"/>
          <w:shd w:val="clear" w:fill="FFFFFF"/>
        </w:rPr>
        <w:t>业务操作指引（试点版）企业所得税清算报备</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60" w:beforeAutospacing="0" w:after="0" w:afterAutospacing="0"/>
        <w:ind w:left="0" w:right="0" w:firstLine="0"/>
        <w:jc w:val="left"/>
        <w:rPr>
          <w:rFonts w:ascii="PingFang SC-Regular" w:hAnsi="PingFang SC-Regular" w:eastAsia="PingFang SC-Regular" w:cs="PingFang SC-Regular"/>
          <w:i w:val="0"/>
          <w:caps w:val="0"/>
          <w:color w:val="000000"/>
          <w:spacing w:val="0"/>
          <w:sz w:val="27"/>
          <w:szCs w:val="27"/>
        </w:rPr>
      </w:pPr>
      <w:r>
        <w:rPr>
          <w:rFonts w:hint="default" w:ascii="PingFang SC-Regular" w:hAnsi="PingFang SC-Regular" w:eastAsia="PingFang SC-Regular" w:cs="PingFang SC-Regular"/>
          <w:i w:val="0"/>
          <w:caps w:val="0"/>
          <w:color w:val="000000"/>
          <w:spacing w:val="0"/>
          <w:kern w:val="0"/>
          <w:sz w:val="27"/>
          <w:szCs w:val="27"/>
          <w:bdr w:val="none" w:color="auto" w:sz="0" w:space="0"/>
          <w:shd w:val="clear" w:fill="FFFFFF"/>
          <w:lang w:val="en-US" w:eastAsia="zh-CN" w:bidi="ar"/>
        </w:rPr>
        <w:t>文本</w:t>
      </w:r>
    </w:p>
    <w:p>
      <w:pPr>
        <w:pStyle w:val="2"/>
        <w:keepNext w:val="0"/>
        <w:keepLines w:val="0"/>
        <w:widowControl/>
        <w:suppressLineNumbers w:val="0"/>
        <w:spacing w:before="0" w:beforeAutospacing="0" w:after="105" w:afterAutospacing="0" w:line="315" w:lineRule="atLeast"/>
        <w:ind w:left="418" w:firstLine="245"/>
      </w:pPr>
      <w:r>
        <w:rPr>
          <w:rFonts w:hint="eastAsia" w:ascii="宋体" w:hAnsi="宋体" w:eastAsia="宋体" w:cs="宋体"/>
          <w:b w:val="0"/>
          <w:i w:val="0"/>
          <w:caps w:val="0"/>
          <w:color w:val="000000"/>
          <w:spacing w:val="0"/>
          <w:sz w:val="24"/>
          <w:szCs w:val="24"/>
          <w:shd w:val="clear" w:fill="FFFFFF"/>
        </w:rPr>
        <w:t>一、业务概述</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1.企业应当在办理注销登记前，就其清算所得向税务机关申报并依法缴纳企业所得税。</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（1）企业清算的所得税处理，是指企业在不再持续经营，发生结束自身业务、处置资产、偿还债务以及向所有者分配剩余财产等经济行为时，对清算所得、清算所得税、股息分配等事项的处理。</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（2）下列企业应进行清算的所得税处理：</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①按《公司法》、《企业破产法》等规定需要进行清算的企业；</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②企业重组中需要按清算处理的企业。</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上述企业重组中需要按清算处理的企业是指，发生《财政部国家税务总局关于企业重组业务企业所得税处理若干问题的通知》（财税〔2009〕59号）第四条第（一）项规定的由法人转变为个人独资企业、合伙企业等非法人组织，或将登记注册地转移至中华人民共和国境外（包括港澳台地区），第（四）项规定的合并以及第（五）项规定的分立，被分立企业不再继续存在的，应按照《财政部国家税务总局关于企业清算业务企业所得税处理若干问题的通知》（财税〔2009〕60号）规定进行清算。</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（3）企业发生《财政部国家税务总局关于企业重组业务企业所得税处理若干问题的通知》（财税〔2009〕59号）第五条规定的合并、分立，即符合特殊性税务处理规定的合并、分立，无需进行清算。</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2.进入清算期的企业应对清算事项及其附报资料，报主管税务机关备案。</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3.纳税人有解散、撤销、破产情形的，在清算前应当向其主管税务机关报告；未结清税款的，由其主管税务机关参加清算。</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4.对纳税人未结事项、未尽事宜、应进行税务处理的递延事项、税会差异涉税风险事项和清算企业所得税申报风险事项进行提示提醒。</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【业务类别】</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企业所得税清算报备。</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【需求部门】</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所得税司、国际税务司。</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二、办理流程</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1.纳税人进入企业所得税清算报备功能；</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2.系统判断纳税人存在企业所得税税种认定、判断纳税人不是分支机构；</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3.系统判断纳税不是非正常；</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4.纳税人填写数据点击提交；</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5.系统完成清算报备；</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6.系统判断纳税人存在未办结事项并提醒纳税人未办结事项；</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7.系统提醒纳税人办理企业所得税年报和财务报表；</w:t>
      </w:r>
    </w:p>
    <w:p>
      <w:pPr>
        <w:pStyle w:val="3"/>
        <w:keepNext w:val="0"/>
        <w:keepLines w:val="0"/>
        <w:widowControl/>
        <w:suppressLineNumbers w:val="0"/>
        <w:spacing w:before="0" w:beforeAutospacing="0" w:after="0" w:afterAutospacing="0" w:line="315" w:lineRule="atLeast"/>
        <w:ind w:left="0" w:firstLine="475"/>
        <w:rPr>
          <w:b w:val="0"/>
        </w:rPr>
      </w:pP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三、关联场景</w:t>
      </w:r>
    </w:p>
    <w:tbl>
      <w:tblPr>
        <w:tblW w:w="89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1106"/>
        <w:gridCol w:w="1123"/>
        <w:gridCol w:w="1515"/>
        <w:gridCol w:w="1208"/>
        <w:gridCol w:w="40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trHeight w:val="465" w:hRule="atLeast"/>
          <w:jc w:val="center"/>
        </w:trPr>
        <w:tc>
          <w:tcPr>
            <w:tcW w:w="975" w:type="dxa"/>
            <w:tcBorders>
              <w:top w:val="single" w:color="000000" w:sz="6"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场景编号</w:t>
            </w:r>
          </w:p>
        </w:tc>
        <w:tc>
          <w:tcPr>
            <w:tcW w:w="990" w:type="dxa"/>
            <w:tcBorders>
              <w:top w:val="single" w:color="000000" w:sz="6"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场景顺序</w:t>
            </w:r>
          </w:p>
        </w:tc>
        <w:tc>
          <w:tcPr>
            <w:tcW w:w="1335" w:type="dxa"/>
            <w:tcBorders>
              <w:top w:val="single" w:color="000000" w:sz="6"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是否强制关联</w:t>
            </w:r>
          </w:p>
        </w:tc>
        <w:tc>
          <w:tcPr>
            <w:tcW w:w="1065" w:type="dxa"/>
            <w:tcBorders>
              <w:top w:val="single" w:color="000000" w:sz="6"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场景名称</w:t>
            </w:r>
          </w:p>
        </w:tc>
        <w:tc>
          <w:tcPr>
            <w:tcW w:w="3540" w:type="dxa"/>
            <w:tcBorders>
              <w:top w:val="single" w:color="000000" w:sz="6"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关联关系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1020" w:hRule="atLeast"/>
          <w:jc w:val="center"/>
        </w:trPr>
        <w:tc>
          <w:tcPr>
            <w:tcW w:w="97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ind w:left="0" w:firstLine="475"/>
              <w:jc w:val="center"/>
              <w:rPr>
                <w:b w:val="0"/>
              </w:rPr>
            </w:pPr>
            <w:r>
              <w:rPr>
                <w:rFonts w:hint="eastAsia" w:ascii="宋体" w:hAnsi="宋体" w:eastAsia="宋体" w:cs="宋体"/>
                <w:b w:val="0"/>
                <w:color w:val="000000"/>
                <w:sz w:val="24"/>
                <w:szCs w:val="24"/>
                <w:bdr w:val="none" w:color="auto" w:sz="0" w:space="0"/>
              </w:rPr>
              <w:t>1</w:t>
            </w:r>
          </w:p>
        </w:tc>
        <w:tc>
          <w:tcPr>
            <w:tcW w:w="99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后序场景</w:t>
            </w:r>
          </w:p>
        </w:tc>
        <w:tc>
          <w:tcPr>
            <w:tcW w:w="133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非强制</w:t>
            </w:r>
          </w:p>
        </w:tc>
        <w:tc>
          <w:tcPr>
            <w:tcW w:w="106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居民企业（查账征收）企业所得税年度申报</w:t>
            </w:r>
          </w:p>
        </w:tc>
        <w:tc>
          <w:tcPr>
            <w:tcW w:w="354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纳税人在年度中间终止经营活动的，应当办理当期居民企业企业所得税年度申报。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735" w:hRule="atLeast"/>
          <w:jc w:val="center"/>
        </w:trPr>
        <w:tc>
          <w:tcPr>
            <w:tcW w:w="97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ind w:left="0" w:firstLine="475"/>
              <w:jc w:val="center"/>
              <w:rPr>
                <w:b w:val="0"/>
              </w:rPr>
            </w:pPr>
            <w:r>
              <w:rPr>
                <w:rFonts w:hint="eastAsia" w:ascii="宋体" w:hAnsi="宋体" w:eastAsia="宋体" w:cs="宋体"/>
                <w:b w:val="0"/>
                <w:color w:val="000000"/>
                <w:sz w:val="24"/>
                <w:szCs w:val="24"/>
                <w:bdr w:val="none" w:color="auto" w:sz="0" w:space="0"/>
              </w:rPr>
              <w:t>2</w:t>
            </w:r>
          </w:p>
        </w:tc>
        <w:tc>
          <w:tcPr>
            <w:tcW w:w="99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后序场景</w:t>
            </w:r>
          </w:p>
        </w:tc>
        <w:tc>
          <w:tcPr>
            <w:tcW w:w="133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非强制</w:t>
            </w:r>
          </w:p>
        </w:tc>
        <w:tc>
          <w:tcPr>
            <w:tcW w:w="106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居民企业（核定征收）企业所得税年度申报</w:t>
            </w:r>
          </w:p>
        </w:tc>
        <w:tc>
          <w:tcPr>
            <w:tcW w:w="354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纳税人在年度中间终止经营活动的，应当办理当期居民企业企业所得税年度申报。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420" w:hRule="atLeast"/>
          <w:jc w:val="center"/>
        </w:trPr>
        <w:tc>
          <w:tcPr>
            <w:tcW w:w="97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ind w:left="0" w:firstLine="475"/>
              <w:jc w:val="center"/>
              <w:rPr>
                <w:b w:val="0"/>
              </w:rPr>
            </w:pPr>
            <w:r>
              <w:rPr>
                <w:rFonts w:hint="eastAsia" w:ascii="宋体" w:hAnsi="宋体" w:eastAsia="宋体" w:cs="宋体"/>
                <w:b w:val="0"/>
                <w:color w:val="000000"/>
                <w:sz w:val="24"/>
                <w:szCs w:val="24"/>
                <w:bdr w:val="none" w:color="auto" w:sz="0" w:space="0"/>
              </w:rPr>
              <w:t>3</w:t>
            </w:r>
          </w:p>
        </w:tc>
        <w:tc>
          <w:tcPr>
            <w:tcW w:w="99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后序场景</w:t>
            </w:r>
          </w:p>
        </w:tc>
        <w:tc>
          <w:tcPr>
            <w:tcW w:w="133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非强制</w:t>
            </w:r>
          </w:p>
        </w:tc>
        <w:tc>
          <w:tcPr>
            <w:tcW w:w="106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非居民企业年度申报</w:t>
            </w:r>
          </w:p>
        </w:tc>
        <w:tc>
          <w:tcPr>
            <w:tcW w:w="354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纳税人在年度中间终止经营活动的，应当办理当期非居民企业所得税年度申报。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1050" w:hRule="atLeast"/>
          <w:jc w:val="center"/>
        </w:trPr>
        <w:tc>
          <w:tcPr>
            <w:tcW w:w="97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ind w:left="0" w:firstLine="475"/>
              <w:jc w:val="center"/>
              <w:rPr>
                <w:b w:val="0"/>
              </w:rPr>
            </w:pPr>
            <w:r>
              <w:rPr>
                <w:rFonts w:hint="eastAsia" w:ascii="宋体" w:hAnsi="宋体" w:eastAsia="宋体" w:cs="宋体"/>
                <w:b w:val="0"/>
                <w:color w:val="000000"/>
                <w:sz w:val="24"/>
                <w:szCs w:val="24"/>
                <w:bdr w:val="none" w:color="auto" w:sz="0" w:space="0"/>
              </w:rPr>
              <w:t>4</w:t>
            </w:r>
          </w:p>
        </w:tc>
        <w:tc>
          <w:tcPr>
            <w:tcW w:w="99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后序场景</w:t>
            </w:r>
          </w:p>
        </w:tc>
        <w:tc>
          <w:tcPr>
            <w:tcW w:w="133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非强制</w:t>
            </w:r>
          </w:p>
        </w:tc>
        <w:tc>
          <w:tcPr>
            <w:tcW w:w="106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清算企业所得税申报</w:t>
            </w:r>
          </w:p>
        </w:tc>
        <w:tc>
          <w:tcPr>
            <w:tcW w:w="354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纳税人办理注销登记前，就其清算所得向税务机关申报并依法缴纳企业所得税。纳税人清算企业所得税申报的前提是完成企业所得税清算报备。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trHeight w:val="720" w:hRule="atLeast"/>
          <w:jc w:val="center"/>
        </w:trPr>
        <w:tc>
          <w:tcPr>
            <w:tcW w:w="97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ind w:left="0" w:firstLine="475"/>
              <w:jc w:val="center"/>
              <w:rPr>
                <w:b w:val="0"/>
              </w:rPr>
            </w:pPr>
            <w:r>
              <w:rPr>
                <w:rFonts w:hint="eastAsia" w:ascii="宋体" w:hAnsi="宋体" w:eastAsia="宋体" w:cs="宋体"/>
                <w:b w:val="0"/>
                <w:color w:val="000000"/>
                <w:sz w:val="24"/>
                <w:szCs w:val="24"/>
                <w:bdr w:val="none" w:color="auto" w:sz="0" w:space="0"/>
              </w:rPr>
              <w:t>5</w:t>
            </w:r>
          </w:p>
        </w:tc>
        <w:tc>
          <w:tcPr>
            <w:tcW w:w="99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后序场景</w:t>
            </w:r>
          </w:p>
        </w:tc>
        <w:tc>
          <w:tcPr>
            <w:tcW w:w="133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非强制</w:t>
            </w:r>
          </w:p>
        </w:tc>
        <w:tc>
          <w:tcPr>
            <w:tcW w:w="1065"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both"/>
              <w:rPr>
                <w:b w:val="0"/>
              </w:rPr>
            </w:pPr>
            <w:r>
              <w:rPr>
                <w:rFonts w:hint="eastAsia" w:ascii="宋体" w:hAnsi="宋体" w:eastAsia="宋体" w:cs="宋体"/>
                <w:b w:val="0"/>
                <w:color w:val="000000"/>
                <w:sz w:val="24"/>
                <w:szCs w:val="24"/>
                <w:bdr w:val="none" w:color="auto" w:sz="0" w:space="0"/>
              </w:rPr>
              <w:t>清税申报（税务注销办理）</w:t>
            </w:r>
          </w:p>
        </w:tc>
        <w:tc>
          <w:tcPr>
            <w:tcW w:w="3540" w:type="dxa"/>
            <w:tcBorders>
              <w:top w:val="single" w:color="000000" w:sz="6" w:space="0"/>
              <w:left w:val="single" w:color="000000" w:sz="6" w:space="0"/>
              <w:bottom w:val="single" w:color="000000" w:sz="6"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left"/>
              <w:rPr>
                <w:b w:val="0"/>
              </w:rPr>
            </w:pPr>
            <w:r>
              <w:rPr>
                <w:rFonts w:hint="eastAsia" w:ascii="宋体" w:hAnsi="宋体" w:eastAsia="宋体" w:cs="宋体"/>
                <w:b w:val="0"/>
                <w:color w:val="000000"/>
                <w:sz w:val="24"/>
                <w:szCs w:val="24"/>
                <w:bdr w:val="none" w:color="auto" w:sz="0" w:space="0"/>
              </w:rPr>
              <w:t>市场主体终止经营活动退出市场前，须先向税务主管机关进行清税申报，办理税务注销。</w:t>
            </w:r>
          </w:p>
        </w:tc>
      </w:tr>
    </w:tbl>
    <w:p>
      <w:pPr>
        <w:pStyle w:val="2"/>
        <w:keepNext w:val="0"/>
        <w:keepLines w:val="0"/>
        <w:widowControl/>
        <w:suppressLineNumbers w:val="0"/>
        <w:spacing w:before="0" w:beforeAutospacing="0" w:after="105"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四、功能路径</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1.【我要办税】-【综合信息报告】-【状态信息报告】-【企业所得税清算报备】。</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2.通过消息提醒跳转链接进入。</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3.通过首页搜索栏输入关键字查找。</w:t>
      </w:r>
    </w:p>
    <w:p>
      <w:pPr>
        <w:pStyle w:val="3"/>
        <w:keepNext w:val="0"/>
        <w:keepLines w:val="0"/>
        <w:widowControl/>
        <w:suppressLineNumbers w:val="0"/>
        <w:spacing w:before="0" w:beforeAutospacing="0" w:after="0" w:afterAutospacing="0" w:line="315" w:lineRule="atLeast"/>
        <w:ind w:left="0" w:firstLine="475"/>
        <w:rPr>
          <w:b w:val="0"/>
        </w:rPr>
      </w:pP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五、操作步骤</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1.登录新电子税局，点击【我要办税】-【综合信息报告】-【状态信息报告】-【企业所得税清算报备】功能菜单进入功能。</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38400"/>
            <wp:effectExtent l="0" t="0" r="0" b="0"/>
            <wp:docPr id="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IMG_256"/>
                    <pic:cNvPicPr>
                      <a:picLocks noChangeAspect="1"/>
                    </pic:cNvPicPr>
                  </pic:nvPicPr>
                  <pic:blipFill>
                    <a:blip r:embed="rId4"/>
                    <a:stretch>
                      <a:fillRect/>
                    </a:stretch>
                  </pic:blipFill>
                  <pic:spPr>
                    <a:xfrm>
                      <a:off x="0" y="0"/>
                      <a:ext cx="5276850" cy="2438400"/>
                    </a:xfrm>
                    <a:prstGeom prst="rect">
                      <a:avLst/>
                    </a:prstGeom>
                    <a:noFill/>
                    <a:ln w="9525">
                      <a:noFill/>
                    </a:ln>
                  </pic:spPr>
                </pic:pic>
              </a:graphicData>
            </a:graphic>
          </wp:inline>
        </w:drawing>
      </w:r>
      <w:bookmarkStart w:id="0" w:name="图片 1"/>
      <w:bookmarkEnd w:id="0"/>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2.初次进入功能界面显示企业所得税清算信息，可进行清算操作。</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47925"/>
            <wp:effectExtent l="0" t="0" r="0" b="9525"/>
            <wp:docPr id="2" name="图片 2" descr="IMG_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7"/>
                    <pic:cNvPicPr>
                      <a:picLocks noChangeAspect="1"/>
                    </pic:cNvPicPr>
                  </pic:nvPicPr>
                  <pic:blipFill>
                    <a:blip r:embed="rId5"/>
                    <a:stretch>
                      <a:fillRect/>
                    </a:stretch>
                  </pic:blipFill>
                  <pic:spPr>
                    <a:xfrm>
                      <a:off x="0" y="0"/>
                      <a:ext cx="5276850" cy="2447925"/>
                    </a:xfrm>
                    <a:prstGeom prst="rect">
                      <a:avLst/>
                    </a:prstGeom>
                    <a:noFill/>
                    <a:ln w="9525">
                      <a:noFill/>
                    </a:ln>
                  </pic:spPr>
                </pic:pic>
              </a:graphicData>
            </a:graphic>
          </wp:inline>
        </w:drawing>
      </w:r>
      <w:bookmarkStart w:id="1" w:name="Image1"/>
      <w:bookmarkEnd w:id="1"/>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3.选择清算备案日期、清算结束日期及清算原因，点击【提交】。</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66975"/>
            <wp:effectExtent l="0" t="0" r="0" b="9525"/>
            <wp:docPr id="1"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descr="IMG_258"/>
                    <pic:cNvPicPr>
                      <a:picLocks noChangeAspect="1"/>
                    </pic:cNvPicPr>
                  </pic:nvPicPr>
                  <pic:blipFill>
                    <a:blip r:embed="rId6"/>
                    <a:stretch>
                      <a:fillRect/>
                    </a:stretch>
                  </pic:blipFill>
                  <pic:spPr>
                    <a:xfrm>
                      <a:off x="0" y="0"/>
                      <a:ext cx="5276850" cy="2466975"/>
                    </a:xfrm>
                    <a:prstGeom prst="rect">
                      <a:avLst/>
                    </a:prstGeom>
                    <a:noFill/>
                    <a:ln w="9525">
                      <a:noFill/>
                    </a:ln>
                  </pic:spPr>
                </pic:pic>
              </a:graphicData>
            </a:graphic>
          </wp:inline>
        </w:drawing>
      </w:r>
      <w:bookmarkStart w:id="2" w:name="Image2"/>
      <w:bookmarkEnd w:id="2"/>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注意：清算结束日可不选，当纳税人存在欠税时，主管税务机关是否参加清算默认为“是”，且不可修改；若没有欠税自动带出“否”，不可修改。</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4.提交后系统提示：确定提交企业所得税清算报备申请？提交后，您的企业将变更为清算状态。点击【确定】。</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1847850"/>
            <wp:effectExtent l="0" t="0" r="0" b="0"/>
            <wp:docPr id="3"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IMG_259"/>
                    <pic:cNvPicPr>
                      <a:picLocks noChangeAspect="1"/>
                    </pic:cNvPicPr>
                  </pic:nvPicPr>
                  <pic:blipFill>
                    <a:blip r:embed="rId7"/>
                    <a:stretch>
                      <a:fillRect/>
                    </a:stretch>
                  </pic:blipFill>
                  <pic:spPr>
                    <a:xfrm>
                      <a:off x="0" y="0"/>
                      <a:ext cx="5276850" cy="1847850"/>
                    </a:xfrm>
                    <a:prstGeom prst="rect">
                      <a:avLst/>
                    </a:prstGeom>
                    <a:noFill/>
                    <a:ln w="9525">
                      <a:noFill/>
                    </a:ln>
                  </pic:spPr>
                </pic:pic>
              </a:graphicData>
            </a:graphic>
          </wp:inline>
        </w:drawing>
      </w:r>
      <w:bookmarkStart w:id="3" w:name="图片 9"/>
      <w:bookmarkEnd w:id="3"/>
    </w:p>
    <w:p>
      <w:pPr>
        <w:pStyle w:val="3"/>
        <w:keepNext w:val="0"/>
        <w:keepLines w:val="0"/>
        <w:widowControl/>
        <w:suppressLineNumbers w:val="0"/>
        <w:spacing w:before="0" w:beforeAutospacing="0" w:after="0" w:afterAutospacing="0" w:line="315" w:lineRule="atLeast"/>
        <w:ind w:left="0" w:firstLine="634"/>
      </w:pPr>
      <w:r>
        <w:rPr>
          <w:rFonts w:hint="eastAsia" w:ascii="宋体" w:hAnsi="宋体" w:eastAsia="宋体" w:cs="宋体"/>
          <w:b w:val="0"/>
          <w:i w:val="0"/>
          <w:caps w:val="0"/>
          <w:color w:val="000000"/>
          <w:spacing w:val="0"/>
          <w:sz w:val="24"/>
          <w:szCs w:val="24"/>
          <w:shd w:val="clear" w:fill="FFFFFF"/>
        </w:rPr>
        <w:t>5.系统跳转至提交成功界面并弹出提示：“为提升您的申报数据质量，税务机关正在为您提供税收风险提示服务，若您存在风险疑点，稍后可在我的消息中心进行查看，请留意我的消息。”点击【确定】。</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95550"/>
            <wp:effectExtent l="0" t="0" r="0" b="0"/>
            <wp:docPr id="5"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60"/>
                    <pic:cNvPicPr>
                      <a:picLocks noChangeAspect="1"/>
                    </pic:cNvPicPr>
                  </pic:nvPicPr>
                  <pic:blipFill>
                    <a:blip r:embed="rId8"/>
                    <a:stretch>
                      <a:fillRect/>
                    </a:stretch>
                  </pic:blipFill>
                  <pic:spPr>
                    <a:xfrm>
                      <a:off x="0" y="0"/>
                      <a:ext cx="5276850" cy="2495550"/>
                    </a:xfrm>
                    <a:prstGeom prst="rect">
                      <a:avLst/>
                    </a:prstGeom>
                    <a:noFill/>
                    <a:ln w="9525">
                      <a:noFill/>
                    </a:ln>
                  </pic:spPr>
                </pic:pic>
              </a:graphicData>
            </a:graphic>
          </wp:inline>
        </w:drawing>
      </w:r>
      <w:bookmarkStart w:id="4" w:name="图片 18"/>
      <w:bookmarkEnd w:id="4"/>
    </w:p>
    <w:p>
      <w:pPr>
        <w:pStyle w:val="3"/>
        <w:keepNext w:val="0"/>
        <w:keepLines w:val="0"/>
        <w:widowControl/>
        <w:suppressLineNumbers w:val="0"/>
        <w:spacing w:before="0" w:beforeAutospacing="0" w:after="210" w:afterAutospacing="0"/>
        <w:ind w:left="0" w:firstLine="420"/>
      </w:pPr>
      <w:r>
        <w:rPr>
          <w:rFonts w:ascii="sans-serif" w:hAnsi="sans-serif" w:eastAsia="sans-serif" w:cs="sans-serif"/>
          <w:i w:val="0"/>
          <w:caps w:val="0"/>
          <w:color w:val="000000"/>
          <w:spacing w:val="0"/>
          <w:sz w:val="24"/>
          <w:szCs w:val="24"/>
          <w:shd w:val="clear" w:fill="FFFFFF"/>
        </w:rPr>
        <w:t>6.“</w:t>
      </w:r>
      <w:r>
        <w:rPr>
          <w:rFonts w:hint="eastAsia" w:ascii="宋体" w:hAnsi="宋体" w:eastAsia="宋体" w:cs="宋体"/>
          <w:i w:val="0"/>
          <w:caps w:val="0"/>
          <w:color w:val="000000"/>
          <w:spacing w:val="0"/>
          <w:sz w:val="24"/>
          <w:szCs w:val="24"/>
          <w:shd w:val="clear" w:fill="FFFFFF"/>
        </w:rPr>
        <w:t>您的企业所得税清算报备已提交成功，当前纳税人为“清算”状态！请进行居民企业企业所得税年度申报及财务报表的报送，点击查看《企业所得税清算事项备案表》”。点击【返回首页】可跳转到首页。同时，会对未办结事项进行提醒，可直接点击【立即办理】前去办理相关未办结事项。点击查看【企业所得税清算事项备案表】可预览备案表，点击【下载报告表】，可下载PDF格式报告表。</w:t>
      </w:r>
    </w:p>
    <w:p>
      <w:pPr>
        <w:pStyle w:val="3"/>
        <w:keepNext w:val="0"/>
        <w:keepLines w:val="0"/>
        <w:widowControl/>
        <w:suppressLineNumbers w:val="0"/>
        <w:spacing w:before="0" w:beforeAutospacing="0" w:after="210" w:afterAutospacing="0"/>
      </w:pP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819400"/>
            <wp:effectExtent l="0" t="0" r="0" b="0"/>
            <wp:docPr id="6"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61"/>
                    <pic:cNvPicPr>
                      <a:picLocks noChangeAspect="1"/>
                    </pic:cNvPicPr>
                  </pic:nvPicPr>
                  <pic:blipFill>
                    <a:blip r:embed="rId9"/>
                    <a:stretch>
                      <a:fillRect/>
                    </a:stretch>
                  </pic:blipFill>
                  <pic:spPr>
                    <a:xfrm>
                      <a:off x="0" y="0"/>
                      <a:ext cx="5276850" cy="2819400"/>
                    </a:xfrm>
                    <a:prstGeom prst="rect">
                      <a:avLst/>
                    </a:prstGeom>
                    <a:noFill/>
                    <a:ln w="9525">
                      <a:noFill/>
                    </a:ln>
                  </pic:spPr>
                </pic:pic>
              </a:graphicData>
            </a:graphic>
          </wp:inline>
        </w:drawing>
      </w:r>
      <w:bookmarkStart w:id="5" w:name="图片 16"/>
      <w:bookmarkEnd w:id="5"/>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971800"/>
            <wp:effectExtent l="0" t="0" r="0" b="0"/>
            <wp:docPr id="7" name="图片 7" descr="IMG_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62"/>
                    <pic:cNvPicPr>
                      <a:picLocks noChangeAspect="1"/>
                    </pic:cNvPicPr>
                  </pic:nvPicPr>
                  <pic:blipFill>
                    <a:blip r:embed="rId10"/>
                    <a:stretch>
                      <a:fillRect/>
                    </a:stretch>
                  </pic:blipFill>
                  <pic:spPr>
                    <a:xfrm>
                      <a:off x="0" y="0"/>
                      <a:ext cx="5276850" cy="2971800"/>
                    </a:xfrm>
                    <a:prstGeom prst="rect">
                      <a:avLst/>
                    </a:prstGeom>
                    <a:noFill/>
                    <a:ln w="9525">
                      <a:noFill/>
                    </a:ln>
                  </pic:spPr>
                </pic:pic>
              </a:graphicData>
            </a:graphic>
          </wp:inline>
        </w:drawing>
      </w:r>
      <w:bookmarkStart w:id="6" w:name="Image3"/>
      <w:bookmarkEnd w:id="6"/>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7.若报备信息有误，可返回首页重新进入功能模块，点击【我要办税】-【综合信息报告】-【状态信息报告】-【企业所得税清算报备】再次进入功能，弹出提示窗口，提示：“您已经提交过企业所得税清算报备，当前企业为清算状态”。可进行变更、作废操作。</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1771650"/>
            <wp:effectExtent l="0" t="0" r="0" b="0"/>
            <wp:docPr id="8" name="图片 8" descr="IMG_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IMG_263"/>
                    <pic:cNvPicPr>
                      <a:picLocks noChangeAspect="1"/>
                    </pic:cNvPicPr>
                  </pic:nvPicPr>
                  <pic:blipFill>
                    <a:blip r:embed="rId11"/>
                    <a:stretch>
                      <a:fillRect/>
                    </a:stretch>
                  </pic:blipFill>
                  <pic:spPr>
                    <a:xfrm>
                      <a:off x="0" y="0"/>
                      <a:ext cx="5276850" cy="1771650"/>
                    </a:xfrm>
                    <a:prstGeom prst="rect">
                      <a:avLst/>
                    </a:prstGeom>
                    <a:noFill/>
                    <a:ln w="9525">
                      <a:noFill/>
                    </a:ln>
                  </pic:spPr>
                </pic:pic>
              </a:graphicData>
            </a:graphic>
          </wp:inline>
        </w:drawing>
      </w:r>
      <w:bookmarkStart w:id="7" w:name="图片 11"/>
      <w:bookmarkEnd w:id="7"/>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（1）变更企业所得税清算报备。</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i w:val="0"/>
          <w:caps w:val="0"/>
          <w:color w:val="000000"/>
          <w:spacing w:val="0"/>
          <w:sz w:val="24"/>
          <w:szCs w:val="24"/>
          <w:shd w:val="clear" w:fill="FFFFFF"/>
        </w:rPr>
        <w:t>①</w:t>
      </w:r>
      <w:r>
        <w:rPr>
          <w:rFonts w:hint="eastAsia" w:ascii="宋体" w:hAnsi="宋体" w:eastAsia="宋体" w:cs="宋体"/>
          <w:b w:val="0"/>
          <w:i w:val="0"/>
          <w:caps w:val="0"/>
          <w:color w:val="000000"/>
          <w:spacing w:val="0"/>
          <w:sz w:val="24"/>
          <w:szCs w:val="24"/>
          <w:shd w:val="clear" w:fill="FFFFFF"/>
        </w:rPr>
        <w:t>选择【变更】，点击【确定】。</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1981200"/>
            <wp:effectExtent l="0" t="0" r="0" b="0"/>
            <wp:docPr id="9" name="图片 9" descr="IMG_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IMG_264"/>
                    <pic:cNvPicPr>
                      <a:picLocks noChangeAspect="1"/>
                    </pic:cNvPicPr>
                  </pic:nvPicPr>
                  <pic:blipFill>
                    <a:blip r:embed="rId12"/>
                    <a:stretch>
                      <a:fillRect/>
                    </a:stretch>
                  </pic:blipFill>
                  <pic:spPr>
                    <a:xfrm>
                      <a:off x="0" y="0"/>
                      <a:ext cx="5276850" cy="1981200"/>
                    </a:xfrm>
                    <a:prstGeom prst="rect">
                      <a:avLst/>
                    </a:prstGeom>
                    <a:noFill/>
                    <a:ln w="9525">
                      <a:noFill/>
                    </a:ln>
                  </pic:spPr>
                </pic:pic>
              </a:graphicData>
            </a:graphic>
          </wp:inline>
        </w:drawing>
      </w:r>
      <w:bookmarkStart w:id="8" w:name="图片 12"/>
      <w:bookmarkEnd w:id="8"/>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i w:val="0"/>
          <w:caps w:val="0"/>
          <w:color w:val="000000"/>
          <w:spacing w:val="0"/>
          <w:sz w:val="24"/>
          <w:szCs w:val="24"/>
          <w:shd w:val="clear" w:fill="FFFFFF"/>
        </w:rPr>
        <w:t>②</w:t>
      </w:r>
      <w:r>
        <w:rPr>
          <w:rFonts w:hint="eastAsia" w:ascii="宋体" w:hAnsi="宋体" w:eastAsia="宋体" w:cs="宋体"/>
          <w:b w:val="0"/>
          <w:i w:val="0"/>
          <w:caps w:val="0"/>
          <w:color w:val="000000"/>
          <w:spacing w:val="0"/>
          <w:sz w:val="24"/>
          <w:szCs w:val="24"/>
          <w:shd w:val="clear" w:fill="FFFFFF"/>
        </w:rPr>
        <w:t>确定后跳转至变更界面，可以选择变更清算备案日期、清算结束日期及清算原因，变更后点击【提交】。</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619375"/>
            <wp:effectExtent l="0" t="0" r="0" b="9525"/>
            <wp:docPr id="10" name="图片 10" descr="IMG_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IMG_265"/>
                    <pic:cNvPicPr>
                      <a:picLocks noChangeAspect="1"/>
                    </pic:cNvPicPr>
                  </pic:nvPicPr>
                  <pic:blipFill>
                    <a:blip r:embed="rId13"/>
                    <a:stretch>
                      <a:fillRect/>
                    </a:stretch>
                  </pic:blipFill>
                  <pic:spPr>
                    <a:xfrm>
                      <a:off x="0" y="0"/>
                      <a:ext cx="5276850" cy="2619375"/>
                    </a:xfrm>
                    <a:prstGeom prst="rect">
                      <a:avLst/>
                    </a:prstGeom>
                    <a:noFill/>
                    <a:ln w="9525">
                      <a:noFill/>
                    </a:ln>
                  </pic:spPr>
                </pic:pic>
              </a:graphicData>
            </a:graphic>
          </wp:inline>
        </w:drawing>
      </w:r>
      <w:bookmarkStart w:id="9" w:name="图片 13"/>
      <w:bookmarkEnd w:id="9"/>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系统跳转至提交成功界面，并提示：“您的企业所得税清算报备已修改成功，点击查看《企业所得税清算事项备案表》”点击【企业所得税清算事项备案表】可下载PDF格式表单。点击【返回首页】可跳转到首页。同时，也会对未办结事项进行提醒，可直接点击【立即办理】前去办理相关未办结事项。</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38400"/>
            <wp:effectExtent l="0" t="0" r="0" b="0"/>
            <wp:docPr id="11" name="图片 11" descr="IMG_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IMG_266"/>
                    <pic:cNvPicPr>
                      <a:picLocks noChangeAspect="1"/>
                    </pic:cNvPicPr>
                  </pic:nvPicPr>
                  <pic:blipFill>
                    <a:blip r:embed="rId14"/>
                    <a:stretch>
                      <a:fillRect/>
                    </a:stretch>
                  </pic:blipFill>
                  <pic:spPr>
                    <a:xfrm>
                      <a:off x="0" y="0"/>
                      <a:ext cx="5276850" cy="2438400"/>
                    </a:xfrm>
                    <a:prstGeom prst="rect">
                      <a:avLst/>
                    </a:prstGeom>
                    <a:noFill/>
                    <a:ln w="9525">
                      <a:noFill/>
                    </a:ln>
                  </pic:spPr>
                </pic:pic>
              </a:graphicData>
            </a:graphic>
          </wp:inline>
        </w:drawing>
      </w:r>
      <w:bookmarkStart w:id="10" w:name="图片 15"/>
      <w:bookmarkEnd w:id="10"/>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（2）作废企业所得税清算报备</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i w:val="0"/>
          <w:caps w:val="0"/>
          <w:color w:val="000000"/>
          <w:spacing w:val="0"/>
          <w:sz w:val="24"/>
          <w:szCs w:val="24"/>
          <w:shd w:val="clear" w:fill="FFFFFF"/>
        </w:rPr>
        <w:t>①</w:t>
      </w:r>
      <w:r>
        <w:rPr>
          <w:rFonts w:hint="eastAsia" w:ascii="宋体" w:hAnsi="宋体" w:eastAsia="宋体" w:cs="宋体"/>
          <w:b w:val="0"/>
          <w:i w:val="0"/>
          <w:caps w:val="0"/>
          <w:color w:val="000000"/>
          <w:spacing w:val="0"/>
          <w:sz w:val="24"/>
          <w:szCs w:val="24"/>
          <w:shd w:val="clear" w:fill="FFFFFF"/>
        </w:rPr>
        <w:t>选择【作废】，点击【确定】后会弹出提示窗口，提示：确定作废企业所得税清算报备？作废后，您的企业将变更为正常状态。点击【确定】。</w:t>
      </w:r>
    </w:p>
    <w:p>
      <w:pPr>
        <w:pStyle w:val="3"/>
        <w:keepNext w:val="0"/>
        <w:keepLines w:val="0"/>
        <w:widowControl/>
        <w:suppressLineNumbers w:val="0"/>
        <w:spacing w:before="0" w:beforeAutospacing="0" w:after="0" w:afterAutospacing="0" w:line="315" w:lineRule="atLeast"/>
        <w:jc w:val="center"/>
      </w:pPr>
      <w:r>
        <w:rPr>
          <w:rFonts w:hint="eastAsia" w:ascii="宋体" w:hAnsi="宋体" w:eastAsia="宋体" w:cs="宋体"/>
          <w:i w:val="0"/>
          <w:caps w:val="0"/>
          <w:spacing w:val="0"/>
          <w:sz w:val="24"/>
          <w:szCs w:val="24"/>
          <w:bdr w:val="none" w:color="auto" w:sz="0" w:space="0"/>
          <w:shd w:val="clear" w:fill="FFFFFF"/>
        </w:rPr>
        <w:drawing>
          <wp:inline distT="0" distB="0" distL="114300" distR="114300">
            <wp:extent cx="5276850" cy="2143125"/>
            <wp:effectExtent l="0" t="0" r="0" b="9525"/>
            <wp:docPr id="12" name="图片 12" descr="IMG_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IMG_267"/>
                    <pic:cNvPicPr>
                      <a:picLocks noChangeAspect="1"/>
                    </pic:cNvPicPr>
                  </pic:nvPicPr>
                  <pic:blipFill>
                    <a:blip r:embed="rId15"/>
                    <a:stretch>
                      <a:fillRect/>
                    </a:stretch>
                  </pic:blipFill>
                  <pic:spPr>
                    <a:xfrm>
                      <a:off x="0" y="0"/>
                      <a:ext cx="5276850" cy="2143125"/>
                    </a:xfrm>
                    <a:prstGeom prst="rect">
                      <a:avLst/>
                    </a:prstGeom>
                    <a:noFill/>
                    <a:ln w="9525">
                      <a:noFill/>
                    </a:ln>
                  </pic:spPr>
                </pic:pic>
              </a:graphicData>
            </a:graphic>
          </wp:inline>
        </w:drawing>
      </w:r>
      <w:bookmarkStart w:id="11" w:name="Image4"/>
      <w:bookmarkEnd w:id="11"/>
      <w:r>
        <w:rPr>
          <w:rFonts w:hint="eastAsia" w:ascii="宋体" w:hAnsi="宋体" w:eastAsia="宋体" w:cs="宋体"/>
          <w:i w:val="0"/>
          <w:caps w:val="0"/>
          <w:spacing w:val="0"/>
          <w:sz w:val="24"/>
          <w:szCs w:val="24"/>
          <w:bdr w:val="none" w:color="auto" w:sz="0" w:space="0"/>
          <w:shd w:val="clear" w:fill="FFFFFF"/>
        </w:rPr>
        <w:drawing>
          <wp:inline distT="0" distB="0" distL="114300" distR="114300">
            <wp:extent cx="5276850" cy="2352675"/>
            <wp:effectExtent l="0" t="0" r="0" b="9525"/>
            <wp:docPr id="13" name="图片 13" descr="IMG_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IMG_268"/>
                    <pic:cNvPicPr>
                      <a:picLocks noChangeAspect="1"/>
                    </pic:cNvPicPr>
                  </pic:nvPicPr>
                  <pic:blipFill>
                    <a:blip r:embed="rId16"/>
                    <a:stretch>
                      <a:fillRect/>
                    </a:stretch>
                  </pic:blipFill>
                  <pic:spPr>
                    <a:xfrm>
                      <a:off x="0" y="0"/>
                      <a:ext cx="5276850" cy="2352675"/>
                    </a:xfrm>
                    <a:prstGeom prst="rect">
                      <a:avLst/>
                    </a:prstGeom>
                    <a:noFill/>
                    <a:ln w="9525">
                      <a:noFill/>
                    </a:ln>
                  </pic:spPr>
                </pic:pic>
              </a:graphicData>
            </a:graphic>
          </wp:inline>
        </w:drawing>
      </w:r>
      <w:bookmarkStart w:id="12" w:name="Image5"/>
      <w:bookmarkEnd w:id="12"/>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i w:val="0"/>
          <w:caps w:val="0"/>
          <w:color w:val="000000"/>
          <w:spacing w:val="0"/>
          <w:sz w:val="24"/>
          <w:szCs w:val="24"/>
          <w:shd w:val="clear" w:fill="FFFFFF"/>
        </w:rPr>
        <w:t>②</w:t>
      </w:r>
      <w:r>
        <w:rPr>
          <w:rFonts w:hint="eastAsia" w:ascii="宋体" w:hAnsi="宋体" w:eastAsia="宋体" w:cs="宋体"/>
          <w:b w:val="0"/>
          <w:i w:val="0"/>
          <w:caps w:val="0"/>
          <w:color w:val="000000"/>
          <w:spacing w:val="0"/>
          <w:sz w:val="24"/>
          <w:szCs w:val="24"/>
          <w:shd w:val="clear" w:fill="FFFFFF"/>
        </w:rPr>
        <w:t>确定后系统跳转至作废成功界面，提示：“您的企业所得税清算报备已作废。您的企业当前状态为正常。”点击【确定】返回到功能界面。若已提前完成企业所得税季度预缴申报或企业所得税清算申报或企业所得税年度申报会作废失败，系统提示：您已提前完成企业所得税季度预缴申报或企业所得税清算申报或企业所得税年度申报，若要作废企业所得税清算报备，必须先作废上述申报，若税款已入库，必须先申请退税，退税完成后，作废上述申报才能作废清算报备，否则不能作废。点击【确定】。</w:t>
      </w:r>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152650"/>
            <wp:effectExtent l="0" t="0" r="0" b="0"/>
            <wp:docPr id="14" name="图片 14" descr="IMG_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IMG_269"/>
                    <pic:cNvPicPr>
                      <a:picLocks noChangeAspect="1"/>
                    </pic:cNvPicPr>
                  </pic:nvPicPr>
                  <pic:blipFill>
                    <a:blip r:embed="rId17"/>
                    <a:stretch>
                      <a:fillRect/>
                    </a:stretch>
                  </pic:blipFill>
                  <pic:spPr>
                    <a:xfrm>
                      <a:off x="0" y="0"/>
                      <a:ext cx="5276850" cy="2152650"/>
                    </a:xfrm>
                    <a:prstGeom prst="rect">
                      <a:avLst/>
                    </a:prstGeom>
                    <a:noFill/>
                    <a:ln w="9525">
                      <a:noFill/>
                    </a:ln>
                  </pic:spPr>
                </pic:pic>
              </a:graphicData>
            </a:graphic>
          </wp:inline>
        </w:drawing>
      </w:r>
      <w:bookmarkStart w:id="13" w:name="图片 20"/>
      <w:bookmarkEnd w:id="13"/>
    </w:p>
    <w:p>
      <w:pPr>
        <w:pStyle w:val="3"/>
        <w:keepNext w:val="0"/>
        <w:keepLines w:val="0"/>
        <w:widowControl/>
        <w:suppressLineNumbers w:val="0"/>
        <w:spacing w:before="0" w:beforeAutospacing="0" w:after="0" w:afterAutospacing="0" w:line="315" w:lineRule="atLeast"/>
        <w:jc w:val="center"/>
        <w:rPr>
          <w:b w:val="0"/>
        </w:rPr>
      </w:pPr>
      <w:r>
        <w:rPr>
          <w:rFonts w:hint="eastAsia" w:ascii="宋体" w:hAnsi="宋体" w:eastAsia="宋体" w:cs="宋体"/>
          <w:b w:val="0"/>
          <w:i w:val="0"/>
          <w:caps w:val="0"/>
          <w:spacing w:val="0"/>
          <w:sz w:val="24"/>
          <w:szCs w:val="24"/>
          <w:bdr w:val="none" w:color="auto" w:sz="0" w:space="0"/>
          <w:shd w:val="clear" w:fill="FFFFFF"/>
        </w:rPr>
        <w:drawing>
          <wp:inline distT="0" distB="0" distL="114300" distR="114300">
            <wp:extent cx="5276850" cy="2438400"/>
            <wp:effectExtent l="0" t="0" r="0" b="0"/>
            <wp:docPr id="15" name="图片 15" descr="IMG_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IMG_270"/>
                    <pic:cNvPicPr>
                      <a:picLocks noChangeAspect="1"/>
                    </pic:cNvPicPr>
                  </pic:nvPicPr>
                  <pic:blipFill>
                    <a:blip r:embed="rId18"/>
                    <a:stretch>
                      <a:fillRect/>
                    </a:stretch>
                  </pic:blipFill>
                  <pic:spPr>
                    <a:xfrm>
                      <a:off x="0" y="0"/>
                      <a:ext cx="5276850" cy="2438400"/>
                    </a:xfrm>
                    <a:prstGeom prst="rect">
                      <a:avLst/>
                    </a:prstGeom>
                    <a:noFill/>
                    <a:ln w="9525">
                      <a:noFill/>
                    </a:ln>
                  </pic:spPr>
                </pic:pic>
              </a:graphicData>
            </a:graphic>
          </wp:inline>
        </w:drawing>
      </w:r>
      <w:bookmarkStart w:id="14" w:name="Image6"/>
      <w:bookmarkEnd w:id="14"/>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注意：</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若已进行“清算企业所得税申报”或已提前报送企业所得税年度申报，则不允许变更清算备案日。</w:t>
      </w:r>
    </w:p>
    <w:p>
      <w:pPr>
        <w:pStyle w:val="3"/>
        <w:keepNext w:val="0"/>
        <w:keepLines w:val="0"/>
        <w:widowControl/>
        <w:suppressLineNumbers w:val="0"/>
        <w:spacing w:before="0" w:beforeAutospacing="0" w:after="0" w:afterAutospacing="0" w:line="315" w:lineRule="atLeast"/>
        <w:ind w:left="0" w:firstLine="475"/>
        <w:rPr>
          <w:b w:val="0"/>
        </w:rPr>
      </w:pP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六、报送资料</w:t>
      </w:r>
    </w:p>
    <w:tbl>
      <w:tblPr>
        <w:tblW w:w="84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05" w:type="dxa"/>
          <w:left w:w="105" w:type="dxa"/>
          <w:bottom w:w="105" w:type="dxa"/>
          <w:right w:w="105" w:type="dxa"/>
        </w:tblCellMar>
      </w:tblPr>
      <w:tblGrid>
        <w:gridCol w:w="549"/>
        <w:gridCol w:w="4612"/>
        <w:gridCol w:w="549"/>
        <w:gridCol w:w="550"/>
        <w:gridCol w:w="550"/>
        <w:gridCol w:w="550"/>
        <w:gridCol w:w="550"/>
        <w:gridCol w:w="5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05" w:type="dxa"/>
            <w:left w:w="105" w:type="dxa"/>
            <w:bottom w:w="105" w:type="dxa"/>
            <w:right w:w="105" w:type="dxa"/>
          </w:tblCellMar>
        </w:tblPrEx>
        <w:trPr>
          <w:trHeight w:val="136" w:hRule="atLeast"/>
          <w:jc w:val="center"/>
        </w:trPr>
        <w:tc>
          <w:tcPr>
            <w:tcW w:w="255" w:type="dxa"/>
            <w:tcBorders>
              <w:top w:val="single" w:color="000000" w:sz="12" w:space="0"/>
              <w:left w:val="single" w:color="000000" w:sz="12"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序号</w:t>
            </w:r>
          </w:p>
        </w:tc>
        <w:tc>
          <w:tcPr>
            <w:tcW w:w="3945"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资料名称</w:t>
            </w:r>
          </w:p>
        </w:tc>
        <w:tc>
          <w:tcPr>
            <w:tcW w:w="405"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必报</w:t>
            </w:r>
          </w:p>
        </w:tc>
        <w:tc>
          <w:tcPr>
            <w:tcW w:w="435"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pPr>
            <w:r>
              <w:rPr>
                <w:rFonts w:hint="eastAsia" w:ascii="宋体" w:hAnsi="宋体" w:eastAsia="宋体" w:cs="宋体"/>
                <w:b w:val="0"/>
                <w:color w:val="000000"/>
                <w:sz w:val="24"/>
                <w:szCs w:val="24"/>
                <w:bdr w:val="none" w:color="auto" w:sz="0" w:space="0"/>
              </w:rPr>
              <w:t>条件报送</w:t>
            </w:r>
          </w:p>
        </w:tc>
        <w:tc>
          <w:tcPr>
            <w:tcW w:w="375"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归档</w:t>
            </w:r>
          </w:p>
        </w:tc>
        <w:tc>
          <w:tcPr>
            <w:tcW w:w="420"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查验</w:t>
            </w:r>
          </w:p>
        </w:tc>
        <w:tc>
          <w:tcPr>
            <w:tcW w:w="420" w:type="dxa"/>
            <w:tcBorders>
              <w:top w:val="single" w:color="000000" w:sz="12" w:space="0"/>
              <w:left w:val="single" w:color="000000" w:sz="6" w:space="0"/>
              <w:bottom w:val="single" w:color="000000" w:sz="6" w:space="0"/>
              <w:right w:val="single" w:color="000000" w:sz="6"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容缺报送</w:t>
            </w:r>
          </w:p>
        </w:tc>
        <w:tc>
          <w:tcPr>
            <w:tcW w:w="465" w:type="dxa"/>
            <w:tcBorders>
              <w:top w:val="single" w:color="000000" w:sz="12" w:space="0"/>
              <w:left w:val="single" w:color="000000" w:sz="6" w:space="0"/>
              <w:bottom w:val="single" w:color="000000" w:sz="6" w:space="0"/>
              <w:right w:val="single" w:color="000000" w:sz="12" w:space="0"/>
            </w:tcBorders>
            <w:shd w:val="clear" w:color="auto" w:fill="D7D7D7"/>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留存备查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05" w:type="dxa"/>
            <w:left w:w="105" w:type="dxa"/>
            <w:bottom w:w="105" w:type="dxa"/>
            <w:right w:w="105" w:type="dxa"/>
          </w:tblCellMar>
        </w:tblPrEx>
        <w:trPr>
          <w:jc w:val="center"/>
        </w:trPr>
        <w:tc>
          <w:tcPr>
            <w:tcW w:w="255" w:type="dxa"/>
            <w:tcBorders>
              <w:top w:val="single" w:color="000000" w:sz="6" w:space="0"/>
              <w:left w:val="single" w:color="000000" w:sz="12"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1</w:t>
            </w:r>
          </w:p>
        </w:tc>
        <w:tc>
          <w:tcPr>
            <w:tcW w:w="3945"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rPr>
                <w:b w:val="0"/>
              </w:rPr>
            </w:pPr>
            <w:r>
              <w:rPr>
                <w:rFonts w:hint="eastAsia" w:ascii="宋体" w:hAnsi="宋体" w:eastAsia="宋体" w:cs="宋体"/>
                <w:b w:val="0"/>
                <w:color w:val="000000"/>
                <w:sz w:val="24"/>
                <w:szCs w:val="24"/>
                <w:bdr w:val="none" w:color="auto" w:sz="0" w:space="0"/>
              </w:rPr>
              <w:t>《企业所得税清算事项备案表》</w:t>
            </w:r>
          </w:p>
        </w:tc>
        <w:tc>
          <w:tcPr>
            <w:tcW w:w="405"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w:t>
            </w:r>
          </w:p>
        </w:tc>
        <w:tc>
          <w:tcPr>
            <w:tcW w:w="435"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ind w:left="0" w:right="0"/>
              <w:jc w:val="center"/>
              <w:rPr>
                <w:b w:val="0"/>
              </w:rPr>
            </w:pPr>
          </w:p>
        </w:tc>
        <w:tc>
          <w:tcPr>
            <w:tcW w:w="375"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line="315" w:lineRule="atLeast"/>
              <w:jc w:val="center"/>
              <w:rPr>
                <w:b w:val="0"/>
              </w:rPr>
            </w:pPr>
            <w:r>
              <w:rPr>
                <w:rFonts w:hint="eastAsia" w:ascii="宋体" w:hAnsi="宋体" w:eastAsia="宋体" w:cs="宋体"/>
                <w:b w:val="0"/>
                <w:color w:val="000000"/>
                <w:sz w:val="24"/>
                <w:szCs w:val="24"/>
                <w:bdr w:val="none" w:color="auto" w:sz="0" w:space="0"/>
              </w:rPr>
              <w:t>√</w:t>
            </w:r>
          </w:p>
        </w:tc>
        <w:tc>
          <w:tcPr>
            <w:tcW w:w="420"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ind w:left="0" w:right="0"/>
              <w:jc w:val="center"/>
              <w:rPr>
                <w:b w:val="0"/>
              </w:rPr>
            </w:pPr>
          </w:p>
        </w:tc>
        <w:tc>
          <w:tcPr>
            <w:tcW w:w="420" w:type="dxa"/>
            <w:tcBorders>
              <w:top w:val="single" w:color="000000" w:sz="6" w:space="0"/>
              <w:left w:val="single" w:color="000000" w:sz="6" w:space="0"/>
              <w:bottom w:val="single" w:color="000000" w:sz="12" w:space="0"/>
              <w:right w:val="single" w:color="000000" w:sz="6"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ind w:left="0" w:right="0"/>
              <w:jc w:val="center"/>
              <w:rPr>
                <w:b w:val="0"/>
              </w:rPr>
            </w:pPr>
          </w:p>
        </w:tc>
        <w:tc>
          <w:tcPr>
            <w:tcW w:w="465" w:type="dxa"/>
            <w:tcBorders>
              <w:top w:val="single" w:color="000000" w:sz="6" w:space="0"/>
              <w:left w:val="single" w:color="000000" w:sz="6" w:space="0"/>
              <w:bottom w:val="single" w:color="000000" w:sz="12" w:space="0"/>
              <w:right w:val="single" w:color="000000" w:sz="12" w:space="0"/>
            </w:tcBorders>
            <w:shd w:val="clear"/>
            <w:tcMar>
              <w:top w:w="0" w:type="dxa"/>
              <w:left w:w="115" w:type="dxa"/>
              <w:bottom w:w="0" w:type="dxa"/>
              <w:right w:w="115" w:type="dxa"/>
            </w:tcMar>
            <w:vAlign w:val="center"/>
          </w:tcPr>
          <w:p>
            <w:pPr>
              <w:pStyle w:val="3"/>
              <w:keepNext w:val="0"/>
              <w:keepLines w:val="0"/>
              <w:widowControl/>
              <w:suppressLineNumbers w:val="0"/>
              <w:spacing w:before="0" w:beforeAutospacing="0" w:after="210" w:afterAutospacing="0"/>
              <w:ind w:left="0" w:right="0"/>
              <w:jc w:val="center"/>
              <w:rPr>
                <w:b w:val="0"/>
              </w:rPr>
            </w:pPr>
          </w:p>
        </w:tc>
      </w:tr>
    </w:tbl>
    <w:p>
      <w:pPr>
        <w:pStyle w:val="2"/>
        <w:keepNext w:val="0"/>
        <w:keepLines w:val="0"/>
        <w:widowControl/>
        <w:suppressLineNumbers w:val="0"/>
        <w:spacing w:before="0" w:beforeAutospacing="0" w:after="105"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七、注意事项</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1.分支机构不需要办理企业所得税清算报备。视同独立纳税人按一般企业申报缴纳企业所得税的二级分支机构除外。</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2.纳税人提交清算报备后，当系统时间小于“清算备案日”时，纳税人提交成功后，提醒纳税人：尊敬的纳税人，您的企业所得税清算报备已提交成功，当系统日期等于清算备案日日期时，您的纳税人状态将变更为“清算”状态。</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3.纳税人对报送材料的真实性和合法性承担责任。</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4.纳税人上门办理涉税事项时需报送纸质版资料，通过网上办理或移动终端办理的按照系统操作要求报送电子版资料。</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5.办理材料里未注明原件、复印件的均为原件；仅注明复印件的只需提供复印件；注明原件及复印件的，收取复印件，原件查验后退回。</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6.报送资料如为复印件，须注明与原件一致，并加盖公章。</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7.纳税人使用符合电子签名规定条件的电子签名，与手写签名或盖章具有等同法律效力。</w:t>
      </w:r>
    </w:p>
    <w:p>
      <w:pPr>
        <w:pStyle w:val="3"/>
        <w:keepNext w:val="0"/>
        <w:keepLines w:val="0"/>
        <w:widowControl/>
        <w:suppressLineNumbers w:val="0"/>
        <w:spacing w:before="0" w:beforeAutospacing="0" w:after="0" w:afterAutospacing="0" w:line="315" w:lineRule="atLeast"/>
        <w:ind w:left="0" w:firstLine="475"/>
      </w:pP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i w:val="0"/>
          <w:caps w:val="0"/>
          <w:color w:val="000000"/>
          <w:spacing w:val="0"/>
          <w:sz w:val="24"/>
          <w:szCs w:val="24"/>
          <w:shd w:val="clear" w:fill="FFFFFF"/>
        </w:rPr>
        <w:t>八、常见问题</w:t>
      </w:r>
    </w:p>
    <w:p>
      <w:pPr>
        <w:pStyle w:val="3"/>
        <w:keepNext w:val="0"/>
        <w:keepLines w:val="0"/>
        <w:widowControl/>
        <w:suppressLineNumbers w:val="0"/>
        <w:spacing w:before="0" w:beforeAutospacing="0" w:after="0" w:afterAutospacing="0" w:line="315" w:lineRule="atLeast"/>
        <w:ind w:left="0" w:firstLine="475"/>
      </w:pPr>
      <w:r>
        <w:rPr>
          <w:rFonts w:hint="eastAsia" w:ascii="宋体" w:hAnsi="宋体" w:eastAsia="宋体" w:cs="宋体"/>
          <w:b w:val="0"/>
          <w:i w:val="0"/>
          <w:caps w:val="0"/>
          <w:color w:val="000000"/>
          <w:spacing w:val="0"/>
          <w:sz w:val="24"/>
          <w:szCs w:val="24"/>
          <w:shd w:val="clear" w:fill="FFFFFF"/>
        </w:rPr>
        <w:t>1.清算报备提交成功后再次进入功能页面是否会有提示？</w:t>
      </w:r>
    </w:p>
    <w:p>
      <w:pPr>
        <w:pStyle w:val="3"/>
        <w:keepNext w:val="0"/>
        <w:keepLines w:val="0"/>
        <w:widowControl/>
        <w:suppressLineNumbers w:val="0"/>
        <w:spacing w:before="0" w:beforeAutospacing="0" w:after="0" w:afterAutospacing="0" w:line="315" w:lineRule="atLeast"/>
        <w:ind w:left="0" w:firstLine="475"/>
        <w:rPr>
          <w:b w:val="0"/>
        </w:rPr>
      </w:pPr>
      <w:r>
        <w:rPr>
          <w:rFonts w:hint="eastAsia" w:ascii="宋体" w:hAnsi="宋体" w:eastAsia="宋体" w:cs="宋体"/>
          <w:b w:val="0"/>
          <w:i w:val="0"/>
          <w:caps w:val="0"/>
          <w:color w:val="000000"/>
          <w:spacing w:val="0"/>
          <w:sz w:val="24"/>
          <w:szCs w:val="24"/>
          <w:shd w:val="clear" w:fill="FFFFFF"/>
        </w:rPr>
        <w:t>答：系统提示“您已经提交过企业所得税清算报备，当前企业为清算状态。”可进行变更、作废操作。</w:t>
      </w:r>
    </w:p>
    <w:p>
      <w:pPr>
        <w:rPr>
          <w:rFonts w:ascii="PingFang SC-Bold" w:hAnsi="PingFang SC-Bold" w:eastAsia="PingFang SC-Bold" w:cs="PingFang SC-Bold"/>
          <w:i w:val="0"/>
          <w:caps w:val="0"/>
          <w:color w:val="4285F4"/>
          <w:spacing w:val="0"/>
          <w:sz w:val="30"/>
          <w:szCs w:val="30"/>
          <w:shd w:val="clear" w:fill="FFFFFF"/>
        </w:rPr>
      </w:pPr>
      <w:bookmarkStart w:id="15" w:name="_GoBack"/>
      <w:bookmarkEnd w:id="15"/>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PingFang SC-Bold">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PingFang SC-Regular">
    <w:altName w:val="Segoe Print"/>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285F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2023-12-13T07:08:32Z</dcterms:created>
  <dc:creator>Administrator</dc:creator>
  <cp:lastModifiedBy>Administrator</cp:lastModifiedBy>
  <dcterms:modified xsi:type="dcterms:W3CDTF">2023-12-13T07:08:45Z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2052-11.8.2.8959</vt:lpwstr>
  </property>
</Properties>
</file>