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Ansi="宋体"/>
          <w:b/>
          <w:sz w:val="96"/>
          <w:szCs w:val="96"/>
        </w:rPr>
      </w:pPr>
    </w:p>
    <w:p>
      <w:pPr>
        <w:topLinePunct/>
        <w:autoSpaceDE w:val="0"/>
        <w:autoSpaceDN w:val="0"/>
        <w:jc w:val="center"/>
        <w:rPr>
          <w:rFonts w:hAnsi="宋体"/>
          <w:b/>
          <w:sz w:val="96"/>
          <w:szCs w:val="96"/>
        </w:rPr>
      </w:pPr>
      <w:r>
        <w:rPr>
          <w:rFonts w:hint="eastAsia" w:hAnsi="宋体"/>
          <w:b/>
          <w:sz w:val="96"/>
          <w:szCs w:val="96"/>
        </w:rPr>
        <w:t>招 标 文 件</w:t>
      </w:r>
    </w:p>
    <w:p>
      <w:pPr>
        <w:topLinePunct/>
        <w:autoSpaceDE w:val="0"/>
        <w:autoSpaceDN w:val="0"/>
        <w:spacing w:line="60" w:lineRule="exact"/>
        <w:jc w:val="center"/>
        <w:rPr>
          <w:rFonts w:hAnsi="宋体"/>
          <w:sz w:val="96"/>
          <w:szCs w:val="96"/>
        </w:rPr>
      </w:pPr>
    </w:p>
    <w:p>
      <w:pPr>
        <w:topLinePunct/>
        <w:autoSpaceDE w:val="0"/>
        <w:autoSpaceDN w:val="0"/>
        <w:snapToGrid w:val="0"/>
        <w:jc w:val="center"/>
        <w:rPr>
          <w:rFonts w:ascii="宋体" w:hAnsi="宋体"/>
          <w:sz w:val="96"/>
          <w:szCs w:val="96"/>
        </w:rPr>
      </w:pPr>
      <w:r>
        <w:rPr>
          <w:rFonts w:hint="eastAsia" w:hAnsi="宋体"/>
          <w:b/>
          <w:sz w:val="56"/>
          <w:szCs w:val="56"/>
        </w:rPr>
        <w:t>（技术部分）</w:t>
      </w:r>
    </w:p>
    <w:p>
      <w:pPr>
        <w:topLinePunct/>
        <w:autoSpaceDE w:val="0"/>
        <w:autoSpaceDN w:val="0"/>
        <w:snapToGrid w:val="0"/>
        <w:spacing w:line="360" w:lineRule="auto"/>
        <w:ind w:left="1402" w:leftChars="534" w:hanging="281" w:hangingChars="100"/>
        <w:rPr>
          <w:rFonts w:ascii="宋体"/>
          <w:b/>
          <w:bCs/>
          <w:sz w:val="28"/>
          <w:szCs w:val="28"/>
        </w:rPr>
      </w:pPr>
    </w:p>
    <w:p>
      <w:pPr>
        <w:topLinePunct/>
        <w:autoSpaceDE w:val="0"/>
        <w:autoSpaceDN w:val="0"/>
        <w:snapToGrid w:val="0"/>
        <w:spacing w:line="360" w:lineRule="auto"/>
        <w:ind w:left="1402" w:leftChars="534" w:hanging="281" w:hangingChars="100"/>
        <w:rPr>
          <w:rFonts w:ascii="宋体"/>
          <w:b/>
          <w:bCs/>
          <w:sz w:val="28"/>
          <w:szCs w:val="28"/>
        </w:rPr>
      </w:pPr>
    </w:p>
    <w:p>
      <w:pPr>
        <w:topLinePunct/>
        <w:autoSpaceDE w:val="0"/>
        <w:autoSpaceDN w:val="0"/>
        <w:snapToGrid w:val="0"/>
        <w:spacing w:line="360" w:lineRule="auto"/>
        <w:ind w:left="1402" w:leftChars="534" w:hanging="281" w:hangingChars="100"/>
        <w:rPr>
          <w:rFonts w:ascii="宋体"/>
          <w:b/>
          <w:bCs/>
          <w:sz w:val="28"/>
          <w:szCs w:val="28"/>
        </w:rPr>
      </w:pPr>
      <w:r>
        <w:rPr>
          <w:rFonts w:hint="eastAsia" w:ascii="宋体"/>
          <w:b/>
          <w:bCs/>
          <w:sz w:val="28"/>
          <w:szCs w:val="28"/>
        </w:rPr>
        <w:t>项目名称：</w:t>
      </w:r>
      <w:bookmarkStart w:id="0" w:name="项目名称_fa_planName"/>
      <w:r>
        <w:rPr>
          <w:rFonts w:hint="eastAsia" w:ascii="宋体"/>
          <w:b/>
          <w:bCs/>
          <w:sz w:val="28"/>
          <w:szCs w:val="28"/>
        </w:rPr>
        <w:t>国家税务总局吉林市昌邑区税务局2025年物业管理服务项目</w:t>
      </w:r>
      <w:bookmarkEnd w:id="0"/>
    </w:p>
    <w:p>
      <w:pPr>
        <w:topLinePunct/>
        <w:autoSpaceDE w:val="0"/>
        <w:autoSpaceDN w:val="0"/>
        <w:snapToGrid w:val="0"/>
        <w:spacing w:line="360" w:lineRule="auto"/>
        <w:ind w:left="1402" w:leftChars="534" w:hanging="281" w:hangingChars="100"/>
        <w:rPr>
          <w:rFonts w:ascii="宋体"/>
          <w:b/>
          <w:bCs/>
          <w:sz w:val="28"/>
          <w:szCs w:val="28"/>
        </w:rPr>
      </w:pPr>
      <w:r>
        <w:rPr>
          <w:rFonts w:hint="eastAsia" w:ascii="宋体"/>
          <w:b/>
          <w:bCs/>
          <w:sz w:val="28"/>
          <w:szCs w:val="28"/>
        </w:rPr>
        <w:t>项目编号：</w:t>
      </w:r>
      <w:bookmarkStart w:id="1" w:name="项目编号_fa_planNo"/>
      <w:r>
        <w:rPr>
          <w:rFonts w:hint="eastAsia" w:ascii="宋体"/>
          <w:b/>
          <w:bCs/>
          <w:sz w:val="28"/>
          <w:szCs w:val="28"/>
        </w:rPr>
        <w:t>JL2025-ZXGK-C0063-B00</w:t>
      </w:r>
      <w:bookmarkEnd w:id="1"/>
    </w:p>
    <w:p>
      <w:pPr>
        <w:topLinePunct/>
        <w:autoSpaceDE w:val="0"/>
        <w:autoSpaceDN w:val="0"/>
        <w:snapToGrid w:val="0"/>
        <w:spacing w:line="360" w:lineRule="auto"/>
        <w:ind w:firstLine="1124" w:firstLineChars="400"/>
        <w:rPr>
          <w:rFonts w:ascii="宋体"/>
          <w:b/>
          <w:bCs/>
          <w:sz w:val="28"/>
          <w:szCs w:val="28"/>
        </w:rPr>
      </w:pPr>
    </w:p>
    <w:p>
      <w:pPr>
        <w:topLinePunct/>
        <w:autoSpaceDE w:val="0"/>
        <w:autoSpaceDN w:val="0"/>
        <w:snapToGrid w:val="0"/>
        <w:spacing w:line="360" w:lineRule="auto"/>
        <w:rPr>
          <w:rFonts w:ascii="宋体"/>
          <w:b/>
          <w:bCs/>
          <w:sz w:val="28"/>
          <w:szCs w:val="28"/>
        </w:rPr>
      </w:pPr>
    </w:p>
    <w:p>
      <w:pPr>
        <w:topLinePunct/>
        <w:autoSpaceDE w:val="0"/>
        <w:autoSpaceDN w:val="0"/>
        <w:spacing w:line="460" w:lineRule="exact"/>
        <w:rPr>
          <w:rFonts w:ascii="黑体" w:eastAsia="黑体"/>
          <w:b/>
          <w:sz w:val="52"/>
        </w:rPr>
      </w:pPr>
    </w:p>
    <w:p>
      <w:pPr>
        <w:topLinePunct/>
        <w:autoSpaceDE w:val="0"/>
        <w:autoSpaceDN w:val="0"/>
        <w:spacing w:line="460" w:lineRule="exact"/>
        <w:rPr>
          <w:rFonts w:ascii="黑体" w:eastAsia="黑体"/>
          <w:b/>
          <w:sz w:val="36"/>
          <w:szCs w:val="36"/>
        </w:rPr>
      </w:pPr>
    </w:p>
    <w:p>
      <w:pPr>
        <w:topLinePunct/>
        <w:autoSpaceDE w:val="0"/>
        <w:autoSpaceDN w:val="0"/>
        <w:spacing w:line="460" w:lineRule="exact"/>
        <w:rPr>
          <w:rFonts w:ascii="黑体" w:eastAsia="黑体"/>
          <w:b/>
          <w:sz w:val="36"/>
          <w:szCs w:val="36"/>
        </w:rPr>
      </w:pPr>
    </w:p>
    <w:p>
      <w:pPr>
        <w:topLinePunct/>
        <w:autoSpaceDE w:val="0"/>
        <w:autoSpaceDN w:val="0"/>
        <w:spacing w:line="460" w:lineRule="exact"/>
        <w:jc w:val="center"/>
        <w:rPr>
          <w:rFonts w:ascii="黑体" w:eastAsia="黑体"/>
          <w:sz w:val="36"/>
          <w:szCs w:val="36"/>
        </w:rPr>
      </w:pPr>
    </w:p>
    <w:p>
      <w:pPr>
        <w:topLinePunct/>
        <w:autoSpaceDE w:val="0"/>
        <w:autoSpaceDN w:val="0"/>
        <w:spacing w:line="460" w:lineRule="exact"/>
        <w:jc w:val="center"/>
        <w:rPr>
          <w:rFonts w:ascii="黑体" w:eastAsia="黑体"/>
          <w:sz w:val="36"/>
          <w:szCs w:val="36"/>
        </w:rPr>
      </w:pPr>
    </w:p>
    <w:p>
      <w:pPr>
        <w:topLinePunct/>
        <w:autoSpaceDE w:val="0"/>
        <w:autoSpaceDN w:val="0"/>
        <w:spacing w:line="460" w:lineRule="exact"/>
        <w:jc w:val="center"/>
        <w:rPr>
          <w:rFonts w:ascii="黑体" w:eastAsia="黑体"/>
          <w:sz w:val="36"/>
          <w:szCs w:val="36"/>
        </w:rPr>
      </w:pPr>
    </w:p>
    <w:p>
      <w:pPr>
        <w:topLinePunct/>
        <w:autoSpaceDE w:val="0"/>
        <w:autoSpaceDN w:val="0"/>
        <w:spacing w:line="460" w:lineRule="exact"/>
        <w:jc w:val="center"/>
        <w:rPr>
          <w:rFonts w:ascii="黑体" w:eastAsia="黑体"/>
          <w:sz w:val="36"/>
          <w:szCs w:val="36"/>
        </w:rPr>
      </w:pPr>
      <w:bookmarkStart w:id="2" w:name="采购人名称_cgrmc"/>
      <w:r>
        <w:rPr>
          <w:rFonts w:hint="eastAsia" w:ascii="黑体" w:eastAsia="黑体"/>
          <w:sz w:val="36"/>
          <w:szCs w:val="36"/>
        </w:rPr>
        <w:t>国家税务总局吉林市税务局</w:t>
      </w:r>
      <w:bookmarkEnd w:id="2"/>
    </w:p>
    <w:p>
      <w:pPr>
        <w:widowControl/>
        <w:topLinePunct/>
        <w:autoSpaceDE w:val="0"/>
        <w:autoSpaceDN w:val="0"/>
        <w:jc w:val="center"/>
        <w:rPr>
          <w:rFonts w:ascii="宋体" w:hAnsi="宋体" w:cs="宋体"/>
        </w:rPr>
        <w:sectPr>
          <w:pgSz w:w="11906" w:h="16838"/>
          <w:pgMar w:top="1440" w:right="1508" w:bottom="1440" w:left="1588" w:header="851" w:footer="851" w:gutter="0"/>
          <w:cols w:space="720" w:num="1"/>
          <w:titlePg/>
          <w:docGrid w:type="lines" w:linePitch="312" w:charSpace="0"/>
        </w:sectPr>
      </w:pPr>
      <w:bookmarkStart w:id="3" w:name="生成日期_currentDateTime_ymd"/>
      <w:r>
        <w:rPr>
          <w:rFonts w:hint="eastAsia" w:ascii="黑体" w:hAnsi="Courier New" w:eastAsia="黑体" w:cs="Courier New"/>
          <w:sz w:val="36"/>
          <w:szCs w:val="36"/>
        </w:rPr>
        <w:t>2025年9月</w:t>
      </w:r>
      <w:bookmarkEnd w:id="3"/>
    </w:p>
    <w:p>
      <w:pPr>
        <w:pStyle w:val="18"/>
        <w:spacing w:before="0" w:after="0" w:line="360" w:lineRule="auto"/>
        <w:jc w:val="center"/>
        <w:rPr>
          <w:rFonts w:ascii="宋体" w:hAnsi="宋体" w:eastAsia="宋体" w:cs="宋体"/>
          <w:sz w:val="32"/>
        </w:rPr>
      </w:pPr>
      <w:r>
        <w:rPr>
          <w:rFonts w:ascii="宋体" w:hAnsi="宋体" w:eastAsia="宋体" w:cs="宋体"/>
          <w:sz w:val="32"/>
        </w:rPr>
        <w:t>目 录</w:t>
      </w:r>
    </w:p>
    <w:p>
      <w:pPr>
        <w:pStyle w:val="25"/>
        <w:tabs>
          <w:tab w:val="right" w:leader="dot" w:pos="9016"/>
        </w:tabs>
        <w:spacing w:before="0" w:after="0" w:line="360" w:lineRule="auto"/>
        <w:rPr>
          <w:rFonts w:asciiTheme="minorHAnsi" w:hAnsiTheme="minorHAnsi"/>
          <w:sz w:val="22"/>
        </w:rPr>
      </w:pPr>
      <w:r>
        <w:rPr>
          <w:rFonts w:ascii="宋体" w:hAnsi="宋体" w:eastAsia="宋体" w:cs="宋体"/>
          <w:sz w:val="32"/>
        </w:rPr>
        <w:fldChar w:fldCharType="begin"/>
      </w:r>
      <w:r>
        <w:rPr>
          <w:rFonts w:ascii="宋体" w:hAnsi="宋体" w:eastAsia="宋体" w:cs="宋体"/>
          <w:sz w:val="32"/>
        </w:rPr>
        <w:instrText xml:space="preserve">TOC \o "1-3" \h \z \u</w:instrText>
      </w:r>
      <w:r>
        <w:rPr>
          <w:rFonts w:ascii="宋体" w:hAnsi="宋体" w:eastAsia="宋体" w:cs="宋体"/>
          <w:sz w:val="32"/>
        </w:rPr>
        <w:fldChar w:fldCharType="separate"/>
      </w:r>
      <w:r>
        <w:fldChar w:fldCharType="begin"/>
      </w:r>
      <w:r>
        <w:instrText xml:space="preserve"> HYPERLINK \l "_Toc256000000" </w:instrText>
      </w:r>
      <w:r>
        <w:fldChar w:fldCharType="separate"/>
      </w:r>
      <w:r>
        <w:rPr>
          <w:rStyle w:val="37"/>
          <w:rFonts w:ascii="仿宋_GB2312" w:hAnsi="仿宋_GB2312" w:eastAsia="仿宋_GB2312" w:cs="仿宋_GB2312"/>
          <w:kern w:val="36"/>
        </w:rPr>
        <w:t>1项目概述</w:t>
      </w:r>
      <w:r>
        <w:tab/>
      </w:r>
      <w:r>
        <w:fldChar w:fldCharType="begin"/>
      </w:r>
      <w:r>
        <w:instrText xml:space="preserve"> PAGEREF _Toc256000000 \h </w:instrText>
      </w:r>
      <w:r>
        <w:fldChar w:fldCharType="separate"/>
      </w:r>
      <w:r>
        <w:t>3</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"_Toc256000001" </w:instrText>
      </w:r>
      <w:r>
        <w:fldChar w:fldCharType="separate"/>
      </w:r>
      <w:r>
        <w:rPr>
          <w:rStyle w:val="37"/>
          <w:rFonts w:ascii="仿宋_GB2312" w:hAnsi="仿宋_GB2312" w:eastAsia="仿宋_GB2312" w:cs="仿宋_GB2312"/>
        </w:rPr>
        <w:t>1.1项目背景</w:t>
      </w:r>
      <w:r>
        <w:tab/>
      </w:r>
      <w:r>
        <w:fldChar w:fldCharType="begin"/>
      </w:r>
      <w:r>
        <w:instrText xml:space="preserve"> PAGEREF _Toc256000001 \h </w:instrText>
      </w:r>
      <w:r>
        <w:fldChar w:fldCharType="separate"/>
      </w:r>
      <w:r>
        <w:t>3</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"_Toc256000002" </w:instrText>
      </w:r>
      <w:r>
        <w:fldChar w:fldCharType="separate"/>
      </w:r>
      <w:r>
        <w:rPr>
          <w:rStyle w:val="37"/>
          <w:rFonts w:ascii="仿宋_GB2312" w:hAnsi="仿宋_GB2312" w:eastAsia="仿宋_GB2312" w:cs="仿宋_GB2312"/>
        </w:rPr>
        <w:t>1.1.1项目目的、意义及背景</w:t>
      </w:r>
      <w:r>
        <w:tab/>
      </w:r>
      <w:r>
        <w:fldChar w:fldCharType="begin"/>
      </w:r>
      <w:r>
        <w:instrText xml:space="preserve"> PAGEREF _Toc256000002 \h </w:instrText>
      </w:r>
      <w:r>
        <w:fldChar w:fldCharType="separate"/>
      </w:r>
      <w:r>
        <w:t>3</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"_Toc256000003" </w:instrText>
      </w:r>
      <w:r>
        <w:fldChar w:fldCharType="separate"/>
      </w:r>
      <w:r>
        <w:rPr>
          <w:rStyle w:val="37"/>
          <w:rFonts w:ascii="仿宋_GB2312" w:hAnsi="仿宋_GB2312" w:eastAsia="仿宋_GB2312" w:cs="仿宋_GB2312"/>
        </w:rPr>
        <w:t>1.2项目内容</w:t>
      </w:r>
      <w:r>
        <w:tab/>
      </w:r>
      <w:r>
        <w:fldChar w:fldCharType="begin"/>
      </w:r>
      <w:r>
        <w:instrText xml:space="preserve"> PAGEREF _Toc256000003 \h </w:instrText>
      </w:r>
      <w:r>
        <w:fldChar w:fldCharType="separate"/>
      </w:r>
      <w:r>
        <w:t>3</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"_Toc256000004" </w:instrText>
      </w:r>
      <w:r>
        <w:fldChar w:fldCharType="separate"/>
      </w:r>
      <w:r>
        <w:rPr>
          <w:rStyle w:val="37"/>
          <w:rFonts w:ascii="仿宋_GB2312" w:hAnsi="仿宋_GB2312" w:eastAsia="仿宋_GB2312" w:cs="仿宋_GB2312"/>
        </w:rPr>
        <w:t>1.2.1采购内容</w:t>
      </w:r>
      <w:r>
        <w:tab/>
      </w:r>
      <w:r>
        <w:fldChar w:fldCharType="begin"/>
      </w:r>
      <w:r>
        <w:instrText xml:space="preserve"> PAGEREF _Toc256000004 \h </w:instrText>
      </w:r>
      <w:r>
        <w:fldChar w:fldCharType="separate"/>
      </w:r>
      <w:r>
        <w:t>3</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"_Toc256000005" </w:instrText>
      </w:r>
      <w:r>
        <w:fldChar w:fldCharType="separate"/>
      </w:r>
      <w:r>
        <w:rPr>
          <w:rStyle w:val="37"/>
          <w:rFonts w:ascii="仿宋_GB2312" w:hAnsi="仿宋_GB2312" w:eastAsia="仿宋_GB2312" w:cs="仿宋_GB2312"/>
        </w:rPr>
        <w:t>1.2.2项目实施要求</w:t>
      </w:r>
      <w:r>
        <w:tab/>
      </w:r>
      <w:r>
        <w:fldChar w:fldCharType="begin"/>
      </w:r>
      <w:r>
        <w:instrText xml:space="preserve"> PAGEREF _Toc256000005 \h </w:instrText>
      </w:r>
      <w:r>
        <w:fldChar w:fldCharType="separate"/>
      </w:r>
      <w:r>
        <w:t>3</w:t>
      </w:r>
      <w:r>
        <w:fldChar w:fldCharType="end"/>
      </w:r>
      <w:r>
        <w:fldChar w:fldCharType="end"/>
      </w:r>
    </w:p>
    <w:p>
      <w:pPr>
        <w:pStyle w:val="25"/>
        <w:tabs>
          <w:tab w:val="right" w:leader="dot" w:pos="9016"/>
        </w:tabs>
        <w:spacing w:before="0" w:after="0" w:line="360" w:lineRule="auto"/>
        <w:rPr>
          <w:rFonts w:asciiTheme="minorHAnsi" w:hAnsiTheme="minorHAnsi"/>
          <w:sz w:val="22"/>
        </w:rPr>
      </w:pPr>
      <w:r>
        <w:fldChar w:fldCharType="begin"/>
      </w:r>
      <w:r>
        <w:instrText xml:space="preserve"> HYPERLINK \l "_Toc256000006" </w:instrText>
      </w:r>
      <w:r>
        <w:fldChar w:fldCharType="separate"/>
      </w:r>
      <w:r>
        <w:rPr>
          <w:rStyle w:val="37"/>
          <w:rFonts w:ascii="仿宋_GB2312" w:hAnsi="仿宋_GB2312" w:eastAsia="仿宋_GB2312" w:cs="仿宋_GB2312"/>
          <w:kern w:val="36"/>
        </w:rPr>
        <w:t>2投标/响应要求</w:t>
      </w:r>
      <w:r>
        <w:tab/>
      </w:r>
      <w:r>
        <w:fldChar w:fldCharType="begin"/>
      </w:r>
      <w:r>
        <w:instrText xml:space="preserve"> PAGEREF _Toc256000006 \h </w:instrText>
      </w:r>
      <w:r>
        <w:fldChar w:fldCharType="separate"/>
      </w:r>
      <w:r>
        <w:t>6</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"_Toc256000007" </w:instrText>
      </w:r>
      <w:r>
        <w:fldChar w:fldCharType="separate"/>
      </w:r>
      <w:r>
        <w:rPr>
          <w:rStyle w:val="37"/>
          <w:rFonts w:ascii="仿宋_GB2312" w:hAnsi="仿宋_GB2312" w:eastAsia="仿宋_GB2312" w:cs="仿宋_GB2312"/>
        </w:rPr>
        <w:t>2.1对供应商的要求</w:t>
      </w:r>
      <w:r>
        <w:tab/>
      </w:r>
      <w:r>
        <w:fldChar w:fldCharType="begin"/>
      </w:r>
      <w:r>
        <w:instrText xml:space="preserve"> PAGEREF _Toc256000007 \h </w:instrText>
      </w:r>
      <w:r>
        <w:fldChar w:fldCharType="separate"/>
      </w:r>
      <w:r>
        <w:t>6</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"_Toc256000008" </w:instrText>
      </w:r>
      <w:r>
        <w:fldChar w:fldCharType="separate"/>
      </w:r>
      <w:r>
        <w:rPr>
          <w:rStyle w:val="37"/>
          <w:rFonts w:ascii="仿宋_GB2312" w:hAnsi="仿宋_GB2312" w:eastAsia="仿宋_GB2312" w:cs="仿宋_GB2312"/>
        </w:rPr>
        <w:t>2.1.1必备资质</w:t>
      </w:r>
      <w:r>
        <w:tab/>
      </w:r>
      <w:r>
        <w:fldChar w:fldCharType="begin"/>
      </w:r>
      <w:r>
        <w:instrText xml:space="preserve"> PAGEREF _Toc256000008 \h </w:instrText>
      </w:r>
      <w:r>
        <w:fldChar w:fldCharType="separate"/>
      </w:r>
      <w:r>
        <w:t>6</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"_Toc256000009" </w:instrText>
      </w:r>
      <w:r>
        <w:fldChar w:fldCharType="separate"/>
      </w:r>
      <w:r>
        <w:rPr>
          <w:rStyle w:val="37"/>
          <w:rFonts w:ascii="仿宋_GB2312" w:hAnsi="仿宋_GB2312" w:eastAsia="仿宋_GB2312" w:cs="仿宋_GB2312"/>
        </w:rPr>
        <w:t>2.1.2优选资质/优选指标</w:t>
      </w:r>
      <w:r>
        <w:tab/>
      </w:r>
      <w:r>
        <w:fldChar w:fldCharType="begin"/>
      </w:r>
      <w:r>
        <w:instrText xml:space="preserve"> PAGEREF _Toc256000009 \h </w:instrText>
      </w:r>
      <w:r>
        <w:fldChar w:fldCharType="separate"/>
      </w:r>
      <w:r>
        <w:t>6</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"_Toc256000010" </w:instrText>
      </w:r>
      <w:r>
        <w:fldChar w:fldCharType="separate"/>
      </w:r>
      <w:r>
        <w:rPr>
          <w:rStyle w:val="37"/>
          <w:rFonts w:ascii="仿宋_GB2312" w:hAnsi="仿宋_GB2312" w:eastAsia="仿宋_GB2312" w:cs="仿宋_GB2312"/>
        </w:rPr>
        <w:t>2.1.3是否允许联合体</w:t>
      </w:r>
      <w:r>
        <w:tab/>
      </w:r>
      <w:r>
        <w:fldChar w:fldCharType="begin"/>
      </w:r>
      <w:r>
        <w:instrText xml:space="preserve"> PAGEREF _Toc256000010 \h </w:instrText>
      </w:r>
      <w:r>
        <w:fldChar w:fldCharType="separate"/>
      </w:r>
      <w:r>
        <w:t>7</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"_Toc256000011" </w:instrText>
      </w:r>
      <w:r>
        <w:fldChar w:fldCharType="separate"/>
      </w:r>
      <w:r>
        <w:rPr>
          <w:rStyle w:val="37"/>
          <w:rFonts w:ascii="仿宋_GB2312" w:hAnsi="仿宋_GB2312" w:eastAsia="仿宋_GB2312" w:cs="仿宋_GB2312"/>
        </w:rPr>
        <w:t>2.1.4是否专门面向中小企业</w:t>
      </w:r>
      <w:r>
        <w:tab/>
      </w:r>
      <w:r>
        <w:fldChar w:fldCharType="begin"/>
      </w:r>
      <w:r>
        <w:instrText xml:space="preserve"> PAGEREF _Toc256000011 \h </w:instrText>
      </w:r>
      <w:r>
        <w:fldChar w:fldCharType="separate"/>
      </w:r>
      <w:r>
        <w:t>7</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"_Toc256000012" </w:instrText>
      </w:r>
      <w:r>
        <w:fldChar w:fldCharType="separate"/>
      </w:r>
      <w:r>
        <w:rPr>
          <w:rStyle w:val="37"/>
          <w:rFonts w:ascii="仿宋_GB2312" w:hAnsi="仿宋_GB2312" w:eastAsia="仿宋_GB2312" w:cs="仿宋_GB2312"/>
        </w:rPr>
        <w:t>2.2技术部分投标/响应内容</w:t>
      </w:r>
      <w:r>
        <w:tab/>
      </w:r>
      <w:r>
        <w:fldChar w:fldCharType="begin"/>
      </w:r>
      <w:r>
        <w:instrText xml:space="preserve"> PAGEREF _Toc256000012 \h </w:instrText>
      </w:r>
      <w:r>
        <w:fldChar w:fldCharType="separate"/>
      </w:r>
      <w:r>
        <w:t>7</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"_Toc256000013" </w:instrText>
      </w:r>
      <w:r>
        <w:fldChar w:fldCharType="separate"/>
      </w:r>
      <w:r>
        <w:rPr>
          <w:rStyle w:val="37"/>
          <w:rFonts w:ascii="仿宋_GB2312" w:hAnsi="仿宋_GB2312" w:eastAsia="仿宋_GB2312" w:cs="仿宋_GB2312"/>
        </w:rPr>
        <w:t>2.2.1投标/响应方案要求</w:t>
      </w:r>
      <w:r>
        <w:tab/>
      </w:r>
      <w:r>
        <w:fldChar w:fldCharType="begin"/>
      </w:r>
      <w:r>
        <w:instrText xml:space="preserve"> PAGEREF _Toc256000013 \h </w:instrText>
      </w:r>
      <w:r>
        <w:fldChar w:fldCharType="separate"/>
      </w:r>
      <w:r>
        <w:t>7</w:t>
      </w:r>
      <w:r>
        <w:fldChar w:fldCharType="end"/>
      </w:r>
      <w:r>
        <w:fldChar w:fldCharType="end"/>
      </w:r>
    </w:p>
    <w:p>
      <w:pPr>
        <w:pStyle w:val="25"/>
        <w:tabs>
          <w:tab w:val="right" w:leader="dot" w:pos="9016"/>
        </w:tabs>
        <w:spacing w:before="0" w:after="0" w:line="360" w:lineRule="auto"/>
        <w:rPr>
          <w:rFonts w:asciiTheme="minorHAnsi" w:hAnsiTheme="minorHAnsi"/>
          <w:sz w:val="22"/>
        </w:rPr>
      </w:pPr>
      <w:r>
        <w:fldChar w:fldCharType="begin"/>
      </w:r>
      <w:r>
        <w:instrText xml:space="preserve"> HYPERLINK \l "_Toc256000014" </w:instrText>
      </w:r>
      <w:r>
        <w:fldChar w:fldCharType="separate"/>
      </w:r>
      <w:r>
        <w:rPr>
          <w:rStyle w:val="37"/>
          <w:rFonts w:ascii="仿宋_GB2312" w:hAnsi="仿宋_GB2312" w:eastAsia="仿宋_GB2312" w:cs="仿宋_GB2312"/>
          <w:kern w:val="36"/>
        </w:rPr>
        <w:t>3项目需求</w:t>
      </w:r>
      <w:r>
        <w:tab/>
      </w:r>
      <w:r>
        <w:fldChar w:fldCharType="begin"/>
      </w:r>
      <w:r>
        <w:instrText xml:space="preserve"> PAGEREF _Toc256000014 \h </w:instrText>
      </w:r>
      <w:r>
        <w:fldChar w:fldCharType="separate"/>
      </w:r>
      <w:r>
        <w:t>8</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"_Toc256000015" </w:instrText>
      </w:r>
      <w:r>
        <w:fldChar w:fldCharType="separate"/>
      </w:r>
      <w:r>
        <w:rPr>
          <w:rStyle w:val="37"/>
          <w:rFonts w:ascii="仿宋_GB2312" w:hAnsi="仿宋_GB2312" w:eastAsia="仿宋_GB2312" w:cs="仿宋_GB2312"/>
        </w:rPr>
        <w:t>3.1总体要求</w:t>
      </w:r>
      <w:r>
        <w:tab/>
      </w:r>
      <w:r>
        <w:fldChar w:fldCharType="begin"/>
      </w:r>
      <w:r>
        <w:instrText xml:space="preserve"> PAGEREF _Toc256000015 \h </w:instrText>
      </w:r>
      <w:r>
        <w:fldChar w:fldCharType="separate"/>
      </w:r>
      <w:r>
        <w:t>8</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"_Toc256000016" </w:instrText>
      </w:r>
      <w:r>
        <w:fldChar w:fldCharType="separate"/>
      </w:r>
      <w:r>
        <w:rPr>
          <w:rStyle w:val="37"/>
          <w:rFonts w:ascii="仿宋_GB2312" w:hAnsi="仿宋_GB2312" w:eastAsia="仿宋_GB2312" w:cs="仿宋_GB2312"/>
        </w:rPr>
        <w:t>3.2服务内容和要求</w:t>
      </w:r>
      <w:r>
        <w:tab/>
      </w:r>
      <w:r>
        <w:fldChar w:fldCharType="begin"/>
      </w:r>
      <w:r>
        <w:instrText xml:space="preserve"> PAGEREF _Toc256000016 \h </w:instrText>
      </w:r>
      <w:r>
        <w:fldChar w:fldCharType="separate"/>
      </w:r>
      <w:r>
        <w:t>8</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"_Toc256000017" </w:instrText>
      </w:r>
      <w:r>
        <w:fldChar w:fldCharType="separate"/>
      </w:r>
      <w:r>
        <w:rPr>
          <w:rStyle w:val="37"/>
          <w:rFonts w:ascii="仿宋_GB2312" w:hAnsi="仿宋_GB2312" w:eastAsia="仿宋_GB2312" w:cs="仿宋_GB2312"/>
        </w:rPr>
        <w:t>3.2.1技术和服务客观指标</w:t>
      </w:r>
      <w:r>
        <w:tab/>
      </w:r>
      <w:r>
        <w:fldChar w:fldCharType="begin"/>
      </w:r>
      <w:r>
        <w:instrText xml:space="preserve"> PAGEREF _Toc256000017 \h </w:instrText>
      </w:r>
      <w:r>
        <w:fldChar w:fldCharType="separate"/>
      </w:r>
      <w:r>
        <w:t>9</w:t>
      </w:r>
      <w:r>
        <w:fldChar w:fldCharType="end"/>
      </w:r>
      <w:r>
        <w:fldChar w:fldCharType="end"/>
      </w:r>
    </w:p>
    <w:p>
      <w:pPr>
        <w:pStyle w:val="25"/>
        <w:tabs>
          <w:tab w:val="right" w:leader="dot" w:pos="9016"/>
        </w:tabs>
        <w:spacing w:before="0" w:after="0" w:line="360" w:lineRule="auto"/>
        <w:rPr>
          <w:rFonts w:asciiTheme="minorHAnsi" w:hAnsiTheme="minorHAnsi"/>
          <w:sz w:val="22"/>
        </w:rPr>
      </w:pPr>
      <w:r>
        <w:fldChar w:fldCharType="begin"/>
      </w:r>
      <w:r>
        <w:instrText xml:space="preserve"> HYPERLINK \l "_Toc256000018" </w:instrText>
      </w:r>
      <w:r>
        <w:fldChar w:fldCharType="separate"/>
      </w:r>
      <w:r>
        <w:rPr>
          <w:rStyle w:val="37"/>
          <w:rFonts w:ascii="仿宋_GB2312" w:hAnsi="仿宋_GB2312" w:eastAsia="仿宋_GB2312" w:cs="仿宋_GB2312"/>
          <w:kern w:val="36"/>
        </w:rPr>
        <w:t>4人员要求</w:t>
      </w:r>
      <w:r>
        <w:tab/>
      </w:r>
      <w:r>
        <w:fldChar w:fldCharType="begin"/>
      </w:r>
      <w:r>
        <w:instrText xml:space="preserve"> PAGEREF _Toc256000018 \h </w:instrText>
      </w:r>
      <w:r>
        <w:fldChar w:fldCharType="separate"/>
      </w:r>
      <w:r>
        <w:t>28</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"_Toc256000019" </w:instrText>
      </w:r>
      <w:r>
        <w:fldChar w:fldCharType="separate"/>
      </w:r>
      <w:r>
        <w:rPr>
          <w:rStyle w:val="37"/>
          <w:rFonts w:ascii="仿宋_GB2312" w:hAnsi="仿宋_GB2312" w:eastAsia="仿宋_GB2312" w:cs="仿宋_GB2312"/>
        </w:rPr>
        <w:t>4.1总体要求</w:t>
      </w:r>
      <w:r>
        <w:tab/>
      </w:r>
      <w:r>
        <w:fldChar w:fldCharType="begin"/>
      </w:r>
      <w:r>
        <w:instrText xml:space="preserve"> PAGEREF _Toc256000019 \h </w:instrText>
      </w:r>
      <w:r>
        <w:fldChar w:fldCharType="separate"/>
      </w:r>
      <w:r>
        <w:t>28</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"_Toc256000020" </w:instrText>
      </w:r>
      <w:r>
        <w:fldChar w:fldCharType="separate"/>
      </w:r>
      <w:r>
        <w:rPr>
          <w:rStyle w:val="37"/>
          <w:rFonts w:ascii="仿宋_GB2312" w:hAnsi="仿宋_GB2312" w:eastAsia="仿宋_GB2312" w:cs="仿宋_GB2312"/>
        </w:rPr>
        <w:t>4.2管理团队</w:t>
      </w:r>
      <w:r>
        <w:tab/>
      </w:r>
      <w:r>
        <w:fldChar w:fldCharType="begin"/>
      </w:r>
      <w:r>
        <w:instrText xml:space="preserve"> PAGEREF _Toc256000020 \h </w:instrText>
      </w:r>
      <w:r>
        <w:fldChar w:fldCharType="separate"/>
      </w:r>
      <w:r>
        <w:t>28</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"_Toc256000021" </w:instrText>
      </w:r>
      <w:r>
        <w:fldChar w:fldCharType="separate"/>
      </w:r>
      <w:r>
        <w:rPr>
          <w:rStyle w:val="37"/>
          <w:rFonts w:ascii="仿宋_GB2312" w:hAnsi="仿宋_GB2312" w:eastAsia="仿宋_GB2312" w:cs="仿宋_GB2312"/>
        </w:rPr>
        <w:t>4.2.1项目经理兼会议服务人员</w:t>
      </w:r>
      <w:r>
        <w:tab/>
      </w:r>
      <w:r>
        <w:fldChar w:fldCharType="begin"/>
      </w:r>
      <w:r>
        <w:instrText xml:space="preserve"> PAGEREF _Toc256000021 \h </w:instrText>
      </w:r>
      <w:r>
        <w:fldChar w:fldCharType="separate"/>
      </w:r>
      <w:r>
        <w:t>29</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"_Toc256000022" </w:instrText>
      </w:r>
      <w:r>
        <w:fldChar w:fldCharType="separate"/>
      </w:r>
      <w:r>
        <w:rPr>
          <w:rStyle w:val="37"/>
          <w:rFonts w:ascii="仿宋_GB2312" w:hAnsi="仿宋_GB2312" w:eastAsia="仿宋_GB2312" w:cs="仿宋_GB2312"/>
        </w:rPr>
        <w:t>4.3技术团队</w:t>
      </w:r>
      <w:r>
        <w:tab/>
      </w:r>
      <w:r>
        <w:fldChar w:fldCharType="begin"/>
      </w:r>
      <w:r>
        <w:instrText xml:space="preserve"> PAGEREF _Toc256000022 \h </w:instrText>
      </w:r>
      <w:r>
        <w:fldChar w:fldCharType="separate"/>
      </w:r>
      <w:r>
        <w:t>29</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"_Toc256000023" </w:instrText>
      </w:r>
      <w:r>
        <w:fldChar w:fldCharType="separate"/>
      </w:r>
      <w:r>
        <w:rPr>
          <w:rStyle w:val="37"/>
          <w:rFonts w:ascii="仿宋_GB2312" w:hAnsi="仿宋_GB2312" w:eastAsia="仿宋_GB2312" w:cs="仿宋_GB2312"/>
        </w:rPr>
        <w:t>4.4优选资质/优选指标</w:t>
      </w:r>
      <w:r>
        <w:tab/>
      </w:r>
      <w:r>
        <w:fldChar w:fldCharType="begin"/>
      </w:r>
      <w:r>
        <w:instrText xml:space="preserve"> PAGEREF _Toc256000023 \h </w:instrText>
      </w:r>
      <w:r>
        <w:fldChar w:fldCharType="separate"/>
      </w:r>
      <w:r>
        <w:t>31</w:t>
      </w:r>
      <w:r>
        <w:fldChar w:fldCharType="end"/>
      </w:r>
      <w:r>
        <w:fldChar w:fldCharType="end"/>
      </w:r>
    </w:p>
    <w:p>
      <w:pPr>
        <w:pStyle w:val="25"/>
        <w:tabs>
          <w:tab w:val="right" w:leader="dot" w:pos="9016"/>
        </w:tabs>
        <w:spacing w:before="0" w:after="0" w:line="360" w:lineRule="auto"/>
        <w:rPr>
          <w:rFonts w:asciiTheme="minorHAnsi" w:hAnsiTheme="minorHAnsi"/>
          <w:sz w:val="22"/>
        </w:rPr>
      </w:pPr>
      <w:r>
        <w:fldChar w:fldCharType="begin"/>
      </w:r>
      <w:r>
        <w:instrText xml:space="preserve"> HYPERLINK \l "_Toc256000024" </w:instrText>
      </w:r>
      <w:r>
        <w:fldChar w:fldCharType="separate"/>
      </w:r>
      <w:r>
        <w:rPr>
          <w:rStyle w:val="37"/>
          <w:rFonts w:ascii="仿宋_GB2312" w:hAnsi="仿宋_GB2312" w:eastAsia="仿宋_GB2312" w:cs="仿宋_GB2312"/>
          <w:kern w:val="36"/>
        </w:rPr>
        <w:t>5管理实施要求</w:t>
      </w:r>
      <w:r>
        <w:tab/>
      </w:r>
      <w:r>
        <w:fldChar w:fldCharType="begin"/>
      </w:r>
      <w:r>
        <w:instrText xml:space="preserve"> PAGEREF _Toc256000024 \h </w:instrText>
      </w:r>
      <w:r>
        <w:fldChar w:fldCharType="separate"/>
      </w:r>
      <w:r>
        <w:t>32</w:t>
      </w:r>
      <w:r>
        <w:fldChar w:fldCharType="end"/>
      </w:r>
      <w:r>
        <w:fldChar w:fldCharType="end"/>
      </w:r>
    </w:p>
    <w:p>
      <w:pPr>
        <w:pStyle w:val="25"/>
        <w:tabs>
          <w:tab w:val="right" w:leader="dot" w:pos="9016"/>
        </w:tabs>
        <w:spacing w:before="0" w:after="0" w:line="360" w:lineRule="auto"/>
        <w:rPr>
          <w:rFonts w:asciiTheme="minorHAnsi" w:hAnsiTheme="minorHAnsi"/>
          <w:sz w:val="22"/>
        </w:rPr>
      </w:pPr>
      <w:r>
        <w:fldChar w:fldCharType="begin"/>
      </w:r>
      <w:r>
        <w:instrText xml:space="preserve"> HYPERLINK \l "_Toc256000025" </w:instrText>
      </w:r>
      <w:r>
        <w:fldChar w:fldCharType="separate"/>
      </w:r>
      <w:r>
        <w:rPr>
          <w:rStyle w:val="37"/>
          <w:rFonts w:ascii="仿宋_GB2312" w:hAnsi="仿宋_GB2312" w:eastAsia="仿宋_GB2312" w:cs="仿宋_GB2312"/>
          <w:kern w:val="36"/>
        </w:rPr>
        <w:t>6风险管控要求</w:t>
      </w:r>
      <w:r>
        <w:tab/>
      </w:r>
      <w:r>
        <w:fldChar w:fldCharType="begin"/>
      </w:r>
      <w:r>
        <w:instrText xml:space="preserve"> PAGEREF _Toc256000025 \h </w:instrText>
      </w:r>
      <w:r>
        <w:fldChar w:fldCharType="separate"/>
      </w:r>
      <w:r>
        <w:t>35</w:t>
      </w:r>
      <w:r>
        <w:fldChar w:fldCharType="end"/>
      </w:r>
      <w:r>
        <w:fldChar w:fldCharType="end"/>
      </w:r>
    </w:p>
    <w:p>
      <w:pPr>
        <w:pStyle w:val="25"/>
        <w:tabs>
          <w:tab w:val="right" w:leader="dot" w:pos="9016"/>
        </w:tabs>
        <w:spacing w:before="0" w:after="0" w:line="360" w:lineRule="auto"/>
        <w:rPr>
          <w:rFonts w:asciiTheme="minorHAnsi" w:hAnsiTheme="minorHAnsi"/>
          <w:sz w:val="22"/>
        </w:rPr>
      </w:pPr>
      <w:r>
        <w:fldChar w:fldCharType="begin"/>
      </w:r>
      <w:r>
        <w:instrText xml:space="preserve"> HYPERLINK \l "_Toc256000026" </w:instrText>
      </w:r>
      <w:r>
        <w:fldChar w:fldCharType="separate"/>
      </w:r>
      <w:r>
        <w:rPr>
          <w:rStyle w:val="37"/>
          <w:rFonts w:ascii="仿宋_GB2312" w:hAnsi="仿宋_GB2312" w:eastAsia="仿宋_GB2312" w:cs="仿宋_GB2312"/>
          <w:kern w:val="36"/>
        </w:rPr>
        <w:t>7履约验收要求</w:t>
      </w:r>
      <w:r>
        <w:tab/>
      </w:r>
      <w:r>
        <w:fldChar w:fldCharType="begin"/>
      </w:r>
      <w:r>
        <w:instrText xml:space="preserve"> PAGEREF _Toc256000026 \h </w:instrText>
      </w:r>
      <w:r>
        <w:fldChar w:fldCharType="separate"/>
      </w:r>
      <w:r>
        <w:t>35</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"_Toc256000027" </w:instrText>
      </w:r>
      <w:r>
        <w:fldChar w:fldCharType="separate"/>
      </w:r>
      <w:r>
        <w:rPr>
          <w:rStyle w:val="37"/>
          <w:rFonts w:ascii="仿宋_GB2312" w:hAnsi="仿宋_GB2312" w:eastAsia="仿宋_GB2312" w:cs="仿宋_GB2312"/>
        </w:rPr>
        <w:t>7.1总体要求</w:t>
      </w:r>
      <w:r>
        <w:tab/>
      </w:r>
      <w:r>
        <w:fldChar w:fldCharType="begin"/>
      </w:r>
      <w:r>
        <w:instrText xml:space="preserve"> PAGEREF _Toc256000027 \h </w:instrText>
      </w:r>
      <w:r>
        <w:fldChar w:fldCharType="separate"/>
      </w:r>
      <w:r>
        <w:t>35</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"_Toc256000028" </w:instrText>
      </w:r>
      <w:r>
        <w:fldChar w:fldCharType="separate"/>
      </w:r>
      <w:r>
        <w:rPr>
          <w:rStyle w:val="37"/>
          <w:rFonts w:ascii="仿宋_GB2312" w:hAnsi="仿宋_GB2312" w:eastAsia="仿宋_GB2312" w:cs="仿宋_GB2312"/>
        </w:rPr>
        <w:t>7.2具体要求</w:t>
      </w:r>
      <w:r>
        <w:tab/>
      </w:r>
      <w:r>
        <w:fldChar w:fldCharType="begin"/>
      </w:r>
      <w:r>
        <w:instrText xml:space="preserve"> PAGEREF _Toc256000028 \h </w:instrText>
      </w:r>
      <w:r>
        <w:fldChar w:fldCharType="separate"/>
      </w:r>
      <w:r>
        <w:t>36</w:t>
      </w:r>
      <w:r>
        <w:fldChar w:fldCharType="end"/>
      </w:r>
      <w:r>
        <w:fldChar w:fldCharType="end"/>
      </w:r>
    </w:p>
    <w:p>
      <w:pPr>
        <w:pStyle w:val="25"/>
        <w:tabs>
          <w:tab w:val="right" w:leader="dot" w:pos="9016"/>
        </w:tabs>
        <w:spacing w:before="0" w:after="0" w:line="360" w:lineRule="auto"/>
        <w:rPr>
          <w:rFonts w:asciiTheme="minorHAnsi" w:hAnsiTheme="minorHAnsi"/>
          <w:sz w:val="22"/>
        </w:rPr>
      </w:pPr>
      <w:r>
        <w:fldChar w:fldCharType="begin"/>
      </w:r>
      <w:r>
        <w:instrText xml:space="preserve"> HYPERLINK \l "_Toc256000029" </w:instrText>
      </w:r>
      <w:r>
        <w:fldChar w:fldCharType="separate"/>
      </w:r>
      <w:r>
        <w:rPr>
          <w:rStyle w:val="37"/>
          <w:rFonts w:ascii="仿宋_GB2312" w:hAnsi="仿宋_GB2312" w:eastAsia="仿宋_GB2312" w:cs="仿宋_GB2312"/>
          <w:kern w:val="36"/>
        </w:rPr>
        <w:t>8其他要求</w:t>
      </w:r>
      <w:r>
        <w:tab/>
      </w:r>
      <w:r>
        <w:fldChar w:fldCharType="begin"/>
      </w:r>
      <w:r>
        <w:instrText xml:space="preserve"> PAGEREF _Toc256000029 \h </w:instrText>
      </w:r>
      <w:r>
        <w:fldChar w:fldCharType="separate"/>
      </w:r>
      <w:r>
        <w:t>36</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"_Toc256000030" </w:instrText>
      </w:r>
      <w:r>
        <w:fldChar w:fldCharType="separate"/>
      </w:r>
      <w:r>
        <w:rPr>
          <w:rStyle w:val="37"/>
          <w:rFonts w:ascii="仿宋_GB2312" w:hAnsi="仿宋_GB2312" w:eastAsia="仿宋_GB2312" w:cs="仿宋_GB2312"/>
        </w:rPr>
        <w:t>8.1必备要求</w:t>
      </w:r>
      <w:r>
        <w:tab/>
      </w:r>
      <w:r>
        <w:fldChar w:fldCharType="begin"/>
      </w:r>
      <w:r>
        <w:instrText xml:space="preserve"> PAGEREF _Toc256000030 \h </w:instrText>
      </w:r>
      <w:r>
        <w:fldChar w:fldCharType="separate"/>
      </w:r>
      <w:r>
        <w:t>37</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"_Toc256000031" </w:instrText>
      </w:r>
      <w:r>
        <w:fldChar w:fldCharType="separate"/>
      </w:r>
      <w:r>
        <w:rPr>
          <w:rStyle w:val="37"/>
          <w:rFonts w:ascii="仿宋_GB2312" w:hAnsi="仿宋_GB2312" w:eastAsia="仿宋_GB2312" w:cs="仿宋_GB2312"/>
        </w:rPr>
        <w:t>8.1.1通用必备要求</w:t>
      </w:r>
      <w:r>
        <w:tab/>
      </w:r>
      <w:r>
        <w:fldChar w:fldCharType="begin"/>
      </w:r>
      <w:r>
        <w:instrText xml:space="preserve"> PAGEREF _Toc256000031 \h </w:instrText>
      </w:r>
      <w:r>
        <w:fldChar w:fldCharType="separate"/>
      </w:r>
      <w:r>
        <w:t>37</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"_Toc256000032" </w:instrText>
      </w:r>
      <w:r>
        <w:fldChar w:fldCharType="separate"/>
      </w:r>
      <w:r>
        <w:rPr>
          <w:rStyle w:val="37"/>
          <w:rFonts w:ascii="仿宋_GB2312" w:hAnsi="仿宋_GB2312" w:eastAsia="仿宋_GB2312" w:cs="仿宋_GB2312"/>
        </w:rPr>
        <w:t>8.2付款安排建议</w:t>
      </w:r>
      <w:r>
        <w:tab/>
      </w:r>
      <w:r>
        <w:fldChar w:fldCharType="begin"/>
      </w:r>
      <w:r>
        <w:instrText xml:space="preserve"> PAGEREF _Toc256000032 \h </w:instrText>
      </w:r>
      <w:r>
        <w:fldChar w:fldCharType="separate"/>
      </w:r>
      <w:r>
        <w:t>37</w:t>
      </w:r>
      <w:r>
        <w:fldChar w:fldCharType="end"/>
      </w:r>
      <w:r>
        <w:fldChar w:fldCharType="end"/>
      </w:r>
    </w:p>
    <w:p>
      <w:pPr>
        <w:pStyle w:val="27"/>
        <w:tabs>
          <w:tab w:val="right" w:leader="dot" w:pos="9016"/>
        </w:tabs>
        <w:spacing w:before="0" w:after="0" w:line="360" w:lineRule="auto"/>
        <w:rPr>
          <w:rFonts w:asciiTheme="minorHAnsi" w:hAnsiTheme="minorHAnsi"/>
          <w:sz w:val="22"/>
        </w:rPr>
      </w:pPr>
      <w:r>
        <w:fldChar w:fldCharType="begin"/>
      </w:r>
      <w:r>
        <w:instrText xml:space="preserve"> HYPERLINK \l "_Toc256000033" </w:instrText>
      </w:r>
      <w:r>
        <w:fldChar w:fldCharType="separate"/>
      </w:r>
      <w:r>
        <w:rPr>
          <w:rStyle w:val="37"/>
          <w:rFonts w:ascii="仿宋_GB2312" w:hAnsi="仿宋_GB2312" w:eastAsia="仿宋_GB2312" w:cs="仿宋_GB2312"/>
        </w:rPr>
        <w:t>8.3其他要求</w:t>
      </w:r>
      <w:r>
        <w:tab/>
      </w:r>
      <w:r>
        <w:fldChar w:fldCharType="begin"/>
      </w:r>
      <w:r>
        <w:instrText xml:space="preserve"> PAGEREF _Toc256000033 \h </w:instrText>
      </w:r>
      <w:r>
        <w:fldChar w:fldCharType="separate"/>
      </w:r>
      <w:r>
        <w:t>37</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"_Toc256000034" </w:instrText>
      </w:r>
      <w:r>
        <w:fldChar w:fldCharType="separate"/>
      </w:r>
      <w:r>
        <w:rPr>
          <w:rStyle w:val="37"/>
          <w:rFonts w:ascii="仿宋_GB2312" w:hAnsi="仿宋_GB2312" w:eastAsia="仿宋_GB2312" w:cs="仿宋_GB2312"/>
        </w:rPr>
        <w:t>8.3.1保密要求</w:t>
      </w:r>
      <w:r>
        <w:tab/>
      </w:r>
      <w:r>
        <w:fldChar w:fldCharType="begin"/>
      </w:r>
      <w:r>
        <w:instrText xml:space="preserve"> PAGEREF _Toc256000034 \h </w:instrText>
      </w:r>
      <w:r>
        <w:fldChar w:fldCharType="separate"/>
      </w:r>
      <w:r>
        <w:t>37</w:t>
      </w:r>
      <w:r>
        <w:fldChar w:fldCharType="end"/>
      </w:r>
      <w:r>
        <w:fldChar w:fldCharType="end"/>
      </w:r>
    </w:p>
    <w:p>
      <w:pPr>
        <w:pStyle w:val="17"/>
        <w:tabs>
          <w:tab w:val="right" w:leader="dot" w:pos="9016"/>
        </w:tabs>
        <w:spacing w:before="0" w:after="0" w:line="360" w:lineRule="auto"/>
        <w:rPr>
          <w:rFonts w:asciiTheme="minorHAnsi" w:hAnsiTheme="minorHAnsi"/>
          <w:sz w:val="22"/>
        </w:rPr>
      </w:pPr>
      <w:r>
        <w:fldChar w:fldCharType="begin"/>
      </w:r>
      <w:r>
        <w:instrText xml:space="preserve"> HYPERLINK \l "_Toc256000035" </w:instrText>
      </w:r>
      <w:r>
        <w:fldChar w:fldCharType="separate"/>
      </w:r>
      <w:r>
        <w:rPr>
          <w:rStyle w:val="37"/>
          <w:rFonts w:ascii="仿宋_GB2312" w:hAnsi="仿宋_GB2312" w:eastAsia="仿宋_GB2312" w:cs="仿宋_GB2312"/>
        </w:rPr>
        <w:t>8.3.2其他要求内容</w:t>
      </w:r>
      <w:r>
        <w:tab/>
      </w:r>
      <w:r>
        <w:fldChar w:fldCharType="begin"/>
      </w:r>
      <w:r>
        <w:instrText xml:space="preserve"> PAGEREF _Toc256000035 \h </w:instrText>
      </w:r>
      <w:r>
        <w:fldChar w:fldCharType="separate"/>
      </w:r>
      <w:r>
        <w:t>38</w:t>
      </w:r>
      <w:r>
        <w:fldChar w:fldCharType="end"/>
      </w:r>
      <w:r>
        <w:fldChar w:fldCharType="end"/>
      </w:r>
    </w:p>
    <w:p>
      <w:pPr>
        <w:pStyle w:val="18"/>
        <w:spacing w:before="0" w:after="0" w:line="360" w:lineRule="auto"/>
        <w:jc w:val="left"/>
      </w:pPr>
      <w:r>
        <w:rPr>
          <w:rFonts w:ascii="宋体" w:hAnsi="宋体" w:eastAsia="宋体" w:cs="宋体"/>
          <w:sz w:val="32"/>
        </w:rPr>
        <w:fldChar w:fldCharType="end"/>
      </w:r>
      <w:r>
        <w:br w:type="page"/>
      </w:r>
    </w:p>
    <w:p>
      <w:pPr>
        <w:pStyle w:val="90"/>
        <w:keepNext w:val="0"/>
        <w:spacing w:before="0" w:after="0" w:line="360" w:lineRule="auto"/>
        <w:jc w:val="center"/>
        <w:rPr>
          <w:rFonts w:ascii="仿宋_GB2312" w:hAnsi="仿宋_GB2312" w:eastAsia="仿宋_GB2312" w:cs="仿宋_GB2312"/>
          <w:b/>
          <w:bCs/>
          <w:sz w:val="32"/>
          <w:szCs w:val="32"/>
        </w:rPr>
      </w:pPr>
      <w:bookmarkStart w:id="4" w:name="_Toc256000000"/>
      <w:r>
        <w:rPr>
          <w:rFonts w:ascii="仿宋_GB2312" w:hAnsi="仿宋_GB2312" w:eastAsia="仿宋_GB2312" w:cs="仿宋_GB2312"/>
          <w:kern w:val="36"/>
        </w:rPr>
        <w:t>1项目概述</w:t>
      </w:r>
      <w:bookmarkEnd w:id="4"/>
    </w:p>
    <w:p>
      <w:pPr>
        <w:pStyle w:val="91"/>
        <w:keepNext w:val="0"/>
        <w:spacing w:before="0" w:after="0" w:line="360" w:lineRule="auto"/>
        <w:rPr>
          <w:rFonts w:ascii="仿宋_GB2312" w:hAnsi="仿宋_GB2312" w:eastAsia="仿宋_GB2312" w:cs="仿宋_GB2312"/>
          <w:b/>
          <w:bCs/>
          <w:sz w:val="28"/>
          <w:szCs w:val="28"/>
        </w:rPr>
      </w:pPr>
      <w:bookmarkStart w:id="5" w:name="_Toc256000001"/>
      <w:r>
        <w:rPr>
          <w:rFonts w:ascii="仿宋_GB2312" w:hAnsi="仿宋_GB2312" w:eastAsia="仿宋_GB2312" w:cs="仿宋_GB2312"/>
          <w:i w:val="0"/>
          <w:iCs w:val="0"/>
        </w:rPr>
        <w:t>1.1项目背景</w:t>
      </w:r>
      <w:bookmarkEnd w:id="5"/>
    </w:p>
    <w:p>
      <w:pPr>
        <w:pStyle w:val="92"/>
        <w:keepNext w:val="0"/>
        <w:spacing w:before="0" w:after="0" w:line="360" w:lineRule="auto"/>
        <w:rPr>
          <w:rFonts w:ascii="仿宋_GB2312" w:hAnsi="仿宋_GB2312" w:eastAsia="仿宋_GB2312" w:cs="仿宋_GB2312"/>
          <w:b/>
          <w:bCs/>
          <w:sz w:val="28"/>
          <w:szCs w:val="28"/>
        </w:rPr>
      </w:pPr>
      <w:bookmarkStart w:id="6" w:name="_Toc256000002"/>
      <w:r>
        <w:rPr>
          <w:rFonts w:ascii="仿宋_GB2312" w:hAnsi="仿宋_GB2312" w:eastAsia="仿宋_GB2312" w:cs="仿宋_GB2312"/>
          <w:sz w:val="28"/>
          <w:szCs w:val="28"/>
        </w:rPr>
        <w:t>1.1.1项目目的、意义及背景</w:t>
      </w:r>
      <w:bookmarkEnd w:id="6"/>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随着经济的持续发展，政府机构及公共设施的运营和管理逐渐受到社会各界的关注。税务局作为国家税收征管的重要部门，其物业管理服务的重要性不言而喻。为确保昌邑区税务局的日常工作顺利进行，通过引进专业的物业管理服务团队，提供高效、专业的物业管理服务，保障税收工作秩序、做好后勤服务工作从而提高服务效率和质量。</w:t>
      </w:r>
    </w:p>
    <w:p>
      <w:pPr>
        <w:pStyle w:val="91"/>
        <w:keepNext w:val="0"/>
        <w:spacing w:before="0" w:after="0" w:line="360" w:lineRule="auto"/>
        <w:rPr>
          <w:rFonts w:ascii="仿宋_GB2312" w:hAnsi="仿宋_GB2312" w:eastAsia="仿宋_GB2312" w:cs="仿宋_GB2312"/>
          <w:b/>
          <w:bCs/>
          <w:sz w:val="28"/>
          <w:szCs w:val="28"/>
        </w:rPr>
      </w:pPr>
      <w:bookmarkStart w:id="7" w:name="_Toc256000003"/>
      <w:r>
        <w:rPr>
          <w:rFonts w:ascii="仿宋_GB2312" w:hAnsi="仿宋_GB2312" w:eastAsia="仿宋_GB2312" w:cs="仿宋_GB2312"/>
          <w:i w:val="0"/>
          <w:iCs w:val="0"/>
        </w:rPr>
        <w:t>1.2项目内容</w:t>
      </w:r>
      <w:bookmarkEnd w:id="7"/>
    </w:p>
    <w:p>
      <w:pPr>
        <w:pStyle w:val="92"/>
        <w:keepNext w:val="0"/>
        <w:spacing w:before="0" w:after="0" w:line="360" w:lineRule="auto"/>
        <w:rPr>
          <w:rFonts w:ascii="仿宋_GB2312" w:hAnsi="仿宋_GB2312" w:eastAsia="仿宋_GB2312" w:cs="仿宋_GB2312"/>
          <w:b/>
          <w:bCs/>
          <w:sz w:val="28"/>
          <w:szCs w:val="28"/>
        </w:rPr>
      </w:pPr>
      <w:bookmarkStart w:id="8" w:name="_Toc256000004"/>
      <w:r>
        <w:rPr>
          <w:rFonts w:ascii="仿宋_GB2312" w:hAnsi="仿宋_GB2312" w:eastAsia="仿宋_GB2312" w:cs="仿宋_GB2312"/>
          <w:sz w:val="28"/>
          <w:szCs w:val="28"/>
        </w:rPr>
        <w:t>1.2.1采购内容</w:t>
      </w:r>
      <w:bookmarkEnd w:id="8"/>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提供昌邑区税务局局机关（天津街6号)、昌邑区税务局吉林大街办公区（吉林大街169号）、桦皮厂分局楼（桦皮厂镇15-3-15-75地块）、通江所办公楼（中兴街03-10号）、站前所办公楼（中康路13号）的综合服务、房屋及设备设施维护、共用设施设备管理、公共秩序维护、环境保洁、会议服务、特约服务（餐饮服务、清雪服务、地毯清洗等）、突发事件应急管理、绿色物业以及标准化建设等工作。</w:t>
      </w:r>
    </w:p>
    <w:p>
      <w:pPr>
        <w:pStyle w:val="92"/>
        <w:keepNext w:val="0"/>
        <w:spacing w:before="0" w:after="0" w:line="360" w:lineRule="auto"/>
        <w:rPr>
          <w:rFonts w:ascii="仿宋_GB2312" w:hAnsi="仿宋_GB2312" w:eastAsia="仿宋_GB2312" w:cs="仿宋_GB2312"/>
          <w:b/>
          <w:bCs/>
          <w:sz w:val="28"/>
          <w:szCs w:val="28"/>
        </w:rPr>
      </w:pPr>
      <w:bookmarkStart w:id="9" w:name="_Toc256000005"/>
      <w:r>
        <w:rPr>
          <w:rFonts w:ascii="仿宋_GB2312" w:hAnsi="仿宋_GB2312" w:eastAsia="仿宋_GB2312" w:cs="仿宋_GB2312"/>
          <w:sz w:val="28"/>
          <w:szCs w:val="28"/>
        </w:rPr>
        <w:t>1.2.2项目实施要求</w:t>
      </w:r>
      <w:bookmarkEnd w:id="9"/>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1.2.2.1实施范围要求</w:t>
      </w:r>
    </w:p>
    <w:p>
      <w:pPr>
        <w:pStyle w:val="93"/>
        <w:spacing w:before="0" w:after="0" w:line="360" w:lineRule="auto"/>
        <w:ind w:firstLine="560"/>
        <w:jc w:val="both"/>
        <w:rPr>
          <w:rFonts w:ascii="Times New Roman" w:hAnsi="Times New Roman" w:eastAsia="Times New Roman" w:cs="Times New Roman"/>
        </w:rPr>
      </w:pPr>
      <w:r>
        <w:rPr>
          <w:rFonts w:ascii="仿宋_GB2312" w:hAnsi="仿宋_GB2312" w:eastAsia="仿宋_GB2312" w:cs="仿宋_GB2312"/>
          <w:sz w:val="28"/>
          <w:szCs w:val="28"/>
        </w:rPr>
        <w:t>包括但不限于楼宇建筑面积、保洁面积、外墙面积、楼宇外围面积、楼内房间情况、会议室数量及规模、楼内设施情况、地面材质等。</w:t>
      </w:r>
    </w:p>
    <w:p>
      <w:pPr>
        <w:pStyle w:val="93"/>
        <w:spacing w:before="0" w:after="0" w:line="360" w:lineRule="auto"/>
        <w:jc w:val="center"/>
        <w:rPr>
          <w:rFonts w:ascii="Times New Roman" w:hAnsi="Times New Roman" w:eastAsia="Times New Roman" w:cs="Times New Roman"/>
        </w:rPr>
      </w:pPr>
      <w:r>
        <w:rPr>
          <w:rFonts w:ascii="仿宋_GB2312" w:hAnsi="仿宋_GB2312" w:eastAsia="仿宋_GB2312" w:cs="仿宋_GB2312"/>
          <w:b/>
          <w:bCs/>
          <w:sz w:val="21"/>
          <w:szCs w:val="21"/>
        </w:rPr>
        <w:t> </w:t>
      </w:r>
    </w:p>
    <w:p>
      <w:pPr>
        <w:pStyle w:val="93"/>
        <w:spacing w:before="0" w:after="0" w:line="360" w:lineRule="auto"/>
        <w:jc w:val="center"/>
        <w:rPr>
          <w:rFonts w:ascii="Times New Roman" w:hAnsi="Times New Roman" w:eastAsia="Times New Roman" w:cs="Times New Roman"/>
        </w:rPr>
      </w:pPr>
      <w:r>
        <w:rPr>
          <w:rFonts w:ascii="仿宋_GB2312" w:hAnsi="仿宋_GB2312" w:eastAsia="仿宋_GB2312" w:cs="仿宋_GB2312"/>
          <w:b/>
          <w:bCs/>
          <w:sz w:val="28"/>
          <w:szCs w:val="28"/>
        </w:rPr>
        <w:t>表1 办公楼基本情况统计表</w:t>
      </w:r>
    </w:p>
    <w:tbl>
      <w:tblPr>
        <w:tblStyle w:val="96"/>
        <w:tblW w:w="8080" w:type="dxa"/>
        <w:tblCellSpacing w:w="0" w:type="dxa"/>
        <w:tblInd w:w="293" w:type="dxa"/>
        <w:tblLayout w:type="autofit"/>
        <w:tblCellMar>
          <w:top w:w="15" w:type="dxa"/>
          <w:left w:w="15" w:type="dxa"/>
          <w:bottom w:w="15" w:type="dxa"/>
          <w:right w:w="15" w:type="dxa"/>
        </w:tblCellMar>
      </w:tblPr>
      <w:tblGrid>
        <w:gridCol w:w="1057"/>
        <w:gridCol w:w="1676"/>
        <w:gridCol w:w="1508"/>
        <w:gridCol w:w="1127"/>
        <w:gridCol w:w="2712"/>
      </w:tblGrid>
      <w:tr>
        <w:tblPrEx>
          <w:tblCellMar>
            <w:top w:w="15" w:type="dxa"/>
            <w:left w:w="15" w:type="dxa"/>
            <w:bottom w:w="15" w:type="dxa"/>
            <w:right w:w="15" w:type="dxa"/>
          </w:tblCellMar>
        </w:tblPrEx>
        <w:trPr>
          <w:trHeight w:val="905" w:hRule="atLeast"/>
          <w:tblCellSpacing w:w="0" w:type="dxa"/>
        </w:trPr>
        <w:tc>
          <w:tcPr>
            <w:tcW w:w="1196" w:type="dxa"/>
            <w:tcBorders>
              <w:top w:val="single" w:color="000000" w:sz="8" w:space="0"/>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8"/>
                <w:szCs w:val="28"/>
              </w:rPr>
              <w:t>序号</w:t>
            </w:r>
          </w:p>
        </w:tc>
        <w:tc>
          <w:tcPr>
            <w:tcW w:w="2031" w:type="dxa"/>
            <w:tcBorders>
              <w:top w:val="single" w:color="000000" w:sz="8" w:space="0"/>
              <w:bottom w:val="single" w:color="000000" w:sz="8" w:space="0"/>
              <w:right w:val="single" w:color="000000" w:sz="8" w:space="0"/>
            </w:tcBorders>
            <w:noWrap w:val="0"/>
            <w:tcMar>
              <w:top w:w="0" w:type="dxa"/>
              <w:left w:w="10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8"/>
                <w:szCs w:val="28"/>
              </w:rPr>
              <w:t>项目名称</w:t>
            </w:r>
          </w:p>
        </w:tc>
        <w:tc>
          <w:tcPr>
            <w:tcW w:w="1626" w:type="dxa"/>
            <w:tcBorders>
              <w:top w:val="single" w:color="000000" w:sz="8" w:space="0"/>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8"/>
                <w:szCs w:val="28"/>
              </w:rPr>
              <w:t>数量</w:t>
            </w:r>
          </w:p>
        </w:tc>
        <w:tc>
          <w:tcPr>
            <w:tcW w:w="1301" w:type="dxa"/>
            <w:tcBorders>
              <w:top w:val="single" w:color="000000" w:sz="8" w:space="0"/>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8"/>
                <w:szCs w:val="28"/>
              </w:rPr>
              <w:t>单位</w:t>
            </w:r>
          </w:p>
        </w:tc>
        <w:tc>
          <w:tcPr>
            <w:tcW w:w="3326" w:type="dxa"/>
            <w:tcBorders>
              <w:top w:val="single" w:color="000000" w:sz="8" w:space="0"/>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8"/>
                <w:szCs w:val="28"/>
              </w:rPr>
              <w:t>说明</w:t>
            </w:r>
          </w:p>
        </w:tc>
      </w:tr>
      <w:tr>
        <w:tblPrEx>
          <w:tblCellMar>
            <w:top w:w="15" w:type="dxa"/>
            <w:left w:w="15" w:type="dxa"/>
            <w:bottom w:w="15" w:type="dxa"/>
            <w:right w:w="15" w:type="dxa"/>
          </w:tblCellMar>
        </w:tblPrEx>
        <w:trPr>
          <w:trHeight w:val="890" w:hRule="atLeast"/>
          <w:tblCellSpacing w:w="0" w:type="dxa"/>
        </w:trPr>
        <w:tc>
          <w:tcPr>
            <w:tcW w:w="1196"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w:t>
            </w:r>
          </w:p>
        </w:tc>
        <w:tc>
          <w:tcPr>
            <w:tcW w:w="2031" w:type="dxa"/>
            <w:tcBorders>
              <w:bottom w:val="single" w:color="000000" w:sz="8" w:space="0"/>
              <w:right w:val="single" w:color="000000" w:sz="8" w:space="0"/>
            </w:tcBorders>
            <w:noWrap w:val="0"/>
            <w:tcMar>
              <w:top w:w="0" w:type="dxa"/>
              <w:left w:w="10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建筑面积</w:t>
            </w:r>
          </w:p>
        </w:tc>
        <w:tc>
          <w:tcPr>
            <w:tcW w:w="1626"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9153.82</w:t>
            </w:r>
          </w:p>
        </w:tc>
        <w:tc>
          <w:tcPr>
            <w:tcW w:w="1301"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w:t>
            </w:r>
          </w:p>
        </w:tc>
        <w:tc>
          <w:tcPr>
            <w:tcW w:w="3326"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 </w:t>
            </w:r>
          </w:p>
        </w:tc>
      </w:tr>
      <w:tr>
        <w:tblPrEx>
          <w:tblCellMar>
            <w:top w:w="15" w:type="dxa"/>
            <w:left w:w="15" w:type="dxa"/>
            <w:bottom w:w="15" w:type="dxa"/>
            <w:right w:w="15" w:type="dxa"/>
          </w:tblCellMar>
        </w:tblPrEx>
        <w:trPr>
          <w:trHeight w:val="1220" w:hRule="atLeast"/>
          <w:tblCellSpacing w:w="0" w:type="dxa"/>
        </w:trPr>
        <w:tc>
          <w:tcPr>
            <w:tcW w:w="1196"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w:t>
            </w:r>
          </w:p>
        </w:tc>
        <w:tc>
          <w:tcPr>
            <w:tcW w:w="2031" w:type="dxa"/>
            <w:tcBorders>
              <w:bottom w:val="single" w:color="000000" w:sz="8" w:space="0"/>
              <w:right w:val="single" w:color="000000" w:sz="8" w:space="0"/>
            </w:tcBorders>
            <w:noWrap w:val="0"/>
            <w:tcMar>
              <w:top w:w="0" w:type="dxa"/>
              <w:left w:w="10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室内保洁面积</w:t>
            </w:r>
          </w:p>
        </w:tc>
        <w:tc>
          <w:tcPr>
            <w:tcW w:w="1626"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6133.06</w:t>
            </w:r>
          </w:p>
        </w:tc>
        <w:tc>
          <w:tcPr>
            <w:tcW w:w="1301"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w:t>
            </w:r>
          </w:p>
        </w:tc>
        <w:tc>
          <w:tcPr>
            <w:tcW w:w="3326"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 </w:t>
            </w:r>
          </w:p>
        </w:tc>
      </w:tr>
      <w:tr>
        <w:tblPrEx>
          <w:tblCellMar>
            <w:top w:w="15" w:type="dxa"/>
            <w:left w:w="15" w:type="dxa"/>
            <w:bottom w:w="15" w:type="dxa"/>
            <w:right w:w="15" w:type="dxa"/>
          </w:tblCellMar>
        </w:tblPrEx>
        <w:trPr>
          <w:trHeight w:val="1220" w:hRule="atLeast"/>
          <w:tblCellSpacing w:w="0" w:type="dxa"/>
        </w:trPr>
        <w:tc>
          <w:tcPr>
            <w:tcW w:w="1196"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3</w:t>
            </w:r>
          </w:p>
        </w:tc>
        <w:tc>
          <w:tcPr>
            <w:tcW w:w="2031" w:type="dxa"/>
            <w:tcBorders>
              <w:bottom w:val="single" w:color="000000" w:sz="8" w:space="0"/>
              <w:right w:val="single" w:color="000000" w:sz="8" w:space="0"/>
            </w:tcBorders>
            <w:noWrap w:val="0"/>
            <w:tcMar>
              <w:top w:w="0" w:type="dxa"/>
              <w:left w:w="10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职工宿舍</w:t>
            </w:r>
          </w:p>
        </w:tc>
        <w:tc>
          <w:tcPr>
            <w:tcW w:w="1626"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96</w:t>
            </w:r>
          </w:p>
        </w:tc>
        <w:tc>
          <w:tcPr>
            <w:tcW w:w="1301"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w:t>
            </w:r>
          </w:p>
        </w:tc>
        <w:tc>
          <w:tcPr>
            <w:tcW w:w="3326"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天津街6号、桦皮厂分局</w:t>
            </w:r>
          </w:p>
        </w:tc>
      </w:tr>
      <w:tr>
        <w:tblPrEx>
          <w:tblCellMar>
            <w:top w:w="15" w:type="dxa"/>
            <w:left w:w="15" w:type="dxa"/>
            <w:bottom w:w="15" w:type="dxa"/>
            <w:right w:w="15" w:type="dxa"/>
          </w:tblCellMar>
        </w:tblPrEx>
        <w:trPr>
          <w:trHeight w:val="1220" w:hRule="atLeast"/>
          <w:tblCellSpacing w:w="0" w:type="dxa"/>
        </w:trPr>
        <w:tc>
          <w:tcPr>
            <w:tcW w:w="1196"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4</w:t>
            </w:r>
          </w:p>
        </w:tc>
        <w:tc>
          <w:tcPr>
            <w:tcW w:w="2031" w:type="dxa"/>
            <w:tcBorders>
              <w:bottom w:val="single" w:color="000000" w:sz="8" w:space="0"/>
              <w:right w:val="single" w:color="000000" w:sz="8" w:space="0"/>
            </w:tcBorders>
            <w:noWrap w:val="0"/>
            <w:tcMar>
              <w:top w:w="0" w:type="dxa"/>
              <w:left w:w="10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值班室</w:t>
            </w:r>
          </w:p>
        </w:tc>
        <w:tc>
          <w:tcPr>
            <w:tcW w:w="1626"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w:t>
            </w:r>
          </w:p>
        </w:tc>
        <w:tc>
          <w:tcPr>
            <w:tcW w:w="1301"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个</w:t>
            </w:r>
          </w:p>
        </w:tc>
        <w:tc>
          <w:tcPr>
            <w:tcW w:w="3326"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天津街6号，吉林大街169号</w:t>
            </w:r>
          </w:p>
        </w:tc>
      </w:tr>
      <w:tr>
        <w:tblPrEx>
          <w:tblCellMar>
            <w:top w:w="15" w:type="dxa"/>
            <w:left w:w="15" w:type="dxa"/>
            <w:bottom w:w="15" w:type="dxa"/>
            <w:right w:w="15" w:type="dxa"/>
          </w:tblCellMar>
        </w:tblPrEx>
        <w:trPr>
          <w:trHeight w:val="890" w:hRule="atLeast"/>
          <w:tblCellSpacing w:w="0" w:type="dxa"/>
        </w:trPr>
        <w:tc>
          <w:tcPr>
            <w:tcW w:w="1196"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5</w:t>
            </w:r>
          </w:p>
        </w:tc>
        <w:tc>
          <w:tcPr>
            <w:tcW w:w="2031" w:type="dxa"/>
            <w:tcBorders>
              <w:bottom w:val="single" w:color="000000" w:sz="8" w:space="0"/>
              <w:right w:val="single" w:color="000000" w:sz="8" w:space="0"/>
            </w:tcBorders>
            <w:noWrap w:val="0"/>
            <w:tcMar>
              <w:top w:w="0" w:type="dxa"/>
              <w:left w:w="10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卫生间</w:t>
            </w:r>
          </w:p>
        </w:tc>
        <w:tc>
          <w:tcPr>
            <w:tcW w:w="1626"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13</w:t>
            </w:r>
          </w:p>
        </w:tc>
        <w:tc>
          <w:tcPr>
            <w:tcW w:w="1301"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个</w:t>
            </w:r>
          </w:p>
        </w:tc>
        <w:tc>
          <w:tcPr>
            <w:tcW w:w="3326"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 </w:t>
            </w:r>
          </w:p>
        </w:tc>
      </w:tr>
      <w:tr>
        <w:tblPrEx>
          <w:tblCellMar>
            <w:top w:w="15" w:type="dxa"/>
            <w:left w:w="15" w:type="dxa"/>
            <w:bottom w:w="15" w:type="dxa"/>
            <w:right w:w="15" w:type="dxa"/>
          </w:tblCellMar>
        </w:tblPrEx>
        <w:trPr>
          <w:trHeight w:val="1220" w:hRule="atLeast"/>
          <w:tblCellSpacing w:w="0" w:type="dxa"/>
        </w:trPr>
        <w:tc>
          <w:tcPr>
            <w:tcW w:w="1196"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6</w:t>
            </w:r>
          </w:p>
        </w:tc>
        <w:tc>
          <w:tcPr>
            <w:tcW w:w="2031" w:type="dxa"/>
            <w:tcBorders>
              <w:bottom w:val="single" w:color="000000" w:sz="8" w:space="0"/>
              <w:right w:val="single" w:color="000000" w:sz="8" w:space="0"/>
            </w:tcBorders>
            <w:noWrap w:val="0"/>
            <w:tcMar>
              <w:top w:w="0" w:type="dxa"/>
              <w:left w:w="10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办公室</w:t>
            </w:r>
          </w:p>
        </w:tc>
        <w:tc>
          <w:tcPr>
            <w:tcW w:w="1626"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13</w:t>
            </w:r>
          </w:p>
        </w:tc>
        <w:tc>
          <w:tcPr>
            <w:tcW w:w="1301"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个</w:t>
            </w:r>
          </w:p>
        </w:tc>
        <w:tc>
          <w:tcPr>
            <w:tcW w:w="3326"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此为需要打扫办公室数量</w:t>
            </w:r>
          </w:p>
        </w:tc>
      </w:tr>
      <w:tr>
        <w:tblPrEx>
          <w:tblCellMar>
            <w:top w:w="15" w:type="dxa"/>
            <w:left w:w="15" w:type="dxa"/>
            <w:bottom w:w="15" w:type="dxa"/>
            <w:right w:w="15" w:type="dxa"/>
          </w:tblCellMar>
        </w:tblPrEx>
        <w:trPr>
          <w:trHeight w:val="890" w:hRule="atLeast"/>
          <w:tblCellSpacing w:w="0" w:type="dxa"/>
        </w:trPr>
        <w:tc>
          <w:tcPr>
            <w:tcW w:w="1196"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7</w:t>
            </w:r>
          </w:p>
        </w:tc>
        <w:tc>
          <w:tcPr>
            <w:tcW w:w="2031" w:type="dxa"/>
            <w:tcBorders>
              <w:bottom w:val="single" w:color="000000" w:sz="8" w:space="0"/>
              <w:right w:val="single" w:color="000000" w:sz="8" w:space="0"/>
            </w:tcBorders>
            <w:noWrap w:val="0"/>
            <w:tcMar>
              <w:top w:w="0" w:type="dxa"/>
              <w:left w:w="10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会议室</w:t>
            </w:r>
          </w:p>
        </w:tc>
        <w:tc>
          <w:tcPr>
            <w:tcW w:w="1626"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8</w:t>
            </w:r>
          </w:p>
        </w:tc>
        <w:tc>
          <w:tcPr>
            <w:tcW w:w="1301"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个</w:t>
            </w:r>
          </w:p>
        </w:tc>
        <w:tc>
          <w:tcPr>
            <w:tcW w:w="3326"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 </w:t>
            </w:r>
          </w:p>
        </w:tc>
      </w:tr>
      <w:tr>
        <w:tblPrEx>
          <w:tblCellMar>
            <w:top w:w="15" w:type="dxa"/>
            <w:left w:w="15" w:type="dxa"/>
            <w:bottom w:w="15" w:type="dxa"/>
            <w:right w:w="15" w:type="dxa"/>
          </w:tblCellMar>
        </w:tblPrEx>
        <w:trPr>
          <w:trHeight w:val="890" w:hRule="atLeast"/>
          <w:tblCellSpacing w:w="0" w:type="dxa"/>
        </w:trPr>
        <w:tc>
          <w:tcPr>
            <w:tcW w:w="1196"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8</w:t>
            </w:r>
          </w:p>
        </w:tc>
        <w:tc>
          <w:tcPr>
            <w:tcW w:w="2031" w:type="dxa"/>
            <w:tcBorders>
              <w:bottom w:val="single" w:color="000000" w:sz="8" w:space="0"/>
              <w:right w:val="single" w:color="000000" w:sz="8" w:space="0"/>
            </w:tcBorders>
            <w:noWrap w:val="0"/>
            <w:tcMar>
              <w:top w:w="0" w:type="dxa"/>
              <w:left w:w="10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办税大厅</w:t>
            </w:r>
          </w:p>
        </w:tc>
        <w:tc>
          <w:tcPr>
            <w:tcW w:w="1626"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4</w:t>
            </w:r>
          </w:p>
        </w:tc>
        <w:tc>
          <w:tcPr>
            <w:tcW w:w="1301"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个</w:t>
            </w:r>
          </w:p>
        </w:tc>
        <w:tc>
          <w:tcPr>
            <w:tcW w:w="3326"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 </w:t>
            </w:r>
          </w:p>
        </w:tc>
      </w:tr>
      <w:tr>
        <w:tblPrEx>
          <w:tblCellMar>
            <w:top w:w="15" w:type="dxa"/>
            <w:left w:w="15" w:type="dxa"/>
            <w:bottom w:w="15" w:type="dxa"/>
            <w:right w:w="15" w:type="dxa"/>
          </w:tblCellMar>
        </w:tblPrEx>
        <w:trPr>
          <w:trHeight w:val="890" w:hRule="atLeast"/>
          <w:tblCellSpacing w:w="0" w:type="dxa"/>
        </w:trPr>
        <w:tc>
          <w:tcPr>
            <w:tcW w:w="1196"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9</w:t>
            </w:r>
          </w:p>
        </w:tc>
        <w:tc>
          <w:tcPr>
            <w:tcW w:w="2031" w:type="dxa"/>
            <w:tcBorders>
              <w:bottom w:val="single" w:color="000000" w:sz="8" w:space="0"/>
              <w:right w:val="single" w:color="000000" w:sz="8" w:space="0"/>
            </w:tcBorders>
            <w:noWrap w:val="0"/>
            <w:tcMar>
              <w:top w:w="0" w:type="dxa"/>
              <w:left w:w="10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食堂</w:t>
            </w:r>
          </w:p>
        </w:tc>
        <w:tc>
          <w:tcPr>
            <w:tcW w:w="1626"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5</w:t>
            </w:r>
          </w:p>
        </w:tc>
        <w:tc>
          <w:tcPr>
            <w:tcW w:w="1301"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个</w:t>
            </w:r>
          </w:p>
        </w:tc>
        <w:tc>
          <w:tcPr>
            <w:tcW w:w="3326"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 </w:t>
            </w:r>
          </w:p>
        </w:tc>
      </w:tr>
      <w:tr>
        <w:tblPrEx>
          <w:tblCellMar>
            <w:top w:w="15" w:type="dxa"/>
            <w:left w:w="15" w:type="dxa"/>
            <w:bottom w:w="15" w:type="dxa"/>
            <w:right w:w="15" w:type="dxa"/>
          </w:tblCellMar>
        </w:tblPrEx>
        <w:trPr>
          <w:trHeight w:val="1220" w:hRule="atLeast"/>
          <w:tblCellSpacing w:w="0" w:type="dxa"/>
        </w:trPr>
        <w:tc>
          <w:tcPr>
            <w:tcW w:w="1196"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10</w:t>
            </w:r>
          </w:p>
        </w:tc>
        <w:tc>
          <w:tcPr>
            <w:tcW w:w="2031" w:type="dxa"/>
            <w:tcBorders>
              <w:bottom w:val="single" w:color="000000" w:sz="8" w:space="0"/>
              <w:right w:val="single" w:color="000000" w:sz="8" w:space="0"/>
            </w:tcBorders>
            <w:noWrap w:val="0"/>
            <w:tcMar>
              <w:top w:w="0" w:type="dxa"/>
              <w:left w:w="10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机动车泊车位</w:t>
            </w:r>
          </w:p>
        </w:tc>
        <w:tc>
          <w:tcPr>
            <w:tcW w:w="1626"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13</w:t>
            </w:r>
          </w:p>
        </w:tc>
        <w:tc>
          <w:tcPr>
            <w:tcW w:w="1301"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个</w:t>
            </w:r>
          </w:p>
        </w:tc>
        <w:tc>
          <w:tcPr>
            <w:tcW w:w="3326"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 </w:t>
            </w:r>
          </w:p>
        </w:tc>
      </w:tr>
      <w:tr>
        <w:tblPrEx>
          <w:tblCellMar>
            <w:top w:w="15" w:type="dxa"/>
            <w:left w:w="15" w:type="dxa"/>
            <w:bottom w:w="15" w:type="dxa"/>
            <w:right w:w="15" w:type="dxa"/>
          </w:tblCellMar>
        </w:tblPrEx>
        <w:trPr>
          <w:trHeight w:val="890" w:hRule="atLeast"/>
          <w:tblCellSpacing w:w="0" w:type="dxa"/>
        </w:trPr>
        <w:tc>
          <w:tcPr>
            <w:tcW w:w="1196"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11</w:t>
            </w:r>
          </w:p>
        </w:tc>
        <w:tc>
          <w:tcPr>
            <w:tcW w:w="2031" w:type="dxa"/>
            <w:tcBorders>
              <w:bottom w:val="single" w:color="000000" w:sz="8" w:space="0"/>
              <w:right w:val="single" w:color="000000" w:sz="8" w:space="0"/>
            </w:tcBorders>
            <w:noWrap w:val="0"/>
            <w:tcMar>
              <w:top w:w="0" w:type="dxa"/>
              <w:left w:w="10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车库</w:t>
            </w:r>
          </w:p>
        </w:tc>
        <w:tc>
          <w:tcPr>
            <w:tcW w:w="1626"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5</w:t>
            </w:r>
          </w:p>
        </w:tc>
        <w:tc>
          <w:tcPr>
            <w:tcW w:w="1301"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个</w:t>
            </w:r>
          </w:p>
        </w:tc>
        <w:tc>
          <w:tcPr>
            <w:tcW w:w="3326" w:type="dxa"/>
            <w:tcBorders>
              <w:bottom w:val="single" w:color="000000" w:sz="8" w:space="0"/>
              <w:right w:val="single" w:color="000000" w:sz="8" w:space="0"/>
            </w:tcBorders>
            <w:noWrap w:val="0"/>
            <w:tcMar>
              <w:top w:w="0" w:type="dxa"/>
              <w:left w:w="128" w:type="dxa"/>
              <w:bottom w:w="0" w:type="dxa"/>
              <w:right w:w="14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 </w:t>
            </w:r>
          </w:p>
        </w:tc>
      </w:tr>
    </w:tbl>
    <w:p>
      <w:pPr>
        <w:pStyle w:val="93"/>
        <w:spacing w:before="0" w:after="0" w:line="360" w:lineRule="auto"/>
        <w:jc w:val="both"/>
        <w:rPr>
          <w:rFonts w:ascii="Times New Roman" w:hAnsi="Times New Roman" w:eastAsia="Times New Roman" w:cs="Times New Roman"/>
        </w:rPr>
      </w:pPr>
      <w:r>
        <w:t> </w:t>
      </w:r>
    </w:p>
    <w:p>
      <w:pPr>
        <w:pStyle w:val="93"/>
        <w:spacing w:before="0" w:after="0" w:line="360" w:lineRule="auto"/>
        <w:jc w:val="both"/>
        <w:rPr>
          <w:rFonts w:ascii="Times New Roman" w:hAnsi="Times New Roman" w:eastAsia="Times New Roman" w:cs="Times New Roman"/>
        </w:rPr>
      </w:pPr>
      <w:r>
        <w:rPr>
          <w:rFonts w:ascii="宋体" w:hAnsi="宋体" w:eastAsia="宋体" w:cs="宋体"/>
          <w:sz w:val="21"/>
          <w:szCs w:val="21"/>
        </w:rPr>
        <w:t> </w:t>
      </w:r>
    </w:p>
    <w:p>
      <w:pPr>
        <w:pStyle w:val="93"/>
        <w:spacing w:before="0" w:after="0" w:line="360" w:lineRule="auto"/>
        <w:jc w:val="center"/>
        <w:rPr>
          <w:rFonts w:ascii="Times New Roman" w:hAnsi="Times New Roman" w:eastAsia="Times New Roman" w:cs="Times New Roman"/>
        </w:rPr>
      </w:pPr>
      <w:r>
        <w:rPr>
          <w:rFonts w:ascii="仿宋_GB2312" w:hAnsi="仿宋_GB2312" w:eastAsia="仿宋_GB2312" w:cs="仿宋_GB2312"/>
          <w:b/>
          <w:bCs/>
          <w:sz w:val="28"/>
          <w:szCs w:val="28"/>
        </w:rPr>
        <w:t>表1-1 机关楼（天津街6号）房屋主要配置</w:t>
      </w:r>
    </w:p>
    <w:tbl>
      <w:tblPr>
        <w:tblStyle w:val="96"/>
        <w:tblW w:w="9406" w:type="dxa"/>
        <w:tblCellSpacing w:w="0" w:type="dxa"/>
        <w:tblInd w:w="216" w:type="dxa"/>
        <w:tblLayout w:type="autofit"/>
        <w:tblCellMar>
          <w:top w:w="15" w:type="dxa"/>
          <w:left w:w="15" w:type="dxa"/>
          <w:bottom w:w="15" w:type="dxa"/>
          <w:right w:w="15" w:type="dxa"/>
        </w:tblCellMar>
      </w:tblPr>
      <w:tblGrid>
        <w:gridCol w:w="1602"/>
        <w:gridCol w:w="7804"/>
      </w:tblGrid>
      <w:tr>
        <w:tblPrEx>
          <w:tblCellMar>
            <w:top w:w="15" w:type="dxa"/>
            <w:left w:w="15" w:type="dxa"/>
            <w:bottom w:w="15" w:type="dxa"/>
            <w:right w:w="15" w:type="dxa"/>
          </w:tblCellMar>
        </w:tblPrEx>
        <w:trPr>
          <w:trHeight w:val="765" w:hRule="atLeast"/>
          <w:tblCellSpacing w:w="0" w:type="dxa"/>
        </w:trPr>
        <w:tc>
          <w:tcPr>
            <w:tcW w:w="1672" w:type="dxa"/>
            <w:tcBorders>
              <w:top w:val="single" w:color="000000" w:sz="8" w:space="0"/>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8"/>
                <w:szCs w:val="28"/>
              </w:rPr>
              <w:t>楼层</w:t>
            </w:r>
          </w:p>
        </w:tc>
        <w:tc>
          <w:tcPr>
            <w:tcW w:w="8306" w:type="dxa"/>
            <w:tcBorders>
              <w:top w:val="single" w:color="000000" w:sz="8" w:space="0"/>
              <w:bottom w:val="single" w:color="000000" w:sz="8" w:space="0"/>
              <w:right w:val="single" w:color="000000" w:sz="8" w:space="0"/>
            </w:tcBorders>
            <w:noWrap w:val="0"/>
            <w:tcMar>
              <w:top w:w="0" w:type="dxa"/>
              <w:left w:w="10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8"/>
                <w:szCs w:val="28"/>
              </w:rPr>
              <w:t>使用功能</w:t>
            </w:r>
          </w:p>
        </w:tc>
      </w:tr>
      <w:tr>
        <w:tblPrEx>
          <w:tblCellMar>
            <w:top w:w="15" w:type="dxa"/>
            <w:left w:w="15" w:type="dxa"/>
            <w:bottom w:w="15" w:type="dxa"/>
            <w:right w:w="15" w:type="dxa"/>
          </w:tblCellMar>
        </w:tblPrEx>
        <w:trPr>
          <w:trHeight w:val="743" w:hRule="atLeast"/>
          <w:tblCellSpacing w:w="0" w:type="dxa"/>
        </w:trPr>
        <w:tc>
          <w:tcPr>
            <w:tcW w:w="1672"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七楼</w:t>
            </w:r>
          </w:p>
        </w:tc>
        <w:tc>
          <w:tcPr>
            <w:tcW w:w="8306"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会议室、活动室、资料室</w:t>
            </w:r>
          </w:p>
        </w:tc>
      </w:tr>
      <w:tr>
        <w:tblPrEx>
          <w:tblCellMar>
            <w:top w:w="15" w:type="dxa"/>
            <w:left w:w="15" w:type="dxa"/>
            <w:bottom w:w="15" w:type="dxa"/>
            <w:right w:w="15" w:type="dxa"/>
          </w:tblCellMar>
        </w:tblPrEx>
        <w:trPr>
          <w:trHeight w:val="743" w:hRule="atLeast"/>
          <w:tblCellSpacing w:w="0" w:type="dxa"/>
        </w:trPr>
        <w:tc>
          <w:tcPr>
            <w:tcW w:w="1672"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六楼</w:t>
            </w:r>
          </w:p>
        </w:tc>
        <w:tc>
          <w:tcPr>
            <w:tcW w:w="8306"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会议室、资料室、办公室，卫生间</w:t>
            </w:r>
          </w:p>
        </w:tc>
      </w:tr>
      <w:tr>
        <w:tblPrEx>
          <w:tblCellMar>
            <w:top w:w="15" w:type="dxa"/>
            <w:left w:w="15" w:type="dxa"/>
            <w:bottom w:w="15" w:type="dxa"/>
            <w:right w:w="15" w:type="dxa"/>
          </w:tblCellMar>
        </w:tblPrEx>
        <w:trPr>
          <w:trHeight w:val="743" w:hRule="atLeast"/>
          <w:tblCellSpacing w:w="0" w:type="dxa"/>
        </w:trPr>
        <w:tc>
          <w:tcPr>
            <w:tcW w:w="1672"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五楼</w:t>
            </w:r>
          </w:p>
        </w:tc>
        <w:tc>
          <w:tcPr>
            <w:tcW w:w="8306"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办公室、保密机要室、卫生间。</w:t>
            </w:r>
          </w:p>
        </w:tc>
      </w:tr>
      <w:tr>
        <w:tblPrEx>
          <w:tblCellMar>
            <w:top w:w="15" w:type="dxa"/>
            <w:left w:w="15" w:type="dxa"/>
            <w:bottom w:w="15" w:type="dxa"/>
            <w:right w:w="15" w:type="dxa"/>
          </w:tblCellMar>
        </w:tblPrEx>
        <w:trPr>
          <w:trHeight w:val="743" w:hRule="atLeast"/>
          <w:tblCellSpacing w:w="0" w:type="dxa"/>
        </w:trPr>
        <w:tc>
          <w:tcPr>
            <w:tcW w:w="1672"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四楼</w:t>
            </w:r>
          </w:p>
        </w:tc>
        <w:tc>
          <w:tcPr>
            <w:tcW w:w="8306"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办公室、卫生间、资料室。</w:t>
            </w:r>
          </w:p>
        </w:tc>
      </w:tr>
      <w:tr>
        <w:tblPrEx>
          <w:tblCellMar>
            <w:top w:w="15" w:type="dxa"/>
            <w:left w:w="15" w:type="dxa"/>
            <w:bottom w:w="15" w:type="dxa"/>
            <w:right w:w="15" w:type="dxa"/>
          </w:tblCellMar>
        </w:tblPrEx>
        <w:trPr>
          <w:trHeight w:val="743" w:hRule="atLeast"/>
          <w:tblCellSpacing w:w="0" w:type="dxa"/>
        </w:trPr>
        <w:tc>
          <w:tcPr>
            <w:tcW w:w="1672"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三楼</w:t>
            </w:r>
          </w:p>
        </w:tc>
        <w:tc>
          <w:tcPr>
            <w:tcW w:w="8306"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办公室、卫生间。</w:t>
            </w:r>
          </w:p>
        </w:tc>
      </w:tr>
      <w:tr>
        <w:tblPrEx>
          <w:tblCellMar>
            <w:top w:w="15" w:type="dxa"/>
            <w:left w:w="15" w:type="dxa"/>
            <w:bottom w:w="15" w:type="dxa"/>
            <w:right w:w="15" w:type="dxa"/>
          </w:tblCellMar>
        </w:tblPrEx>
        <w:trPr>
          <w:trHeight w:val="743" w:hRule="atLeast"/>
          <w:tblCellSpacing w:w="0" w:type="dxa"/>
        </w:trPr>
        <w:tc>
          <w:tcPr>
            <w:tcW w:w="1672"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二楼</w:t>
            </w:r>
          </w:p>
        </w:tc>
        <w:tc>
          <w:tcPr>
            <w:tcW w:w="8306"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办公室、办税大厅、自助办税区、机房、保洁更衣室、卫生间。</w:t>
            </w:r>
          </w:p>
        </w:tc>
      </w:tr>
      <w:tr>
        <w:tblPrEx>
          <w:tblCellMar>
            <w:top w:w="15" w:type="dxa"/>
            <w:left w:w="15" w:type="dxa"/>
            <w:bottom w:w="15" w:type="dxa"/>
            <w:right w:w="15" w:type="dxa"/>
          </w:tblCellMar>
        </w:tblPrEx>
        <w:trPr>
          <w:trHeight w:val="743" w:hRule="atLeast"/>
          <w:tblCellSpacing w:w="0" w:type="dxa"/>
        </w:trPr>
        <w:tc>
          <w:tcPr>
            <w:tcW w:w="1672"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2"/>
                <w:szCs w:val="22"/>
              </w:rPr>
              <w:t>一楼</w:t>
            </w:r>
          </w:p>
        </w:tc>
        <w:tc>
          <w:tcPr>
            <w:tcW w:w="8306"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sz w:val="21"/>
                <w:szCs w:val="21"/>
              </w:rPr>
              <w:t>收发室、食堂、卫生间、党建活动室，争议调解室、会议室、办公用品库、</w:t>
            </w:r>
          </w:p>
        </w:tc>
      </w:tr>
    </w:tbl>
    <w:p>
      <w:pPr>
        <w:pStyle w:val="93"/>
        <w:spacing w:before="0" w:after="0" w:line="360" w:lineRule="auto"/>
        <w:jc w:val="center"/>
        <w:rPr>
          <w:rFonts w:ascii="Times New Roman" w:hAnsi="Times New Roman" w:eastAsia="Times New Roman" w:cs="Times New Roman"/>
        </w:rPr>
      </w:pPr>
      <w:r>
        <w:t> </w:t>
      </w:r>
    </w:p>
    <w:p>
      <w:pPr>
        <w:pStyle w:val="93"/>
        <w:spacing w:before="0" w:after="0" w:line="360" w:lineRule="auto"/>
        <w:jc w:val="center"/>
        <w:rPr>
          <w:rFonts w:ascii="Times New Roman" w:hAnsi="Times New Roman" w:eastAsia="Times New Roman" w:cs="Times New Roman"/>
        </w:rPr>
      </w:pPr>
      <w:r>
        <w:rPr>
          <w:rFonts w:ascii="Times New Roman" w:hAnsi="Times New Roman" w:eastAsia="Times New Roman" w:cs="Times New Roman"/>
        </w:rPr>
        <w:t> </w:t>
      </w:r>
    </w:p>
    <w:p>
      <w:pPr>
        <w:pStyle w:val="93"/>
        <w:spacing w:before="0" w:after="0" w:line="360" w:lineRule="auto"/>
        <w:jc w:val="center"/>
        <w:rPr>
          <w:rFonts w:ascii="Times New Roman" w:hAnsi="Times New Roman" w:eastAsia="Times New Roman" w:cs="Times New Roman"/>
        </w:rPr>
      </w:pPr>
      <w:r>
        <w:rPr>
          <w:rFonts w:ascii="宋体" w:hAnsi="宋体" w:eastAsia="宋体" w:cs="宋体"/>
          <w:b/>
          <w:bCs/>
          <w:sz w:val="21"/>
          <w:szCs w:val="21"/>
        </w:rPr>
        <w:t> </w:t>
      </w:r>
    </w:p>
    <w:p>
      <w:pPr>
        <w:pStyle w:val="93"/>
        <w:spacing w:before="0" w:after="0" w:line="360" w:lineRule="auto"/>
        <w:jc w:val="center"/>
        <w:rPr>
          <w:rFonts w:ascii="Times New Roman" w:hAnsi="Times New Roman" w:eastAsia="Times New Roman" w:cs="Times New Roman"/>
        </w:rPr>
      </w:pPr>
      <w:r>
        <w:rPr>
          <w:rFonts w:ascii="FangSong_GB2312" w:hAnsi="FangSong_GB2312" w:eastAsia="FangSong_GB2312" w:cs="FangSong_GB2312"/>
          <w:b/>
          <w:bCs/>
          <w:sz w:val="28"/>
          <w:szCs w:val="28"/>
        </w:rPr>
        <w:t> 表1-2 吉林大街办公区（吉林大街169号）房屋主要配置 </w:t>
      </w:r>
    </w:p>
    <w:tbl>
      <w:tblPr>
        <w:tblStyle w:val="96"/>
        <w:tblW w:w="8200" w:type="dxa"/>
        <w:tblCellSpacing w:w="0" w:type="dxa"/>
        <w:tblInd w:w="391" w:type="dxa"/>
        <w:tblLayout w:type="autofit"/>
        <w:tblCellMar>
          <w:top w:w="15" w:type="dxa"/>
          <w:left w:w="15" w:type="dxa"/>
          <w:bottom w:w="15" w:type="dxa"/>
          <w:right w:w="15" w:type="dxa"/>
        </w:tblCellMar>
      </w:tblPr>
      <w:tblGrid>
        <w:gridCol w:w="2052"/>
        <w:gridCol w:w="6148"/>
      </w:tblGrid>
      <w:tr>
        <w:tblPrEx>
          <w:tblCellMar>
            <w:top w:w="15" w:type="dxa"/>
            <w:left w:w="15" w:type="dxa"/>
            <w:bottom w:w="15" w:type="dxa"/>
            <w:right w:w="15" w:type="dxa"/>
          </w:tblCellMar>
        </w:tblPrEx>
        <w:trPr>
          <w:trHeight w:val="680" w:hRule="atLeast"/>
          <w:tblCellSpacing w:w="0" w:type="dxa"/>
        </w:trPr>
        <w:tc>
          <w:tcPr>
            <w:tcW w:w="2053" w:type="dxa"/>
            <w:tcBorders>
              <w:top w:val="single" w:color="000000" w:sz="8" w:space="0"/>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8"/>
                <w:szCs w:val="28"/>
              </w:rPr>
              <w:t>楼层</w:t>
            </w:r>
          </w:p>
        </w:tc>
        <w:tc>
          <w:tcPr>
            <w:tcW w:w="6153" w:type="dxa"/>
            <w:tcBorders>
              <w:top w:val="single" w:color="000000" w:sz="8" w:space="0"/>
              <w:bottom w:val="single" w:color="000000" w:sz="8" w:space="0"/>
              <w:right w:val="single" w:color="000000" w:sz="8" w:space="0"/>
            </w:tcBorders>
            <w:noWrap w:val="0"/>
            <w:tcMar>
              <w:top w:w="0" w:type="dxa"/>
              <w:left w:w="10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8"/>
                <w:szCs w:val="28"/>
              </w:rPr>
              <w:t>使用功能</w:t>
            </w:r>
          </w:p>
        </w:tc>
      </w:tr>
      <w:tr>
        <w:tblPrEx>
          <w:tblCellMar>
            <w:top w:w="15" w:type="dxa"/>
            <w:left w:w="15" w:type="dxa"/>
            <w:bottom w:w="15" w:type="dxa"/>
            <w:right w:w="15" w:type="dxa"/>
          </w:tblCellMar>
        </w:tblPrEx>
        <w:trPr>
          <w:trHeight w:val="680" w:hRule="atLeast"/>
          <w:tblCellSpacing w:w="0" w:type="dxa"/>
        </w:trPr>
        <w:tc>
          <w:tcPr>
            <w:tcW w:w="2053"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六楼</w:t>
            </w:r>
          </w:p>
        </w:tc>
        <w:tc>
          <w:tcPr>
            <w:tcW w:w="6153"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会议室、活动室</w:t>
            </w:r>
          </w:p>
        </w:tc>
      </w:tr>
      <w:tr>
        <w:tblPrEx>
          <w:tblCellMar>
            <w:top w:w="15" w:type="dxa"/>
            <w:left w:w="15" w:type="dxa"/>
            <w:bottom w:w="15" w:type="dxa"/>
            <w:right w:w="15" w:type="dxa"/>
          </w:tblCellMar>
        </w:tblPrEx>
        <w:trPr>
          <w:trHeight w:val="680" w:hRule="atLeast"/>
          <w:tblCellSpacing w:w="0" w:type="dxa"/>
        </w:trPr>
        <w:tc>
          <w:tcPr>
            <w:tcW w:w="2053"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五楼</w:t>
            </w:r>
          </w:p>
        </w:tc>
        <w:tc>
          <w:tcPr>
            <w:tcW w:w="6153"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办公室、卫生间。</w:t>
            </w:r>
          </w:p>
        </w:tc>
      </w:tr>
      <w:tr>
        <w:tblPrEx>
          <w:tblCellMar>
            <w:top w:w="15" w:type="dxa"/>
            <w:left w:w="15" w:type="dxa"/>
            <w:bottom w:w="15" w:type="dxa"/>
            <w:right w:w="15" w:type="dxa"/>
          </w:tblCellMar>
        </w:tblPrEx>
        <w:trPr>
          <w:trHeight w:val="680" w:hRule="atLeast"/>
          <w:tblCellSpacing w:w="0" w:type="dxa"/>
        </w:trPr>
        <w:tc>
          <w:tcPr>
            <w:tcW w:w="2053"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四楼</w:t>
            </w:r>
          </w:p>
        </w:tc>
        <w:tc>
          <w:tcPr>
            <w:tcW w:w="6153"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办公室、机房、卫生间。</w:t>
            </w:r>
          </w:p>
        </w:tc>
      </w:tr>
      <w:tr>
        <w:tblPrEx>
          <w:tblCellMar>
            <w:top w:w="15" w:type="dxa"/>
            <w:left w:w="15" w:type="dxa"/>
            <w:bottom w:w="15" w:type="dxa"/>
            <w:right w:w="15" w:type="dxa"/>
          </w:tblCellMar>
        </w:tblPrEx>
        <w:trPr>
          <w:trHeight w:val="680" w:hRule="atLeast"/>
          <w:tblCellSpacing w:w="0" w:type="dxa"/>
        </w:trPr>
        <w:tc>
          <w:tcPr>
            <w:tcW w:w="2053"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三楼</w:t>
            </w:r>
          </w:p>
        </w:tc>
        <w:tc>
          <w:tcPr>
            <w:tcW w:w="6153"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办公室、会议室、卫生间、资料室。</w:t>
            </w:r>
          </w:p>
        </w:tc>
      </w:tr>
      <w:tr>
        <w:tblPrEx>
          <w:tblCellMar>
            <w:top w:w="15" w:type="dxa"/>
            <w:left w:w="15" w:type="dxa"/>
            <w:bottom w:w="15" w:type="dxa"/>
            <w:right w:w="15" w:type="dxa"/>
          </w:tblCellMar>
        </w:tblPrEx>
        <w:trPr>
          <w:trHeight w:val="680" w:hRule="atLeast"/>
          <w:tblCellSpacing w:w="0" w:type="dxa"/>
        </w:trPr>
        <w:tc>
          <w:tcPr>
            <w:tcW w:w="2053"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二楼</w:t>
            </w:r>
          </w:p>
        </w:tc>
        <w:tc>
          <w:tcPr>
            <w:tcW w:w="6153"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食堂、卫生间、库房。</w:t>
            </w:r>
          </w:p>
        </w:tc>
      </w:tr>
      <w:tr>
        <w:tblPrEx>
          <w:tblCellMar>
            <w:top w:w="15" w:type="dxa"/>
            <w:left w:w="15" w:type="dxa"/>
            <w:bottom w:w="15" w:type="dxa"/>
            <w:right w:w="15" w:type="dxa"/>
          </w:tblCellMar>
        </w:tblPrEx>
        <w:trPr>
          <w:trHeight w:val="680" w:hRule="atLeast"/>
          <w:tblCellSpacing w:w="0" w:type="dxa"/>
        </w:trPr>
        <w:tc>
          <w:tcPr>
            <w:tcW w:w="2053"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一楼</w:t>
            </w:r>
          </w:p>
        </w:tc>
        <w:tc>
          <w:tcPr>
            <w:tcW w:w="6153"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自助办税厅、保安室、库房。</w:t>
            </w:r>
          </w:p>
        </w:tc>
      </w:tr>
    </w:tbl>
    <w:p>
      <w:pPr>
        <w:pStyle w:val="93"/>
        <w:spacing w:before="0" w:after="0" w:line="360" w:lineRule="auto"/>
        <w:jc w:val="center"/>
        <w:rPr>
          <w:rFonts w:ascii="Times New Roman" w:hAnsi="Times New Roman" w:eastAsia="Times New Roman" w:cs="Times New Roman"/>
        </w:rPr>
      </w:pPr>
      <w:r>
        <w:rPr>
          <w:rFonts w:ascii="Times New Roman" w:hAnsi="Times New Roman" w:eastAsia="Times New Roman" w:cs="Times New Roman"/>
        </w:rPr>
        <w:t> </w:t>
      </w:r>
    </w:p>
    <w:p>
      <w:pPr>
        <w:pStyle w:val="93"/>
        <w:spacing w:before="0" w:after="0" w:line="360" w:lineRule="auto"/>
        <w:jc w:val="center"/>
        <w:rPr>
          <w:rFonts w:ascii="Times New Roman" w:hAnsi="Times New Roman" w:eastAsia="Times New Roman" w:cs="Times New Roman"/>
        </w:rPr>
      </w:pPr>
      <w:r>
        <w:rPr>
          <w:rFonts w:ascii="仿宋_GB2312" w:hAnsi="仿宋_GB2312" w:eastAsia="仿宋_GB2312" w:cs="仿宋_GB2312"/>
          <w:b/>
          <w:bCs/>
          <w:sz w:val="28"/>
          <w:szCs w:val="28"/>
        </w:rPr>
        <w:t>表1-3桦皮厂分局楼（桦皮厂镇15-3-15-75地块）房屋主要配置</w:t>
      </w:r>
    </w:p>
    <w:tbl>
      <w:tblPr>
        <w:tblStyle w:val="96"/>
        <w:tblW w:w="8410" w:type="dxa"/>
        <w:tblCellSpacing w:w="0" w:type="dxa"/>
        <w:tblInd w:w="371" w:type="dxa"/>
        <w:tblLayout w:type="autofit"/>
        <w:tblCellMar>
          <w:top w:w="15" w:type="dxa"/>
          <w:left w:w="15" w:type="dxa"/>
          <w:bottom w:w="15" w:type="dxa"/>
          <w:right w:w="15" w:type="dxa"/>
        </w:tblCellMar>
      </w:tblPr>
      <w:tblGrid>
        <w:gridCol w:w="2112"/>
        <w:gridCol w:w="6298"/>
      </w:tblGrid>
      <w:tr>
        <w:tblPrEx>
          <w:tblCellMar>
            <w:top w:w="15" w:type="dxa"/>
            <w:left w:w="15" w:type="dxa"/>
            <w:bottom w:w="15" w:type="dxa"/>
            <w:right w:w="15" w:type="dxa"/>
          </w:tblCellMar>
        </w:tblPrEx>
        <w:trPr>
          <w:trHeight w:val="690" w:hRule="atLeast"/>
          <w:tblCellSpacing w:w="0" w:type="dxa"/>
        </w:trPr>
        <w:tc>
          <w:tcPr>
            <w:tcW w:w="2113" w:type="dxa"/>
            <w:tcBorders>
              <w:top w:val="single" w:color="000000" w:sz="8" w:space="0"/>
              <w:left w:val="single" w:color="000000" w:sz="8" w:space="0"/>
              <w:bottom w:val="single" w:color="000000" w:sz="8" w:space="0"/>
              <w:right w:val="single" w:color="000000" w:sz="8" w:space="0"/>
            </w:tcBorders>
            <w:noWrap w:val="0"/>
            <w:tcMar>
              <w:top w:w="0" w:type="dxa"/>
              <w:left w:w="128" w:type="dxa"/>
              <w:bottom w:w="0" w:type="dxa"/>
              <w:right w:w="12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8"/>
                <w:szCs w:val="28"/>
              </w:rPr>
              <w:t>楼层</w:t>
            </w:r>
          </w:p>
        </w:tc>
        <w:tc>
          <w:tcPr>
            <w:tcW w:w="6303" w:type="dxa"/>
            <w:tcBorders>
              <w:top w:val="single" w:color="000000" w:sz="8" w:space="0"/>
              <w:bottom w:val="single" w:color="000000" w:sz="8" w:space="0"/>
              <w:right w:val="single" w:color="000000" w:sz="8" w:space="0"/>
            </w:tcBorders>
            <w:noWrap w:val="0"/>
            <w:tcMar>
              <w:top w:w="0" w:type="dxa"/>
              <w:left w:w="108" w:type="dxa"/>
              <w:bottom w:w="0" w:type="dxa"/>
              <w:right w:w="12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8"/>
                <w:szCs w:val="28"/>
              </w:rPr>
              <w:t>使用功能</w:t>
            </w:r>
          </w:p>
        </w:tc>
      </w:tr>
      <w:tr>
        <w:tblPrEx>
          <w:tblCellMar>
            <w:top w:w="15" w:type="dxa"/>
            <w:left w:w="15" w:type="dxa"/>
            <w:bottom w:w="15" w:type="dxa"/>
            <w:right w:w="15" w:type="dxa"/>
          </w:tblCellMar>
        </w:tblPrEx>
        <w:trPr>
          <w:trHeight w:val="690" w:hRule="atLeast"/>
          <w:tblCellSpacing w:w="0" w:type="dxa"/>
        </w:trPr>
        <w:tc>
          <w:tcPr>
            <w:tcW w:w="2113"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rPr>
              <w:t>三楼</w:t>
            </w:r>
          </w:p>
        </w:tc>
        <w:tc>
          <w:tcPr>
            <w:tcW w:w="6303" w:type="dxa"/>
            <w:tcBorders>
              <w:bottom w:val="single" w:color="000000" w:sz="8" w:space="0"/>
              <w:right w:val="single" w:color="000000" w:sz="8" w:space="0"/>
            </w:tcBorders>
            <w:noWrap w:val="0"/>
            <w:tcMar>
              <w:top w:w="0" w:type="dxa"/>
              <w:left w:w="108" w:type="dxa"/>
              <w:bottom w:w="0" w:type="dxa"/>
              <w:right w:w="12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会议室、库房、活动室</w:t>
            </w:r>
          </w:p>
        </w:tc>
      </w:tr>
      <w:tr>
        <w:tblPrEx>
          <w:tblCellMar>
            <w:top w:w="15" w:type="dxa"/>
            <w:left w:w="15" w:type="dxa"/>
            <w:bottom w:w="15" w:type="dxa"/>
            <w:right w:w="15" w:type="dxa"/>
          </w:tblCellMar>
        </w:tblPrEx>
        <w:trPr>
          <w:trHeight w:val="690" w:hRule="atLeast"/>
          <w:tblCellSpacing w:w="0" w:type="dxa"/>
        </w:trPr>
        <w:tc>
          <w:tcPr>
            <w:tcW w:w="2113"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rPr>
              <w:t>二楼</w:t>
            </w:r>
          </w:p>
        </w:tc>
        <w:tc>
          <w:tcPr>
            <w:tcW w:w="6303" w:type="dxa"/>
            <w:tcBorders>
              <w:bottom w:val="single" w:color="000000" w:sz="8" w:space="0"/>
              <w:right w:val="single" w:color="000000" w:sz="8" w:space="0"/>
            </w:tcBorders>
            <w:noWrap w:val="0"/>
            <w:tcMar>
              <w:top w:w="0" w:type="dxa"/>
              <w:left w:w="108" w:type="dxa"/>
              <w:bottom w:w="0" w:type="dxa"/>
              <w:right w:w="12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办公室、休息室</w:t>
            </w:r>
          </w:p>
        </w:tc>
      </w:tr>
      <w:tr>
        <w:tblPrEx>
          <w:tblCellMar>
            <w:top w:w="15" w:type="dxa"/>
            <w:left w:w="15" w:type="dxa"/>
            <w:bottom w:w="15" w:type="dxa"/>
            <w:right w:w="15" w:type="dxa"/>
          </w:tblCellMar>
        </w:tblPrEx>
        <w:trPr>
          <w:trHeight w:val="764" w:hRule="atLeast"/>
          <w:tblCellSpacing w:w="0" w:type="dxa"/>
        </w:trPr>
        <w:tc>
          <w:tcPr>
            <w:tcW w:w="2113"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rPr>
              <w:t>一楼</w:t>
            </w:r>
          </w:p>
        </w:tc>
        <w:tc>
          <w:tcPr>
            <w:tcW w:w="6303" w:type="dxa"/>
            <w:tcBorders>
              <w:bottom w:val="single" w:color="000000" w:sz="8" w:space="0"/>
              <w:right w:val="single" w:color="000000" w:sz="8" w:space="0"/>
            </w:tcBorders>
            <w:noWrap w:val="0"/>
            <w:tcMar>
              <w:top w:w="0" w:type="dxa"/>
              <w:left w:w="108" w:type="dxa"/>
              <w:bottom w:w="0" w:type="dxa"/>
              <w:right w:w="12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门房、办税服务厅、会议室、卫生间、食堂</w:t>
            </w:r>
          </w:p>
        </w:tc>
      </w:tr>
    </w:tbl>
    <w:p>
      <w:pPr>
        <w:pStyle w:val="93"/>
        <w:spacing w:before="0" w:after="0" w:line="360" w:lineRule="auto"/>
        <w:jc w:val="both"/>
        <w:rPr>
          <w:rFonts w:ascii="Times New Roman" w:hAnsi="Times New Roman" w:eastAsia="Times New Roman" w:cs="Times New Roman"/>
        </w:rPr>
      </w:pPr>
      <w:r>
        <w:rPr>
          <w:rFonts w:ascii="仿宋_GB2312" w:hAnsi="仿宋_GB2312" w:eastAsia="仿宋_GB2312" w:cs="仿宋_GB2312"/>
          <w:b/>
          <w:bCs/>
          <w:sz w:val="21"/>
          <w:szCs w:val="21"/>
        </w:rPr>
        <w:t>  </w:t>
      </w:r>
    </w:p>
    <w:p>
      <w:pPr>
        <w:pStyle w:val="93"/>
        <w:spacing w:before="0" w:after="0" w:line="360" w:lineRule="auto"/>
        <w:jc w:val="both"/>
        <w:rPr>
          <w:rFonts w:ascii="Times New Roman" w:hAnsi="Times New Roman" w:eastAsia="Times New Roman" w:cs="Times New Roman"/>
        </w:rPr>
      </w:pPr>
      <w:r>
        <w:rPr>
          <w:rFonts w:ascii="Times New Roman" w:hAnsi="Times New Roman" w:eastAsia="Times New Roman" w:cs="Times New Roman"/>
        </w:rPr>
        <w:t> </w:t>
      </w:r>
    </w:p>
    <w:p>
      <w:pPr>
        <w:pStyle w:val="93"/>
        <w:spacing w:before="0" w:after="0" w:line="360" w:lineRule="auto"/>
        <w:jc w:val="center"/>
        <w:rPr>
          <w:rFonts w:ascii="Times New Roman" w:hAnsi="Times New Roman" w:eastAsia="Times New Roman" w:cs="Times New Roman"/>
        </w:rPr>
      </w:pPr>
      <w:r>
        <w:rPr>
          <w:rFonts w:ascii="仿宋_GB2312" w:hAnsi="仿宋_GB2312" w:eastAsia="仿宋_GB2312" w:cs="仿宋_GB2312"/>
          <w:b/>
          <w:bCs/>
          <w:sz w:val="28"/>
          <w:szCs w:val="28"/>
        </w:rPr>
        <w:t>表1-4通江所办公楼（中兴街付14号）房屋主要配置</w:t>
      </w:r>
    </w:p>
    <w:tbl>
      <w:tblPr>
        <w:tblStyle w:val="97"/>
        <w:tblW w:w="9235" w:type="dxa"/>
        <w:tblCellSpacing w:w="0" w:type="dxa"/>
        <w:tblInd w:w="263" w:type="dxa"/>
        <w:tblLayout w:type="autofit"/>
        <w:tblCellMar>
          <w:top w:w="15" w:type="dxa"/>
          <w:left w:w="15" w:type="dxa"/>
          <w:bottom w:w="15" w:type="dxa"/>
          <w:right w:w="15" w:type="dxa"/>
        </w:tblCellMar>
      </w:tblPr>
      <w:tblGrid>
        <w:gridCol w:w="3513"/>
        <w:gridCol w:w="5722"/>
      </w:tblGrid>
      <w:tr>
        <w:tblPrEx>
          <w:tblCellMar>
            <w:top w:w="15" w:type="dxa"/>
            <w:left w:w="15" w:type="dxa"/>
            <w:bottom w:w="15" w:type="dxa"/>
            <w:right w:w="15" w:type="dxa"/>
          </w:tblCellMar>
        </w:tblPrEx>
        <w:trPr>
          <w:trHeight w:val="890" w:hRule="atLeast"/>
          <w:tblCellSpacing w:w="0" w:type="dxa"/>
        </w:trPr>
        <w:tc>
          <w:tcPr>
            <w:tcW w:w="3515" w:type="dxa"/>
            <w:tcBorders>
              <w:top w:val="single" w:color="000000" w:sz="8" w:space="0"/>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8"/>
                <w:szCs w:val="28"/>
              </w:rPr>
              <w:t>楼层</w:t>
            </w:r>
          </w:p>
        </w:tc>
        <w:tc>
          <w:tcPr>
            <w:tcW w:w="5725" w:type="dxa"/>
            <w:tcBorders>
              <w:top w:val="single" w:color="000000" w:sz="8" w:space="0"/>
              <w:bottom w:val="single" w:color="000000" w:sz="8" w:space="0"/>
              <w:right w:val="single" w:color="000000" w:sz="8" w:space="0"/>
            </w:tcBorders>
            <w:noWrap w:val="0"/>
            <w:tcMar>
              <w:top w:w="0" w:type="dxa"/>
              <w:left w:w="108" w:type="dxa"/>
              <w:bottom w:w="0" w:type="dxa"/>
              <w:right w:w="118" w:type="dxa"/>
            </w:tcMar>
            <w:vAlign w:val="top"/>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8"/>
                <w:szCs w:val="28"/>
              </w:rPr>
              <w:t>使用功能</w:t>
            </w:r>
          </w:p>
        </w:tc>
      </w:tr>
      <w:tr>
        <w:tblPrEx>
          <w:tblCellMar>
            <w:top w:w="15" w:type="dxa"/>
            <w:left w:w="15" w:type="dxa"/>
            <w:bottom w:w="15" w:type="dxa"/>
            <w:right w:w="15" w:type="dxa"/>
          </w:tblCellMar>
        </w:tblPrEx>
        <w:trPr>
          <w:trHeight w:val="890" w:hRule="atLeast"/>
          <w:tblCellSpacing w:w="0" w:type="dxa"/>
        </w:trPr>
        <w:tc>
          <w:tcPr>
            <w:tcW w:w="3515"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rPr>
              <w:t>二楼</w:t>
            </w:r>
          </w:p>
        </w:tc>
        <w:tc>
          <w:tcPr>
            <w:tcW w:w="5725" w:type="dxa"/>
            <w:tcBorders>
              <w:bottom w:val="single" w:color="000000" w:sz="8" w:space="0"/>
              <w:right w:val="single" w:color="000000" w:sz="8" w:space="0"/>
            </w:tcBorders>
            <w:noWrap w:val="0"/>
            <w:tcMar>
              <w:top w:w="0" w:type="dxa"/>
              <w:left w:w="108" w:type="dxa"/>
              <w:bottom w:w="0" w:type="dxa"/>
              <w:right w:w="118" w:type="dxa"/>
            </w:tcMar>
            <w:vAlign w:val="top"/>
          </w:tcPr>
          <w:p>
            <w:pPr>
              <w:pStyle w:val="95"/>
              <w:jc w:val="both"/>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办公室、会议室、卫生间、食堂、库房</w:t>
            </w:r>
          </w:p>
        </w:tc>
      </w:tr>
      <w:tr>
        <w:tblPrEx>
          <w:tblCellMar>
            <w:top w:w="15" w:type="dxa"/>
            <w:left w:w="15" w:type="dxa"/>
            <w:bottom w:w="15" w:type="dxa"/>
            <w:right w:w="15" w:type="dxa"/>
          </w:tblCellMar>
        </w:tblPrEx>
        <w:trPr>
          <w:trHeight w:val="890" w:hRule="atLeast"/>
          <w:tblCellSpacing w:w="0" w:type="dxa"/>
        </w:trPr>
        <w:tc>
          <w:tcPr>
            <w:tcW w:w="3515"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rPr>
              <w:t>一楼</w:t>
            </w:r>
          </w:p>
        </w:tc>
        <w:tc>
          <w:tcPr>
            <w:tcW w:w="5725" w:type="dxa"/>
            <w:tcBorders>
              <w:bottom w:val="single" w:color="000000" w:sz="8" w:space="0"/>
              <w:right w:val="single" w:color="000000" w:sz="8" w:space="0"/>
            </w:tcBorders>
            <w:noWrap w:val="0"/>
            <w:tcMar>
              <w:top w:w="0" w:type="dxa"/>
              <w:left w:w="108" w:type="dxa"/>
              <w:bottom w:w="0" w:type="dxa"/>
              <w:right w:w="118" w:type="dxa"/>
            </w:tcMar>
            <w:vAlign w:val="top"/>
          </w:tcPr>
          <w:p>
            <w:pPr>
              <w:pStyle w:val="95"/>
              <w:jc w:val="both"/>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自助办税厅</w:t>
            </w:r>
          </w:p>
        </w:tc>
      </w:tr>
    </w:tbl>
    <w:p>
      <w:pPr>
        <w:pStyle w:val="93"/>
        <w:spacing w:before="0" w:after="0" w:line="360" w:lineRule="auto"/>
        <w:jc w:val="both"/>
        <w:rPr>
          <w:rFonts w:ascii="Times New Roman" w:hAnsi="Times New Roman" w:eastAsia="Times New Roman" w:cs="Times New Roman"/>
        </w:rPr>
      </w:pPr>
      <w:r>
        <w:rPr>
          <w:rFonts w:ascii="仿宋_GB2312" w:hAnsi="仿宋_GB2312" w:eastAsia="仿宋_GB2312" w:cs="仿宋_GB2312"/>
          <w:b/>
          <w:bCs/>
          <w:sz w:val="21"/>
          <w:szCs w:val="21"/>
        </w:rPr>
        <w:t> </w:t>
      </w:r>
    </w:p>
    <w:p>
      <w:pPr>
        <w:pStyle w:val="94"/>
        <w:keepNext w:val="0"/>
        <w:spacing w:before="0" w:after="0" w:line="360" w:lineRule="auto"/>
        <w:rPr>
          <w:rFonts w:ascii="Times New Roman" w:hAnsi="Times New Roman" w:eastAsia="Times New Roman" w:cs="Times New Roman"/>
          <w:b/>
          <w:bCs/>
        </w:rPr>
      </w:pPr>
      <w:r>
        <w:rPr>
          <w:rFonts w:ascii="仿宋_GB2312" w:hAnsi="仿宋_GB2312" w:eastAsia="仿宋_GB2312" w:cs="仿宋_GB2312"/>
          <w:sz w:val="21"/>
          <w:szCs w:val="21"/>
        </w:rPr>
        <w:t> </w:t>
      </w:r>
    </w:p>
    <w:p>
      <w:pPr>
        <w:pStyle w:val="93"/>
        <w:spacing w:before="0" w:after="0" w:line="360" w:lineRule="auto"/>
        <w:jc w:val="center"/>
        <w:rPr>
          <w:rFonts w:ascii="Times New Roman" w:hAnsi="Times New Roman" w:eastAsia="Times New Roman" w:cs="Times New Roman"/>
        </w:rPr>
      </w:pPr>
      <w:r>
        <w:rPr>
          <w:rFonts w:ascii="仿宋_GB2312" w:hAnsi="仿宋_GB2312" w:eastAsia="仿宋_GB2312" w:cs="仿宋_GB2312"/>
          <w:b/>
          <w:bCs/>
          <w:sz w:val="28"/>
          <w:szCs w:val="28"/>
        </w:rPr>
        <w:t>表1-5站前所办公楼（中康路13号）房屋主要配置</w:t>
      </w:r>
    </w:p>
    <w:tbl>
      <w:tblPr>
        <w:tblStyle w:val="97"/>
        <w:tblW w:w="9430" w:type="dxa"/>
        <w:tblCellSpacing w:w="0" w:type="dxa"/>
        <w:tblInd w:w="263" w:type="dxa"/>
        <w:tblLayout w:type="autofit"/>
        <w:tblCellMar>
          <w:top w:w="15" w:type="dxa"/>
          <w:left w:w="15" w:type="dxa"/>
          <w:bottom w:w="15" w:type="dxa"/>
          <w:right w:w="15" w:type="dxa"/>
        </w:tblCellMar>
      </w:tblPr>
      <w:tblGrid>
        <w:gridCol w:w="4712"/>
        <w:gridCol w:w="4718"/>
      </w:tblGrid>
      <w:tr>
        <w:tblPrEx>
          <w:tblCellMar>
            <w:top w:w="15" w:type="dxa"/>
            <w:left w:w="15" w:type="dxa"/>
            <w:bottom w:w="15" w:type="dxa"/>
            <w:right w:w="15" w:type="dxa"/>
          </w:tblCellMar>
        </w:tblPrEx>
        <w:trPr>
          <w:trHeight w:val="890" w:hRule="atLeast"/>
          <w:tblCellSpacing w:w="0" w:type="dxa"/>
        </w:trPr>
        <w:tc>
          <w:tcPr>
            <w:tcW w:w="4715" w:type="dxa"/>
            <w:tcBorders>
              <w:top w:val="single" w:color="000000" w:sz="8" w:space="0"/>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8"/>
                <w:szCs w:val="28"/>
              </w:rPr>
              <w:t>楼层</w:t>
            </w:r>
          </w:p>
        </w:tc>
        <w:tc>
          <w:tcPr>
            <w:tcW w:w="4720" w:type="dxa"/>
            <w:tcBorders>
              <w:top w:val="single" w:color="000000" w:sz="8" w:space="0"/>
              <w:bottom w:val="single" w:color="000000" w:sz="8" w:space="0"/>
              <w:right w:val="single" w:color="000000" w:sz="8" w:space="0"/>
            </w:tcBorders>
            <w:noWrap w:val="0"/>
            <w:tcMar>
              <w:top w:w="0" w:type="dxa"/>
              <w:left w:w="108" w:type="dxa"/>
              <w:bottom w:w="0" w:type="dxa"/>
              <w:right w:w="118" w:type="dxa"/>
            </w:tcMar>
            <w:vAlign w:val="top"/>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sz w:val="28"/>
                <w:szCs w:val="28"/>
              </w:rPr>
              <w:t>使用功能</w:t>
            </w:r>
          </w:p>
        </w:tc>
      </w:tr>
      <w:tr>
        <w:tblPrEx>
          <w:tblCellMar>
            <w:top w:w="15" w:type="dxa"/>
            <w:left w:w="15" w:type="dxa"/>
            <w:bottom w:w="15" w:type="dxa"/>
            <w:right w:w="15" w:type="dxa"/>
          </w:tblCellMar>
        </w:tblPrEx>
        <w:trPr>
          <w:trHeight w:val="890" w:hRule="atLeast"/>
          <w:tblCellSpacing w:w="0" w:type="dxa"/>
        </w:trPr>
        <w:tc>
          <w:tcPr>
            <w:tcW w:w="4715"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rPr>
              <w:t>二楼</w:t>
            </w:r>
          </w:p>
        </w:tc>
        <w:tc>
          <w:tcPr>
            <w:tcW w:w="4720" w:type="dxa"/>
            <w:tcBorders>
              <w:bottom w:val="single" w:color="000000" w:sz="8" w:space="0"/>
              <w:right w:val="single" w:color="000000" w:sz="8" w:space="0"/>
            </w:tcBorders>
            <w:noWrap w:val="0"/>
            <w:tcMar>
              <w:top w:w="0" w:type="dxa"/>
              <w:left w:w="108" w:type="dxa"/>
              <w:bottom w:w="0" w:type="dxa"/>
              <w:right w:w="118" w:type="dxa"/>
            </w:tcMar>
            <w:vAlign w:val="top"/>
          </w:tcPr>
          <w:p>
            <w:pPr>
              <w:pStyle w:val="95"/>
              <w:jc w:val="both"/>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办公室、会议室、卫生间、库房</w:t>
            </w:r>
          </w:p>
        </w:tc>
      </w:tr>
      <w:tr>
        <w:tblPrEx>
          <w:tblCellMar>
            <w:top w:w="15" w:type="dxa"/>
            <w:left w:w="15" w:type="dxa"/>
            <w:bottom w:w="15" w:type="dxa"/>
            <w:right w:w="15" w:type="dxa"/>
          </w:tblCellMar>
        </w:tblPrEx>
        <w:trPr>
          <w:trHeight w:val="890" w:hRule="atLeast"/>
          <w:tblCellSpacing w:w="0" w:type="dxa"/>
        </w:trPr>
        <w:tc>
          <w:tcPr>
            <w:tcW w:w="4715"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top"/>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rPr>
              <w:t>一楼</w:t>
            </w:r>
          </w:p>
        </w:tc>
        <w:tc>
          <w:tcPr>
            <w:tcW w:w="4720" w:type="dxa"/>
            <w:tcBorders>
              <w:bottom w:val="single" w:color="000000" w:sz="8" w:space="0"/>
              <w:right w:val="single" w:color="000000" w:sz="8" w:space="0"/>
            </w:tcBorders>
            <w:noWrap w:val="0"/>
            <w:tcMar>
              <w:top w:w="0" w:type="dxa"/>
              <w:left w:w="108" w:type="dxa"/>
              <w:bottom w:w="0" w:type="dxa"/>
              <w:right w:w="118" w:type="dxa"/>
            </w:tcMar>
            <w:vAlign w:val="top"/>
          </w:tcPr>
          <w:p>
            <w:pPr>
              <w:pStyle w:val="95"/>
              <w:jc w:val="both"/>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食堂、库房</w:t>
            </w:r>
          </w:p>
        </w:tc>
      </w:tr>
    </w:tbl>
    <w:p>
      <w:pPr>
        <w:pStyle w:val="95"/>
        <w:spacing w:before="0" w:after="0" w:line="360" w:lineRule="auto"/>
        <w:rPr>
          <w:rFonts w:ascii="Times New Roman" w:hAnsi="Times New Roman" w:eastAsia="Times New Roman" w:cs="Times New Roman"/>
        </w:rPr>
      </w:pPr>
      <w:r>
        <w:t> </w:t>
      </w:r>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1.2.2.2实施时间要求</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自项目开始实施之日起2年。</w:t>
      </w:r>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1.2.2.3实施地点要求</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国家税务总局吉林市昌邑区税务局天津街6号、吉林大街169号、桦皮厂镇15-3-15-75地块、中兴街03-10号、中康路13号办公区域指定位置（其中：机动车泊车位13个，车库5个，总面积约为8478㎡）。</w:t>
      </w:r>
    </w:p>
    <w:p>
      <w:pPr>
        <w:pStyle w:val="90"/>
        <w:keepNext w:val="0"/>
        <w:spacing w:before="0" w:after="0" w:line="360" w:lineRule="auto"/>
        <w:jc w:val="center"/>
        <w:rPr>
          <w:rFonts w:ascii="仿宋_GB2312" w:hAnsi="仿宋_GB2312" w:eastAsia="仿宋_GB2312" w:cs="仿宋_GB2312"/>
          <w:b/>
          <w:bCs/>
          <w:sz w:val="32"/>
          <w:szCs w:val="32"/>
        </w:rPr>
      </w:pPr>
      <w:bookmarkStart w:id="10" w:name="_Toc256000006"/>
      <w:r>
        <w:rPr>
          <w:rFonts w:ascii="仿宋_GB2312" w:hAnsi="仿宋_GB2312" w:eastAsia="仿宋_GB2312" w:cs="仿宋_GB2312"/>
          <w:kern w:val="36"/>
        </w:rPr>
        <w:t>2投标/响应要求</w:t>
      </w:r>
      <w:bookmarkEnd w:id="10"/>
    </w:p>
    <w:p>
      <w:pPr>
        <w:pStyle w:val="91"/>
        <w:keepNext w:val="0"/>
        <w:spacing w:before="0" w:after="0" w:line="360" w:lineRule="auto"/>
        <w:rPr>
          <w:rFonts w:ascii="仿宋_GB2312" w:hAnsi="仿宋_GB2312" w:eastAsia="仿宋_GB2312" w:cs="仿宋_GB2312"/>
          <w:b/>
          <w:bCs/>
          <w:sz w:val="28"/>
          <w:szCs w:val="28"/>
        </w:rPr>
      </w:pPr>
      <w:bookmarkStart w:id="11" w:name="_Toc256000007"/>
      <w:r>
        <w:rPr>
          <w:rFonts w:ascii="仿宋_GB2312" w:hAnsi="仿宋_GB2312" w:eastAsia="仿宋_GB2312" w:cs="仿宋_GB2312"/>
          <w:i w:val="0"/>
          <w:iCs w:val="0"/>
        </w:rPr>
        <w:t>2.1对供应商的要求</w:t>
      </w:r>
      <w:bookmarkEnd w:id="11"/>
    </w:p>
    <w:p>
      <w:pPr>
        <w:pStyle w:val="92"/>
        <w:keepNext w:val="0"/>
        <w:spacing w:before="0" w:after="0" w:line="360" w:lineRule="auto"/>
        <w:rPr>
          <w:rFonts w:ascii="仿宋_GB2312" w:hAnsi="仿宋_GB2312" w:eastAsia="仿宋_GB2312" w:cs="仿宋_GB2312"/>
          <w:b/>
          <w:bCs/>
          <w:sz w:val="28"/>
          <w:szCs w:val="28"/>
        </w:rPr>
      </w:pPr>
      <w:bookmarkStart w:id="12" w:name="_Toc256000008"/>
      <w:r>
        <w:rPr>
          <w:rFonts w:ascii="仿宋_GB2312" w:hAnsi="仿宋_GB2312" w:eastAsia="仿宋_GB2312" w:cs="仿宋_GB2312"/>
          <w:sz w:val="28"/>
          <w:szCs w:val="28"/>
        </w:rPr>
        <w:t>2.1.1必备资质</w:t>
      </w:r>
      <w:bookmarkEnd w:id="12"/>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2.1.1.1投标人应遵守有关国家法律、法规和条例,具备《中华人民共和国政府采购法》第二十二条的规定和本文件中规定的条件。</w:t>
      </w:r>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2.1.1.2本项目的特定资格要求</w:t>
      </w:r>
    </w:p>
    <w:p>
      <w:pPr>
        <w:pStyle w:val="18"/>
        <w:spacing w:before="0" w:after="0" w:line="360" w:lineRule="auto"/>
        <w:ind w:firstLine="480"/>
        <w:rPr>
          <w:rFonts w:ascii="Times New Roman" w:hAnsi="Times New Roman" w:eastAsia="Times New Roman" w:cs="Times New Roman"/>
        </w:rPr>
      </w:pPr>
      <w:r>
        <w:rPr>
          <w:rFonts w:ascii="仿宋_GB2312" w:hAnsi="仿宋_GB2312" w:eastAsia="仿宋_GB2312" w:cs="仿宋_GB2312"/>
          <w:color w:val="000000"/>
          <w:sz w:val="28"/>
          <w:szCs w:val="28"/>
        </w:rPr>
        <w:t>无。</w:t>
      </w:r>
    </w:p>
    <w:p>
      <w:pPr>
        <w:pStyle w:val="92"/>
        <w:keepNext w:val="0"/>
        <w:spacing w:before="0" w:after="0" w:line="360" w:lineRule="auto"/>
        <w:rPr>
          <w:rFonts w:ascii="仿宋_GB2312" w:hAnsi="仿宋_GB2312" w:eastAsia="仿宋_GB2312" w:cs="仿宋_GB2312"/>
          <w:b/>
          <w:bCs/>
          <w:sz w:val="28"/>
          <w:szCs w:val="28"/>
        </w:rPr>
      </w:pPr>
      <w:bookmarkStart w:id="13" w:name="_Toc256000009"/>
      <w:r>
        <w:rPr>
          <w:rFonts w:ascii="仿宋_GB2312" w:hAnsi="仿宋_GB2312" w:eastAsia="仿宋_GB2312" w:cs="仿宋_GB2312"/>
          <w:sz w:val="28"/>
          <w:szCs w:val="28"/>
        </w:rPr>
        <w:t>2.1.2优选资质/优选指标</w:t>
      </w:r>
      <w:bookmarkEnd w:id="13"/>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2.1.2.1相关证书</w:t>
      </w:r>
    </w:p>
    <w:tbl>
      <w:tblPr>
        <w:tblStyle w:val="32"/>
        <w:tblW w:w="5000" w:type="pct"/>
        <w:tblInd w:w="30" w:type="dxa"/>
        <w:tblLayout w:type="autofit"/>
        <w:tblCellMar>
          <w:top w:w="15" w:type="dxa"/>
          <w:left w:w="15" w:type="dxa"/>
          <w:bottom w:w="15" w:type="dxa"/>
          <w:right w:w="15" w:type="dxa"/>
        </w:tblCellMar>
      </w:tblPr>
      <w:tblGrid>
        <w:gridCol w:w="1814"/>
        <w:gridCol w:w="3628"/>
        <w:gridCol w:w="3628"/>
      </w:tblGrid>
      <w:tr>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证书名称</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备注</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质量管理体系认证证书(ISO9001)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职业健康安全管理体系认证证书（ISO45001:2018）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环境管理体系认证证书（ISO14001:2015）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p>
        </w:tc>
      </w:tr>
    </w:tbl>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2.1.2.2成功案例</w:t>
      </w:r>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提供2022年1月1日以来（以合同签订日期为准）独立承担实施的相类似项目的成功案例。服务同一个单位分年度多次签订的案例按1个计算。（应提供合同关键页扫描件并加盖公章）</w:t>
      </w:r>
    </w:p>
    <w:p>
      <w:pPr>
        <w:pStyle w:val="92"/>
        <w:keepNext w:val="0"/>
        <w:spacing w:before="0" w:after="0" w:line="360" w:lineRule="auto"/>
        <w:rPr>
          <w:rFonts w:ascii="仿宋_GB2312" w:hAnsi="仿宋_GB2312" w:eastAsia="仿宋_GB2312" w:cs="仿宋_GB2312"/>
          <w:b/>
          <w:bCs/>
          <w:sz w:val="28"/>
          <w:szCs w:val="28"/>
        </w:rPr>
      </w:pPr>
      <w:bookmarkStart w:id="14" w:name="_Toc256000010"/>
      <w:r>
        <w:rPr>
          <w:rFonts w:ascii="仿宋_GB2312" w:hAnsi="仿宋_GB2312" w:eastAsia="仿宋_GB2312" w:cs="仿宋_GB2312"/>
          <w:sz w:val="28"/>
          <w:szCs w:val="28"/>
        </w:rPr>
        <w:t>2.1.3是否允许联合体</w:t>
      </w:r>
      <w:bookmarkEnd w:id="14"/>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否</w:t>
      </w:r>
    </w:p>
    <w:p>
      <w:pPr>
        <w:pStyle w:val="92"/>
        <w:keepNext w:val="0"/>
        <w:spacing w:before="0" w:after="0" w:line="360" w:lineRule="auto"/>
        <w:rPr>
          <w:rFonts w:ascii="仿宋_GB2312" w:hAnsi="仿宋_GB2312" w:eastAsia="仿宋_GB2312" w:cs="仿宋_GB2312"/>
          <w:b/>
          <w:bCs/>
          <w:sz w:val="28"/>
          <w:szCs w:val="28"/>
        </w:rPr>
      </w:pPr>
      <w:bookmarkStart w:id="15" w:name="_Toc256000011"/>
      <w:r>
        <w:rPr>
          <w:rFonts w:ascii="仿宋_GB2312" w:hAnsi="仿宋_GB2312" w:eastAsia="仿宋_GB2312" w:cs="仿宋_GB2312"/>
          <w:sz w:val="28"/>
          <w:szCs w:val="28"/>
        </w:rPr>
        <w:t>2.1.4是否专门面向中小企业</w:t>
      </w:r>
      <w:bookmarkEnd w:id="15"/>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本项目专门面向中小企业采购项目</w:t>
      </w:r>
    </w:p>
    <w:p>
      <w:pPr>
        <w:pStyle w:val="91"/>
        <w:keepNext w:val="0"/>
        <w:spacing w:before="0" w:after="0" w:line="360" w:lineRule="auto"/>
        <w:rPr>
          <w:rFonts w:ascii="仿宋_GB2312" w:hAnsi="仿宋_GB2312" w:eastAsia="仿宋_GB2312" w:cs="仿宋_GB2312"/>
          <w:b/>
          <w:bCs/>
          <w:sz w:val="28"/>
          <w:szCs w:val="28"/>
        </w:rPr>
      </w:pPr>
      <w:bookmarkStart w:id="16" w:name="_Toc256000012"/>
      <w:r>
        <w:rPr>
          <w:rFonts w:ascii="仿宋_GB2312" w:hAnsi="仿宋_GB2312" w:eastAsia="仿宋_GB2312" w:cs="仿宋_GB2312"/>
          <w:i w:val="0"/>
          <w:iCs w:val="0"/>
        </w:rPr>
        <w:t>2.2技术部分投标/响应内容</w:t>
      </w:r>
      <w:bookmarkEnd w:id="16"/>
    </w:p>
    <w:p>
      <w:pPr>
        <w:pStyle w:val="92"/>
        <w:keepNext w:val="0"/>
        <w:spacing w:before="0" w:after="0" w:line="360" w:lineRule="auto"/>
        <w:rPr>
          <w:rFonts w:ascii="仿宋_GB2312" w:hAnsi="仿宋_GB2312" w:eastAsia="仿宋_GB2312" w:cs="仿宋_GB2312"/>
          <w:b/>
          <w:bCs/>
          <w:sz w:val="28"/>
          <w:szCs w:val="28"/>
        </w:rPr>
      </w:pPr>
      <w:bookmarkStart w:id="17" w:name="_Toc256000013"/>
      <w:r>
        <w:rPr>
          <w:rFonts w:ascii="仿宋_GB2312" w:hAnsi="仿宋_GB2312" w:eastAsia="仿宋_GB2312" w:cs="仿宋_GB2312"/>
          <w:sz w:val="28"/>
          <w:szCs w:val="28"/>
        </w:rPr>
        <w:t>2.2.1投标/响应方案要求</w:t>
      </w:r>
      <w:bookmarkEnd w:id="17"/>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以下相关方案，若作为评审因素，则投标人应在满足★必备指标项要求的前提下，根据项目特点和采购需求，制定更为完整、详细、可操作性强的方案。</w:t>
      </w:r>
    </w:p>
    <w:p>
      <w:pPr>
        <w:pStyle w:val="95"/>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以下相关方案，若作为评审因素，则投标人应在满足★关键指标项要求的前提下，根据项目特点和采购需求，制定更为完整、详细、可操作性强的方案。</w:t>
      </w:r>
    </w:p>
    <w:p>
      <w:pPr>
        <w:pStyle w:val="93"/>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——应有健全的服务质量管理体系，包括：物业服务方案、管理制度、岗位工作标准、安全操作规程等，并制定具体的落实措施和考核办法，确保服务过程得到有效运行、控制和服务质量的持续改进；</w:t>
      </w:r>
    </w:p>
    <w:p>
      <w:pPr>
        <w:pStyle w:val="93"/>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——应确保可以获得企业内部的各种资源，建立与单位主管部门和其他相关方的服务沟通渠道，以支持服务提供的运行和控制，保障服务团队稳定性和紧急状况处置等；</w:t>
      </w:r>
    </w:p>
    <w:p>
      <w:pPr>
        <w:pStyle w:val="93"/>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——应有健全的各项财务管理制度，收费、会计核算、税收等财务管理工作应严格执行国家、当地有关规定，每年报告一次物业服务费用收支情况；</w:t>
      </w:r>
    </w:p>
    <w:p>
      <w:pPr>
        <w:pStyle w:val="93"/>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应有完善的物业管理服务档案管理制度，档案齐全，专人保管，查阅方便。物业管理服务档案内容至少应包括：物业竣工验收档案、物业服务承接查验档案、用户档案、房屋及其配套设施权属清册、设施设备台帐和管理维修档案和物业服务日常管理档案。</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——人员管理：应建立人员行为规范（包括统一着装、佩戴标识、仪表仪容整洁等）、职业素质与技能培训机制、从业人员保密制度、人员激励及处罚机制等；</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——沟通汇报机制：应与客户建立沟通和信息反馈汇报机制，主动、及时将物业管理工作情况及突发事件报告办公楼后勤主管负责人；</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风险与应急管理联动机制：应识别办公楼物业管理服务中可能存在的风险，明确物业管理中的主要风险、重大危险源和安全隐患并采取相应的控制措施。应建立突发事件应急救援队伍，制定突发事件应急预案，配备应急物资，建立与采购人、相关的社会救援力量和政府部门的应急联动机制；</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——重大活动后勤保障: 配合采购人制订重大活动后勤保障工作流程，需对任务进行详细了解，并根据工作安排制定详细的后勤保障计划。按计划在关键区域和重点部位进行部署，确保任务顺利进行，对活动区域进行全面安全检查，发现并排除安全隐患，对车辆进行有序引导和管理，确保交通安全畅通，以礼貌、专业的态度对待来宾，展现良好形象。活动结束后对现场进行检查，做好清理工作。</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——服务改进: 明确负责人，定期对物业服务过程进行自查，结合反馈意见与评价结果采取改进措施，持续提升管理与服务水平。对不合格服务的原因进行识别和分析，及时采取纠正措施，防止不合格再发生。</w:t>
      </w:r>
    </w:p>
    <w:p>
      <w:pPr>
        <w:pStyle w:val="90"/>
        <w:keepNext w:val="0"/>
        <w:spacing w:before="0" w:after="0" w:line="360" w:lineRule="auto"/>
        <w:jc w:val="center"/>
        <w:rPr>
          <w:rFonts w:ascii="仿宋_GB2312" w:hAnsi="仿宋_GB2312" w:eastAsia="仿宋_GB2312" w:cs="仿宋_GB2312"/>
          <w:b/>
          <w:bCs/>
          <w:sz w:val="32"/>
          <w:szCs w:val="32"/>
        </w:rPr>
      </w:pPr>
      <w:bookmarkStart w:id="18" w:name="_Toc256000014"/>
      <w:r>
        <w:rPr>
          <w:rFonts w:ascii="仿宋_GB2312" w:hAnsi="仿宋_GB2312" w:eastAsia="仿宋_GB2312" w:cs="仿宋_GB2312"/>
          <w:kern w:val="36"/>
        </w:rPr>
        <w:t>3项目需求</w:t>
      </w:r>
      <w:bookmarkEnd w:id="18"/>
    </w:p>
    <w:p>
      <w:pPr>
        <w:pStyle w:val="91"/>
        <w:keepNext w:val="0"/>
        <w:spacing w:before="0" w:after="0" w:line="360" w:lineRule="auto"/>
        <w:rPr>
          <w:rFonts w:ascii="仿宋_GB2312" w:hAnsi="仿宋_GB2312" w:eastAsia="仿宋_GB2312" w:cs="仿宋_GB2312"/>
          <w:b/>
          <w:bCs/>
          <w:sz w:val="28"/>
          <w:szCs w:val="28"/>
        </w:rPr>
      </w:pPr>
      <w:bookmarkStart w:id="19" w:name="_Toc256000015"/>
      <w:r>
        <w:rPr>
          <w:rFonts w:ascii="仿宋_GB2312" w:hAnsi="仿宋_GB2312" w:eastAsia="仿宋_GB2312" w:cs="仿宋_GB2312"/>
          <w:i w:val="0"/>
          <w:iCs w:val="0"/>
        </w:rPr>
        <w:t>3.1总体要求</w:t>
      </w:r>
      <w:bookmarkEnd w:id="19"/>
    </w:p>
    <w:p>
      <w:pPr>
        <w:pStyle w:val="93"/>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1.综合保障物业服务（以下简称综合服务）：发挥服务管理职能，提供相应保障服务;</w:t>
      </w:r>
    </w:p>
    <w:p>
      <w:pPr>
        <w:pStyle w:val="93"/>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2.房屋及设备设施维护：保持房屋建筑的完好和设施设备的正常运行；</w:t>
      </w:r>
    </w:p>
    <w:p>
      <w:pPr>
        <w:pStyle w:val="93"/>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3共用设施设备管理：消防系统、安防监控系统、门禁系统等管理服务，保证设施设备正常运行；</w:t>
      </w:r>
    </w:p>
    <w:p>
      <w:pPr>
        <w:pStyle w:val="93"/>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4.公共秩序维护：提供全天候公共秩序维护服务和安全服务，保证正常办公秩序;</w:t>
      </w:r>
    </w:p>
    <w:p>
      <w:pPr>
        <w:pStyle w:val="93"/>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5.环境保洁：按时完成规定的环境保洁服务，提供整洁、卫生、安全、美观的环境;</w:t>
      </w:r>
    </w:p>
    <w:p>
      <w:pPr>
        <w:pStyle w:val="93"/>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6.会议服务：会议受理、会前准备、会中服务、会后清理等服务；</w:t>
      </w:r>
    </w:p>
    <w:p>
      <w:pPr>
        <w:pStyle w:val="93"/>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7.特约服务：餐饮服务、清雪服务、地毯清洗等专业服务；</w:t>
      </w:r>
    </w:p>
    <w:p>
      <w:pPr>
        <w:pStyle w:val="93"/>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8.突发事件应急管理：对自然灾害、事故灾害、公共卫生事件和社会安全事件等突发公共事件建立应急预案，并组织实施培训、演习、评价和改进，事发时按规定途径及时告知客户、有关部门，并采取相应措施；</w:t>
      </w:r>
    </w:p>
    <w:p>
      <w:pPr>
        <w:pStyle w:val="93"/>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9.绿色物业管理：在保证物业管理和服务质量的前提下，通过科学管理、技术改造和行为引导，有效降低各类物业运行能耗，节约资源和保护环境等相关工作；</w:t>
      </w:r>
    </w:p>
    <w:p>
      <w:pPr>
        <w:pStyle w:val="93"/>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10.标准化建设：按政务服务标准化要求协助完成相关工作。</w:t>
      </w:r>
    </w:p>
    <w:p>
      <w:pPr>
        <w:pStyle w:val="91"/>
        <w:keepNext w:val="0"/>
        <w:spacing w:before="0" w:after="0" w:line="360" w:lineRule="auto"/>
        <w:rPr>
          <w:rFonts w:ascii="仿宋_GB2312" w:hAnsi="仿宋_GB2312" w:eastAsia="仿宋_GB2312" w:cs="仿宋_GB2312"/>
          <w:b/>
          <w:bCs/>
          <w:sz w:val="28"/>
          <w:szCs w:val="28"/>
        </w:rPr>
      </w:pPr>
      <w:bookmarkStart w:id="20" w:name="_Toc256000016"/>
      <w:r>
        <w:rPr>
          <w:rFonts w:ascii="仿宋_GB2312" w:hAnsi="仿宋_GB2312" w:eastAsia="仿宋_GB2312" w:cs="仿宋_GB2312"/>
          <w:i w:val="0"/>
          <w:iCs w:val="0"/>
        </w:rPr>
        <w:t>3.2服务内容和要求</w:t>
      </w:r>
      <w:bookmarkEnd w:id="20"/>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采购文件（技术部分）中有标注★号的，为必备要求，必须满足，如未作出响应，将导致响应无效；#为重要内容、△为一般内容。</w:t>
      </w:r>
    </w:p>
    <w:p>
      <w:pPr>
        <w:pStyle w:val="92"/>
        <w:keepNext w:val="0"/>
        <w:spacing w:before="0" w:after="0" w:line="360" w:lineRule="auto"/>
        <w:rPr>
          <w:rFonts w:ascii="仿宋_GB2312" w:hAnsi="仿宋_GB2312" w:eastAsia="仿宋_GB2312" w:cs="仿宋_GB2312"/>
          <w:b/>
          <w:bCs/>
          <w:sz w:val="28"/>
          <w:szCs w:val="28"/>
        </w:rPr>
      </w:pPr>
      <w:bookmarkStart w:id="21" w:name="_Toc256000017"/>
      <w:r>
        <w:rPr>
          <w:rFonts w:ascii="仿宋_GB2312" w:hAnsi="仿宋_GB2312" w:eastAsia="仿宋_GB2312" w:cs="仿宋_GB2312"/>
          <w:sz w:val="28"/>
          <w:szCs w:val="28"/>
        </w:rPr>
        <w:t>3.2.1技术和服务客观指标</w:t>
      </w:r>
      <w:bookmarkEnd w:id="21"/>
    </w:p>
    <w:p>
      <w:pPr>
        <w:pStyle w:val="94"/>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3.2.1.1具体内容</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b/>
          <w:bCs/>
          <w:sz w:val="28"/>
          <w:szCs w:val="28"/>
        </w:rPr>
        <w:t>1.综合服务</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（1）接待服务</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——应设立物业管理服务中心，设立服务电话，24小时值班；</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——热情接待客户，受理有关咨询、会议安排、求助、建议、问询、质疑、投诉等。</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（2）信息公示</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——物业服务企业营业执照、物业服务组织架构、服务流程、服务时间、服务咨询和投诉方式；</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——物业管理服务工作情况定期报告或公示；</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——外墙清洗、虫害消杀等影响客户办公的作业计划；</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——社会公共保障部门的通知，如恶劣天气、停电停水等；</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——信息公示应与建筑物标识系统保持协调，表达简洁易懂。</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（3）投诉处理</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——建立物业管理服务投诉渠道，如投诉电话、网站、微信号、意见箱等，公布投诉处理流程；</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——对受理的投诉，应核实情况，及时处理并对客户提出的投诉进行答复；</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——属于物业服务责任的，应向客户道歉，及时处理或纠正；</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——不属于物业服务责任的，应耐心做好解释工作并提供必要的帮助；</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——受理、处置投诉应留存记录。</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（4）客户意见征集、处理</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——建立健全调查制度、调查问卷、回访统计表、原因分析及整改措施记录。回访调查表、调查问卷应为收录用户签名的原始记录；</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——回访：投诉处理完毕后均应进行回访，并留有回访调查表、回访统计表；</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——综合满意度调查：每年至少一次，向客户采用走访、问卷调查等形式，开展物业管理服务满意度调查，并对调查结果进行分析，持续改进；</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——及时反馈客户动态信息；客户日常反馈的意见应及时处理，并留有记录。</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（5）信报收发</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——负责办公楼内客户的挂号信件、报纸、包裹等的签收、登记工作；</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——对挂号信（含特快专递）、汇款单、包裹单，应填写好通知单并分发到信箱；对特快专递邮件应负责通知到单位或个人，并有领取签字手续；</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——挂号信的分发严格按照签收登记执行，领取人需本人持有效证件签字确认，代领应持代领人和被领人的有效证件，登记姓名和领取日期，做到有据可查；</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——当天的信函、报刊、印刷品应当天分发，并做到准确、及时；</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——分发报纸、杂志应认真核对，保证数量，准确无误,投递差错率不超过1%；</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——对地址不详或未写清信箱号的信函、汇款单、包裹单及印刷品等邮件，由收发人员负责查找收件人，如查无此人，应负责及时办理退回手续。</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（6）标识管理</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——物业管理服务标识应与办公楼建筑标识保持协调；</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——图形符号应符合GB/T1001.1《标志用公共信息图形符号 第1部分：通用符号》要求，消防与安全警示标识应符合GB2894《安全标志》、GB13495《消防安全标志》的要求；</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——各类标识的悬挂（摆放）应安全、正规、醒目、便利、协调、无涂改、文字规范。</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（7）档案管理</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sz w:val="28"/>
          <w:szCs w:val="28"/>
        </w:rPr>
        <w:t>——按采购人要求做好有关档案管理工作，建立设施设备维护检测记录、运行值班日记等物业档案管理内容。</w:t>
      </w:r>
    </w:p>
    <w:p>
      <w:pPr>
        <w:pStyle w:val="98"/>
        <w:spacing w:before="0" w:after="0" w:line="360" w:lineRule="auto"/>
        <w:ind w:firstLine="561"/>
        <w:rPr>
          <w:rFonts w:ascii="Times New Roman" w:hAnsi="Times New Roman" w:eastAsia="Times New Roman" w:cs="Times New Roman"/>
          <w:sz w:val="28"/>
          <w:szCs w:val="28"/>
        </w:rPr>
      </w:pPr>
      <w:r>
        <w:rPr>
          <w:rFonts w:ascii="仿宋_GB2312" w:hAnsi="仿宋_GB2312" w:eastAsia="仿宋_GB2312" w:cs="仿宋_GB2312"/>
          <w:b/>
          <w:bCs/>
          <w:sz w:val="28"/>
          <w:szCs w:val="28"/>
        </w:rPr>
        <w:t>2.房屋及设备设施维护</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（1）通用要求及范围</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按照各地的规章要求执行，如当地为《房屋建筑使用安全检查技术规程》（DB11/T1004），定期对房屋结构、外墙面、屋顶、公共通道、门厅、楼梯、上下水系统、供电设备等部位日常维护、巡检，发现问题及时维修，确保办公楼（区）的各个系统正常使用；</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——在建筑物保修期内应重点检查房屋建筑尚存的质量问题（包括房屋建筑质量、设备设施质量、安装技术等方面），发现问题应立刻上报维修；</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——组织或协助进行房屋安全普查和房屋完损等级评定，每年一次，保证房屋完好率达到100%。各种标识完好、有效；</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——工作标准：维修及时率95%以上；维修质量合格率95%以上；维修客户满意率95%以上；返修率不高于1%；</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到达现场时限：一般故障维修人员应在15分钟内到达现场，如：门、窗、锁、灯、电话、卫生间设施、公共区域等；紧急故障维修人员应在10分钟内到达现场，如：跑、冒、滴、漏、空调、照明等设备停运、室温、噪音、异味问题等；</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——修复时限：零维修服务不需换件的当时完成，一般情况不超过24小时完成，延时修复不超过3个工作日完成；有需要采购等特殊情况的，与客户约定时间，并采取临时措施；</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维修服务要求：工作时间受理客户报修，非工作时间由值班人员受理客户报修；维修人员前往维修现场时携带工具箱、维修配件，必要时携带梯子；应做到维修（报修）单填写准确、齐全，及时完成维修任务； </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——维修服务回访：维修完成后24小时内进行维修服务回访，及时了解维修服务的满意度；</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——房屋及共用设施设备档案资料齐全，分类成册，管理完善，查阅方便。</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（2）土建小修</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①室内地面、散水小修</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——小修内容：楼面或地面的块料面层松动的、散水严重损坏影响其功能的，应修补。楼面或地面的块料面层损坏、残缺的，应修复；如磨损过薄影响安全的，应局部拆换；</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——质量要求：维修后应平整、光滑、接槎平顺。</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②室内墙面及顶棚小修</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——小修内容：内墙、踢脚线及顶棚抹灰空鼓、剥落的应修补；</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——质量要求：维修后的内墙面及顶棚应恢复原有使用功能，抹面应接槎平整、不开裂、不空鼓、不起泡、不翘边，层面与基层结合牢固。</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③检修门窗小修</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 ——小修内容：门锁损坏、门窗松动、门窗扇开关不灵活、开焊、小五金缺损的应进行修补、更换；</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 ——质量要求：维修后的门窗应开关灵活不松动，框与墙体结合牢固，五金齐全。玻璃装钉牢固，窗纱紧绷，不露纱头。</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④清扫屋面、雨落管等小修</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——小修内容：每月将屋面、雨水口积存的杂物清扫干净；雨落管局部残缺、破损应更换；</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——质量要求：屋面应清扫干净，雨落管维修后应补齐五金配件。</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⑤屋面补漏小修</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——小修内容：屋面局部滴漏以至影响使用的属于屋面局部补漏范围</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——质量要求：屋面应清扫干净，维修后屋面不再有滴漏现象。</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（3）上下水系统小修</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①室内给水系统小修、局部换管</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——小修内容：楼内管道锈蚀脱皮的，应及时清除干净后，做防锈处理，管道锈蚀严重的，应予以更换；给水系统漏水的，应进行修理，严重的，予以更换，零件残缺的应予以补齐。</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——质量要求：经修缮的给水系统通畅，部件应配齐全，无跑、冒、滴、漏现象，能正常使用。</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②卫生设备</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——小修内容：卫生设备及配件残缺的应配齐，破损的应维修；</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——质量要求：修缮后应做到给排水畅通，各部位零件齐全、灵活、有效，无跑、冒、滴、漏现象，能正常使用。</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③排水、排污管道等</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——小修内容：楼房排污管道堵塞、排污不畅通的应疏通，配件残缺应补齐；</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——质量要求：楼房排污管道经疏通后，应达到排污管道畅通，不滴水，达到井体、池体、井圈、井盖、池盖完好。</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（4）供电设备设施小修标准</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①室内设备</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——小修内容：闸具、电源插座、开关、灯头、灯泡、灯管等；</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——质量要求：正常使用。</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②配电线路</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——小修内容：末端线路、支持物；</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——质量要求：绝缘良好完整可靠。</w:t>
      </w:r>
    </w:p>
    <w:p>
      <w:pPr>
        <w:pStyle w:val="98"/>
        <w:spacing w:before="0" w:after="0" w:line="360" w:lineRule="auto"/>
        <w:ind w:firstLine="562"/>
        <w:rPr>
          <w:rFonts w:ascii="Times New Roman" w:hAnsi="Times New Roman" w:eastAsia="Times New Roman" w:cs="Times New Roman"/>
          <w:sz w:val="28"/>
          <w:szCs w:val="28"/>
        </w:rPr>
      </w:pPr>
      <w:r>
        <w:rPr>
          <w:rFonts w:ascii="仿宋_GB2312" w:hAnsi="仿宋_GB2312" w:eastAsia="仿宋_GB2312" w:cs="仿宋_GB2312"/>
          <w:b/>
          <w:bCs/>
          <w:sz w:val="28"/>
          <w:szCs w:val="28"/>
        </w:rPr>
        <w:t>3.共用设施设备管理</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（1）通用要求及范围（设备、制度、节能管理）</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①设备管理</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——设备环境整洁，无杂物，有防鼠措施，符合设备运行要求，按规范配备消防器材；</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——明确设备管理、安全责任人；</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——设备及重点部位有完善的安全管理措施，各种标识完整有效；</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②节能降耗</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——对水电气热等能源消耗情况进行统计分析，配合后勤管理部门控制能源费用支出，制定节能降耗措施；</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——后勤管理部门按国家有关规定推广使用绿色节能建材或进行局部节能改造时，应配合做好施工现场的必要支持和安全工作，同时做好后期新材料、新设备设施的使用和维护工作；</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——配合后勤管理部门执行好节能改造运行工作中的各项任务要求；</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——配合后勤管理部门严格执行国家要求的冬夏季室温控制标准；</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——配合采购人定期进行节能降耗宣传；</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——制定物业公司员工节能降耗行为规范。</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（2）供电系统（含避雷设备、公共照明系统、室内设施及配电线路的小修）</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①运行管理</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——统筹规划，做到合理、节约用电；</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——设备出现故障时，维修人员应在规定时间内到达现场，及时修复；</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——严格执行用电安全规范，确保用电安全；</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——保证避雷设施完好、有效、安全；</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——制度完善，执行有力；</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——有事故应急预案并定期演练；</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——监视和维护运行中的电器设备的各项参数，参数值应在规定的范围内；</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——检查、运行、维护记录清晰</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②设备维护</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——监视和维修运行中的电气设备，检查高低压配电指示灯、电压表、电流表指示是否正确，有功、无功仪表是否正常，以保证其正常运行方式。确保管辖范围内的电气设备安全、运行经济；</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——值班人员应按照有关安全操作规程，完成电气设备的倒闸等工作程序；</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——定期有专人对电气用具进行巡视检查；</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——定期巡视配电竖井内电气设备。</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③其他</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——负责所辖区域的照明系统及电源的安全运行工作；</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——加强日常维护检修，确保办公楼宇的照明灯具、开关、闸盒及电气设备的正常使用；</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——保证夜景照明、法定节假日照明的按时开启及系统的正常运行；</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——定期按时开关庭院灯及特殊区域的照明灯具；</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——定期根据巡视情况及时维护楼内各种照明灯具；</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——节约用电，符合市政府规定的办公楼节电要求。</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（3）供暖</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①运行管理</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——按照采购人要求配合专业供热部门（公司）做好日常运行管理。</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②供暖</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——供暖设备、煤气设备、燃气设备运行正常；</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——管道、阀门运行正常无隐患；</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——冬季供暖室内温度不得低于20摄氏度；若低于20摄氏度需及时和供热部门沟通,调节室内温度至标准温度。</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——根据天气情况，相应调节供暖设备运行工况。</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（4）空调日常维修养护</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——定期对空调设备进行巡视检查；</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——定期清洗、更换过滤网；</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——定期清洗、消毒送风机、风口；</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——系统换季开、停机时按要求进行保养；</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——遇有故障，维修人员在规定时间内进行抢修。</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（5）给排水系统（含上下水管道更换、卫生间设备、排水排污管道等）</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①管道、设施及相关阀件</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——管道畅通、无渗漏水现象；</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——定期巡视卫生间、开水房及洗漱间，及时维修并做好记录；</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——各种设施、相关阀件无跑、冒、滴、漏现象，开关灵活；</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——注重季节性预防养护，特别是冬季室外各类水管的防冻保温工作。</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②落水管、沟渠</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——落水管、沟渠等使用功能正常，畅通、无堵塞；</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——室外管井定期巡查，发现问题及时维修，并做好记录；</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——井盖及雨</w:t>
      </w:r>
      <w:r>
        <w:rPr>
          <w:rFonts w:hint="eastAsia" w:ascii="仿宋_GB2312" w:hAnsi="仿宋_GB2312" w:eastAsia="仿宋_GB2312" w:cs="仿宋_GB2312"/>
          <w:sz w:val="28"/>
          <w:szCs w:val="28"/>
          <w:lang w:val="en-US" w:eastAsia="zh-CN"/>
        </w:rPr>
        <w:t>水箅</w:t>
      </w:r>
      <w:bookmarkStart w:id="40" w:name="_GoBack"/>
      <w:bookmarkEnd w:id="40"/>
      <w:r>
        <w:rPr>
          <w:rFonts w:ascii="仿宋_GB2312" w:hAnsi="仿宋_GB2312" w:eastAsia="仿宋_GB2312" w:cs="仿宋_GB2312"/>
          <w:sz w:val="28"/>
          <w:szCs w:val="28"/>
        </w:rPr>
        <w:t>子的管理，确保完好无损；</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——楼内污水池定期巡视并对污水泵进行手动启动检查；</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——定期清掏化粪池、污水池。</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③电热水器</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——电热水器保持洁净、光亮、无污迹；</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——保证规定时间内的开水供应；</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——维修及时，无延误；</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——定期除碱、消毒，保证无水垢；</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——严格执行操作规程，按规范启动、关闭；</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——电热水器严格卫生安全用水，电热水箱上锁，钥匙专人保管。</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④其他</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——标识完好，制度上墙；</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——加强日常巡视检查，保证给排水系统的正常运行；</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——设备出现故障时，维修人员及时修复；</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——节约用水符合市政府规定的办公楼节水要求。</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（6）消防系统</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——对建筑消防设施每年至少进行一次全面检测，确保完好有效，检测记录应当完整准确，存档备查；</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——定期进行巡检和维护，定期对烟感、防火卷帘门进行抽测；</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——公共区域设备设施安全、整洁、标识清晰有效；</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如发生火灾报警，应立即赶到现场确认，若有火情应及时通知相关部门及领导，同时协助采购人立即进行人员疏散、组织灭火，维持现场秩序；切断火灾区域非消防用电，关闭燃气等；保持物业管理服务区域的消防通道、安全出口、消防登高面通畅；接应消防车到达火灾现场；</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——制定火灾发生紧急预案并定期演练。</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（7）安防监控系统</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——监控信息按规定时间保存；</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——监控系统应定期检查、维护，确保系统功能运行正常,遇有设备故障及时排除。</w:t>
      </w:r>
    </w:p>
    <w:p>
      <w:pPr>
        <w:pStyle w:val="98"/>
        <w:spacing w:before="0" w:after="0" w:line="360" w:lineRule="auto"/>
        <w:ind w:firstLine="562"/>
        <w:rPr>
          <w:rFonts w:ascii="Times New Roman" w:hAnsi="Times New Roman" w:eastAsia="Times New Roman" w:cs="Times New Roman"/>
          <w:sz w:val="28"/>
          <w:szCs w:val="28"/>
        </w:rPr>
      </w:pPr>
      <w:r>
        <w:rPr>
          <w:rFonts w:ascii="仿宋_GB2312" w:hAnsi="仿宋_GB2312" w:eastAsia="仿宋_GB2312" w:cs="仿宋_GB2312"/>
          <w:b/>
          <w:bCs/>
          <w:sz w:val="28"/>
          <w:szCs w:val="28"/>
        </w:rPr>
        <w:t>4.公共秩序管理</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（1）秩序维护</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①门卫服务</w:t>
      </w:r>
    </w:p>
    <w:p>
      <w:pPr>
        <w:pStyle w:val="18"/>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   ——服务内容：</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秩序维护员通过对采购人单位出入口进行值守、验证、检查登记，维护客户安全；查验出入人员的证件，办理登记手续，禁止无关人员进入；对出入的人员、车辆及其携带或装运的物品进行查验，防止采购人单位财物流失及违禁物品流入；指挥、疏导出入车辆，维护出入口的正常秩序；及时发现不法行为人，截获赃物，做好安全防范工作；协助采购人单位做好来访人员接待等工作；遇有重要活动，按照采购人安排配合完成相关工作；按规定填写岗位工作记录。</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——岗位要求：</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熟记采购人单位有关门卫规章制度、出入手续，使用的各种证件、标志、车辆的牌号等；了解门卫区域内的环境状况和安全措施；熟悉和掌握单位内部机构的分布、位置、联系方式；基本熟悉和掌握采购人单位内部人员情况；熟练使用本岗位配备的各种器械及工具装备；遵守保密制度规定，定期进行保密教育。</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②巡逻服务</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——服务内容：</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秩序维护员通过对特定区域、地段和目标进行的巡视检查、警戒；检查、发现、报告并及时消除各种安全隐患。防止火灾、爆炸等事故或抢劫、盗窃等不法侵害；在巡逻过程中，对己经发生的不法侵害案件或治安灾害事故，应及时报告上级主管部门和公安单位，并采取相应措施保护现场；按规定做好巡逻记录。</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——岗位要求：</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执行巡逻任务的秩序维护员，应熟悉有关制度、规定及巡逻区域的重点目标；熟悉岗位周围的地形、地物及设施，熟悉应急设备的位置、性能和使用方法；熟记与有关部门、人员的联系方式；熟练掌握处置一般问题和紧急情况的方法，自身解决不了的，能及时、准确报告；遇有正在实施的不法侵害行为时，应迅速报告，并依法采取必要措施予以制止，期间防止其行凶、自杀或逃跑。遇有火灾、爆炸等事故，应立即报警，并及时通知采购人单位，采取措施防止事态扩大。要积极协助抢救受伤人员，并做好保护现场工作。</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③监控安防</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——办公楼的监视监控设施应24小时开通，执行双人值班制度，保持完整的监控记录，保证对办公楼安全出入口、内部重点区域的安全监控、录像及协助布警；</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——监控中心收到火情、险情及其他异常情况报警信号后，应按流程规定及时向有关人员或部门报告，并安排保安人员及时赶到现场进行前期处理；</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——监控的录入资料应至少保持30天，有特殊要求的参照相关规定或行业标准执行；</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——保障治安电话、紧急救援电话畅通，接听及时；</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——不得泄露和传播监控录像内容，非经后勤主管部门领导批准和相关查看手续准予，不外借录像资料；</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——按规定填写值班记录。</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（2）消防安全</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——建立消防设备设施台账，了解掌握消防设备设施使用状态，确保消防通道畅通；</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——配合采购人保卫部门做好消防器材、标识标牌的日常检查与更新工作；</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——定期开展消防培训和演习，签订安全责任书，保证值守人员掌握基本消防技能、熟练掌握防火、灭火知识、消防安全四个能力与消防安全四个知道及消防器材的使用方法，有自防自救能力；</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——值守人员为第一义务消防员，具备应急突发事件处理能力；</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——针对火灾、治安以及公共安全卫生制定各类应急预案，落实到位，及时报告，协助相关部门及人员采取应对措施。</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（3）停车场管理</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①机动车辆</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——严格执行车辆出入登记；</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——协助驾驶员将车辆停放整齐和挪车服务；</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——维护停车场秩序，车辆停放有序；</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——停车设施安全有效；</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——主要道路及停车场应设必要标识；</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——对违规的机动车辆进行劝阻；</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——发现车辆有异常情况，应及时联系车主或向上级报告。</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②非机动车辆</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——为进入办公楼内的非机动车辆提供指定区域有序停放的服务。在场地内的车辆必须码放整齐，禁止乱停乱放；</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——严格遵守岗位执勤规范，避免丢失事故发生；</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——电动车充电应符合规范及采购人单位规定；</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——原则上应拒绝共享单车进入管理区域。</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（4）紧急情况的处置</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 当发生干扰、破坏采购人单位正常的生产、生活、工作秩序的特殊情况时，秩序维护员应按照应急工作预案，迅速将有关情况报告采购人单位或当地公安单位。协助做好疏导工作，维护正常秩序。</w:t>
      </w:r>
    </w:p>
    <w:p>
      <w:pPr>
        <w:pStyle w:val="98"/>
        <w:spacing w:before="0" w:after="0" w:line="360" w:lineRule="auto"/>
        <w:ind w:firstLine="562"/>
        <w:rPr>
          <w:rFonts w:ascii="Times New Roman" w:hAnsi="Times New Roman" w:eastAsia="Times New Roman" w:cs="Times New Roman"/>
          <w:sz w:val="28"/>
          <w:szCs w:val="28"/>
        </w:rPr>
      </w:pPr>
      <w:r>
        <w:rPr>
          <w:rFonts w:ascii="仿宋_GB2312" w:hAnsi="仿宋_GB2312" w:eastAsia="仿宋_GB2312" w:cs="仿宋_GB2312"/>
          <w:b/>
          <w:bCs/>
          <w:sz w:val="28"/>
          <w:szCs w:val="28"/>
        </w:rPr>
        <w:t>5.环境保洁服务</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（1）保洁服务</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①一般要求</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——卫生设施完备、清洁、无异味，垃圾实施分类管理；</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——明确清洁人员责任范围，实行标准化清洁；</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——垃圾分类，日产日清，定期消毒灭杀；</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——房屋共用部位保持清洁，无擅自占用和堆放杂物；</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——清洁工具分区分类定点摆放，整齐、干净；</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——保洁服务人员岗前培训工作到位，个人卫生保持良好；</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——建立保洁、消杀档案，填写工作记录。</w:t>
      </w:r>
    </w:p>
    <w:p>
      <w:pPr>
        <w:pStyle w:val="98"/>
        <w:spacing w:before="0" w:after="0" w:line="360" w:lineRule="auto"/>
        <w:ind w:firstLine="420"/>
        <w:jc w:val="both"/>
        <w:rPr>
          <w:rFonts w:ascii="Times New Roman" w:hAnsi="Times New Roman" w:eastAsia="Times New Roman" w:cs="Times New Roman"/>
          <w:sz w:val="28"/>
          <w:szCs w:val="28"/>
        </w:rPr>
      </w:pPr>
      <w:r>
        <w:rPr>
          <w:rFonts w:ascii="仿宋_GB2312" w:hAnsi="仿宋_GB2312" w:eastAsia="仿宋_GB2312" w:cs="仿宋_GB2312"/>
          <w:sz w:val="28"/>
          <w:szCs w:val="28"/>
        </w:rPr>
        <w:t>②清洁对象及标准</w:t>
      </w:r>
    </w:p>
    <w:p>
      <w:pPr>
        <w:pStyle w:val="98"/>
        <w:spacing w:before="0" w:after="0" w:line="360" w:lineRule="auto"/>
        <w:ind w:firstLine="420"/>
        <w:jc w:val="both"/>
        <w:rPr>
          <w:rFonts w:ascii="Times New Roman" w:hAnsi="Times New Roman" w:eastAsia="Times New Roman" w:cs="Times New Roman"/>
          <w:sz w:val="28"/>
          <w:szCs w:val="28"/>
        </w:rPr>
      </w:pPr>
      <w:r>
        <w:rPr>
          <w:rFonts w:ascii="仿宋_GB2312" w:hAnsi="仿宋_GB2312" w:eastAsia="仿宋_GB2312" w:cs="仿宋_GB2312"/>
          <w:sz w:val="28"/>
          <w:szCs w:val="28"/>
        </w:rPr>
        <w:t>各区域清洁对象及标准如表2。</w:t>
      </w:r>
    </w:p>
    <w:p>
      <w:pPr>
        <w:pStyle w:val="98"/>
        <w:spacing w:before="0" w:after="0" w:line="360" w:lineRule="auto"/>
        <w:jc w:val="center"/>
        <w:rPr>
          <w:rFonts w:ascii="Times New Roman" w:hAnsi="Times New Roman" w:eastAsia="Times New Roman" w:cs="Times New Roman"/>
          <w:sz w:val="28"/>
          <w:szCs w:val="28"/>
        </w:rPr>
      </w:pPr>
      <w:r>
        <w:rPr>
          <w:rFonts w:ascii="仿宋_GB2312" w:hAnsi="仿宋_GB2312" w:eastAsia="仿宋_GB2312" w:cs="仿宋_GB2312"/>
          <w:b/>
          <w:bCs/>
          <w:sz w:val="28"/>
          <w:szCs w:val="28"/>
        </w:rPr>
        <w:t>表2 各区域的清洁对象及标准</w:t>
      </w:r>
    </w:p>
    <w:tbl>
      <w:tblPr>
        <w:tblStyle w:val="99"/>
        <w:tblW w:w="8380" w:type="dxa"/>
        <w:tblCellSpacing w:w="0" w:type="dxa"/>
        <w:tblInd w:w="344" w:type="dxa"/>
        <w:tblLayout w:type="autofit"/>
        <w:tblCellMar>
          <w:top w:w="15" w:type="dxa"/>
          <w:left w:w="15" w:type="dxa"/>
          <w:bottom w:w="15" w:type="dxa"/>
          <w:right w:w="15" w:type="dxa"/>
        </w:tblCellMar>
      </w:tblPr>
      <w:tblGrid>
        <w:gridCol w:w="921"/>
        <w:gridCol w:w="1361"/>
        <w:gridCol w:w="2156"/>
        <w:gridCol w:w="3942"/>
      </w:tblGrid>
      <w:tr>
        <w:tblPrEx>
          <w:tblCellMar>
            <w:top w:w="15" w:type="dxa"/>
            <w:left w:w="15" w:type="dxa"/>
            <w:bottom w:w="15" w:type="dxa"/>
            <w:right w:w="15" w:type="dxa"/>
          </w:tblCellMar>
        </w:tblPrEx>
        <w:trPr>
          <w:tblCellSpacing w:w="0" w:type="dxa"/>
        </w:trPr>
        <w:tc>
          <w:tcPr>
            <w:tcW w:w="920" w:type="dxa"/>
            <w:tcBorders>
              <w:top w:val="single" w:color="000000" w:sz="8" w:space="0"/>
              <w:left w:val="single" w:color="000000" w:sz="8" w:space="0"/>
              <w:bottom w:val="single" w:color="000000" w:sz="8" w:space="0"/>
              <w:right w:val="single" w:color="000000" w:sz="8" w:space="0"/>
            </w:tcBorders>
            <w:noWrap w:val="0"/>
            <w:tcMar>
              <w:top w:w="0" w:type="dxa"/>
              <w:left w:w="128" w:type="dxa"/>
              <w:bottom w:w="0" w:type="dxa"/>
              <w:right w:w="128" w:type="dxa"/>
            </w:tcMar>
            <w:vAlign w:val="center"/>
          </w:tcPr>
          <w:p>
            <w:pPr>
              <w:pStyle w:val="98"/>
              <w:jc w:val="left"/>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bCs/>
                <w:i w:val="0"/>
                <w:iCs w:val="0"/>
                <w:smallCaps w:val="0"/>
                <w:color w:val="000000"/>
                <w:sz w:val="28"/>
                <w:szCs w:val="28"/>
              </w:rPr>
              <w:t>序号</w:t>
            </w:r>
          </w:p>
        </w:tc>
        <w:tc>
          <w:tcPr>
            <w:tcW w:w="1360" w:type="dxa"/>
            <w:tcBorders>
              <w:top w:val="single" w:color="000000" w:sz="8" w:space="0"/>
              <w:bottom w:val="single" w:color="000000" w:sz="8" w:space="0"/>
              <w:right w:val="single" w:color="000000" w:sz="8" w:space="0"/>
            </w:tcBorders>
            <w:noWrap w:val="0"/>
            <w:tcMar>
              <w:top w:w="0" w:type="dxa"/>
              <w:left w:w="108" w:type="dxa"/>
              <w:bottom w:w="0" w:type="dxa"/>
              <w:right w:w="128" w:type="dxa"/>
            </w:tcMar>
            <w:vAlign w:val="center"/>
          </w:tcPr>
          <w:p>
            <w:pPr>
              <w:pStyle w:val="98"/>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bCs/>
                <w:i w:val="0"/>
                <w:iCs w:val="0"/>
                <w:smallCaps w:val="0"/>
                <w:color w:val="000000"/>
                <w:sz w:val="28"/>
                <w:szCs w:val="28"/>
              </w:rPr>
              <w:t>清洁区域</w:t>
            </w:r>
          </w:p>
        </w:tc>
        <w:tc>
          <w:tcPr>
            <w:tcW w:w="2155" w:type="dxa"/>
            <w:tcBorders>
              <w:top w:val="single" w:color="000000" w:sz="8" w:space="0"/>
              <w:bottom w:val="single" w:color="000000" w:sz="8" w:space="0"/>
              <w:right w:val="single" w:color="000000" w:sz="8" w:space="0"/>
            </w:tcBorders>
            <w:noWrap w:val="0"/>
            <w:tcMar>
              <w:top w:w="0" w:type="dxa"/>
              <w:left w:w="108" w:type="dxa"/>
              <w:bottom w:w="0" w:type="dxa"/>
              <w:right w:w="128" w:type="dxa"/>
            </w:tcMar>
            <w:vAlign w:val="center"/>
          </w:tcPr>
          <w:p>
            <w:pPr>
              <w:pStyle w:val="98"/>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bCs/>
                <w:i w:val="0"/>
                <w:iCs w:val="0"/>
                <w:smallCaps w:val="0"/>
                <w:color w:val="000000"/>
                <w:sz w:val="28"/>
                <w:szCs w:val="28"/>
              </w:rPr>
              <w:t>清洁对象</w:t>
            </w:r>
          </w:p>
        </w:tc>
        <w:tc>
          <w:tcPr>
            <w:tcW w:w="3940" w:type="dxa"/>
            <w:tcBorders>
              <w:top w:val="single" w:color="000000" w:sz="8" w:space="0"/>
              <w:bottom w:val="single" w:color="000000" w:sz="8" w:space="0"/>
              <w:right w:val="single" w:color="000000" w:sz="8" w:space="0"/>
            </w:tcBorders>
            <w:noWrap w:val="0"/>
            <w:tcMar>
              <w:top w:w="0" w:type="dxa"/>
              <w:left w:w="108" w:type="dxa"/>
              <w:bottom w:w="0" w:type="dxa"/>
              <w:right w:w="128" w:type="dxa"/>
            </w:tcMar>
            <w:vAlign w:val="center"/>
          </w:tcPr>
          <w:p>
            <w:pPr>
              <w:pStyle w:val="98"/>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bCs/>
                <w:i w:val="0"/>
                <w:iCs w:val="0"/>
                <w:smallCaps w:val="0"/>
                <w:color w:val="000000"/>
                <w:sz w:val="28"/>
                <w:szCs w:val="28"/>
              </w:rPr>
              <w:t>清洁标准</w:t>
            </w:r>
          </w:p>
        </w:tc>
      </w:tr>
      <w:tr>
        <w:tblPrEx>
          <w:tblCellMar>
            <w:top w:w="15" w:type="dxa"/>
            <w:left w:w="15" w:type="dxa"/>
            <w:bottom w:w="15" w:type="dxa"/>
            <w:right w:w="15" w:type="dxa"/>
          </w:tblCellMar>
        </w:tblPrEx>
        <w:trPr>
          <w:tblCellSpacing w:w="0" w:type="dxa"/>
        </w:trPr>
        <w:tc>
          <w:tcPr>
            <w:tcW w:w="920"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98"/>
              <w:spacing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1</w:t>
            </w:r>
          </w:p>
        </w:tc>
        <w:tc>
          <w:tcPr>
            <w:tcW w:w="1360" w:type="dxa"/>
            <w:vMerge w:val="restart"/>
            <w:tcBorders>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楼内大厅、走廊</w:t>
            </w: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天花板、灯罩、排风口</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清洁干净，无尘、无污、无网状物。</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墙壁及踢脚板</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无尘土、无手印、无污渍。</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办公室内标牌、开关面板、窗台</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整洁干净，无污渍、尘土。</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消防栓箱</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内外整洁、干净、内部设施完好无缺。</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玻璃门及窗体玻璃窗框、门框</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干净，无手印、无污迹，无尘土。</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地板</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光亮，无杂物、无污渍、无尘土、无垃圾。</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地毯</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清洁，无杂物、无污渍、无尘土。</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tcW w:w="2155" w:type="dxa"/>
            <w:vMerge w:val="restart"/>
            <w:tcBorders>
              <w:bottom w:val="nil"/>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大厅、走廊内摆放物品</w:t>
            </w:r>
          </w:p>
        </w:tc>
        <w:tc>
          <w:tcPr>
            <w:tcW w:w="3940" w:type="dxa"/>
            <w:vMerge w:val="restart"/>
            <w:tcBorders>
              <w:bottom w:val="nil"/>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表面干净、无尘土。</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bottom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bottom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r>
      <w:tr>
        <w:tblPrEx>
          <w:tblCellMar>
            <w:top w:w="15" w:type="dxa"/>
            <w:left w:w="15" w:type="dxa"/>
            <w:bottom w:w="15" w:type="dxa"/>
            <w:right w:w="15" w:type="dxa"/>
          </w:tblCellMar>
        </w:tblPrEx>
        <w:trPr>
          <w:tblCellSpacing w:w="0" w:type="dxa"/>
        </w:trPr>
        <w:tc>
          <w:tcPr>
            <w:tcW w:w="920"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98"/>
              <w:spacing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2</w:t>
            </w:r>
          </w:p>
        </w:tc>
        <w:tc>
          <w:tcPr>
            <w:tcW w:w="1360" w:type="dxa"/>
            <w:vMerge w:val="restart"/>
            <w:tcBorders>
              <w:right w:val="single" w:color="000000" w:sz="8" w:space="0"/>
            </w:tcBorders>
            <w:noWrap w:val="0"/>
            <w:tcMar>
              <w:top w:w="0" w:type="dxa"/>
              <w:left w:w="108" w:type="dxa"/>
              <w:bottom w:w="0" w:type="dxa"/>
              <w:right w:w="128" w:type="dxa"/>
            </w:tcMar>
            <w:vAlign w:val="center"/>
          </w:tcPr>
          <w:p>
            <w:pPr>
              <w:pStyle w:val="98"/>
              <w:spacing w:after="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after="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after="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after="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after="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卫生间</w:t>
            </w:r>
          </w:p>
          <w:p>
            <w:pPr>
              <w:pStyle w:val="98"/>
              <w:spacing w:before="240" w:after="240"/>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after="240"/>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after="240"/>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墙面、门面</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洁净，无手点、无污渍、无尘土。</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玻璃镜面</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保持光亮，无水点和水渍、无手印。</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灯罩、天花板</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保证无尘土、无污渍。</w:t>
            </w:r>
          </w:p>
        </w:tc>
      </w:tr>
      <w:tr>
        <w:tblPrEx>
          <w:tblCellMar>
            <w:top w:w="15" w:type="dxa"/>
            <w:left w:w="15" w:type="dxa"/>
            <w:bottom w:w="15" w:type="dxa"/>
            <w:right w:w="15" w:type="dxa"/>
          </w:tblCellMar>
        </w:tblPrEx>
        <w:trPr>
          <w:trHeight w:val="288"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台面、洗手盆</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要求无污物、无水迹、无杂物，白洁光亮。</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大便器、小便池</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上下内外保持干净，光亮白洁，无黄垢、无毛发、无杂物。</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地面</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保持干净光洁，边角无杂物、无污迹、无水迹。</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垃圾桶</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垃圾及时清倒，垃圾袋及时更换，垃圾桶内、桶及桶后墙面保持无污迹。</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卫生间内空气</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清新无异味。</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卫生间内各种设备</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完好无损，发现损坏及时报修。</w:t>
            </w:r>
          </w:p>
        </w:tc>
      </w:tr>
      <w:tr>
        <w:tblPrEx>
          <w:tblCellMar>
            <w:top w:w="15" w:type="dxa"/>
            <w:left w:w="15" w:type="dxa"/>
            <w:bottom w:w="15" w:type="dxa"/>
            <w:right w:w="15" w:type="dxa"/>
          </w:tblCellMar>
        </w:tblPrEx>
        <w:trPr>
          <w:tblCellSpacing w:w="0" w:type="dxa"/>
        </w:trPr>
        <w:tc>
          <w:tcPr>
            <w:tcW w:w="920"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98"/>
              <w:spacing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3</w:t>
            </w:r>
          </w:p>
        </w:tc>
        <w:tc>
          <w:tcPr>
            <w:tcW w:w="1360" w:type="dxa"/>
            <w:vMerge w:val="restart"/>
            <w:tcBorders>
              <w:right w:val="single" w:color="000000" w:sz="8" w:space="0"/>
            </w:tcBorders>
            <w:noWrap w:val="0"/>
            <w:tcMar>
              <w:top w:w="0" w:type="dxa"/>
              <w:left w:w="108" w:type="dxa"/>
              <w:bottom w:w="0" w:type="dxa"/>
              <w:right w:w="128" w:type="dxa"/>
            </w:tcMar>
            <w:vAlign w:val="center"/>
          </w:tcPr>
          <w:p>
            <w:pPr>
              <w:pStyle w:val="98"/>
              <w:spacing w:after="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after="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步梯</w:t>
            </w: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楼梯内的顶板及灯具</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无尘、无污迹。</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墙面及踢脚板</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干净，无尘土、无污迹。</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扶手、栏杆</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无尘土、无污渍。</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楼道内</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无堆放杂物</w:t>
            </w:r>
          </w:p>
        </w:tc>
      </w:tr>
      <w:tr>
        <w:tblPrEx>
          <w:tblCellMar>
            <w:top w:w="15" w:type="dxa"/>
            <w:left w:w="15" w:type="dxa"/>
            <w:bottom w:w="15" w:type="dxa"/>
            <w:right w:w="15" w:type="dxa"/>
          </w:tblCellMar>
        </w:tblPrEx>
        <w:trPr>
          <w:tblCellSpacing w:w="0" w:type="dxa"/>
        </w:trPr>
        <w:tc>
          <w:tcPr>
            <w:tcW w:w="920"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98"/>
              <w:spacing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4</w:t>
            </w:r>
          </w:p>
        </w:tc>
        <w:tc>
          <w:tcPr>
            <w:tcW w:w="1360" w:type="dxa"/>
            <w:vMerge w:val="restart"/>
            <w:tcBorders>
              <w:right w:val="single" w:color="000000" w:sz="8" w:space="0"/>
            </w:tcBorders>
            <w:noWrap w:val="0"/>
            <w:tcMar>
              <w:top w:w="0" w:type="dxa"/>
              <w:left w:w="108" w:type="dxa"/>
              <w:bottom w:w="0" w:type="dxa"/>
              <w:right w:w="128" w:type="dxa"/>
            </w:tcMar>
            <w:vAlign w:val="center"/>
          </w:tcPr>
          <w:p>
            <w:pPr>
              <w:pStyle w:val="98"/>
              <w:spacing w:after="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after="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室外</w:t>
            </w:r>
          </w:p>
          <w:p>
            <w:pPr>
              <w:pStyle w:val="98"/>
              <w:spacing w:before="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保洁</w:t>
            </w: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室外环境和“门前三包”责任区</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整洁干净，无乱堆乱放，无积水。无违法张贴，无违法喷涂，无乱刻乱划。</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座椅、灯杆、路牌、护栏、园林设施、垃圾箱</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spacing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1.无水痕、无污迹、无尘土、无蛛网；</w:t>
            </w:r>
          </w:p>
          <w:p>
            <w:pPr>
              <w:pStyle w:val="98"/>
              <w:spacing w:before="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2.发现损坏，及时报修。</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雨天、雪天等</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及时做好雨水篦子清扫以及门前清雪、铲冰工作。</w:t>
            </w:r>
          </w:p>
        </w:tc>
      </w:tr>
      <w:tr>
        <w:tblPrEx>
          <w:tblCellMar>
            <w:top w:w="15" w:type="dxa"/>
            <w:left w:w="15" w:type="dxa"/>
            <w:bottom w:w="15" w:type="dxa"/>
            <w:right w:w="15" w:type="dxa"/>
          </w:tblCellMar>
        </w:tblPrEx>
        <w:trPr>
          <w:tblCellSpacing w:w="0" w:type="dxa"/>
        </w:trPr>
        <w:tc>
          <w:tcPr>
            <w:tcW w:w="920"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98"/>
              <w:spacing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5</w:t>
            </w:r>
          </w:p>
        </w:tc>
        <w:tc>
          <w:tcPr>
            <w:tcW w:w="1360" w:type="dxa"/>
            <w:vMerge w:val="restart"/>
            <w:tcBorders>
              <w:right w:val="single" w:color="000000" w:sz="8" w:space="0"/>
            </w:tcBorders>
            <w:noWrap w:val="0"/>
            <w:tcMar>
              <w:top w:w="0" w:type="dxa"/>
              <w:left w:w="108" w:type="dxa"/>
              <w:bottom w:w="0" w:type="dxa"/>
              <w:right w:w="128" w:type="dxa"/>
            </w:tcMar>
            <w:vAlign w:val="center"/>
          </w:tcPr>
          <w:p>
            <w:pPr>
              <w:pStyle w:val="98"/>
              <w:spacing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会议室及活动室</w:t>
            </w: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标牌、开关、面板、窗台、桌椅、电脑、地面、书柜、器械</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每天至少保洁一次，整洁干净。</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地板</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光亮，无杂物、无污渍、无尘土、无垃圾。</w:t>
            </w:r>
          </w:p>
        </w:tc>
      </w:tr>
      <w:tr>
        <w:tblPrEx>
          <w:tblCellMar>
            <w:top w:w="15" w:type="dxa"/>
            <w:left w:w="15" w:type="dxa"/>
            <w:bottom w:w="15" w:type="dxa"/>
            <w:right w:w="15" w:type="dxa"/>
          </w:tblCellMar>
        </w:tblPrEx>
        <w:trPr>
          <w:trHeight w:val="317" w:hRule="atLeast"/>
          <w:tblCellSpacing w:w="0" w:type="dxa"/>
        </w:trPr>
        <w:tc>
          <w:tcPr>
            <w:tcW w:w="920" w:type="dxa"/>
            <w:vMerge w:val="restart"/>
            <w:tcBorders>
              <w:left w:val="single" w:color="000000" w:sz="8" w:space="0"/>
              <w:right w:val="single" w:color="000000" w:sz="8" w:space="0"/>
            </w:tcBorders>
            <w:noWrap w:val="0"/>
            <w:tcMar>
              <w:top w:w="0" w:type="dxa"/>
              <w:left w:w="128" w:type="dxa"/>
              <w:bottom w:w="0" w:type="dxa"/>
              <w:right w:w="128" w:type="dxa"/>
            </w:tcMar>
            <w:vAlign w:val="center"/>
          </w:tcPr>
          <w:p>
            <w:pPr>
              <w:pStyle w:val="98"/>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6</w:t>
            </w:r>
          </w:p>
        </w:tc>
        <w:tc>
          <w:tcPr>
            <w:tcW w:w="1360" w:type="dxa"/>
            <w:vMerge w:val="restart"/>
            <w:tcBorders>
              <w:right w:val="single" w:color="000000" w:sz="8" w:space="0"/>
            </w:tcBorders>
            <w:noWrap w:val="0"/>
            <w:tcMar>
              <w:top w:w="0" w:type="dxa"/>
              <w:left w:w="108" w:type="dxa"/>
              <w:bottom w:w="0" w:type="dxa"/>
              <w:right w:w="128" w:type="dxa"/>
            </w:tcMar>
            <w:vAlign w:val="center"/>
          </w:tcPr>
          <w:p>
            <w:pPr>
              <w:pStyle w:val="98"/>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健身房</w:t>
            </w: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标牌、开关、面板、窗台、各类健身运动器械</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每天至少保洁一次，整洁干净。</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淋浴间、厕所</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每天至少保洁一次，整洁干净。</w:t>
            </w:r>
          </w:p>
        </w:tc>
      </w:tr>
      <w:tr>
        <w:tblPrEx>
          <w:tblCellMar>
            <w:top w:w="15" w:type="dxa"/>
            <w:left w:w="15" w:type="dxa"/>
            <w:bottom w:w="15" w:type="dxa"/>
            <w:right w:w="15" w:type="dxa"/>
          </w:tblCellMar>
        </w:tblPrEx>
        <w:trPr>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sz w:val="28"/>
                <w:szCs w:val="28"/>
              </w:rPr>
            </w:pP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地面</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光亮，无杂物、无污渍、无尘土、无垃圾。</w:t>
            </w:r>
          </w:p>
        </w:tc>
      </w:tr>
      <w:tr>
        <w:tblPrEx>
          <w:tblCellMar>
            <w:top w:w="15" w:type="dxa"/>
            <w:left w:w="15" w:type="dxa"/>
            <w:bottom w:w="15" w:type="dxa"/>
            <w:right w:w="15" w:type="dxa"/>
          </w:tblCellMar>
        </w:tblPrEx>
        <w:trPr>
          <w:tblCellSpacing w:w="0" w:type="dxa"/>
        </w:trPr>
        <w:tc>
          <w:tcPr>
            <w:tcW w:w="92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center"/>
          </w:tcPr>
          <w:p>
            <w:pPr>
              <w:pStyle w:val="98"/>
              <w:spacing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7</w:t>
            </w:r>
          </w:p>
        </w:tc>
        <w:tc>
          <w:tcPr>
            <w:tcW w:w="136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spacing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after="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室内</w:t>
            </w:r>
          </w:p>
          <w:p>
            <w:pPr>
              <w:pStyle w:val="98"/>
              <w:spacing w:before="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保洁</w:t>
            </w: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地毯</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spacing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1.清洗后，应无缩水、褪色、变形、破损、污点、霉点、残留物；</w:t>
            </w:r>
          </w:p>
          <w:p>
            <w:pPr>
              <w:pStyle w:val="98"/>
              <w:spacing w:before="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2.纤维方向一致、色泽均匀、无色差。</w:t>
            </w:r>
          </w:p>
        </w:tc>
      </w:tr>
      <w:tr>
        <w:tblPrEx>
          <w:tblCellMar>
            <w:top w:w="15" w:type="dxa"/>
            <w:left w:w="15" w:type="dxa"/>
            <w:bottom w:w="15" w:type="dxa"/>
            <w:right w:w="15" w:type="dxa"/>
          </w:tblCellMar>
        </w:tblPrEx>
        <w:trPr>
          <w:tblCellSpacing w:w="0" w:type="dxa"/>
        </w:trPr>
        <w:tc>
          <w:tcPr>
            <w:tcW w:w="92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center"/>
          </w:tcPr>
          <w:p>
            <w:pPr>
              <w:pStyle w:val="98"/>
              <w:spacing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8</w:t>
            </w:r>
          </w:p>
        </w:tc>
        <w:tc>
          <w:tcPr>
            <w:tcW w:w="136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spacing w:after="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after="240"/>
              <w:ind w:firstLine="21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楼宇</w:t>
            </w:r>
          </w:p>
          <w:p>
            <w:pPr>
              <w:pStyle w:val="98"/>
              <w:spacing w:before="240"/>
              <w:ind w:firstLine="21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外围</w:t>
            </w: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spacing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楼宇外侧平台、石材地面、围栏、台阶、柱子、天井</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spacing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1.硬化地面无垃圾、无杂物、无污泥、无积水、无泼撒物，干净整洁，路见本色；</w:t>
            </w:r>
          </w:p>
          <w:p>
            <w:pPr>
              <w:pStyle w:val="98"/>
              <w:spacing w:before="240"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2.不锈钢围栏表面无手印、无积尘、无污渍，光亮；</w:t>
            </w:r>
          </w:p>
          <w:p>
            <w:pPr>
              <w:pStyle w:val="98"/>
              <w:spacing w:before="240"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3.设专人日常保洁，保持干净整洁无杂物；地面、墙面及公共设施表面无黏贴小广告；</w:t>
            </w:r>
          </w:p>
          <w:p>
            <w:pPr>
              <w:pStyle w:val="98"/>
              <w:spacing w:before="240"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4.区域内积雪、落叶、积水等应按照每天作息时间上班前进行清扫；</w:t>
            </w:r>
          </w:p>
          <w:p>
            <w:pPr>
              <w:pStyle w:val="98"/>
              <w:spacing w:before="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5.雨雪天气，做好地面防滑警示、措施，保证路面不积水、不结冰、中到大雪及时清扫。</w:t>
            </w:r>
          </w:p>
        </w:tc>
      </w:tr>
      <w:tr>
        <w:tblPrEx>
          <w:tblCellMar>
            <w:top w:w="15" w:type="dxa"/>
            <w:left w:w="15" w:type="dxa"/>
            <w:bottom w:w="15" w:type="dxa"/>
            <w:right w:w="15" w:type="dxa"/>
          </w:tblCellMar>
        </w:tblPrEx>
        <w:trPr>
          <w:tblCellSpacing w:w="0" w:type="dxa"/>
        </w:trPr>
        <w:tc>
          <w:tcPr>
            <w:tcW w:w="92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center"/>
          </w:tcPr>
          <w:p>
            <w:pPr>
              <w:pStyle w:val="98"/>
              <w:spacing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9</w:t>
            </w:r>
          </w:p>
        </w:tc>
        <w:tc>
          <w:tcPr>
            <w:tcW w:w="136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spacing w:after="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after="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after="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after="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门前</w:t>
            </w:r>
          </w:p>
          <w:p>
            <w:pPr>
              <w:pStyle w:val="98"/>
              <w:spacing w:before="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三包</w:t>
            </w: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spacing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三包区域内楼前灯、垃圾桶、果皮箱、宣传栏、室外标志牌、自行车停放区等</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spacing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1.宣传栏、室外标志牌、灯杆等无灰尘、无污痕、无破损、无黏贴；</w:t>
            </w:r>
          </w:p>
          <w:p>
            <w:pPr>
              <w:pStyle w:val="98"/>
              <w:spacing w:before="240"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2.生活垃圾装袋入桶，垃圾桶、果皮箱无异味，夏天每天消毒，桶、箱外壁干净、无明显污渍；</w:t>
            </w:r>
          </w:p>
          <w:p>
            <w:pPr>
              <w:pStyle w:val="98"/>
              <w:spacing w:before="240"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3.工程垃圾以及有害垃圾专门地点存放，不得放入垃圾桶内；</w:t>
            </w:r>
          </w:p>
          <w:p>
            <w:pPr>
              <w:pStyle w:val="98"/>
              <w:spacing w:before="240"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4.楼前灯无灰尘、无污痕、无损坏；</w:t>
            </w:r>
          </w:p>
          <w:p>
            <w:pPr>
              <w:pStyle w:val="98"/>
              <w:spacing w:before="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5.区域内积雪、落叶、积水等应按照每天作息时间上班前进行清扫，保证路面不积水、不结冰、中到大雪及时清扫；雪停后立即组织人员清理积雪，并将积雪运到指定地点。</w:t>
            </w:r>
          </w:p>
        </w:tc>
      </w:tr>
      <w:tr>
        <w:tblPrEx>
          <w:tblCellMar>
            <w:top w:w="15" w:type="dxa"/>
            <w:left w:w="15" w:type="dxa"/>
            <w:bottom w:w="15" w:type="dxa"/>
            <w:right w:w="15" w:type="dxa"/>
          </w:tblCellMar>
        </w:tblPrEx>
        <w:trPr>
          <w:tblCellSpacing w:w="0" w:type="dxa"/>
        </w:trPr>
        <w:tc>
          <w:tcPr>
            <w:tcW w:w="92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center"/>
          </w:tcPr>
          <w:p>
            <w:pPr>
              <w:pStyle w:val="98"/>
              <w:spacing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10</w:t>
            </w:r>
          </w:p>
        </w:tc>
        <w:tc>
          <w:tcPr>
            <w:tcW w:w="136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spacing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after="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楼宇</w:t>
            </w:r>
          </w:p>
          <w:p>
            <w:pPr>
              <w:pStyle w:val="98"/>
              <w:spacing w:before="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外墙</w:t>
            </w: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spacing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门、窗、屋顶及房檐</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spacing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1.一楼的玻璃窗及玻璃幕墙表面无手印、无积尘、无污渍、明亮，每天至少擦拭一次；</w:t>
            </w:r>
          </w:p>
          <w:p>
            <w:pPr>
              <w:pStyle w:val="98"/>
              <w:spacing w:before="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2.二楼及以上楼层的玻璃窗每月清理不少于1次（除11月至次年3月）；玻璃表面无手印、无积尘、无污渍、明亮，墙面洁净无明显污痕，房檐无悬挂物，屋顶无垃圾堆积保持檐沟、雨水口、落水管的畅通。</w:t>
            </w:r>
          </w:p>
        </w:tc>
      </w:tr>
      <w:tr>
        <w:tblPrEx>
          <w:tblCellMar>
            <w:top w:w="15" w:type="dxa"/>
            <w:left w:w="15" w:type="dxa"/>
            <w:bottom w:w="15" w:type="dxa"/>
            <w:right w:w="15" w:type="dxa"/>
          </w:tblCellMar>
        </w:tblPrEx>
        <w:trPr>
          <w:tblCellSpacing w:w="0" w:type="dxa"/>
        </w:trPr>
        <w:tc>
          <w:tcPr>
            <w:tcW w:w="920" w:type="dxa"/>
            <w:tcBorders>
              <w:left w:val="single" w:color="000000" w:sz="8" w:space="0"/>
              <w:bottom w:val="single" w:color="000000" w:sz="8" w:space="0"/>
              <w:right w:val="single" w:color="000000" w:sz="8" w:space="0"/>
            </w:tcBorders>
            <w:noWrap w:val="0"/>
            <w:tcMar>
              <w:top w:w="0" w:type="dxa"/>
              <w:left w:w="128" w:type="dxa"/>
              <w:bottom w:w="0" w:type="dxa"/>
              <w:right w:w="128" w:type="dxa"/>
            </w:tcMar>
            <w:vAlign w:val="center"/>
          </w:tcPr>
          <w:p>
            <w:pPr>
              <w:pStyle w:val="98"/>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11</w:t>
            </w:r>
          </w:p>
        </w:tc>
        <w:tc>
          <w:tcPr>
            <w:tcW w:w="136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spacing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p>
            <w:pPr>
              <w:pStyle w:val="98"/>
              <w:spacing w:before="240"/>
              <w:jc w:val="center"/>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停车场</w:t>
            </w:r>
          </w:p>
        </w:tc>
        <w:tc>
          <w:tcPr>
            <w:tcW w:w="2155"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 </w:t>
            </w:r>
          </w:p>
        </w:tc>
        <w:tc>
          <w:tcPr>
            <w:tcW w:w="3940" w:type="dxa"/>
            <w:tcBorders>
              <w:bottom w:val="single" w:color="000000" w:sz="8" w:space="0"/>
              <w:right w:val="single" w:color="000000" w:sz="8" w:space="0"/>
            </w:tcBorders>
            <w:noWrap w:val="0"/>
            <w:tcMar>
              <w:top w:w="0" w:type="dxa"/>
              <w:left w:w="108" w:type="dxa"/>
              <w:bottom w:w="0" w:type="dxa"/>
              <w:right w:w="128" w:type="dxa"/>
            </w:tcMar>
            <w:vAlign w:val="center"/>
          </w:tcPr>
          <w:p>
            <w:pPr>
              <w:pStyle w:val="98"/>
              <w:spacing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目视地面无垃圾、果皮、纸屑、无积水和杂物。</w:t>
            </w:r>
          </w:p>
          <w:p>
            <w:pPr>
              <w:pStyle w:val="98"/>
              <w:spacing w:before="240"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各类告示牌、照明工具、栏杆立柱、反光镜等表面无积灰、无污垢、无污迹。</w:t>
            </w:r>
          </w:p>
          <w:p>
            <w:pPr>
              <w:pStyle w:val="98"/>
              <w:spacing w:before="240"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垃圾收集密闭化，日产日清。</w:t>
            </w:r>
          </w:p>
          <w:p>
            <w:pPr>
              <w:pStyle w:val="98"/>
              <w:spacing w:before="240" w:after="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清洁时应小心细致，不要碰坏其他车辆。</w:t>
            </w:r>
          </w:p>
          <w:p>
            <w:pPr>
              <w:pStyle w:val="98"/>
              <w:spacing w:before="240"/>
              <w:jc w:val="both"/>
              <w:rPr>
                <w:rFonts w:ascii="Times New Roman" w:hAnsi="Times New Roman" w:eastAsia="Times New Roman" w:cs="Times New Roman"/>
                <w:b w:val="0"/>
                <w:bCs w:val="0"/>
                <w:i w:val="0"/>
                <w:iCs w:val="0"/>
                <w:smallCaps w:val="0"/>
                <w:color w:val="000000"/>
                <w:sz w:val="28"/>
                <w:szCs w:val="28"/>
              </w:rPr>
            </w:pPr>
            <w:r>
              <w:rPr>
                <w:rFonts w:ascii="仿宋_GB2312" w:hAnsi="仿宋_GB2312" w:eastAsia="仿宋_GB2312" w:cs="仿宋_GB2312"/>
                <w:b w:val="0"/>
                <w:bCs w:val="0"/>
                <w:i w:val="0"/>
                <w:iCs w:val="0"/>
                <w:smallCaps w:val="0"/>
                <w:color w:val="000000"/>
                <w:sz w:val="28"/>
                <w:szCs w:val="28"/>
              </w:rPr>
              <w:t>发现机动车辆漏油，应通知车主并及时用干抹布擦拭，再用洗洁精精细油污</w:t>
            </w:r>
          </w:p>
        </w:tc>
      </w:tr>
    </w:tbl>
    <w:p>
      <w:pPr>
        <w:pStyle w:val="93"/>
        <w:spacing w:before="0" w:after="0" w:line="360" w:lineRule="auto"/>
        <w:jc w:val="both"/>
        <w:rPr>
          <w:rFonts w:ascii="Times New Roman" w:hAnsi="Times New Roman" w:eastAsia="Times New Roman" w:cs="Times New Roman"/>
          <w:sz w:val="28"/>
          <w:szCs w:val="28"/>
        </w:rPr>
      </w:pPr>
      <w:r>
        <w:rPr>
          <w:rFonts w:ascii="仿宋_GB2312" w:hAnsi="仿宋_GB2312" w:eastAsia="仿宋_GB2312" w:cs="仿宋_GB2312"/>
          <w:b/>
          <w:bCs/>
          <w:sz w:val="21"/>
          <w:szCs w:val="21"/>
        </w:rPr>
        <w:t> </w:t>
      </w:r>
    </w:p>
    <w:p>
      <w:pPr>
        <w:pStyle w:val="93"/>
        <w:spacing w:before="0" w:after="0" w:line="360" w:lineRule="auto"/>
        <w:ind w:firstLine="420"/>
        <w:rPr>
          <w:rFonts w:ascii="Times New Roman" w:hAnsi="Times New Roman" w:eastAsia="Times New Roman" w:cs="Times New Roman"/>
          <w:sz w:val="28"/>
          <w:szCs w:val="28"/>
        </w:rPr>
      </w:pPr>
      <w:r>
        <w:rPr>
          <w:rFonts w:ascii="宋体" w:hAnsi="宋体" w:eastAsia="宋体" w:cs="宋体"/>
          <w:sz w:val="21"/>
          <w:szCs w:val="21"/>
        </w:rPr>
        <w:t> </w:t>
      </w:r>
    </w:p>
    <w:p>
      <w:pPr>
        <w:pStyle w:val="98"/>
        <w:spacing w:before="0" w:after="0" w:line="360" w:lineRule="auto"/>
        <w:ind w:firstLine="420"/>
        <w:jc w:val="both"/>
        <w:rPr>
          <w:rFonts w:ascii="Times New Roman" w:hAnsi="Times New Roman" w:eastAsia="Times New Roman" w:cs="Times New Roman"/>
          <w:sz w:val="28"/>
          <w:szCs w:val="28"/>
        </w:rPr>
      </w:pPr>
      <w:r>
        <w:rPr>
          <w:rFonts w:ascii="仿宋_GB2312" w:hAnsi="仿宋_GB2312" w:eastAsia="仿宋_GB2312" w:cs="仿宋_GB2312"/>
          <w:sz w:val="28"/>
          <w:szCs w:val="28"/>
        </w:rPr>
        <w:t>③清洁作业要求</w:t>
      </w:r>
    </w:p>
    <w:p>
      <w:pPr>
        <w:pStyle w:val="98"/>
        <w:spacing w:before="0" w:after="0" w:line="360" w:lineRule="auto"/>
        <w:ind w:firstLine="420"/>
        <w:jc w:val="both"/>
        <w:rPr>
          <w:rFonts w:ascii="Times New Roman" w:hAnsi="Times New Roman" w:eastAsia="Times New Roman" w:cs="Times New Roman"/>
          <w:sz w:val="28"/>
          <w:szCs w:val="28"/>
        </w:rPr>
      </w:pPr>
      <w:r>
        <w:rPr>
          <w:rFonts w:ascii="仿宋_GB2312" w:hAnsi="仿宋_GB2312" w:eastAsia="仿宋_GB2312" w:cs="仿宋_GB2312"/>
          <w:sz w:val="28"/>
          <w:szCs w:val="28"/>
        </w:rPr>
        <w:t>办公楼各区域清洁作业要求如表3。</w:t>
      </w:r>
    </w:p>
    <w:p>
      <w:pPr>
        <w:pStyle w:val="98"/>
        <w:spacing w:before="0" w:after="0" w:line="360" w:lineRule="auto"/>
        <w:jc w:val="center"/>
        <w:rPr>
          <w:rFonts w:ascii="Times New Roman" w:hAnsi="Times New Roman" w:eastAsia="Times New Roman" w:cs="Times New Roman"/>
          <w:sz w:val="28"/>
          <w:szCs w:val="28"/>
        </w:rPr>
      </w:pPr>
      <w:r>
        <w:rPr>
          <w:rFonts w:ascii="仿宋_GB2312" w:hAnsi="仿宋_GB2312" w:eastAsia="仿宋_GB2312" w:cs="仿宋_GB2312"/>
          <w:b/>
          <w:bCs/>
          <w:sz w:val="28"/>
          <w:szCs w:val="28"/>
        </w:rPr>
        <w:t>表3  办公楼清洁作业要求</w:t>
      </w:r>
    </w:p>
    <w:tbl>
      <w:tblPr>
        <w:tblStyle w:val="96"/>
        <w:tblW w:w="7692" w:type="dxa"/>
        <w:tblCellSpacing w:w="0" w:type="dxa"/>
        <w:tblInd w:w="522" w:type="dxa"/>
        <w:tblLayout w:type="autofit"/>
        <w:tblCellMar>
          <w:top w:w="15" w:type="dxa"/>
          <w:left w:w="15" w:type="dxa"/>
          <w:bottom w:w="15" w:type="dxa"/>
          <w:right w:w="15" w:type="dxa"/>
        </w:tblCellMar>
      </w:tblPr>
      <w:tblGrid>
        <w:gridCol w:w="880"/>
        <w:gridCol w:w="885"/>
        <w:gridCol w:w="2064"/>
        <w:gridCol w:w="1878"/>
        <w:gridCol w:w="1985"/>
      </w:tblGrid>
      <w:tr>
        <w:tblPrEx>
          <w:tblCellMar>
            <w:top w:w="15" w:type="dxa"/>
            <w:left w:w="15" w:type="dxa"/>
            <w:bottom w:w="15" w:type="dxa"/>
            <w:right w:w="15" w:type="dxa"/>
          </w:tblCellMar>
        </w:tblPrEx>
        <w:trPr>
          <w:trHeight w:val="90" w:hRule="atLeast"/>
          <w:tblCellSpacing w:w="0" w:type="dxa"/>
        </w:trPr>
        <w:tc>
          <w:tcPr>
            <w:tcW w:w="975" w:type="dxa"/>
            <w:tcBorders>
              <w:top w:val="single" w:color="000000" w:sz="8" w:space="0"/>
              <w:left w:val="single" w:color="000000" w:sz="8" w:space="0"/>
              <w:bottom w:val="single" w:color="000000" w:sz="8" w:space="0"/>
              <w:right w:val="single" w:color="000000" w:sz="8" w:space="0"/>
            </w:tcBorders>
            <w:shd w:val="clear" w:color="auto" w:fill="D9D9D9"/>
            <w:noWrap w:val="0"/>
            <w:tcMar>
              <w:top w:w="0" w:type="dxa"/>
              <w:left w:w="13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rPr>
              <w:t>区域</w:t>
            </w:r>
          </w:p>
        </w:tc>
        <w:tc>
          <w:tcPr>
            <w:tcW w:w="995" w:type="dxa"/>
            <w:tcBorders>
              <w:top w:val="single" w:color="000000" w:sz="8" w:space="0"/>
              <w:bottom w:val="single" w:color="000000" w:sz="8" w:space="0"/>
              <w:right w:val="single" w:color="000000" w:sz="8" w:space="0"/>
            </w:tcBorders>
            <w:shd w:val="clear" w:color="auto" w:fill="D9D9D9"/>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rPr>
              <w:t>分类</w:t>
            </w:r>
          </w:p>
        </w:tc>
        <w:tc>
          <w:tcPr>
            <w:tcW w:w="2448" w:type="dxa"/>
            <w:tcBorders>
              <w:top w:val="single" w:color="000000" w:sz="8" w:space="0"/>
              <w:bottom w:val="single" w:color="000000" w:sz="8" w:space="0"/>
              <w:right w:val="single" w:color="000000" w:sz="8" w:space="0"/>
            </w:tcBorders>
            <w:shd w:val="clear" w:color="auto" w:fill="D9D9D9"/>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rPr>
              <w:t>作业项目</w:t>
            </w:r>
          </w:p>
        </w:tc>
        <w:tc>
          <w:tcPr>
            <w:tcW w:w="2208" w:type="dxa"/>
            <w:tcBorders>
              <w:top w:val="single" w:color="000000" w:sz="8" w:space="0"/>
              <w:bottom w:val="single" w:color="000000" w:sz="8" w:space="0"/>
              <w:right w:val="single" w:color="000000" w:sz="8" w:space="0"/>
            </w:tcBorders>
            <w:shd w:val="clear" w:color="auto" w:fill="D9D9D9"/>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rPr>
              <w:t>作业方式</w:t>
            </w:r>
          </w:p>
        </w:tc>
        <w:tc>
          <w:tcPr>
            <w:tcW w:w="2346" w:type="dxa"/>
            <w:tcBorders>
              <w:top w:val="single" w:color="000000" w:sz="8" w:space="0"/>
              <w:bottom w:val="single" w:color="000000" w:sz="8" w:space="0"/>
              <w:right w:val="single" w:color="000000" w:sz="8" w:space="0"/>
            </w:tcBorders>
            <w:shd w:val="clear" w:color="auto" w:fill="D9D9D9"/>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rPr>
              <w:t>周期</w:t>
            </w:r>
          </w:p>
        </w:tc>
      </w:tr>
      <w:tr>
        <w:tblPrEx>
          <w:tblCellMar>
            <w:top w:w="15" w:type="dxa"/>
            <w:left w:w="15" w:type="dxa"/>
            <w:bottom w:w="15" w:type="dxa"/>
            <w:right w:w="15" w:type="dxa"/>
          </w:tblCellMar>
        </w:tblPrEx>
        <w:trPr>
          <w:trHeight w:val="90" w:hRule="atLeast"/>
          <w:tblCellSpacing w:w="0" w:type="dxa"/>
        </w:trPr>
        <w:tc>
          <w:tcPr>
            <w:tcW w:w="975" w:type="dxa"/>
            <w:vMerge w:val="restart"/>
            <w:tcBorders>
              <w:left w:val="single" w:color="000000" w:sz="8" w:space="0"/>
              <w:right w:val="single" w:color="000000" w:sz="8" w:space="0"/>
            </w:tcBorders>
            <w:noWrap w:val="0"/>
            <w:tcMar>
              <w:top w:w="0" w:type="dxa"/>
              <w:left w:w="13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一层大厅</w:t>
            </w:r>
          </w:p>
        </w:tc>
        <w:tc>
          <w:tcPr>
            <w:tcW w:w="995" w:type="dxa"/>
            <w:vMerge w:val="restart"/>
            <w:tcBorders>
              <w:right w:val="single" w:color="000000" w:sz="8" w:space="0"/>
            </w:tcBorders>
            <w:noWrap w:val="0"/>
            <w:tcMar>
              <w:top w:w="0" w:type="dxa"/>
              <w:left w:w="108" w:type="dxa"/>
              <w:bottom w:w="0" w:type="dxa"/>
              <w:right w:w="138" w:type="dxa"/>
            </w:tcMar>
            <w:vAlign w:val="center"/>
          </w:tcPr>
          <w:p>
            <w:pPr>
              <w:pStyle w:val="95"/>
              <w:spacing w:after="24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日常</w:t>
            </w:r>
          </w:p>
          <w:p>
            <w:pPr>
              <w:pStyle w:val="95"/>
              <w:spacing w:before="24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保洁</w:t>
            </w: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地面及入口处</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墩拖、牵尘</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不少于3次/日，随时巡视</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玻璃门</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1次/日，随时巡视</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各种标牌、消防器材</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墙壁和墙壁上装饰物、开关盒</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掸尘、擦拭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各类栏杆、扶手、柱子</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电梯轿厢地面、四壁</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墩拖、擦拭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1次/日，随时巡视</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垃圾桶</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倾倒垃圾，更换垃圾袋、擦拭垃圾桶</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不少于2次/日，随时巡视</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995" w:type="dxa"/>
            <w:vMerge w:val="restart"/>
            <w:tcBorders>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定期保洁</w:t>
            </w: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天花板</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掸尘、擦拭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2次/月</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踢脚板</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2次/周</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顶灯</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掸尘、擦拭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2次/年</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电梯内灯饰、轿厢顶部</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掸尘、擦拭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2次/月</w:t>
            </w:r>
          </w:p>
        </w:tc>
      </w:tr>
      <w:tr>
        <w:tblPrEx>
          <w:tblCellMar>
            <w:top w:w="15" w:type="dxa"/>
            <w:left w:w="15" w:type="dxa"/>
            <w:bottom w:w="15" w:type="dxa"/>
            <w:right w:w="15" w:type="dxa"/>
          </w:tblCellMar>
        </w:tblPrEx>
        <w:trPr>
          <w:trHeight w:val="90" w:hRule="atLeast"/>
          <w:tblCellSpacing w:w="0" w:type="dxa"/>
        </w:trPr>
        <w:tc>
          <w:tcPr>
            <w:tcW w:w="975" w:type="dxa"/>
            <w:vMerge w:val="restart"/>
            <w:tcBorders>
              <w:left w:val="single" w:color="000000" w:sz="8" w:space="0"/>
              <w:right w:val="single" w:color="000000" w:sz="8" w:space="0"/>
            </w:tcBorders>
            <w:noWrap w:val="0"/>
            <w:tcMar>
              <w:top w:w="0" w:type="dxa"/>
              <w:left w:w="13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二层以上大厅及各楼层通道</w:t>
            </w:r>
          </w:p>
        </w:tc>
        <w:tc>
          <w:tcPr>
            <w:tcW w:w="995" w:type="dxa"/>
            <w:vMerge w:val="restart"/>
            <w:tcBorders>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日常保洁</w:t>
            </w: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地面</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墩拖、牵尘</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不少于2次/日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玻璃门</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各种标牌、消防器材</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墙壁和墙壁上装饰物、开关盒</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掸尘、擦拭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各类栏杆、扶手、柱子</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垃圾桶</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倾倒垃圾，更换垃圾袋、擦拭垃圾桶</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不少于2次/日，随时巡视</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995" w:type="dxa"/>
            <w:vMerge w:val="restart"/>
            <w:tcBorders>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定期保洁</w:t>
            </w: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天花板</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掸尘、擦拭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2次/月</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公共区域玻璃窗</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刮、擦拭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2次/月</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踢脚板</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2次/周</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顶灯</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掸尘、擦拭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2次/月</w:t>
            </w:r>
          </w:p>
        </w:tc>
      </w:tr>
      <w:tr>
        <w:tblPrEx>
          <w:tblCellMar>
            <w:top w:w="15" w:type="dxa"/>
            <w:left w:w="15" w:type="dxa"/>
            <w:bottom w:w="15" w:type="dxa"/>
            <w:right w:w="15" w:type="dxa"/>
          </w:tblCellMar>
        </w:tblPrEx>
        <w:trPr>
          <w:trHeight w:val="90" w:hRule="atLeast"/>
          <w:tblCellSpacing w:w="0" w:type="dxa"/>
        </w:trPr>
        <w:tc>
          <w:tcPr>
            <w:tcW w:w="975" w:type="dxa"/>
            <w:vMerge w:val="restart"/>
            <w:tcBorders>
              <w:left w:val="single" w:color="000000" w:sz="8" w:space="0"/>
              <w:right w:val="single" w:color="000000" w:sz="8" w:space="0"/>
            </w:tcBorders>
            <w:noWrap w:val="0"/>
            <w:tcMar>
              <w:top w:w="0" w:type="dxa"/>
              <w:left w:w="138" w:type="dxa"/>
              <w:bottom w:w="0" w:type="dxa"/>
              <w:right w:w="138" w:type="dxa"/>
            </w:tcMar>
            <w:vAlign w:val="center"/>
          </w:tcPr>
          <w:p>
            <w:pPr>
              <w:pStyle w:val="95"/>
              <w:spacing w:after="24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95"/>
              <w:spacing w:before="240" w:after="24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95"/>
              <w:spacing w:before="24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楼梯</w:t>
            </w:r>
          </w:p>
        </w:tc>
        <w:tc>
          <w:tcPr>
            <w:tcW w:w="995" w:type="dxa"/>
            <w:vMerge w:val="restart"/>
            <w:tcBorders>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日常保洁</w:t>
            </w: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梯阶</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清扫、墩拖</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窗台、楼梯扶手、栏杆及挡板</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掸尘、擦拭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墙体附属物</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掸尘、擦拭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2次/周</w:t>
            </w:r>
          </w:p>
        </w:tc>
      </w:tr>
      <w:tr>
        <w:tblPrEx>
          <w:tblCellMar>
            <w:top w:w="15" w:type="dxa"/>
            <w:left w:w="15" w:type="dxa"/>
            <w:bottom w:w="15" w:type="dxa"/>
            <w:right w:w="15" w:type="dxa"/>
          </w:tblCellMar>
        </w:tblPrEx>
        <w:trPr>
          <w:trHeight w:val="90" w:hRule="atLeast"/>
          <w:tblCellSpacing w:w="0" w:type="dxa"/>
        </w:trPr>
        <w:tc>
          <w:tcPr>
            <w:tcW w:w="975" w:type="dxa"/>
            <w:vMerge w:val="restart"/>
            <w:tcBorders>
              <w:left w:val="single" w:color="000000" w:sz="8" w:space="0"/>
              <w:right w:val="single" w:color="000000" w:sz="8" w:space="0"/>
            </w:tcBorders>
            <w:noWrap w:val="0"/>
            <w:tcMar>
              <w:top w:w="0" w:type="dxa"/>
              <w:left w:w="13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卫生间</w:t>
            </w:r>
          </w:p>
        </w:tc>
        <w:tc>
          <w:tcPr>
            <w:tcW w:w="995" w:type="dxa"/>
            <w:vMerge w:val="restart"/>
            <w:tcBorders>
              <w:right w:val="single" w:color="000000" w:sz="8" w:space="0"/>
            </w:tcBorders>
            <w:noWrap w:val="0"/>
            <w:tcMar>
              <w:top w:w="0" w:type="dxa"/>
              <w:left w:w="108" w:type="dxa"/>
              <w:bottom w:w="0" w:type="dxa"/>
              <w:right w:w="138" w:type="dxa"/>
            </w:tcMar>
            <w:vAlign w:val="center"/>
          </w:tcPr>
          <w:p>
            <w:pPr>
              <w:pStyle w:val="95"/>
              <w:spacing w:after="24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95"/>
              <w:spacing w:before="240" w:after="24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95"/>
              <w:spacing w:before="240" w:after="24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95"/>
              <w:spacing w:before="240" w:after="24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95"/>
              <w:spacing w:before="240" w:after="24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95"/>
              <w:spacing w:before="240" w:after="24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95"/>
              <w:spacing w:before="24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日常保洁</w:t>
            </w: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大、小便池内外侧</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冲刷、擦拭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6点-17点巡视保洁至少4次/日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纸篓</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倾倒垃圾，清洁纸篓，更换垃圾袋</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地面</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清扫、墩拖</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巡视保洁至少3-5次/日（根据人流量设定）</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云台、面盆、镜面</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巡视保洁至少3-5次/日（根据人流量设定）</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门窗、隔断板、墙壁、窗台</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水龙头等金属物</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垃圾桶</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倾倒垃圾，更换垃圾袋、擦拭垃圾桶</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2次/日</w:t>
            </w:r>
          </w:p>
        </w:tc>
      </w:tr>
      <w:tr>
        <w:tblPrEx>
          <w:tblCellMar>
            <w:top w:w="15" w:type="dxa"/>
            <w:left w:w="15" w:type="dxa"/>
            <w:bottom w:w="15" w:type="dxa"/>
            <w:right w:w="15" w:type="dxa"/>
          </w:tblCellMar>
        </w:tblPrEx>
        <w:trPr>
          <w:trHeight w:val="90" w:hRule="atLeast"/>
          <w:tblCellSpacing w:w="0" w:type="dxa"/>
        </w:trPr>
        <w:tc>
          <w:tcPr>
            <w:tcW w:w="975" w:type="dxa"/>
            <w:vMerge w:val="restart"/>
            <w:tcBorders>
              <w:left w:val="single" w:color="000000" w:sz="8" w:space="0"/>
              <w:right w:val="single" w:color="000000" w:sz="8" w:space="0"/>
            </w:tcBorders>
            <w:noWrap w:val="0"/>
            <w:tcMar>
              <w:top w:w="0" w:type="dxa"/>
              <w:left w:w="13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会议室</w:t>
            </w:r>
          </w:p>
        </w:tc>
        <w:tc>
          <w:tcPr>
            <w:tcW w:w="995" w:type="dxa"/>
            <w:vMerge w:val="restart"/>
            <w:tcBorders>
              <w:right w:val="single" w:color="000000" w:sz="8" w:space="0"/>
            </w:tcBorders>
            <w:noWrap w:val="0"/>
            <w:tcMar>
              <w:top w:w="0" w:type="dxa"/>
              <w:left w:w="108" w:type="dxa"/>
              <w:bottom w:w="0" w:type="dxa"/>
              <w:right w:w="138" w:type="dxa"/>
            </w:tcMar>
            <w:vAlign w:val="center"/>
          </w:tcPr>
          <w:p>
            <w:pPr>
              <w:pStyle w:val="95"/>
              <w:spacing w:after="24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日常</w:t>
            </w:r>
          </w:p>
          <w:p>
            <w:pPr>
              <w:pStyle w:val="95"/>
              <w:spacing w:before="24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保洁</w:t>
            </w: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地面</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擦拭、清扫</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1次/日，随时巡视保洁</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地毯</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吸尘</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1次/日，随时巡视保洁</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桌椅及其他家具、窗台、窗框</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1次/日，随时巡视保洁</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茶具</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清洗、消毒</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根据会议情况准备</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垃圾桶</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倾倒垃圾，清洁垃圾桶，更换垃圾袋</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995" w:type="dxa"/>
            <w:vMerge w:val="restart"/>
            <w:tcBorders>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定期保洁</w:t>
            </w: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地面</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墩拖</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顶灯、壁灯</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掸尘、擦拭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2次/月</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窗户玻璃</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刮、擦拭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2次/月</w:t>
            </w:r>
          </w:p>
        </w:tc>
      </w:tr>
      <w:tr>
        <w:tblPrEx>
          <w:tblCellMar>
            <w:top w:w="15" w:type="dxa"/>
            <w:left w:w="15" w:type="dxa"/>
            <w:bottom w:w="15" w:type="dxa"/>
            <w:right w:w="15" w:type="dxa"/>
          </w:tblCellMar>
        </w:tblPrEx>
        <w:trPr>
          <w:trHeight w:val="90" w:hRule="atLeast"/>
          <w:tblCellSpacing w:w="0" w:type="dxa"/>
        </w:trPr>
        <w:tc>
          <w:tcPr>
            <w:tcW w:w="975" w:type="dxa"/>
            <w:vMerge w:val="restart"/>
            <w:tcBorders>
              <w:left w:val="single" w:color="000000" w:sz="8" w:space="0"/>
              <w:right w:val="single" w:color="000000" w:sz="8" w:space="0"/>
            </w:tcBorders>
            <w:noWrap w:val="0"/>
            <w:tcMar>
              <w:top w:w="0" w:type="dxa"/>
              <w:left w:w="13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健身房</w:t>
            </w:r>
          </w:p>
        </w:tc>
        <w:tc>
          <w:tcPr>
            <w:tcW w:w="995" w:type="dxa"/>
            <w:vMerge w:val="restart"/>
            <w:tcBorders>
              <w:right w:val="single" w:color="000000" w:sz="8" w:space="0"/>
            </w:tcBorders>
            <w:noWrap w:val="0"/>
            <w:tcMar>
              <w:top w:w="0" w:type="dxa"/>
              <w:left w:w="108" w:type="dxa"/>
              <w:bottom w:w="0" w:type="dxa"/>
              <w:right w:w="138" w:type="dxa"/>
            </w:tcMar>
            <w:vAlign w:val="center"/>
          </w:tcPr>
          <w:p>
            <w:pPr>
              <w:pStyle w:val="95"/>
              <w:spacing w:after="24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日常</w:t>
            </w:r>
          </w:p>
          <w:p>
            <w:pPr>
              <w:pStyle w:val="95"/>
              <w:spacing w:before="24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保洁</w:t>
            </w: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地面</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墩拖</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标牌、开关、面板、窗台</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掸尘、擦拭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各类健身运动器械</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掸尘、擦拭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淋浴间、卫生间</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清扫、墩拖</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2次/日</w:t>
            </w:r>
          </w:p>
        </w:tc>
      </w:tr>
      <w:tr>
        <w:tblPrEx>
          <w:tblCellMar>
            <w:top w:w="15" w:type="dxa"/>
            <w:left w:w="15" w:type="dxa"/>
            <w:bottom w:w="15" w:type="dxa"/>
            <w:right w:w="15" w:type="dxa"/>
          </w:tblCellMar>
        </w:tblPrEx>
        <w:trPr>
          <w:trHeight w:val="90" w:hRule="atLeast"/>
          <w:tblCellSpacing w:w="0" w:type="dxa"/>
        </w:trPr>
        <w:tc>
          <w:tcPr>
            <w:tcW w:w="975" w:type="dxa"/>
            <w:vMerge w:val="restart"/>
            <w:tcBorders>
              <w:left w:val="single" w:color="000000" w:sz="8" w:space="0"/>
              <w:right w:val="single" w:color="000000" w:sz="8" w:space="0"/>
            </w:tcBorders>
            <w:noWrap w:val="0"/>
            <w:tcMar>
              <w:top w:w="0" w:type="dxa"/>
              <w:left w:w="13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办公室</w:t>
            </w:r>
          </w:p>
        </w:tc>
        <w:tc>
          <w:tcPr>
            <w:tcW w:w="995" w:type="dxa"/>
            <w:vMerge w:val="restart"/>
            <w:tcBorders>
              <w:right w:val="single" w:color="000000" w:sz="8" w:space="0"/>
            </w:tcBorders>
            <w:noWrap w:val="0"/>
            <w:tcMar>
              <w:top w:w="0" w:type="dxa"/>
              <w:left w:w="108" w:type="dxa"/>
              <w:bottom w:w="0" w:type="dxa"/>
              <w:right w:w="138" w:type="dxa"/>
            </w:tcMar>
            <w:vAlign w:val="center"/>
          </w:tcPr>
          <w:p>
            <w:pPr>
              <w:pStyle w:val="95"/>
              <w:spacing w:after="24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日常</w:t>
            </w:r>
          </w:p>
          <w:p>
            <w:pPr>
              <w:pStyle w:val="95"/>
              <w:spacing w:before="24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保洁</w:t>
            </w: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地面</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擦拭、清扫</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1次/日，随时巡视保洁</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桌椅及其他家具、窗台、窗框</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吸尘</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1次/日，随时巡视保洁</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垃圾桶</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倾倒垃圾，清洁垃圾桶，更换垃圾袋</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2次/日</w:t>
            </w:r>
          </w:p>
        </w:tc>
      </w:tr>
      <w:tr>
        <w:tblPrEx>
          <w:tblCellMar>
            <w:top w:w="15" w:type="dxa"/>
            <w:left w:w="15" w:type="dxa"/>
            <w:bottom w:w="15" w:type="dxa"/>
            <w:right w:w="15" w:type="dxa"/>
          </w:tblCellMar>
        </w:tblPrEx>
        <w:trPr>
          <w:trHeight w:val="90" w:hRule="atLeast"/>
          <w:tblCellSpacing w:w="0" w:type="dxa"/>
        </w:trPr>
        <w:tc>
          <w:tcPr>
            <w:tcW w:w="975" w:type="dxa"/>
            <w:vMerge w:val="restart"/>
            <w:tcBorders>
              <w:left w:val="single" w:color="000000" w:sz="8" w:space="0"/>
              <w:right w:val="single" w:color="000000" w:sz="8" w:space="0"/>
            </w:tcBorders>
            <w:noWrap w:val="0"/>
            <w:tcMar>
              <w:top w:w="0" w:type="dxa"/>
              <w:left w:w="13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楼宇外围</w:t>
            </w:r>
          </w:p>
        </w:tc>
        <w:tc>
          <w:tcPr>
            <w:tcW w:w="995" w:type="dxa"/>
            <w:vMerge w:val="restart"/>
            <w:tcBorders>
              <w:right w:val="single" w:color="000000" w:sz="8" w:space="0"/>
            </w:tcBorders>
            <w:noWrap w:val="0"/>
            <w:tcMar>
              <w:top w:w="0" w:type="dxa"/>
              <w:left w:w="108" w:type="dxa"/>
              <w:bottom w:w="0" w:type="dxa"/>
              <w:right w:w="138" w:type="dxa"/>
            </w:tcMar>
            <w:vAlign w:val="center"/>
          </w:tcPr>
          <w:p>
            <w:pPr>
              <w:pStyle w:val="95"/>
              <w:spacing w:after="24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日常</w:t>
            </w:r>
          </w:p>
          <w:p>
            <w:pPr>
              <w:pStyle w:val="95"/>
              <w:spacing w:before="24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保洁</w:t>
            </w: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地面</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清扫</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墙面、柱子</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巡视清理</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不锈钢围栏</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掸尘、擦拭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1次/日</w:t>
            </w:r>
          </w:p>
        </w:tc>
      </w:tr>
      <w:tr>
        <w:tblPrEx>
          <w:tblCellMar>
            <w:top w:w="15" w:type="dxa"/>
            <w:left w:w="15" w:type="dxa"/>
            <w:bottom w:w="15" w:type="dxa"/>
            <w:right w:w="15" w:type="dxa"/>
          </w:tblCellMar>
        </w:tblPrEx>
        <w:trPr>
          <w:trHeight w:val="90" w:hRule="atLeast"/>
          <w:tblCellSpacing w:w="0" w:type="dxa"/>
        </w:trPr>
        <w:tc>
          <w:tcPr>
            <w:tcW w:w="975" w:type="dxa"/>
            <w:vMerge w:val="restart"/>
            <w:tcBorders>
              <w:left w:val="single" w:color="000000" w:sz="8" w:space="0"/>
              <w:right w:val="single" w:color="000000" w:sz="8" w:space="0"/>
            </w:tcBorders>
            <w:noWrap w:val="0"/>
            <w:tcMar>
              <w:top w:w="0" w:type="dxa"/>
              <w:left w:w="13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楼宇外墙</w:t>
            </w:r>
          </w:p>
        </w:tc>
        <w:tc>
          <w:tcPr>
            <w:tcW w:w="995" w:type="dxa"/>
            <w:vMerge w:val="restart"/>
            <w:tcBorders>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定期保洁</w:t>
            </w: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一楼玻璃窗、玻璃幕墙</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刮、擦拭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二楼及以上楼层的玻璃窗</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刮、擦拭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至少1次/月（除11月至次年3月）</w:t>
            </w:r>
          </w:p>
        </w:tc>
      </w:tr>
      <w:tr>
        <w:tblPrEx>
          <w:tblCellMar>
            <w:top w:w="15" w:type="dxa"/>
            <w:left w:w="15" w:type="dxa"/>
            <w:bottom w:w="15" w:type="dxa"/>
            <w:right w:w="15" w:type="dxa"/>
          </w:tblCellMar>
        </w:tblPrEx>
        <w:trPr>
          <w:trHeight w:val="90" w:hRule="atLeast"/>
          <w:tblCellSpacing w:w="0" w:type="dxa"/>
        </w:trPr>
        <w:tc>
          <w:tcPr>
            <w:tcW w:w="975" w:type="dxa"/>
            <w:vMerge w:val="restart"/>
            <w:tcBorders>
              <w:left w:val="single" w:color="000000" w:sz="8" w:space="0"/>
              <w:right w:val="single" w:color="000000" w:sz="8" w:space="0"/>
            </w:tcBorders>
            <w:noWrap w:val="0"/>
            <w:tcMar>
              <w:top w:w="0" w:type="dxa"/>
              <w:left w:w="13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门前三包</w:t>
            </w:r>
          </w:p>
        </w:tc>
        <w:tc>
          <w:tcPr>
            <w:tcW w:w="995" w:type="dxa"/>
            <w:vMerge w:val="restart"/>
            <w:tcBorders>
              <w:right w:val="single" w:color="000000" w:sz="8" w:space="0"/>
            </w:tcBorders>
            <w:noWrap w:val="0"/>
            <w:tcMar>
              <w:top w:w="0" w:type="dxa"/>
              <w:left w:w="108" w:type="dxa"/>
              <w:bottom w:w="0" w:type="dxa"/>
              <w:right w:w="138" w:type="dxa"/>
            </w:tcMar>
            <w:vAlign w:val="center"/>
          </w:tcPr>
          <w:p>
            <w:pPr>
              <w:pStyle w:val="95"/>
              <w:spacing w:after="24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日常</w:t>
            </w:r>
          </w:p>
          <w:p>
            <w:pPr>
              <w:pStyle w:val="95"/>
              <w:spacing w:before="24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保洁</w:t>
            </w: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地面</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巡视</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宣传栏、标志牌</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刮、擦拭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垃圾桶、果皮箱</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倾倒垃圾，更换垃圾袋、擦拭垃圾桶</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2次/日</w:t>
            </w:r>
          </w:p>
        </w:tc>
      </w:tr>
      <w:tr>
        <w:tblPrEx>
          <w:tblCellMar>
            <w:top w:w="15" w:type="dxa"/>
            <w:left w:w="15" w:type="dxa"/>
            <w:bottom w:w="15" w:type="dxa"/>
            <w:right w:w="15" w:type="dxa"/>
          </w:tblCellMar>
        </w:tblPrEx>
        <w:trPr>
          <w:trHeight w:val="90" w:hRule="atLeast"/>
          <w:tblCellSpacing w:w="0" w:type="dxa"/>
        </w:trPr>
        <w:tc>
          <w:tcPr>
            <w:tcW w:w="975" w:type="dxa"/>
            <w:vMerge w:val="restart"/>
            <w:tcBorders>
              <w:left w:val="single" w:color="000000" w:sz="8" w:space="0"/>
              <w:right w:val="single" w:color="000000" w:sz="8" w:space="0"/>
            </w:tcBorders>
            <w:noWrap w:val="0"/>
            <w:tcMar>
              <w:top w:w="0" w:type="dxa"/>
              <w:left w:w="13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停车场</w:t>
            </w:r>
          </w:p>
        </w:tc>
        <w:tc>
          <w:tcPr>
            <w:tcW w:w="995" w:type="dxa"/>
            <w:vMerge w:val="restart"/>
            <w:tcBorders>
              <w:right w:val="single" w:color="000000" w:sz="8" w:space="0"/>
            </w:tcBorders>
            <w:noWrap w:val="0"/>
            <w:tcMar>
              <w:top w:w="0" w:type="dxa"/>
              <w:left w:w="108" w:type="dxa"/>
              <w:bottom w:w="0" w:type="dxa"/>
              <w:right w:w="138" w:type="dxa"/>
            </w:tcMar>
            <w:vAlign w:val="center"/>
          </w:tcPr>
          <w:p>
            <w:pPr>
              <w:pStyle w:val="95"/>
              <w:spacing w:after="24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定期</w:t>
            </w:r>
          </w:p>
          <w:p>
            <w:pPr>
              <w:pStyle w:val="95"/>
              <w:spacing w:before="24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保洁</w:t>
            </w: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地面</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清扫</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1次/日</w:t>
            </w:r>
          </w:p>
        </w:tc>
      </w:tr>
      <w:tr>
        <w:tblPrEx>
          <w:tblCellMar>
            <w:top w:w="15" w:type="dxa"/>
            <w:left w:w="15" w:type="dxa"/>
            <w:bottom w:w="15" w:type="dxa"/>
            <w:right w:w="15" w:type="dxa"/>
          </w:tblCellMar>
        </w:tblPrEx>
        <w:trPr>
          <w:trHeight w:val="90" w:hRule="atLeast"/>
          <w:tblCellSpacing w:w="0" w:type="dxa"/>
        </w:trPr>
        <w:tc>
          <w:tcPr>
            <w:vMerge w:val="continue"/>
            <w:tcBorders>
              <w:left w:val="single" w:color="000000" w:sz="8" w:space="0"/>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vMerge w:val="continue"/>
            <w:tcBorders>
              <w:right w:val="single" w:color="000000" w:sz="8" w:space="0"/>
            </w:tcBorders>
            <w:vAlign w:val="center"/>
          </w:tcPr>
          <w:p>
            <w:pPr>
              <w:pStyle w:val="18"/>
              <w:rPr>
                <w:rFonts w:ascii="仿宋_GB2312" w:hAnsi="仿宋_GB2312" w:eastAsia="仿宋_GB2312" w:cs="仿宋_GB2312"/>
                <w:b w:val="0"/>
                <w:bCs w:val="0"/>
                <w:i w:val="0"/>
                <w:iCs w:val="0"/>
                <w:smallCaps w:val="0"/>
                <w:color w:val="000000"/>
              </w:rPr>
            </w:pP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各类告示牌、照明工具、栏杆立柱、反光镜</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掸尘、擦拭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spacing w:after="240"/>
              <w:jc w:val="center"/>
              <w:rPr>
                <w:rFonts w:ascii="Times New Roman" w:hAnsi="Times New Roman" w:eastAsia="Times New Roman" w:cs="Times New Roman"/>
                <w:b w:val="0"/>
                <w:bCs w:val="0"/>
                <w:i w:val="0"/>
                <w:iCs w:val="0"/>
                <w:smallCaps w:val="0"/>
                <w:color w:val="000000"/>
              </w:rPr>
            </w:pPr>
            <w:r>
              <w:rPr>
                <w:b w:val="0"/>
                <w:bCs w:val="0"/>
                <w:i w:val="0"/>
                <w:iCs w:val="0"/>
                <w:smallCaps w:val="0"/>
                <w:color w:val="000000"/>
              </w:rPr>
              <w:t> </w:t>
            </w:r>
          </w:p>
          <w:p>
            <w:pPr>
              <w:pStyle w:val="95"/>
              <w:spacing w:before="240"/>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2次/周</w:t>
            </w:r>
          </w:p>
        </w:tc>
      </w:tr>
      <w:tr>
        <w:tblPrEx>
          <w:tblCellMar>
            <w:top w:w="15" w:type="dxa"/>
            <w:left w:w="15" w:type="dxa"/>
            <w:bottom w:w="15" w:type="dxa"/>
            <w:right w:w="15" w:type="dxa"/>
          </w:tblCellMar>
        </w:tblPrEx>
        <w:trPr>
          <w:trHeight w:val="90" w:hRule="atLeast"/>
          <w:tblCellSpacing w:w="0" w:type="dxa"/>
        </w:trPr>
        <w:tc>
          <w:tcPr>
            <w:tcW w:w="975" w:type="dxa"/>
            <w:tcBorders>
              <w:left w:val="single" w:color="000000" w:sz="8" w:space="0"/>
              <w:bottom w:val="single" w:color="000000" w:sz="8" w:space="0"/>
              <w:right w:val="single" w:color="000000" w:sz="8" w:space="0"/>
            </w:tcBorders>
            <w:noWrap w:val="0"/>
            <w:tcMar>
              <w:top w:w="0" w:type="dxa"/>
              <w:left w:w="13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车库</w:t>
            </w:r>
          </w:p>
        </w:tc>
        <w:tc>
          <w:tcPr>
            <w:tcW w:w="995"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定期保洁</w:t>
            </w:r>
          </w:p>
        </w:tc>
        <w:tc>
          <w:tcPr>
            <w:tcW w:w="244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地面</w:t>
            </w:r>
          </w:p>
        </w:tc>
        <w:tc>
          <w:tcPr>
            <w:tcW w:w="2208"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清扫、掸尘、擦拭</w:t>
            </w:r>
          </w:p>
        </w:tc>
        <w:tc>
          <w:tcPr>
            <w:tcW w:w="2346" w:type="dxa"/>
            <w:tcBorders>
              <w:bottom w:val="single" w:color="000000" w:sz="8" w:space="0"/>
              <w:right w:val="single" w:color="000000" w:sz="8" w:space="0"/>
            </w:tcBorders>
            <w:noWrap w:val="0"/>
            <w:tcMar>
              <w:top w:w="0" w:type="dxa"/>
              <w:left w:w="108" w:type="dxa"/>
              <w:bottom w:w="0" w:type="dxa"/>
              <w:right w:w="138" w:type="dxa"/>
            </w:tcMar>
            <w:vAlign w:val="center"/>
          </w:tcPr>
          <w:p>
            <w:pPr>
              <w:pStyle w:val="95"/>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1次/周</w:t>
            </w:r>
          </w:p>
        </w:tc>
      </w:tr>
    </w:tbl>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 </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④垃圾分类</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——垃圾应分类管理，最大限度地实现垃圾资源利用，减少垃圾处置量；</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——做好垃圾分类宣传，倡导绿色环保理念，实现垃圾分类投放；</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——根据实际情况，按照可回收物、有害垃圾、厨余垃圾（湿垃圾）、其他垃圾（干垃圾）分别设置垃圾桶，实现分类储存；</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——垃圾收集严格按照分类原则，实现垃圾分类搬运。</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⑤垃圾中转站管理</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——中转站为办公楼保洁收集垃圾的临时存放处，垃圾应进行分类，做到分类存放，日产日清；</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——中转站应随脏随打扫,做到站内墙面及天花板无积灰、污迹、蛛网，无乱涂乱画，墙面光洁，外墙面整洁，垃圾清场后应认真冲洗；</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应做好中转站及周围3米内的消杀工作，严格做到每天上午10：00左右消杀一次，下午4：00左右消杀一次，垃圾清运后消杀一次，另视垃圾产量、垃圾成份或天气等具体情况可适当增加消杀次数，尽量减少苍蝇密度；</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——废品不得堆放在中转站外，不得在中转站内外燃烧废品；</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——设立垃圾分类相关设施，做到垃圾减量化、垃圾资源化；</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——及时收管站内工具和设施，对站内设备和设施的完好情况时行登记，故障要及时汇报；</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——把安全生产放在首位，消除一切不安全因素，做到早发现，早预防，确保安全运行；</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——工作结束后，做好室内外环境卫生，切断电源，关闭水龙头，关锁好门窗；</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——做好节能环保和垃圾处理相关知识宣传，努力实现垃圾减量，厨余垃圾无害化处理。</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⑥有害生物防治</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——防治方案：防治害虫采用预防为主，综合防治的方法。按照合同防治方案及标准进行治理；</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——药物成份：符合国家规范要求，药物安全、环保、无异味；</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——防治人员服务时着装整齐，持证上岗，按照规范操作。</w:t>
      </w:r>
    </w:p>
    <w:p>
      <w:pPr>
        <w:pStyle w:val="98"/>
        <w:spacing w:before="0" w:after="0" w:line="360" w:lineRule="auto"/>
        <w:ind w:firstLine="562"/>
        <w:rPr>
          <w:rFonts w:ascii="Times New Roman" w:hAnsi="Times New Roman" w:eastAsia="Times New Roman" w:cs="Times New Roman"/>
          <w:sz w:val="28"/>
          <w:szCs w:val="28"/>
        </w:rPr>
      </w:pPr>
      <w:r>
        <w:rPr>
          <w:rFonts w:ascii="仿宋_GB2312" w:hAnsi="仿宋_GB2312" w:eastAsia="仿宋_GB2312" w:cs="仿宋_GB2312"/>
          <w:b/>
          <w:bCs/>
          <w:sz w:val="28"/>
          <w:szCs w:val="28"/>
        </w:rPr>
        <w:t>6.会议服务</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（1）会议室及其用品管理</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——会议室专人管理；</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——茶具严格消毒、烫洗，封存，达到卫生安全标准。</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（2）会议受理</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——会前详细记录客户会议需求。</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（3）会议前准备</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——场地布置：根据组会方要求、场地大小、用途，明确摆放规定，同时须留有足够的应急疏散通道疏散出口；</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——引导服务：按照会前要求摆好水杯</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（4）会中服务</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——会议开始，根据需要为主席台提供服务；</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——会议开始后立即给茶杯加满水；如是矿泉水，要随时注意客人饮用情况，及时更换；</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——会议时间较长时：如果中间休息，服务员要及时整理好座椅、桌面用品，续水。在整理时，注意不要弄乱和翻阅桌的文件、本册等；</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会议召开期间保证会场内（如组会方许可）及会议室外至少各保留一名服务人员进行服务，随时解决与会人员提出的临时要求。会议进行过程中，细心观察会议室动静，如发现客人有事招呼，要立即应承，如客人的要求暂时无法满足，要及时汇报上级，确实无法满足的应向客人解释清楚；会议接待员及协助服务会议的接待员要保持工作纪律，不允许嬉笑、打闹、对会场内指指点点，做出不文明举动；</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——会议结束后将茶具、会议用品、台型及室内卫生恢复到最佳状态，茶具及时清洗、消毒。关闭所有设备，整理会场，最后关闭电灯、门窗离开。</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（5）会后整理</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——对会议现场进行检查。如发现参会人员遗忘的物品，要立即归还。</w:t>
      </w:r>
    </w:p>
    <w:p>
      <w:pPr>
        <w:pStyle w:val="98"/>
        <w:spacing w:before="0" w:after="0" w:line="360" w:lineRule="auto"/>
        <w:ind w:firstLine="562"/>
        <w:rPr>
          <w:rFonts w:ascii="Times New Roman" w:hAnsi="Times New Roman" w:eastAsia="Times New Roman" w:cs="Times New Roman"/>
          <w:sz w:val="28"/>
          <w:szCs w:val="28"/>
        </w:rPr>
      </w:pPr>
      <w:r>
        <w:rPr>
          <w:rFonts w:ascii="仿宋_GB2312" w:hAnsi="仿宋_GB2312" w:eastAsia="仿宋_GB2312" w:cs="仿宋_GB2312"/>
          <w:b/>
          <w:bCs/>
          <w:sz w:val="28"/>
          <w:szCs w:val="28"/>
        </w:rPr>
        <w:t>7.特约服务（餐饮服务、清雪服务、地毯清洗等）</w:t>
      </w:r>
    </w:p>
    <w:p>
      <w:pPr>
        <w:pStyle w:val="98"/>
        <w:spacing w:before="0" w:after="0" w:line="360" w:lineRule="auto"/>
        <w:ind w:firstLine="420"/>
        <w:rPr>
          <w:rFonts w:ascii="Times New Roman" w:hAnsi="Times New Roman" w:eastAsia="Times New Roman" w:cs="Times New Roman"/>
          <w:sz w:val="28"/>
          <w:szCs w:val="28"/>
        </w:rPr>
      </w:pPr>
      <w:r>
        <w:rPr>
          <w:rFonts w:ascii="宋体" w:hAnsi="宋体" w:eastAsia="宋体" w:cs="宋体"/>
          <w:sz w:val="21"/>
          <w:szCs w:val="21"/>
        </w:rPr>
        <w:t>（</w:t>
      </w:r>
      <w:r>
        <w:rPr>
          <w:rFonts w:ascii="仿宋_GB2312" w:hAnsi="仿宋_GB2312" w:eastAsia="仿宋_GB2312" w:cs="仿宋_GB2312"/>
          <w:sz w:val="28"/>
          <w:szCs w:val="28"/>
        </w:rPr>
        <w:t>1）餐饮服务</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①人员管理要求</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——中标人应积极维护采购人的利益，为采购人提供及时、高效、高质量的服务；中标人需配合采购人对食堂人员进行统一管理，采购人负责食堂食材的采买；</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——服从领导，积极工作，对本职工作认真负责；</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——不得允许非工作人员在非用餐时间进入餐厅，除采购单位特定要求外；</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——严格遵守劳动纪律，不迟到不早退，自觉坚守工作岗位，工作时间不随意离开工作岗位。</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——注意个人卫生，定期体检，工作时间不准吸烟、不留长发、长指甲，搞好个人卫生和环境卫生，做到文明服务；虚心听取意见，改进工作。</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——虚心学习技术，努力钻研业务，不断提高烹饪技术水平。</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② 饮食管理要求</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——除国家法定假日外，需向采购人提供早、中两个时间段以及临时性工作用餐。</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食品要烧熟煮透，烧好的菜要及时送进熟食间，生熟严格分开，隔餐要回锅烧透；配菜时要注意规格、质量，档次按配比标准执行。按时、按标准做饭，确保准时用餐；每天剩余的成品、半成品，妥善处理，安全存放；</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——开饭时，要及时掌握窗口供需情况，及时补充，确保供应；严格执行用餐规定，杜绝浪费；</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——注意控制和节约食堂成本，热心为用餐者服务，提高服务质量，搞好饮食服务工作。</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③ 厨房管理要求</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——餐具车、公用餐具应定期用洗洁精清洗干净，平时摆放整齐，使用前再进行清洗：操作台按时进行消毒，保障食品卫生。</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——容器保持完好，无破损、无油垢、分类摆放。</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——菜板、刀具、抹布等应用后清洗干净，并置于通风处晾干，菜板生熟食应分开。</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——废弃物放置场所要防止污染食品、食品接触面、水源及地面。</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——食品加工过程中废弃的食用油脂应集中存放在明显标志的容器内，定期按照国家有关规定要求进行处理。</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——应定期进行除虫灭害工作，防止害虫孳生。除虫灭害工作不能在食品加工操作时进行，实施时对各种食品（包括原料）应有保护措施。</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——每天专人清倒早中午两次垃圾，保证食堂垃圾处理及时无异味。</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——厨房工作人员准时到岗，不得擅自离岗，严肃工作纪律。</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④ 烹饪管理要求</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——食材的选择、质量控制：选择新鲜、优质的食材进行烹饪，严格控制食材质量，腐败变质以及异常的食品不下锅、不蒸煮，不烘烤。</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——职业技能：厨师需要掌握烹饪技巧，包括切割食材、炒、煮、蒸、炸等多种烹饪方法，并能熟练操作厨房设备和调节各种烹饪参数。同时还需要熟悉食材的处理流程，确保食材新鲜度和质量。</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厨房卫生与安全：定期清洗厨房设备，保持厨房的卫生与清洁，保持食材储存区域的干净整洁；保持个人卫生，符合规定以及遵守食品安全法律法规；厨师在工作时需要遵守消防安全规定，确保厨房内的消防器材处于良好状态，以及在紧急情况下采取正确的行动。</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——菜品创新：厨师应具备良好的创新能力，能够根据市场需求和顾客口味开发新菜品，并在烹饪过程中严格控制菜品质量。</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——环保节能：应注重环保节能，合理调配人员、科学安排操作程序，减少资源浪费，提高工作效率。</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服务态度和素质：餐饮服务人员需要保持良好的服务态度，对待用餐人员礼貌热情，尊重用餐人员的饮食习惯和隐私；厨师长需要具备抗压能力、团队协作精神、良好的人际交往能力以及职业道德，以便更好地完成各项工作任务。</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⑤ 食品安全管理要求</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——清洗、加工前先检查食品质量，对腐败变质、有毒有害的食品不加工，每日专人专管做好早中午留样，并填写留样记录。</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——清洗、拣切</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清洗：荤、素食品应分池清洗。初洗：将去皮的瓜果，去掉菜头的蔬菜，打鳞的鱼类，去毛的肉类，用清水清洗。标准：无腐烂、无异味、泥沙；细洗：将切过后的菜品倒在洗菜池进行浸泡15分钟，再清水洗2—3次。标准：菜类中无杂物，无异味；清洁：菜筐要逐个清洗干净后才能放置菜。标准：菜筐必须里外干净；无污垢、无油污，无杂物。</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拣切：检查食品原料的质量，食物均在保质期内使用，严禁使用过期食物，生熟食品和荤素食品应专墩专用；初清洁：刀、砧板、台面冲洗干净。标准：刀无锈斑，无油污；砧板无异味，台面无污垢；再清洁：用清水将刀，砧板、台面冲洗干净，标准：刀无洗涤剂泡沫。</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——加工</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切配菜按规定进行分类切配，精工细作。标准：丝、条、片必须大小均匀。</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切配好的菜不能放在地上，标准：整齐摆放在菜架上。</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生熟食品分开切配，标准：切配熟食的刀、砧板必须以高温消毒10分钟。</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切配中必须一面切菜，一面清除卫生。标准：台面、地板无垃圾、杂物，用垃圾桶或筐装放垃圾。</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——清洁</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切配完成后及时清理卫生，标准：生熟刀、砧板清洗工作后分开悬挂。台面无杂物、积水；地面无垃圾、积水、渠无污水、杂物堵塞。</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——洗碗</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及时把使用过的碗、碟、盘、勺收集到指定位置。标准：分类放置、不零散；初洗：用清水初洗去掉剩饭、剩菜和汤渍。标准：碗、碟、勺、盘里外没有残渣；细洗：用温水加洗涤剂再用抹布逐个里外清洗干净。标准：没有任何杂物、油；清洗：用清水清洁，浸泡后逐个捞起，标准：没有洗洁精泡沫。</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——消毒</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把洗好的餐具经检查晾干后放入消毒柜消毒。标准：100摄氏度以上消毒30分钟以上。</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食品充分加热，特别是肉类一定要烧熟煮透，防止外熟内生。</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储存材料冰箱冷库不得存入变质、有味、污染不洁的食品，严禁存放化肥、农药、杀虫剂等有毒有害物品。</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定期检查库存食品质量，发现变质食品或过期食品，应及时处理。</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食堂需要对食材采购、检测、贮存、配送、餐具消毒、加工制作、环境卫生等方面进行管理，以确保食材的质量和安全。</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⑥ 协助管理要求</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协助采购单位进行食材入库，做好出入库台账记录，入库前进行验收，做好验收核对斤数、数量工作。</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对照送货单及实物进行质量检验，对有异味或外观不符合要求的（如：颜色不正、色泽、手感不良等）必须坚决予以退货。</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食堂仓库任何物品未经主管领导批准不得其他部门领用和私用。</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餐食供应汇总：根据系统统计的用餐人数和餐食需求量，可及时调整餐食供应计划，保证食堂餐食质量和供应充足的同时，避免备餐过多造成的浪费。</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⑦卫生要求</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——严格把好食品卫生关，保证饮食卫生，防止食物中毒；认真做好厨房内清洁卫生工作；</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——保持灶面和环境清洁卫生，调料盆放在固定位置，做到清洁卫生，操作工具用毕洗净擦干，放在架上；</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——服务人员必须保证食堂地面及桌椅的干净整洁；无灰尘、污渍、杂物；垃圾需及时清理。</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⑧安全管理要求</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——注意搞好防火工作，安全使用燃气，防止火灾。节约水、电、煤、粮、油，爱护食堂设施。严格按操作规程使用机械炊具，避免伤亡事故发生；</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——在服务时应对食堂原有设备设施进行检查，确保所有设施设备正常工作。</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⑨临时性就餐保障</w:t>
      </w:r>
    </w:p>
    <w:p>
      <w:pPr>
        <w:pStyle w:val="98"/>
        <w:spacing w:before="0" w:after="0" w:line="360" w:lineRule="auto"/>
        <w:ind w:firstLine="560"/>
        <w:rPr>
          <w:rFonts w:ascii="Times New Roman" w:hAnsi="Times New Roman" w:eastAsia="Times New Roman" w:cs="Times New Roman"/>
          <w:sz w:val="28"/>
          <w:szCs w:val="28"/>
        </w:rPr>
      </w:pPr>
      <w:r>
        <w:rPr>
          <w:rFonts w:ascii="仿宋_GB2312" w:hAnsi="仿宋_GB2312" w:eastAsia="仿宋_GB2312" w:cs="仿宋_GB2312"/>
          <w:sz w:val="28"/>
          <w:szCs w:val="28"/>
        </w:rPr>
        <w:t>——按照采购单位要求无偿提供临时性就餐保障。</w:t>
      </w:r>
    </w:p>
    <w:p>
      <w:pPr>
        <w:pStyle w:val="98"/>
        <w:spacing w:before="0" w:after="0" w:line="360" w:lineRule="auto"/>
        <w:ind w:left="0" w:firstLine="478"/>
        <w:rPr>
          <w:rFonts w:ascii="Times New Roman" w:hAnsi="Times New Roman" w:eastAsia="Times New Roman" w:cs="Times New Roman"/>
          <w:sz w:val="28"/>
          <w:szCs w:val="28"/>
        </w:rPr>
      </w:pPr>
      <w:r>
        <w:rPr>
          <w:rFonts w:ascii="仿宋_GB2312" w:hAnsi="仿宋_GB2312" w:eastAsia="仿宋_GB2312" w:cs="仿宋_GB2312"/>
          <w:sz w:val="28"/>
          <w:szCs w:val="28"/>
        </w:rPr>
        <w:t>（2）地毯清洗</w:t>
      </w:r>
    </w:p>
    <w:p>
      <w:pPr>
        <w:pStyle w:val="98"/>
        <w:spacing w:before="0" w:after="0" w:line="360" w:lineRule="auto"/>
        <w:ind w:left="0" w:firstLine="478"/>
        <w:rPr>
          <w:rFonts w:ascii="Times New Roman" w:hAnsi="Times New Roman" w:eastAsia="Times New Roman" w:cs="Times New Roman"/>
          <w:sz w:val="28"/>
          <w:szCs w:val="28"/>
        </w:rPr>
      </w:pPr>
      <w:r>
        <w:rPr>
          <w:rFonts w:ascii="仿宋_GB2312" w:hAnsi="仿宋_GB2312" w:eastAsia="仿宋_GB2312" w:cs="仿宋_GB2312"/>
          <w:sz w:val="28"/>
          <w:szCs w:val="28"/>
        </w:rPr>
        <w:t>——地毯清洗项目，需采取专业清洗服务，不得损坏地毯。</w:t>
      </w:r>
    </w:p>
    <w:p>
      <w:pPr>
        <w:pStyle w:val="93"/>
        <w:spacing w:before="0" w:after="0" w:line="360" w:lineRule="auto"/>
        <w:ind w:left="0" w:firstLine="478"/>
        <w:rPr>
          <w:rFonts w:ascii="Times New Roman" w:hAnsi="Times New Roman" w:eastAsia="Times New Roman" w:cs="Times New Roman"/>
          <w:sz w:val="28"/>
          <w:szCs w:val="28"/>
        </w:rPr>
      </w:pPr>
      <w:r>
        <w:rPr>
          <w:rFonts w:ascii="仿宋_GB2312" w:hAnsi="仿宋_GB2312" w:eastAsia="仿宋_GB2312" w:cs="仿宋_GB2312"/>
          <w:sz w:val="28"/>
          <w:szCs w:val="28"/>
        </w:rPr>
        <w:t>（3）清雪服务</w:t>
      </w:r>
    </w:p>
    <w:p>
      <w:pPr>
        <w:pStyle w:val="93"/>
        <w:spacing w:before="0" w:after="0" w:line="360" w:lineRule="auto"/>
        <w:ind w:left="0" w:firstLine="478"/>
        <w:rPr>
          <w:rFonts w:ascii="Times New Roman" w:hAnsi="Times New Roman" w:eastAsia="Times New Roman" w:cs="Times New Roman"/>
          <w:sz w:val="28"/>
          <w:szCs w:val="28"/>
        </w:rPr>
      </w:pPr>
      <w:r>
        <w:rPr>
          <w:rFonts w:ascii="仿宋_GB2312" w:hAnsi="仿宋_GB2312" w:eastAsia="仿宋_GB2312" w:cs="仿宋_GB2312"/>
          <w:sz w:val="28"/>
          <w:szCs w:val="28"/>
        </w:rPr>
        <w:t>——清雪范围：办公区门前及院子内积雪清理。</w:t>
      </w:r>
    </w:p>
    <w:p>
      <w:pPr>
        <w:pStyle w:val="93"/>
        <w:spacing w:before="0" w:after="0" w:line="360" w:lineRule="auto"/>
        <w:ind w:left="0" w:firstLine="478"/>
        <w:rPr>
          <w:rFonts w:ascii="Times New Roman" w:hAnsi="Times New Roman" w:eastAsia="Times New Roman" w:cs="Times New Roman"/>
          <w:sz w:val="28"/>
          <w:szCs w:val="28"/>
        </w:rPr>
      </w:pPr>
      <w:r>
        <w:rPr>
          <w:rFonts w:ascii="仿宋_GB2312" w:hAnsi="仿宋_GB2312" w:eastAsia="仿宋_GB2312" w:cs="仿宋_GB2312"/>
          <w:sz w:val="28"/>
          <w:szCs w:val="28"/>
        </w:rPr>
        <w:t> ——清雪要求：及时清除办公区域周边指定地点的积雪，不能拖拉延缓；不得在院子内堆放积雪。</w:t>
      </w:r>
    </w:p>
    <w:p>
      <w:pPr>
        <w:pStyle w:val="98"/>
        <w:spacing w:before="0" w:after="0" w:line="360" w:lineRule="auto"/>
        <w:ind w:firstLine="562"/>
        <w:rPr>
          <w:rFonts w:ascii="Times New Roman" w:hAnsi="Times New Roman" w:eastAsia="Times New Roman" w:cs="Times New Roman"/>
          <w:sz w:val="28"/>
          <w:szCs w:val="28"/>
        </w:rPr>
      </w:pPr>
      <w:r>
        <w:rPr>
          <w:rFonts w:ascii="仿宋_GB2312" w:hAnsi="仿宋_GB2312" w:eastAsia="仿宋_GB2312" w:cs="仿宋_GB2312"/>
          <w:b/>
          <w:bCs/>
          <w:sz w:val="28"/>
          <w:szCs w:val="28"/>
        </w:rPr>
        <w:t>8.突发事件应急管理</w:t>
      </w:r>
    </w:p>
    <w:p>
      <w:pPr>
        <w:pStyle w:val="93"/>
        <w:spacing w:before="0" w:after="0" w:line="360" w:lineRule="auto"/>
        <w:rPr>
          <w:rFonts w:ascii="Times New Roman" w:hAnsi="Times New Roman" w:eastAsia="Times New Roman" w:cs="Times New Roman"/>
          <w:sz w:val="28"/>
          <w:szCs w:val="28"/>
        </w:rPr>
      </w:pPr>
      <w:r>
        <w:rPr>
          <w:rFonts w:ascii="仿宋_GB2312" w:hAnsi="仿宋_GB2312" w:eastAsia="仿宋_GB2312" w:cs="仿宋_GB2312"/>
          <w:sz w:val="28"/>
          <w:szCs w:val="28"/>
        </w:rPr>
        <w:t>（1）重点部位及安全隐患排查</w:t>
      </w:r>
    </w:p>
    <w:p>
      <w:pPr>
        <w:pStyle w:val="93"/>
        <w:spacing w:before="0" w:after="0" w:line="360" w:lineRule="auto"/>
        <w:rPr>
          <w:rFonts w:ascii="Times New Roman" w:hAnsi="Times New Roman" w:eastAsia="Times New Roman" w:cs="Times New Roman"/>
          <w:sz w:val="28"/>
          <w:szCs w:val="28"/>
        </w:rPr>
      </w:pPr>
      <w:r>
        <w:rPr>
          <w:rFonts w:ascii="仿宋_GB2312" w:hAnsi="仿宋_GB2312" w:eastAsia="仿宋_GB2312" w:cs="仿宋_GB2312"/>
          <w:sz w:val="28"/>
          <w:szCs w:val="28"/>
        </w:rPr>
        <w:t>   ——结合办公楼的实际情况，对重点部位及危险隐患进行排查，并建立清单/台账；</w:t>
      </w:r>
    </w:p>
    <w:p>
      <w:pPr>
        <w:pStyle w:val="93"/>
        <w:spacing w:before="0" w:after="0" w:line="360" w:lineRule="auto"/>
        <w:rPr>
          <w:rFonts w:ascii="Times New Roman" w:hAnsi="Times New Roman" w:eastAsia="Times New Roman" w:cs="Times New Roman"/>
          <w:sz w:val="28"/>
          <w:szCs w:val="28"/>
        </w:rPr>
      </w:pPr>
      <w:r>
        <w:rPr>
          <w:rFonts w:ascii="仿宋_GB2312" w:hAnsi="仿宋_GB2312" w:eastAsia="仿宋_GB2312" w:cs="仿宋_GB2312"/>
          <w:sz w:val="28"/>
          <w:szCs w:val="28"/>
        </w:rPr>
        <w:t>   ——应对危险隐患进行风险分析，制定相应措施进行控制或整改并定期监控；</w:t>
      </w:r>
    </w:p>
    <w:p>
      <w:pPr>
        <w:pStyle w:val="93"/>
        <w:spacing w:before="0" w:after="0" w:line="360" w:lineRule="auto"/>
        <w:rPr>
          <w:rFonts w:ascii="Times New Roman" w:hAnsi="Times New Roman" w:eastAsia="Times New Roman" w:cs="Times New Roman"/>
          <w:sz w:val="28"/>
          <w:szCs w:val="28"/>
        </w:rPr>
      </w:pPr>
      <w:r>
        <w:rPr>
          <w:rFonts w:ascii="仿宋_GB2312" w:hAnsi="仿宋_GB2312" w:eastAsia="仿宋_GB2312" w:cs="仿宋_GB2312"/>
          <w:sz w:val="28"/>
          <w:szCs w:val="28"/>
        </w:rPr>
        <w:t>   ——随着设施设备、服务内容的变化，及时更新清单/台账,使风险隐患始终处于受控状态。</w:t>
      </w:r>
    </w:p>
    <w:p>
      <w:pPr>
        <w:pStyle w:val="93"/>
        <w:spacing w:before="0" w:after="0" w:line="360" w:lineRule="auto"/>
        <w:rPr>
          <w:rFonts w:ascii="Times New Roman" w:hAnsi="Times New Roman" w:eastAsia="Times New Roman" w:cs="Times New Roman"/>
          <w:sz w:val="28"/>
          <w:szCs w:val="28"/>
        </w:rPr>
      </w:pPr>
      <w:r>
        <w:rPr>
          <w:rFonts w:ascii="仿宋_GB2312" w:hAnsi="仿宋_GB2312" w:eastAsia="仿宋_GB2312" w:cs="仿宋_GB2312"/>
          <w:sz w:val="28"/>
          <w:szCs w:val="28"/>
        </w:rPr>
        <w:t>   （2）应急预案的建立</w:t>
      </w:r>
    </w:p>
    <w:p>
      <w:pPr>
        <w:pStyle w:val="93"/>
        <w:spacing w:before="0" w:after="0" w:line="360" w:lineRule="auto"/>
        <w:rPr>
          <w:rFonts w:ascii="Times New Roman" w:hAnsi="Times New Roman" w:eastAsia="Times New Roman" w:cs="Times New Roman"/>
          <w:sz w:val="28"/>
          <w:szCs w:val="28"/>
        </w:rPr>
      </w:pPr>
      <w:r>
        <w:rPr>
          <w:rFonts w:ascii="仿宋_GB2312" w:hAnsi="仿宋_GB2312" w:eastAsia="仿宋_GB2312" w:cs="仿宋_GB2312"/>
          <w:sz w:val="28"/>
          <w:szCs w:val="28"/>
        </w:rPr>
        <w:t>   ①应急预案类型</w:t>
      </w:r>
    </w:p>
    <w:p>
      <w:pPr>
        <w:pStyle w:val="93"/>
        <w:spacing w:before="0" w:after="0" w:line="360" w:lineRule="auto"/>
        <w:rPr>
          <w:rFonts w:ascii="Times New Roman" w:hAnsi="Times New Roman" w:eastAsia="Times New Roman" w:cs="Times New Roman"/>
          <w:sz w:val="28"/>
          <w:szCs w:val="28"/>
        </w:rPr>
      </w:pPr>
      <w:r>
        <w:rPr>
          <w:rFonts w:ascii="仿宋_GB2312" w:hAnsi="仿宋_GB2312" w:eastAsia="仿宋_GB2312" w:cs="仿宋_GB2312"/>
          <w:sz w:val="28"/>
          <w:szCs w:val="28"/>
        </w:rPr>
        <w:t>   ——预案包括综合预案、专项预案和现场处置方案；</w:t>
      </w:r>
    </w:p>
    <w:p>
      <w:pPr>
        <w:pStyle w:val="93"/>
        <w:spacing w:before="0" w:after="0" w:line="360" w:lineRule="auto"/>
        <w:rPr>
          <w:rFonts w:ascii="Times New Roman" w:hAnsi="Times New Roman" w:eastAsia="Times New Roman" w:cs="Times New Roman"/>
          <w:sz w:val="28"/>
          <w:szCs w:val="28"/>
        </w:rPr>
      </w:pPr>
      <w:r>
        <w:rPr>
          <w:rFonts w:ascii="仿宋_GB2312" w:hAnsi="仿宋_GB2312" w:eastAsia="仿宋_GB2312" w:cs="仿宋_GB2312"/>
          <w:sz w:val="28"/>
          <w:szCs w:val="28"/>
        </w:rPr>
        <w:t>   ——根据办公楼隐患排查的结果和实际情况，制定专项预案，包括但不限于：火情火警紧急处理应急预案、紧急疏散应急预案、停电应急预案、有限空间救援应急预案、高空作业救援应急预案、恶劣天气应对应急预案等。</w:t>
      </w:r>
    </w:p>
    <w:p>
      <w:pPr>
        <w:pStyle w:val="93"/>
        <w:spacing w:before="0" w:after="0" w:line="360" w:lineRule="auto"/>
        <w:rPr>
          <w:rFonts w:ascii="Times New Roman" w:hAnsi="Times New Roman" w:eastAsia="Times New Roman" w:cs="Times New Roman"/>
          <w:sz w:val="28"/>
          <w:szCs w:val="28"/>
        </w:rPr>
      </w:pPr>
      <w:r>
        <w:rPr>
          <w:rFonts w:ascii="仿宋_GB2312" w:hAnsi="仿宋_GB2312" w:eastAsia="仿宋_GB2312" w:cs="仿宋_GB2312"/>
          <w:sz w:val="28"/>
          <w:szCs w:val="28"/>
        </w:rPr>
        <w:t>   ②应急预案的培训和演练</w:t>
      </w:r>
    </w:p>
    <w:p>
      <w:pPr>
        <w:pStyle w:val="93"/>
        <w:spacing w:before="0" w:after="0" w:line="360" w:lineRule="auto"/>
        <w:rPr>
          <w:rFonts w:ascii="Times New Roman" w:hAnsi="Times New Roman" w:eastAsia="Times New Roman" w:cs="Times New Roman"/>
          <w:sz w:val="28"/>
          <w:szCs w:val="28"/>
        </w:rPr>
      </w:pPr>
      <w:r>
        <w:rPr>
          <w:rFonts w:ascii="仿宋_GB2312" w:hAnsi="仿宋_GB2312" w:eastAsia="仿宋_GB2312" w:cs="仿宋_GB2312"/>
          <w:sz w:val="28"/>
          <w:szCs w:val="28"/>
        </w:rPr>
        <w:t>   ——应急预案定期培训和演练，每半年至少组织相关岗位进行一次专项应急预案演练；</w:t>
      </w:r>
    </w:p>
    <w:p>
      <w:pPr>
        <w:pStyle w:val="93"/>
        <w:spacing w:before="0" w:after="0" w:line="360" w:lineRule="auto"/>
        <w:rPr>
          <w:rFonts w:ascii="Times New Roman" w:hAnsi="Times New Roman" w:eastAsia="Times New Roman" w:cs="Times New Roman"/>
          <w:sz w:val="28"/>
          <w:szCs w:val="28"/>
        </w:rPr>
      </w:pPr>
      <w:r>
        <w:rPr>
          <w:rFonts w:ascii="仿宋_GB2312" w:hAnsi="仿宋_GB2312" w:eastAsia="仿宋_GB2312" w:cs="仿宋_GB2312"/>
          <w:sz w:val="28"/>
          <w:szCs w:val="28"/>
        </w:rPr>
        <w:t>   ——留存培训及演练记录和影像资料，并对预案进行评价，确保与实际情况相结合。</w:t>
      </w:r>
    </w:p>
    <w:p>
      <w:pPr>
        <w:pStyle w:val="93"/>
        <w:spacing w:before="0" w:after="0" w:line="360" w:lineRule="auto"/>
        <w:rPr>
          <w:rFonts w:ascii="Times New Roman" w:hAnsi="Times New Roman" w:eastAsia="Times New Roman" w:cs="Times New Roman"/>
          <w:sz w:val="28"/>
          <w:szCs w:val="28"/>
        </w:rPr>
      </w:pPr>
      <w:r>
        <w:rPr>
          <w:rFonts w:ascii="仿宋_GB2312" w:hAnsi="仿宋_GB2312" w:eastAsia="仿宋_GB2312" w:cs="仿宋_GB2312"/>
          <w:sz w:val="28"/>
          <w:szCs w:val="28"/>
        </w:rPr>
        <w:t>   （3）应急物资的管理</w:t>
      </w:r>
    </w:p>
    <w:p>
      <w:pPr>
        <w:pStyle w:val="93"/>
        <w:spacing w:before="0" w:after="0" w:line="360" w:lineRule="auto"/>
        <w:ind w:left="0" w:firstLine="238"/>
        <w:rPr>
          <w:rFonts w:ascii="Times New Roman" w:hAnsi="Times New Roman" w:eastAsia="Times New Roman" w:cs="Times New Roman"/>
          <w:sz w:val="28"/>
          <w:szCs w:val="28"/>
        </w:rPr>
      </w:pPr>
      <w:r>
        <w:rPr>
          <w:rFonts w:ascii="仿宋_GB2312" w:hAnsi="仿宋_GB2312" w:eastAsia="仿宋_GB2312" w:cs="仿宋_GB2312"/>
          <w:sz w:val="28"/>
          <w:szCs w:val="28"/>
        </w:rPr>
        <w:t>——根据专项预案中的应对需要，合理配置必要的应急物资，建立清单或台账，并专人管理；</w:t>
      </w:r>
    </w:p>
    <w:p>
      <w:pPr>
        <w:pStyle w:val="98"/>
        <w:spacing w:before="0" w:after="0" w:line="360" w:lineRule="auto"/>
        <w:ind w:left="0" w:firstLine="238"/>
        <w:rPr>
          <w:rFonts w:ascii="Times New Roman" w:hAnsi="Times New Roman" w:eastAsia="Times New Roman" w:cs="Times New Roman"/>
          <w:sz w:val="28"/>
          <w:szCs w:val="28"/>
        </w:rPr>
      </w:pPr>
      <w:r>
        <w:rPr>
          <w:rFonts w:ascii="仿宋_GB2312" w:hAnsi="仿宋_GB2312" w:eastAsia="仿宋_GB2312" w:cs="仿宋_GB2312"/>
          <w:sz w:val="28"/>
          <w:szCs w:val="28"/>
        </w:rPr>
        <w:t>——定期对应急物资进行检查，确保能够随时正常使用。</w:t>
      </w:r>
    </w:p>
    <w:p>
      <w:pPr>
        <w:pStyle w:val="98"/>
        <w:spacing w:before="0" w:after="0" w:line="360" w:lineRule="auto"/>
        <w:ind w:firstLine="562"/>
        <w:rPr>
          <w:rFonts w:ascii="Times New Roman" w:hAnsi="Times New Roman" w:eastAsia="Times New Roman" w:cs="Times New Roman"/>
          <w:sz w:val="28"/>
          <w:szCs w:val="28"/>
        </w:rPr>
      </w:pPr>
      <w:r>
        <w:rPr>
          <w:rFonts w:ascii="仿宋_GB2312" w:hAnsi="仿宋_GB2312" w:eastAsia="仿宋_GB2312" w:cs="仿宋_GB2312"/>
          <w:b/>
          <w:bCs/>
          <w:sz w:val="28"/>
          <w:szCs w:val="28"/>
        </w:rPr>
        <w:t>9.绿色物业管理</w:t>
      </w:r>
    </w:p>
    <w:p>
      <w:pPr>
        <w:pStyle w:val="98"/>
        <w:spacing w:before="0" w:after="0" w:line="360" w:lineRule="auto"/>
        <w:ind w:firstLine="420"/>
        <w:rPr>
          <w:rFonts w:ascii="Times New Roman" w:hAnsi="Times New Roman" w:eastAsia="Times New Roman" w:cs="Times New Roman"/>
          <w:sz w:val="28"/>
          <w:szCs w:val="28"/>
        </w:rPr>
      </w:pPr>
      <w:r>
        <w:rPr>
          <w:rFonts w:ascii="宋体" w:hAnsi="宋体" w:eastAsia="宋体" w:cs="宋体"/>
          <w:sz w:val="21"/>
          <w:szCs w:val="21"/>
        </w:rPr>
        <w:t> </w:t>
      </w:r>
      <w:r>
        <w:rPr>
          <w:rFonts w:ascii="仿宋_GB2312" w:hAnsi="仿宋_GB2312" w:eastAsia="仿宋_GB2312" w:cs="仿宋_GB2312"/>
          <w:sz w:val="28"/>
          <w:szCs w:val="28"/>
        </w:rPr>
        <w:t>绿色物业管理的主要管理措施包括但不限于：</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节能：基于办公楼的能耗组成、能耗设备及运行规律、能耗特点等，进行用能分析，查找存在问题与漏洞，给出针对主要耗能对象制定节能改造方案，报政府主管部门同意后实施。节能改造完成后应对实施效果的功能性、经济性进行评价；</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——节水：利用节水技术和设施，杜绝“跑、冒、滴、漏”；</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——垃圾分类：配合当地的城市管理要求，进行垃圾分类宣传和行为引导，设立生活垃圾分类集中投放点和分类收集容器，对生活垃圾分类收集、分类暂存和分类交运；</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——环境绿化：选用有机肥料和生物治虫技术，营造生态环境；</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——控烟管理：办公楼内严禁吸烟，会议室、值班室等不设烟灰缸，发现吸烟人员及时劝阻；</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——污染防治：实施雨水、污水分流管理，控制设备噪声、作业噪声和粉尘排放，对有毒化学品容器、机油抹布等固体废弃物等进行有效处置等；</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——绿色采购：优先采购政府公布的绿色采购清单物质。</w:t>
      </w:r>
    </w:p>
    <w:p>
      <w:pPr>
        <w:pStyle w:val="98"/>
        <w:spacing w:before="0" w:after="0" w:line="360" w:lineRule="auto"/>
        <w:ind w:firstLine="562"/>
        <w:rPr>
          <w:rFonts w:ascii="Times New Roman" w:hAnsi="Times New Roman" w:eastAsia="Times New Roman" w:cs="Times New Roman"/>
          <w:sz w:val="28"/>
          <w:szCs w:val="28"/>
        </w:rPr>
      </w:pPr>
      <w:r>
        <w:rPr>
          <w:rFonts w:ascii="仿宋_GB2312" w:hAnsi="仿宋_GB2312" w:eastAsia="仿宋_GB2312" w:cs="仿宋_GB2312"/>
          <w:b/>
          <w:bCs/>
          <w:sz w:val="28"/>
          <w:szCs w:val="28"/>
        </w:rPr>
        <w:t>10.标准化建设</w:t>
      </w:r>
    </w:p>
    <w:p>
      <w:pPr>
        <w:pStyle w:val="98"/>
        <w:spacing w:before="0" w:after="0" w:line="360" w:lineRule="auto"/>
        <w:ind w:firstLine="420"/>
        <w:rPr>
          <w:rFonts w:ascii="Times New Roman" w:hAnsi="Times New Roman" w:eastAsia="Times New Roman" w:cs="Times New Roman"/>
          <w:sz w:val="28"/>
          <w:szCs w:val="28"/>
        </w:rPr>
      </w:pPr>
      <w:r>
        <w:rPr>
          <w:rFonts w:ascii="仿宋_GB2312" w:hAnsi="仿宋_GB2312" w:eastAsia="仿宋_GB2312" w:cs="仿宋_GB2312"/>
          <w:sz w:val="28"/>
          <w:szCs w:val="28"/>
        </w:rPr>
        <w:t>——熟悉并按照当地政务单位标准化服务要求做好相应的制度与保障服务工作；</w:t>
      </w:r>
    </w:p>
    <w:p>
      <w:pPr>
        <w:pStyle w:val="95"/>
        <w:spacing w:before="0" w:after="0" w:line="360" w:lineRule="auto"/>
        <w:rPr>
          <w:rFonts w:ascii="Times New Roman" w:hAnsi="Times New Roman" w:eastAsia="Times New Roman" w:cs="Times New Roman"/>
          <w:sz w:val="28"/>
          <w:szCs w:val="28"/>
        </w:rPr>
      </w:pPr>
      <w:r>
        <w:rPr>
          <w:rFonts w:ascii="仿宋_GB2312" w:hAnsi="仿宋_GB2312" w:eastAsia="仿宋_GB2312" w:cs="仿宋_GB2312"/>
          <w:sz w:val="28"/>
          <w:szCs w:val="28"/>
        </w:rPr>
        <w:t>——根据政府部门要求做好相关的标准化服务。</w:t>
      </w:r>
    </w:p>
    <w:p>
      <w:pPr>
        <w:pStyle w:val="90"/>
        <w:keepNext w:val="0"/>
        <w:spacing w:before="0" w:after="0" w:line="360" w:lineRule="auto"/>
        <w:jc w:val="center"/>
        <w:rPr>
          <w:rFonts w:ascii="仿宋_GB2312" w:hAnsi="仿宋_GB2312" w:eastAsia="仿宋_GB2312" w:cs="仿宋_GB2312"/>
          <w:b/>
          <w:bCs/>
          <w:sz w:val="32"/>
          <w:szCs w:val="32"/>
        </w:rPr>
      </w:pPr>
      <w:bookmarkStart w:id="22" w:name="_Toc256000018"/>
      <w:r>
        <w:rPr>
          <w:rFonts w:ascii="仿宋_GB2312" w:hAnsi="仿宋_GB2312" w:eastAsia="仿宋_GB2312" w:cs="仿宋_GB2312"/>
          <w:kern w:val="36"/>
        </w:rPr>
        <w:t>4人员要求</w:t>
      </w:r>
      <w:bookmarkEnd w:id="22"/>
    </w:p>
    <w:p>
      <w:pPr>
        <w:pStyle w:val="91"/>
        <w:keepNext w:val="0"/>
        <w:spacing w:before="0" w:after="0" w:line="360" w:lineRule="auto"/>
        <w:rPr>
          <w:rFonts w:ascii="仿宋_GB2312" w:hAnsi="仿宋_GB2312" w:eastAsia="仿宋_GB2312" w:cs="仿宋_GB2312"/>
          <w:b/>
          <w:bCs/>
          <w:sz w:val="28"/>
          <w:szCs w:val="28"/>
        </w:rPr>
      </w:pPr>
      <w:bookmarkStart w:id="23" w:name="_Toc256000019"/>
      <w:r>
        <w:rPr>
          <w:rFonts w:ascii="仿宋_GB2312" w:hAnsi="仿宋_GB2312" w:eastAsia="仿宋_GB2312" w:cs="仿宋_GB2312"/>
          <w:i w:val="0"/>
          <w:iCs w:val="0"/>
        </w:rPr>
        <w:t>4.1总体要求</w:t>
      </w:r>
      <w:bookmarkEnd w:id="23"/>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投标方根据岗位制定人力资源配置，不得低于28人。</w:t>
      </w:r>
    </w:p>
    <w:p>
      <w:pPr>
        <w:pStyle w:val="91"/>
        <w:keepNext w:val="0"/>
        <w:spacing w:before="0" w:after="0" w:line="360" w:lineRule="auto"/>
        <w:rPr>
          <w:rFonts w:ascii="仿宋_GB2312" w:hAnsi="仿宋_GB2312" w:eastAsia="仿宋_GB2312" w:cs="仿宋_GB2312"/>
          <w:b/>
          <w:bCs/>
          <w:sz w:val="28"/>
          <w:szCs w:val="28"/>
        </w:rPr>
      </w:pPr>
      <w:bookmarkStart w:id="24" w:name="_Toc256000020"/>
      <w:r>
        <w:rPr>
          <w:rFonts w:ascii="仿宋_GB2312" w:hAnsi="仿宋_GB2312" w:eastAsia="仿宋_GB2312" w:cs="仿宋_GB2312"/>
          <w:i w:val="0"/>
          <w:iCs w:val="0"/>
        </w:rPr>
        <w:t>4.2管理团队</w:t>
      </w:r>
      <w:bookmarkEnd w:id="24"/>
    </w:p>
    <w:p>
      <w:pPr>
        <w:pStyle w:val="92"/>
        <w:keepNext w:val="0"/>
        <w:spacing w:before="0" w:after="0" w:line="360" w:lineRule="auto"/>
        <w:rPr>
          <w:rFonts w:ascii="仿宋_GB2312" w:hAnsi="仿宋_GB2312" w:eastAsia="仿宋_GB2312" w:cs="仿宋_GB2312"/>
          <w:b/>
          <w:bCs/>
          <w:sz w:val="28"/>
          <w:szCs w:val="28"/>
        </w:rPr>
      </w:pPr>
      <w:bookmarkStart w:id="25" w:name="_Toc256000021"/>
      <w:r>
        <w:rPr>
          <w:rFonts w:ascii="仿宋_GB2312" w:hAnsi="仿宋_GB2312" w:eastAsia="仿宋_GB2312" w:cs="仿宋_GB2312"/>
          <w:sz w:val="28"/>
          <w:szCs w:val="28"/>
        </w:rPr>
        <w:t>4.2.1项目经理兼会议服务人员</w:t>
      </w:r>
      <w:bookmarkEnd w:id="25"/>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项目经理兼会议服务人员（1人）。男性年龄：30--55周岁之间，女性年龄：30--50周岁之间；提供投标人为其缴纳的截止开标前12个月内至少6个月（含）的社保证明。能够根据实际工作环境，对工作内容和人员合理分工调配，具备组织日常物业工作的能力。掌握多种工作技能：熟悉会议服务工作流程并开展工作。</w:t>
      </w:r>
    </w:p>
    <w:p>
      <w:pPr>
        <w:pStyle w:val="91"/>
        <w:keepNext w:val="0"/>
        <w:spacing w:before="0" w:after="0" w:line="360" w:lineRule="auto"/>
        <w:rPr>
          <w:rFonts w:ascii="仿宋_GB2312" w:hAnsi="仿宋_GB2312" w:eastAsia="仿宋_GB2312" w:cs="仿宋_GB2312"/>
          <w:b/>
          <w:bCs/>
          <w:sz w:val="28"/>
          <w:szCs w:val="28"/>
        </w:rPr>
      </w:pPr>
      <w:bookmarkStart w:id="26" w:name="_Toc256000022"/>
      <w:r>
        <w:rPr>
          <w:rFonts w:ascii="仿宋_GB2312" w:hAnsi="仿宋_GB2312" w:eastAsia="仿宋_GB2312" w:cs="仿宋_GB2312"/>
          <w:i w:val="0"/>
          <w:iCs w:val="0"/>
        </w:rPr>
        <w:t>4.3技术团队</w:t>
      </w:r>
      <w:bookmarkEnd w:id="26"/>
    </w:p>
    <w:p>
      <w:pPr>
        <w:pStyle w:val="100"/>
        <w:spacing w:before="0" w:after="0" w:line="360" w:lineRule="auto"/>
        <w:ind w:firstLine="562"/>
        <w:rPr>
          <w:rFonts w:ascii="Times New Roman" w:hAnsi="Times New Roman" w:eastAsia="Times New Roman" w:cs="Times New Roman"/>
        </w:rPr>
      </w:pPr>
      <w:r>
        <w:rPr>
          <w:rFonts w:ascii="仿宋_GB2312" w:hAnsi="仿宋_GB2312" w:eastAsia="仿宋_GB2312" w:cs="仿宋_GB2312"/>
          <w:b/>
          <w:bCs/>
          <w:sz w:val="28"/>
          <w:szCs w:val="28"/>
        </w:rPr>
        <w:t>团队人员总体要求：</w:t>
      </w:r>
    </w:p>
    <w:p>
      <w:pPr>
        <w:pStyle w:val="100"/>
        <w:spacing w:before="0" w:after="0" w:line="360" w:lineRule="auto"/>
        <w:ind w:firstLine="562"/>
        <w:rPr>
          <w:rFonts w:ascii="Times New Roman" w:hAnsi="Times New Roman" w:eastAsia="Times New Roman" w:cs="Times New Roman"/>
        </w:rPr>
      </w:pPr>
      <w:r>
        <w:rPr>
          <w:rFonts w:ascii="仿宋_GB2312" w:hAnsi="仿宋_GB2312" w:eastAsia="仿宋_GB2312" w:cs="仿宋_GB2312"/>
          <w:b/>
          <w:bCs/>
          <w:sz w:val="28"/>
          <w:szCs w:val="28"/>
        </w:rPr>
        <w:t>1.持证上岗</w:t>
      </w:r>
    </w:p>
    <w:p>
      <w:pPr>
        <w:pStyle w:val="93"/>
        <w:spacing w:before="0" w:after="0" w:line="360" w:lineRule="auto"/>
        <w:rPr>
          <w:rFonts w:ascii="Times New Roman" w:hAnsi="Times New Roman" w:eastAsia="Times New Roman" w:cs="Times New Roman"/>
        </w:rPr>
      </w:pPr>
      <w:r>
        <w:rPr>
          <w:rFonts w:ascii="宋体" w:hAnsi="宋体" w:eastAsia="宋体" w:cs="宋体"/>
          <w:sz w:val="21"/>
          <w:szCs w:val="21"/>
        </w:rPr>
        <w:t>    </w:t>
      </w:r>
      <w:r>
        <w:rPr>
          <w:rFonts w:ascii="仿宋_GB2312" w:hAnsi="仿宋_GB2312" w:eastAsia="仿宋_GB2312" w:cs="仿宋_GB2312"/>
          <w:sz w:val="28"/>
          <w:szCs w:val="28"/>
        </w:rPr>
        <w:t>根据国家有关规定及行业要求，物业管理的部分岗位要求持证上岗：</w:t>
      </w:r>
    </w:p>
    <w:p>
      <w:pPr>
        <w:pStyle w:val="100"/>
        <w:spacing w:before="0" w:after="0" w:line="360" w:lineRule="auto"/>
        <w:ind w:firstLine="562"/>
        <w:rPr>
          <w:rFonts w:ascii="Times New Roman" w:hAnsi="Times New Roman" w:eastAsia="Times New Roman" w:cs="Times New Roman"/>
        </w:rPr>
      </w:pPr>
      <w:r>
        <w:rPr>
          <w:rFonts w:ascii="仿宋_GB2312" w:hAnsi="仿宋_GB2312" w:eastAsia="仿宋_GB2312" w:cs="仿宋_GB2312"/>
          <w:b/>
          <w:bCs/>
          <w:sz w:val="28"/>
          <w:szCs w:val="28"/>
        </w:rPr>
        <w:t>2.职业素质</w:t>
      </w:r>
    </w:p>
    <w:p>
      <w:pPr>
        <w:pStyle w:val="93"/>
        <w:spacing w:before="0" w:after="0" w:line="360" w:lineRule="auto"/>
        <w:ind w:firstLine="280"/>
        <w:rPr>
          <w:rFonts w:ascii="Times New Roman" w:hAnsi="Times New Roman" w:eastAsia="Times New Roman" w:cs="Times New Roman"/>
        </w:rPr>
      </w:pPr>
      <w:r>
        <w:rPr>
          <w:rFonts w:ascii="仿宋_GB2312" w:hAnsi="仿宋_GB2312" w:eastAsia="仿宋_GB2312" w:cs="仿宋_GB2312"/>
          <w:sz w:val="28"/>
          <w:szCs w:val="28"/>
        </w:rPr>
        <w:t>（1）政治素质</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——热爱祖国、诚实守信；</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——爱岗敬业，恪尽职守；</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——遵纪守法，团结协作；</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——无违法犯罪记录。</w:t>
      </w:r>
    </w:p>
    <w:p>
      <w:pPr>
        <w:pStyle w:val="93"/>
        <w:spacing w:before="0" w:after="0" w:line="360" w:lineRule="auto"/>
        <w:ind w:firstLine="280"/>
        <w:rPr>
          <w:rFonts w:ascii="Times New Roman" w:hAnsi="Times New Roman" w:eastAsia="Times New Roman" w:cs="Times New Roman"/>
        </w:rPr>
      </w:pPr>
      <w:r>
        <w:rPr>
          <w:rFonts w:ascii="仿宋_GB2312" w:hAnsi="仿宋_GB2312" w:eastAsia="仿宋_GB2312" w:cs="仿宋_GB2312"/>
          <w:sz w:val="28"/>
          <w:szCs w:val="28"/>
        </w:rPr>
        <w:t>（2）业务技能</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——具备基本法律知识，了解有关岗位管理政策、规定，熟悉物业服务区域基本情况；</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——具备较强的语言、文字表达能力和沟通能力；</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——具备与岗位职责相应的观察、发现、处置问题能力；</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——熟练使用相关专用设施设备。</w:t>
      </w:r>
    </w:p>
    <w:p>
      <w:pPr>
        <w:pStyle w:val="93"/>
        <w:spacing w:before="0" w:after="0" w:line="360" w:lineRule="auto"/>
        <w:ind w:firstLine="280"/>
        <w:rPr>
          <w:rFonts w:ascii="Times New Roman" w:hAnsi="Times New Roman" w:eastAsia="Times New Roman" w:cs="Times New Roman"/>
        </w:rPr>
      </w:pPr>
      <w:r>
        <w:rPr>
          <w:rFonts w:ascii="仿宋_GB2312" w:hAnsi="仿宋_GB2312" w:eastAsia="仿宋_GB2312" w:cs="仿宋_GB2312"/>
          <w:sz w:val="28"/>
          <w:szCs w:val="28"/>
        </w:rPr>
        <w:t>（3）身体素质</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仪表端庄，具备岗位需要的身体条件等。</w:t>
      </w:r>
    </w:p>
    <w:p>
      <w:pPr>
        <w:pStyle w:val="93"/>
        <w:spacing w:before="0" w:after="0" w:line="360" w:lineRule="auto"/>
        <w:ind w:firstLine="280"/>
        <w:rPr>
          <w:rFonts w:ascii="Times New Roman" w:hAnsi="Times New Roman" w:eastAsia="Times New Roman" w:cs="Times New Roman"/>
        </w:rPr>
      </w:pPr>
      <w:r>
        <w:rPr>
          <w:rFonts w:ascii="仿宋_GB2312" w:hAnsi="仿宋_GB2312" w:eastAsia="仿宋_GB2312" w:cs="仿宋_GB2312"/>
          <w:sz w:val="28"/>
          <w:szCs w:val="28"/>
        </w:rPr>
        <w:t>（4）文化素质</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——具备相应的专业业务知识和技能。</w:t>
      </w:r>
    </w:p>
    <w:p>
      <w:pPr>
        <w:pStyle w:val="93"/>
        <w:spacing w:before="0" w:after="0" w:line="360" w:lineRule="auto"/>
        <w:ind w:firstLine="280"/>
        <w:rPr>
          <w:rFonts w:ascii="Times New Roman" w:hAnsi="Times New Roman" w:eastAsia="Times New Roman" w:cs="Times New Roman"/>
        </w:rPr>
      </w:pPr>
      <w:r>
        <w:rPr>
          <w:rFonts w:ascii="仿宋_GB2312" w:hAnsi="仿宋_GB2312" w:eastAsia="仿宋_GB2312" w:cs="仿宋_GB2312"/>
          <w:sz w:val="28"/>
          <w:szCs w:val="28"/>
        </w:rPr>
        <w:t>（5）年龄条件</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——依据国家有关行业危险等级划分，秩序维护员等岗位人员年龄应符合国家法律规定的最低或最高年龄要求。</w:t>
      </w:r>
    </w:p>
    <w:p>
      <w:pPr>
        <w:pStyle w:val="93"/>
        <w:spacing w:before="0" w:after="0" w:line="360" w:lineRule="auto"/>
        <w:ind w:firstLine="280"/>
        <w:rPr>
          <w:rFonts w:ascii="Times New Roman" w:hAnsi="Times New Roman" w:eastAsia="Times New Roman" w:cs="Times New Roman"/>
        </w:rPr>
      </w:pPr>
      <w:r>
        <w:rPr>
          <w:rFonts w:ascii="仿宋_GB2312" w:hAnsi="仿宋_GB2312" w:eastAsia="仿宋_GB2312" w:cs="仿宋_GB2312"/>
          <w:sz w:val="28"/>
          <w:szCs w:val="28"/>
        </w:rPr>
        <w:t>（6）安全生产</w:t>
      </w:r>
    </w:p>
    <w:p>
      <w:pPr>
        <w:pStyle w:val="95"/>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——严格按安全操作规程操作，不得违章作业、违章指挥。</w:t>
      </w:r>
    </w:p>
    <w:p>
      <w:pPr>
        <w:pStyle w:val="100"/>
        <w:spacing w:before="0" w:after="0" w:line="360" w:lineRule="auto"/>
        <w:ind w:firstLine="562"/>
        <w:rPr>
          <w:rFonts w:ascii="Times New Roman" w:hAnsi="Times New Roman" w:eastAsia="Times New Roman" w:cs="Times New Roman"/>
        </w:rPr>
      </w:pPr>
      <w:r>
        <w:rPr>
          <w:rFonts w:ascii="仿宋_GB2312" w:hAnsi="仿宋_GB2312" w:eastAsia="仿宋_GB2312" w:cs="仿宋_GB2312"/>
          <w:b/>
          <w:bCs/>
          <w:sz w:val="28"/>
          <w:szCs w:val="28"/>
        </w:rPr>
        <w:t>3.行为规范</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（1）着装</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统一着装、干净整洁，并按规定佩带标志，因私外出时应着便服。</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 xml:space="preserve">（2）纪律 </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——姿态端正、工作规范、举止文明、精神饱满、表情自然；</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——语言简洁、文明，主动、热情、耐心、周到并及时、主动提供服务；</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——严格履行岗位职责；</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——不准刁难客户及来访人员；</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——不得脱岗、空岗、睡岗，不准迟到、早退，在岗期间不准做与工作无关的事；</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——遵守采购人单位内部的规章制度，不准随意打听、记录、传播采购人单位内部的信息；</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——有重要情况妥善处置并及时上报。不准迟报、漏报、瞒报；</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——认真填写值班记录，做好交接班工作；</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——爱护公物，爱护客户财物；</w:t>
      </w:r>
    </w:p>
    <w:p>
      <w:pPr>
        <w:pStyle w:val="93"/>
        <w:spacing w:before="0" w:after="0" w:line="360" w:lineRule="auto"/>
        <w:ind w:firstLine="562"/>
        <w:rPr>
          <w:rFonts w:ascii="Times New Roman" w:hAnsi="Times New Roman" w:eastAsia="Times New Roman" w:cs="Times New Roman"/>
        </w:rPr>
      </w:pPr>
      <w:r>
        <w:rPr>
          <w:rFonts w:ascii="仿宋_GB2312" w:hAnsi="仿宋_GB2312" w:eastAsia="仿宋_GB2312" w:cs="仿宋_GB2312"/>
          <w:sz w:val="28"/>
          <w:szCs w:val="28"/>
        </w:rPr>
        <w:t>——自觉维护环境卫生，保持物业服务区域整齐清洁。</w:t>
      </w:r>
    </w:p>
    <w:p>
      <w:pPr>
        <w:pStyle w:val="93"/>
        <w:spacing w:before="0" w:after="0" w:line="360" w:lineRule="auto"/>
        <w:ind w:firstLine="562"/>
        <w:rPr>
          <w:rFonts w:ascii="Times New Roman" w:hAnsi="Times New Roman" w:eastAsia="Times New Roman" w:cs="Times New Roman"/>
        </w:rPr>
      </w:pPr>
      <w:r>
        <w:rPr>
          <w:rFonts w:ascii="仿宋_GB2312" w:hAnsi="仿宋_GB2312" w:eastAsia="仿宋_GB2312" w:cs="仿宋_GB2312"/>
          <w:b/>
          <w:bCs/>
          <w:sz w:val="28"/>
          <w:szCs w:val="28"/>
        </w:rPr>
        <w:t>人员岗位配置标准要求：</w:t>
      </w:r>
    </w:p>
    <w:p>
      <w:pPr>
        <w:pStyle w:val="93"/>
        <w:spacing w:before="0" w:after="0" w:line="360" w:lineRule="auto"/>
        <w:ind w:firstLine="562"/>
        <w:rPr>
          <w:rFonts w:ascii="Times New Roman" w:hAnsi="Times New Roman" w:eastAsia="Times New Roman" w:cs="Times New Roman"/>
        </w:rPr>
      </w:pPr>
      <w:r>
        <w:rPr>
          <w:rFonts w:ascii="仿宋_GB2312" w:hAnsi="仿宋_GB2312" w:eastAsia="仿宋_GB2312" w:cs="仿宋_GB2312"/>
          <w:b/>
          <w:bCs/>
          <w:sz w:val="28"/>
          <w:szCs w:val="28"/>
        </w:rPr>
        <w:t>1.人员配备依据</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人员配备依据主要以当地有关规定为指导，根据单位办公楼要求的办公楼物业管理经费水平、办公楼物业管理的经验值，共同确定物业管理人员配备数量不得低于28人。</w:t>
      </w:r>
    </w:p>
    <w:p>
      <w:pPr>
        <w:pStyle w:val="93"/>
        <w:spacing w:before="0" w:after="0" w:line="360" w:lineRule="auto"/>
        <w:ind w:firstLine="562"/>
        <w:rPr>
          <w:rFonts w:ascii="Times New Roman" w:hAnsi="Times New Roman" w:eastAsia="Times New Roman" w:cs="Times New Roman"/>
        </w:rPr>
      </w:pPr>
      <w:r>
        <w:rPr>
          <w:rFonts w:ascii="仿宋_GB2312" w:hAnsi="仿宋_GB2312" w:eastAsia="仿宋_GB2312" w:cs="仿宋_GB2312"/>
          <w:b/>
          <w:bCs/>
          <w:sz w:val="28"/>
          <w:szCs w:val="28"/>
        </w:rPr>
        <w:t>人员类别、数量及主要工作内容</w:t>
      </w:r>
    </w:p>
    <w:p>
      <w:pPr>
        <w:pStyle w:val="93"/>
        <w:spacing w:before="0" w:after="0" w:line="360" w:lineRule="auto"/>
        <w:ind w:firstLine="640"/>
        <w:rPr>
          <w:rFonts w:ascii="Times New Roman" w:hAnsi="Times New Roman" w:eastAsia="Times New Roman" w:cs="Times New Roman"/>
        </w:rPr>
      </w:pPr>
      <w:r>
        <w:rPr>
          <w:rFonts w:ascii="仿宋_GB2312" w:hAnsi="仿宋_GB2312" w:eastAsia="仿宋_GB2312" w:cs="仿宋_GB2312"/>
          <w:sz w:val="28"/>
          <w:szCs w:val="28"/>
        </w:rPr>
        <w:t>（1）办公楼秩序主管（1人）。男性；18--58周岁之间；按照采购单位要求进行秩序维护人员工作，主要围绕维护办公楼的安全、秩序和协助项目经理维护秩序、人员物资管控团队管理等方面。</w:t>
      </w:r>
    </w:p>
    <w:p>
      <w:pPr>
        <w:pStyle w:val="93"/>
        <w:spacing w:before="0" w:after="0" w:line="360" w:lineRule="auto"/>
        <w:ind w:firstLine="640"/>
        <w:rPr>
          <w:rFonts w:ascii="Times New Roman" w:hAnsi="Times New Roman" w:eastAsia="Times New Roman" w:cs="Times New Roman"/>
        </w:rPr>
      </w:pPr>
      <w:r>
        <w:rPr>
          <w:rFonts w:ascii="仿宋_GB2312" w:hAnsi="仿宋_GB2312" w:eastAsia="仿宋_GB2312" w:cs="仿宋_GB2312"/>
          <w:sz w:val="28"/>
          <w:szCs w:val="28"/>
        </w:rPr>
        <w:t>（2）保洁主管（1人）。女性；18--55周岁之间；提供投标人为其缴纳的开标前12个月内至少6个月（含）的社保证明；按照采购单位要求进行保洁工作，熟悉保洁业务工作规程。</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（3）维修人员（1人）。男性；18--60周岁之间；</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按照采购单位要求进行设备、设施、办公用品维修（如水暖、桌、椅、门、窗等）。</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（4）保洁人员（5人）。女性；18--55周岁之间；其中1人在（天津街6号）工作，1人在（吉林大街169号）工作，1人在（桦皮厂镇15-3-15-75地块）工作，1人在（中兴街03-10号）工作，1人在（中康路13号）工作。</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按照采购单位要求进行保洁工作，熟悉保洁业务工作规程。</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（5）秩序维护人员（保安）（5人）。男性；18--60周岁之间。</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按照采购单位要求进行秩序维护人员工作，热爱本职工作并有强烈的责任心。</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（6）食堂人员（14人）</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①其中：厨师2人；面点师2人；食堂服务人员10人（其中：杂工4人、洗碗工2人、后勤保障4人），根据工作量及人员工作能力分配在两个工作区工作。</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②人员类别、数量及主要工作要求</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——厨师（2 人）：</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男性；年龄：18-58周岁之间；均具有健康证。</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对工作认真踏实，工作态度端正，能吃苦耐劳，身体健康，主要负责食品的成品率，根据不同菜品进行切配，根据卫生标准严格操作安全生产，保证食品质量，掌握遵守每个工作流程。</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——面点师（2人）：</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女性；年龄18--55周岁之间；应具有健康证。</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对工作认真踏实，工作态度端正，能吃苦耐劳，身体健康，能够完成上级安排的生产任务，保证产品质量，按规定食谱精心加工，制作各样面点食品，在使用电烤箱、微波炉、油烟机等厨房用具后及时清理。</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——杂工（4人）：</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不限性别；男性年龄18-58周岁之间；女性年龄18--55周岁之间；应具有健康证；</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对工作认真踏实，工作态度端正，能吃苦耐劳，身体健康，仪表端正，根据不同菜品进行清洗以及清洁后厨卫生、根据不同菜品进行切配，协助厨师、面点师等烹饪、制作、加工菜品，清理卫生，熟练掌握工作流程及服务工作细节。</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——洗碗工（2人）：</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不限性别；男性年龄18--58周岁之间；女性年龄18-55周岁之间；应具有健康证；</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对工作认真踏实，工作态度端正，能吃苦耐劳，身体健康，仪表端正，保证碗筷等用餐工具干净整洁，每日进行全方位消毒，严格遵守卫生安全。</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——后勤保障人员（3人）：</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不限性别；男性年龄18--58周岁之间；女性年龄18-55周岁之间；应具有健康证；分别在（天津街6号、桦皮厂镇15-3-15-75地块、中兴街03-10号、中康路13号）各1人。</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对工作认真踏实，工作态度端正，能吃苦耐劳，身体健康，仪表端正，熟练掌握保洁流程及保洁细节，要求工作日每日打扫，桌面、地面洁净光亮。</w:t>
      </w:r>
    </w:p>
    <w:p>
      <w:pPr>
        <w:pStyle w:val="91"/>
        <w:keepNext w:val="0"/>
        <w:spacing w:before="0" w:after="0" w:line="360" w:lineRule="auto"/>
        <w:rPr>
          <w:rFonts w:ascii="仿宋_GB2312" w:hAnsi="仿宋_GB2312" w:eastAsia="仿宋_GB2312" w:cs="仿宋_GB2312"/>
          <w:b/>
          <w:bCs/>
          <w:sz w:val="28"/>
          <w:szCs w:val="28"/>
        </w:rPr>
      </w:pPr>
      <w:bookmarkStart w:id="27" w:name="_Toc256000023"/>
      <w:r>
        <w:rPr>
          <w:rFonts w:ascii="仿宋_GB2312" w:hAnsi="仿宋_GB2312" w:eastAsia="仿宋_GB2312" w:cs="仿宋_GB2312"/>
          <w:i w:val="0"/>
          <w:iCs w:val="0"/>
        </w:rPr>
        <w:t>4.4优选资质/优选指标</w:t>
      </w:r>
      <w:bookmarkEnd w:id="27"/>
    </w:p>
    <w:tbl>
      <w:tblPr>
        <w:tblStyle w:val="32"/>
        <w:tblW w:w="5000" w:type="pct"/>
        <w:tblInd w:w="30" w:type="dxa"/>
        <w:tblLayout w:type="autofit"/>
        <w:tblCellMar>
          <w:top w:w="15" w:type="dxa"/>
          <w:left w:w="15" w:type="dxa"/>
          <w:bottom w:w="15" w:type="dxa"/>
          <w:right w:w="15" w:type="dxa"/>
        </w:tblCellMar>
      </w:tblPr>
      <w:tblGrid>
        <w:gridCol w:w="1007"/>
        <w:gridCol w:w="2015"/>
        <w:gridCol w:w="2016"/>
        <w:gridCol w:w="2016"/>
        <w:gridCol w:w="2016"/>
      </w:tblGrid>
      <w:tr>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人员类别</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人员岗位</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人员要求</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是否作为加分项</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团队管理人员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项目经理兼会议服务</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1人；男性年龄：30--55周岁之间，女性年龄：30--50周岁之间；提供投标人为其缴纳的截止开标前12个月内至少6个月（含）的社保证明。</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办公楼秩序主管</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1人；男性；18至60周岁（含）之间；提供投标人为其缴纳的开标前12个月内至少6个月（含）的社保证明。</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保洁主管</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1人；女性；18至55周岁（含）之间；提供投标人为其缴纳的开标前12个月内至少6个月（含）的社保证明。</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维修人员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1人；男性；18至60周岁（含）之间。</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保洁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5人；女性；年龄均在 18 至 55周岁（含）之间。</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秩序维护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5人；男性；年龄均在18 至60周岁（含）之间。</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厨师</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2人；均为男性；年龄均在18至58周岁（含）之间；持有健康证。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面点师</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2人；女性；年龄在18至55周岁（含）之间；持有健康证。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食堂服务人员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（杂工4人、洗碗工2人、后勤保障人员4人）：男性年龄18至58周岁（含）之间,女性年龄18至55周岁（含）之间；持有健康证。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bl>
    <w:p>
      <w:pPr>
        <w:pStyle w:val="90"/>
        <w:keepNext w:val="0"/>
        <w:spacing w:before="0" w:after="0" w:line="360" w:lineRule="auto"/>
        <w:jc w:val="center"/>
        <w:rPr>
          <w:rFonts w:ascii="仿宋_GB2312" w:hAnsi="仿宋_GB2312" w:eastAsia="仿宋_GB2312" w:cs="仿宋_GB2312"/>
          <w:b/>
          <w:bCs/>
          <w:sz w:val="32"/>
          <w:szCs w:val="32"/>
        </w:rPr>
      </w:pPr>
      <w:bookmarkStart w:id="28" w:name="_Toc256000024"/>
      <w:r>
        <w:rPr>
          <w:rFonts w:ascii="仿宋_GB2312" w:hAnsi="仿宋_GB2312" w:eastAsia="仿宋_GB2312" w:cs="仿宋_GB2312"/>
          <w:kern w:val="36"/>
        </w:rPr>
        <w:t>5管理实施要求</w:t>
      </w:r>
      <w:bookmarkEnd w:id="28"/>
    </w:p>
    <w:p>
      <w:pPr>
        <w:pStyle w:val="100"/>
        <w:spacing w:before="0" w:after="0" w:line="360" w:lineRule="auto"/>
        <w:ind w:firstLine="560"/>
        <w:rPr>
          <w:rFonts w:ascii="Times New Roman" w:hAnsi="Times New Roman" w:eastAsia="Times New Roman" w:cs="Times New Roman"/>
        </w:rPr>
      </w:pPr>
      <w:r>
        <w:rPr>
          <w:rFonts w:ascii="FangSong_GB2312" w:hAnsi="FangSong_GB2312" w:eastAsia="FangSong_GB2312" w:cs="FangSong_GB2312"/>
          <w:sz w:val="28"/>
          <w:szCs w:val="28"/>
        </w:rPr>
        <w:t>采购人每月按照物业管理服务指标及考评表对中标人进行物业管理监管考评，根据考评分支付物业管理费，扣分和评分不及格处罚按考评办法执行。</w:t>
      </w:r>
    </w:p>
    <w:p>
      <w:pPr>
        <w:pStyle w:val="100"/>
        <w:spacing w:before="0" w:after="0" w:line="360" w:lineRule="auto"/>
        <w:ind w:firstLine="560"/>
        <w:rPr>
          <w:rFonts w:ascii="Times New Roman" w:hAnsi="Times New Roman" w:eastAsia="Times New Roman" w:cs="Times New Roman"/>
        </w:rPr>
      </w:pPr>
      <w:r>
        <w:rPr>
          <w:rFonts w:ascii="FangSong_GB2312" w:hAnsi="FangSong_GB2312" w:eastAsia="FangSong_GB2312" w:cs="FangSong_GB2312"/>
          <w:sz w:val="28"/>
          <w:szCs w:val="28"/>
        </w:rPr>
        <w:t>（一）事故过错责任。事故过错责任是指因中标人存在管理责任，导致标的物业发生事故造成财产损失或人身损害的。事故过错责任分三个等级:a、一般事故过错责任，指中标人存在管理责任，但没有发生人身损害，仅出现财产损失，且损失金额达人民币【2】万元的情形；b、较大事故过错责任，指中标人存在管理责任，出现人身伤害(低于10级伤残等级鉴定，即没有鉴定法定等级)或财产损失达人民币【5】万元的情形:c、重大事故过错责任，指中标人存在管理责任，出现人身伤害(伤残等级10级以上，含10级)或财产损失达人民币【10】万元的情形。</w:t>
      </w:r>
    </w:p>
    <w:p>
      <w:pPr>
        <w:pStyle w:val="100"/>
        <w:spacing w:before="0" w:after="0" w:line="360" w:lineRule="auto"/>
        <w:ind w:firstLine="560"/>
        <w:rPr>
          <w:rFonts w:ascii="Times New Roman" w:hAnsi="Times New Roman" w:eastAsia="Times New Roman" w:cs="Times New Roman"/>
        </w:rPr>
      </w:pPr>
      <w:r>
        <w:rPr>
          <w:rFonts w:ascii="FangSong_GB2312" w:hAnsi="FangSong_GB2312" w:eastAsia="FangSong_GB2312" w:cs="FangSong_GB2312"/>
          <w:sz w:val="28"/>
          <w:szCs w:val="28"/>
        </w:rPr>
        <w:t>(二)标的物业出现前款事故过错责任的，中标人除赔偿采购人或第三人损失外，采购人还有权要求中标人按照下列标准支付违约金，其计算基数均为当月的物业管理费。一般事故过错的扣罚比例幅度为5%；较大事故过错的扣罚比例幅度为15%；重大事故过错的扣罚比例幅度为25%。</w:t>
      </w:r>
    </w:p>
    <w:p>
      <w:pPr>
        <w:pStyle w:val="100"/>
        <w:spacing w:before="0" w:after="0" w:line="360" w:lineRule="auto"/>
        <w:ind w:firstLine="560"/>
        <w:rPr>
          <w:rFonts w:ascii="Times New Roman" w:hAnsi="Times New Roman" w:eastAsia="Times New Roman" w:cs="Times New Roman"/>
        </w:rPr>
      </w:pPr>
      <w:r>
        <w:rPr>
          <w:rFonts w:ascii="FangSong_GB2312" w:hAnsi="FangSong_GB2312" w:eastAsia="FangSong_GB2312" w:cs="FangSong_GB2312"/>
          <w:sz w:val="28"/>
          <w:szCs w:val="28"/>
        </w:rPr>
        <w:t>(三)上述物业管理服务费的扣罚涉及的投诉类型、过错大小、事故性质、有效性有分歧异议的，以采购人的意见为准。</w:t>
      </w:r>
    </w:p>
    <w:p>
      <w:pPr>
        <w:pStyle w:val="100"/>
        <w:spacing w:before="0" w:after="0" w:line="360" w:lineRule="auto"/>
        <w:ind w:firstLine="560"/>
        <w:rPr>
          <w:rFonts w:ascii="Times New Roman" w:hAnsi="Times New Roman" w:eastAsia="Times New Roman" w:cs="Times New Roman"/>
        </w:rPr>
      </w:pPr>
      <w:r>
        <w:rPr>
          <w:rFonts w:ascii="FangSong_GB2312" w:hAnsi="FangSong_GB2312" w:eastAsia="FangSong_GB2312" w:cs="FangSong_GB2312"/>
          <w:sz w:val="28"/>
          <w:szCs w:val="28"/>
        </w:rPr>
        <w:t>(四)采购人将参照行业标准以及招标文件要求、投标文件响应情况、委托管理合同的有关约定，确定考核内容及标准，对中标公司物业服务事项进行考核，并根据考核结果，据实核定管理服务费。</w:t>
      </w:r>
    </w:p>
    <w:p>
      <w:pPr>
        <w:pStyle w:val="100"/>
        <w:spacing w:before="0" w:after="0" w:line="360" w:lineRule="auto"/>
        <w:ind w:firstLine="560"/>
        <w:rPr>
          <w:rFonts w:ascii="Times New Roman" w:hAnsi="Times New Roman" w:eastAsia="Times New Roman" w:cs="Times New Roman"/>
        </w:rPr>
      </w:pPr>
      <w:r>
        <w:rPr>
          <w:rFonts w:ascii="FangSong_GB2312" w:hAnsi="FangSong_GB2312" w:eastAsia="FangSong_GB2312" w:cs="FangSong_GB2312"/>
          <w:sz w:val="28"/>
          <w:szCs w:val="28"/>
        </w:rPr>
        <w:t>(五)考核采用百分制，其中:</w:t>
      </w:r>
    </w:p>
    <w:p>
      <w:pPr>
        <w:pStyle w:val="100"/>
        <w:spacing w:before="0" w:after="0" w:line="360" w:lineRule="auto"/>
        <w:ind w:firstLine="560"/>
        <w:rPr>
          <w:rFonts w:ascii="Times New Roman" w:hAnsi="Times New Roman" w:eastAsia="Times New Roman" w:cs="Times New Roman"/>
        </w:rPr>
      </w:pPr>
      <w:r>
        <w:rPr>
          <w:rFonts w:ascii="FangSong_GB2312" w:hAnsi="FangSong_GB2312" w:eastAsia="FangSong_GB2312" w:cs="FangSong_GB2312"/>
          <w:sz w:val="28"/>
          <w:szCs w:val="28"/>
        </w:rPr>
        <w:t>90分(含)以上为优秀，支付当期合同价款；</w:t>
      </w:r>
    </w:p>
    <w:p>
      <w:pPr>
        <w:pStyle w:val="100"/>
        <w:spacing w:before="0" w:after="0" w:line="360" w:lineRule="auto"/>
        <w:ind w:firstLine="560"/>
        <w:rPr>
          <w:rFonts w:ascii="Times New Roman" w:hAnsi="Times New Roman" w:eastAsia="Times New Roman" w:cs="Times New Roman"/>
        </w:rPr>
      </w:pPr>
      <w:r>
        <w:rPr>
          <w:rFonts w:ascii="FangSong_GB2312" w:hAnsi="FangSong_GB2312" w:eastAsia="FangSong_GB2312" w:cs="FangSong_GB2312"/>
          <w:sz w:val="28"/>
          <w:szCs w:val="28"/>
        </w:rPr>
        <w:t>90分以下至80分(含)为良，支付当期95%的合同价款；</w:t>
      </w:r>
    </w:p>
    <w:p>
      <w:pPr>
        <w:pStyle w:val="100"/>
        <w:spacing w:before="0" w:after="0" w:line="360" w:lineRule="auto"/>
        <w:ind w:firstLine="560"/>
        <w:rPr>
          <w:rFonts w:ascii="Times New Roman" w:hAnsi="Times New Roman" w:eastAsia="Times New Roman" w:cs="Times New Roman"/>
        </w:rPr>
      </w:pPr>
      <w:r>
        <w:rPr>
          <w:rFonts w:ascii="FangSong_GB2312" w:hAnsi="FangSong_GB2312" w:eastAsia="FangSong_GB2312" w:cs="FangSong_GB2312"/>
          <w:sz w:val="28"/>
          <w:szCs w:val="28"/>
        </w:rPr>
        <w:t>80分以下为差，支付当期90%的合同价款，一年考核中有2次为80分以下，采购人有权终止合同。</w:t>
      </w:r>
    </w:p>
    <w:p>
      <w:pPr>
        <w:pStyle w:val="100"/>
        <w:spacing w:before="0" w:after="0" w:line="360" w:lineRule="auto"/>
        <w:jc w:val="center"/>
        <w:rPr>
          <w:rFonts w:ascii="Times New Roman" w:hAnsi="Times New Roman" w:eastAsia="Times New Roman" w:cs="Times New Roman"/>
        </w:rPr>
      </w:pPr>
      <w:r>
        <w:t> </w:t>
      </w:r>
    </w:p>
    <w:p>
      <w:pPr>
        <w:pStyle w:val="100"/>
        <w:spacing w:before="0" w:after="0" w:line="360" w:lineRule="auto"/>
        <w:jc w:val="center"/>
        <w:rPr>
          <w:rFonts w:ascii="Times New Roman" w:hAnsi="Times New Roman" w:eastAsia="Times New Roman" w:cs="Times New Roman"/>
        </w:rPr>
      </w:pPr>
      <w:r>
        <w:rPr>
          <w:rFonts w:ascii="仿宋_GB2312" w:hAnsi="仿宋_GB2312" w:eastAsia="仿宋_GB2312" w:cs="仿宋_GB2312"/>
          <w:b/>
          <w:bCs/>
          <w:sz w:val="28"/>
          <w:szCs w:val="28"/>
        </w:rPr>
        <w:t>表4考核规则表</w:t>
      </w:r>
    </w:p>
    <w:p>
      <w:pPr>
        <w:pStyle w:val="100"/>
        <w:spacing w:before="0" w:after="0" w:line="360" w:lineRule="auto"/>
        <w:jc w:val="center"/>
        <w:rPr>
          <w:rFonts w:ascii="Times New Roman" w:hAnsi="Times New Roman" w:eastAsia="Times New Roman" w:cs="Times New Roman"/>
        </w:rPr>
      </w:pPr>
      <w:r>
        <w:rPr>
          <w:rFonts w:ascii="Times New Roman" w:hAnsi="Times New Roman" w:eastAsia="Times New Roman" w:cs="Times New Roman"/>
        </w:rPr>
        <w:t> </w:t>
      </w:r>
    </w:p>
    <w:tbl>
      <w:tblPr>
        <w:tblStyle w:val="101"/>
        <w:tblW w:w="8696" w:type="dxa"/>
        <w:jc w:val="center"/>
        <w:tblCellSpacing w:w="0" w:type="dxa"/>
        <w:tblLayout w:type="autofit"/>
        <w:tblCellMar>
          <w:top w:w="15" w:type="dxa"/>
          <w:left w:w="15" w:type="dxa"/>
          <w:bottom w:w="15" w:type="dxa"/>
          <w:right w:w="15" w:type="dxa"/>
        </w:tblCellMar>
      </w:tblPr>
      <w:tblGrid>
        <w:gridCol w:w="966"/>
        <w:gridCol w:w="1014"/>
        <w:gridCol w:w="1017"/>
        <w:gridCol w:w="4170"/>
        <w:gridCol w:w="236"/>
        <w:gridCol w:w="239"/>
        <w:gridCol w:w="1054"/>
      </w:tblGrid>
      <w:tr>
        <w:tblPrEx>
          <w:tblCellMar>
            <w:top w:w="15" w:type="dxa"/>
            <w:left w:w="15" w:type="dxa"/>
            <w:bottom w:w="15" w:type="dxa"/>
            <w:right w:w="15" w:type="dxa"/>
          </w:tblCellMar>
        </w:tblPrEx>
        <w:trPr>
          <w:trHeight w:val="533" w:hRule="atLeast"/>
          <w:tblCellSpacing w:w="0" w:type="dxa"/>
          <w:jc w:val="center"/>
        </w:trPr>
        <w:tc>
          <w:tcPr>
            <w:tcW w:w="1070" w:type="dxa"/>
            <w:tcBorders>
              <w:top w:val="single" w:color="000000" w:sz="8" w:space="0"/>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bCs/>
                <w:i w:val="0"/>
                <w:iCs w:val="0"/>
                <w:smallCaps w:val="0"/>
                <w:color w:val="000000"/>
                <w:sz w:val="21"/>
                <w:szCs w:val="21"/>
              </w:rPr>
              <w:t>序号</w:t>
            </w:r>
          </w:p>
        </w:tc>
        <w:tc>
          <w:tcPr>
            <w:tcW w:w="7311" w:type="dxa"/>
            <w:gridSpan w:val="3"/>
            <w:tcBorders>
              <w:top w:val="single" w:color="000000" w:sz="8" w:space="0"/>
              <w:bottom w:val="single" w:color="000000" w:sz="8" w:space="0"/>
              <w:right w:val="single" w:color="000000" w:sz="8" w:space="0"/>
            </w:tcBorders>
            <w:noWrap w:val="0"/>
            <w:tcMar>
              <w:top w:w="0" w:type="dxa"/>
              <w:left w:w="10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bCs/>
                <w:i w:val="0"/>
                <w:iCs w:val="0"/>
                <w:smallCaps w:val="0"/>
                <w:color w:val="000000"/>
                <w:sz w:val="21"/>
                <w:szCs w:val="21"/>
              </w:rPr>
              <w:t>评分项目</w:t>
            </w:r>
          </w:p>
        </w:tc>
        <w:tc>
          <w:tcPr>
            <w:tcW w:w="1173" w:type="dxa"/>
            <w:gridSpan w:val="3"/>
            <w:tcBorders>
              <w:top w:val="single" w:color="000000" w:sz="8" w:space="0"/>
              <w:bottom w:val="single" w:color="000000" w:sz="8" w:space="0"/>
              <w:right w:val="single" w:color="000000" w:sz="8" w:space="0"/>
            </w:tcBorders>
            <w:noWrap w:val="0"/>
            <w:tcMar>
              <w:top w:w="0" w:type="dxa"/>
              <w:left w:w="13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bCs/>
                <w:i w:val="0"/>
                <w:iCs w:val="0"/>
                <w:smallCaps w:val="0"/>
                <w:color w:val="000000"/>
                <w:sz w:val="21"/>
                <w:szCs w:val="21"/>
              </w:rPr>
              <w:t>分值</w:t>
            </w:r>
          </w:p>
        </w:tc>
      </w:tr>
      <w:tr>
        <w:tblPrEx>
          <w:tblCellMar>
            <w:top w:w="15" w:type="dxa"/>
            <w:left w:w="15" w:type="dxa"/>
            <w:bottom w:w="15" w:type="dxa"/>
            <w:right w:w="15" w:type="dxa"/>
          </w:tblCellMar>
        </w:tblPrEx>
        <w:trPr>
          <w:trHeight w:val="657" w:hRule="atLeast"/>
          <w:tblCellSpacing w:w="0" w:type="dxa"/>
          <w:jc w:val="center"/>
        </w:trPr>
        <w:tc>
          <w:tcPr>
            <w:tcW w:w="1070"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1</w:t>
            </w:r>
          </w:p>
        </w:tc>
        <w:tc>
          <w:tcPr>
            <w:tcW w:w="1151"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人员配置</w:t>
            </w:r>
          </w:p>
        </w:tc>
        <w:tc>
          <w:tcPr>
            <w:tcW w:w="1100" w:type="dxa"/>
            <w:tcBorders>
              <w:bottom w:val="single" w:color="000000" w:sz="8" w:space="0"/>
              <w:right w:val="single" w:color="000000" w:sz="8" w:space="0"/>
            </w:tcBorders>
            <w:noWrap w:val="0"/>
            <w:tcMar>
              <w:top w:w="0" w:type="dxa"/>
              <w:left w:w="138" w:type="dxa"/>
              <w:bottom w:w="0" w:type="dxa"/>
              <w:right w:w="148" w:type="dxa"/>
            </w:tcMar>
            <w:vAlign w:val="top"/>
          </w:tcPr>
          <w:p>
            <w:pPr>
              <w:pStyle w:val="93"/>
              <w:spacing w:before="63" w:after="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具体要求</w:t>
            </w:r>
          </w:p>
        </w:tc>
        <w:tc>
          <w:tcPr>
            <w:tcW w:w="5632" w:type="dxa"/>
            <w:gridSpan w:val="3"/>
            <w:tcBorders>
              <w:top w:val="single" w:color="000000" w:sz="8" w:space="0"/>
              <w:bottom w:val="single" w:color="000000" w:sz="8" w:space="0"/>
              <w:right w:val="single" w:color="000000" w:sz="8" w:space="0"/>
            </w:tcBorders>
            <w:noWrap w:val="0"/>
            <w:tcMar>
              <w:top w:w="0" w:type="dxa"/>
              <w:left w:w="138" w:type="dxa"/>
              <w:bottom w:w="0" w:type="dxa"/>
              <w:right w:w="148" w:type="dxa"/>
            </w:tcMar>
            <w:vAlign w:val="top"/>
          </w:tcPr>
          <w:p>
            <w:pPr>
              <w:pStyle w:val="93"/>
              <w:spacing w:before="63"/>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管理人员、接待、秩序维护、保洁、数量、岗位、</w:t>
            </w:r>
            <w:r>
              <w:rPr>
                <w:rFonts w:ascii="方正仿宋简体" w:hAnsi="方正仿宋简体" w:eastAsia="方正仿宋简体" w:cs="方正仿宋简体"/>
                <w:b w:val="0"/>
                <w:bCs w:val="0"/>
                <w:i w:val="0"/>
                <w:iCs w:val="0"/>
                <w:smallCaps w:val="0"/>
                <w:color w:val="000000"/>
                <w:spacing w:val="-10"/>
                <w:sz w:val="21"/>
                <w:szCs w:val="21"/>
              </w:rPr>
              <w:t>标</w:t>
            </w:r>
            <w:r>
              <w:rPr>
                <w:rFonts w:ascii="方正仿宋简体" w:hAnsi="方正仿宋简体" w:eastAsia="方正仿宋简体" w:cs="方正仿宋简体"/>
                <w:b w:val="0"/>
                <w:bCs w:val="0"/>
                <w:i w:val="0"/>
                <w:iCs w:val="0"/>
                <w:smallCaps w:val="0"/>
                <w:color w:val="000000"/>
                <w:sz w:val="21"/>
                <w:szCs w:val="21"/>
              </w:rPr>
              <w:t>准是否符合采购文件要求。每出现1人(次)不符合要求的扣2</w:t>
            </w:r>
            <w:r>
              <w:rPr>
                <w:rFonts w:ascii="方正仿宋简体" w:hAnsi="方正仿宋简体" w:eastAsia="方正仿宋简体" w:cs="方正仿宋简体"/>
                <w:b w:val="0"/>
                <w:bCs w:val="0"/>
                <w:i w:val="0"/>
                <w:iCs w:val="0"/>
                <w:smallCaps w:val="0"/>
                <w:color w:val="000000"/>
                <w:spacing w:val="-5"/>
                <w:sz w:val="21"/>
                <w:szCs w:val="21"/>
              </w:rPr>
              <w:t>分。</w:t>
            </w:r>
          </w:p>
        </w:tc>
        <w:tc>
          <w:tcPr>
            <w:tcW w:w="1173" w:type="dxa"/>
            <w:tcBorders>
              <w:top w:val="single" w:color="000000" w:sz="8" w:space="0"/>
              <w:bottom w:val="single" w:color="000000" w:sz="8" w:space="0"/>
              <w:right w:val="single" w:color="000000" w:sz="8" w:space="0"/>
            </w:tcBorders>
            <w:noWrap w:val="0"/>
            <w:tcMar>
              <w:top w:w="0" w:type="dxa"/>
              <w:left w:w="13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10</w:t>
            </w:r>
          </w:p>
        </w:tc>
      </w:tr>
      <w:tr>
        <w:tblPrEx>
          <w:tblCellMar>
            <w:top w:w="15" w:type="dxa"/>
            <w:left w:w="15" w:type="dxa"/>
            <w:bottom w:w="15" w:type="dxa"/>
            <w:right w:w="15" w:type="dxa"/>
          </w:tblCellMar>
        </w:tblPrEx>
        <w:trPr>
          <w:tblCellSpacing w:w="0" w:type="dxa"/>
          <w:jc w:val="center"/>
        </w:trPr>
        <w:tc>
          <w:tcPr>
            <w:tcW w:w="1070"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spacing w:after="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2</w:t>
            </w:r>
          </w:p>
        </w:tc>
        <w:tc>
          <w:tcPr>
            <w:tcW w:w="1151" w:type="dxa"/>
            <w:vMerge w:val="restart"/>
            <w:tcBorders>
              <w:bottom w:val="nil"/>
              <w:right w:val="single" w:color="000000" w:sz="8" w:space="0"/>
            </w:tcBorders>
            <w:noWrap w:val="0"/>
            <w:tcMar>
              <w:top w:w="0" w:type="dxa"/>
              <w:left w:w="108" w:type="dxa"/>
              <w:bottom w:w="0" w:type="dxa"/>
              <w:right w:w="148" w:type="dxa"/>
            </w:tcMar>
            <w:vAlign w:val="center"/>
          </w:tcPr>
          <w:p>
            <w:pPr>
              <w:pStyle w:val="93"/>
              <w:spacing w:after="240"/>
              <w:jc w:val="both"/>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 </w:t>
            </w:r>
          </w:p>
          <w:p>
            <w:pPr>
              <w:pStyle w:val="93"/>
              <w:spacing w:before="240" w:after="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保</w:t>
            </w:r>
          </w:p>
          <w:p>
            <w:pPr>
              <w:pStyle w:val="93"/>
              <w:spacing w:before="240" w:after="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洁</w:t>
            </w:r>
          </w:p>
          <w:p>
            <w:pPr>
              <w:pStyle w:val="93"/>
              <w:spacing w:before="240" w:after="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管</w:t>
            </w:r>
          </w:p>
          <w:p>
            <w:pPr>
              <w:pStyle w:val="93"/>
              <w:spacing w:before="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理</w:t>
            </w:r>
          </w:p>
        </w:tc>
        <w:tc>
          <w:tcPr>
            <w:tcW w:w="1100" w:type="dxa"/>
            <w:tcBorders>
              <w:bottom w:val="single" w:color="000000" w:sz="8" w:space="0"/>
              <w:right w:val="single" w:color="000000" w:sz="8" w:space="0"/>
            </w:tcBorders>
            <w:noWrap w:val="0"/>
            <w:tcMar>
              <w:top w:w="0" w:type="dxa"/>
              <w:left w:w="13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办公室保洁要求</w:t>
            </w:r>
          </w:p>
        </w:tc>
        <w:tc>
          <w:tcPr>
            <w:tcW w:w="5632" w:type="dxa"/>
            <w:gridSpan w:val="3"/>
            <w:tcBorders>
              <w:bottom w:val="single" w:color="000000" w:sz="8" w:space="0"/>
              <w:right w:val="single" w:color="000000" w:sz="8" w:space="0"/>
            </w:tcBorders>
            <w:noWrap w:val="0"/>
            <w:tcMar>
              <w:top w:w="0" w:type="dxa"/>
              <w:left w:w="13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工作日每日打扫、酒精擦拭、84消毒，桌面、地毯、地面、办公家具无浮尘、污渍，石材、地砖无灰尘、洁净光亮。玻璃、天花板各处无污渍、积灰，表面整洁。每发现一次(处)不符合要求的扣 1分。办公室玻璃清洁，1次/半年，未按要求完成每次扣3分。</w:t>
            </w:r>
          </w:p>
        </w:tc>
        <w:tc>
          <w:tcPr>
            <w:tcW w:w="1173" w:type="dxa"/>
            <w:tcBorders>
              <w:bottom w:val="single" w:color="000000" w:sz="8" w:space="0"/>
              <w:right w:val="single" w:color="000000" w:sz="8" w:space="0"/>
            </w:tcBorders>
            <w:noWrap w:val="0"/>
            <w:tcMar>
              <w:top w:w="0" w:type="dxa"/>
              <w:left w:w="13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10</w:t>
            </w:r>
          </w:p>
        </w:tc>
      </w:tr>
      <w:tr>
        <w:tblPrEx>
          <w:tblCellMar>
            <w:top w:w="15" w:type="dxa"/>
            <w:left w:w="15" w:type="dxa"/>
            <w:bottom w:w="15" w:type="dxa"/>
            <w:right w:w="15" w:type="dxa"/>
          </w:tblCellMar>
        </w:tblPrEx>
        <w:trPr>
          <w:tblCellSpacing w:w="0" w:type="dxa"/>
          <w:jc w:val="center"/>
        </w:trPr>
        <w:tc>
          <w:tcPr>
            <w:tcW w:w="1070"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3</w:t>
            </w:r>
          </w:p>
        </w:tc>
        <w:tc>
          <w:tcPr>
            <w:vMerge w:val="continue"/>
            <w:tcBorders>
              <w:right w:val="single" w:color="000000" w:sz="8" w:space="0"/>
            </w:tcBorders>
            <w:vAlign w:val="center"/>
          </w:tcPr>
          <w:p>
            <w:pPr>
              <w:pStyle w:val="18"/>
              <w:rPr>
                <w:rFonts w:ascii="方正仿宋简体" w:hAnsi="方正仿宋简体" w:eastAsia="方正仿宋简体" w:cs="方正仿宋简体"/>
                <w:b w:val="0"/>
                <w:bCs w:val="0"/>
                <w:i w:val="0"/>
                <w:iCs w:val="0"/>
                <w:smallCaps w:val="0"/>
                <w:color w:val="000000"/>
                <w:sz w:val="21"/>
                <w:szCs w:val="21"/>
              </w:rPr>
            </w:pPr>
          </w:p>
        </w:tc>
        <w:tc>
          <w:tcPr>
            <w:tcW w:w="1070"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活动室健身房、淋浴室保洁要求</w:t>
            </w:r>
          </w:p>
        </w:tc>
        <w:tc>
          <w:tcPr>
            <w:tcW w:w="5632" w:type="dxa"/>
            <w:gridSpan w:val="3"/>
            <w:tcBorders>
              <w:bottom w:val="single" w:color="000000" w:sz="8" w:space="0"/>
              <w:right w:val="single" w:color="000000" w:sz="8" w:space="0"/>
            </w:tcBorders>
            <w:noWrap w:val="0"/>
            <w:tcMar>
              <w:top w:w="0" w:type="dxa"/>
              <w:left w:w="13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各种运动(活动)器材无污迹、无灰尘，地面干净、无水、无污迹，棚面无灰网，门、窗及窗台无灰尘，墙壁光亮、洁净、无污迹，储藏室整洁有序、无灰尘，其他设施均需明亮、洁净、无污迹，无灰尘，每周一次全面清洁消毒。每发现一次(处)不符合要求的扣 1分。</w:t>
            </w:r>
          </w:p>
        </w:tc>
        <w:tc>
          <w:tcPr>
            <w:tcW w:w="1173" w:type="dxa"/>
            <w:tcBorders>
              <w:bottom w:val="single" w:color="000000" w:sz="8" w:space="0"/>
              <w:right w:val="single" w:color="000000" w:sz="8" w:space="0"/>
            </w:tcBorders>
            <w:noWrap w:val="0"/>
            <w:tcMar>
              <w:top w:w="0" w:type="dxa"/>
              <w:left w:w="13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3</w:t>
            </w:r>
          </w:p>
        </w:tc>
      </w:tr>
      <w:tr>
        <w:tblPrEx>
          <w:tblCellMar>
            <w:top w:w="15" w:type="dxa"/>
            <w:left w:w="15" w:type="dxa"/>
            <w:bottom w:w="15" w:type="dxa"/>
            <w:right w:w="15" w:type="dxa"/>
          </w:tblCellMar>
        </w:tblPrEx>
        <w:trPr>
          <w:tblCellSpacing w:w="0" w:type="dxa"/>
          <w:jc w:val="center"/>
        </w:trPr>
        <w:tc>
          <w:tcPr>
            <w:tcW w:w="1070"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4</w:t>
            </w:r>
          </w:p>
        </w:tc>
        <w:tc>
          <w:tcPr>
            <w:vMerge w:val="continue"/>
            <w:tcBorders>
              <w:right w:val="single" w:color="000000" w:sz="8" w:space="0"/>
            </w:tcBorders>
            <w:vAlign w:val="center"/>
          </w:tcPr>
          <w:p>
            <w:pPr>
              <w:pStyle w:val="18"/>
              <w:rPr>
                <w:rFonts w:ascii="方正仿宋简体" w:hAnsi="方正仿宋简体" w:eastAsia="方正仿宋简体" w:cs="方正仿宋简体"/>
                <w:b w:val="0"/>
                <w:bCs w:val="0"/>
                <w:i w:val="0"/>
                <w:iCs w:val="0"/>
                <w:smallCaps w:val="0"/>
                <w:color w:val="000000"/>
                <w:sz w:val="21"/>
                <w:szCs w:val="21"/>
              </w:rPr>
            </w:pPr>
          </w:p>
        </w:tc>
        <w:tc>
          <w:tcPr>
            <w:tcW w:w="1070"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spacing w:after="240"/>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 </w:t>
            </w:r>
          </w:p>
          <w:p>
            <w:pPr>
              <w:pStyle w:val="93"/>
              <w:spacing w:before="240"/>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卫生间保洁要求</w:t>
            </w:r>
          </w:p>
        </w:tc>
        <w:tc>
          <w:tcPr>
            <w:tcW w:w="5632" w:type="dxa"/>
            <w:gridSpan w:val="3"/>
            <w:tcBorders>
              <w:bottom w:val="single" w:color="000000" w:sz="8" w:space="0"/>
              <w:right w:val="single" w:color="000000" w:sz="8" w:space="0"/>
            </w:tcBorders>
            <w:noWrap w:val="0"/>
            <w:tcMar>
              <w:top w:w="0" w:type="dxa"/>
              <w:left w:w="13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台面无杂物、无水迹，洗手盆、水龙头无污迹，纸篓、垃圾桶无污迹，垃圾桶及茶叶桶内垃圾不超过2/3，各洁具无异味、无污物，门、窗及窗台无灰尘，各种放水开关(龙头)干净，墙壁、镜面洁净明亮、无污迹，洗手盆及台面无污迹，洗手盆下端返水弯无灰尘，各种水管管线无灰尘，地面、水槽无污水、无杂物，棚壁无灰网，做到每周一次全面清洁消毒，其他附设物明亮、洁净、无污渍，卫生间随时有卫生纸，洗手液使用正常。洗手间、走廊上下午各2次消毒。每发现一次(处)不符合要求的扣1分。</w:t>
            </w:r>
          </w:p>
        </w:tc>
        <w:tc>
          <w:tcPr>
            <w:tcW w:w="1173" w:type="dxa"/>
            <w:tcBorders>
              <w:bottom w:val="single" w:color="000000" w:sz="8" w:space="0"/>
              <w:right w:val="single" w:color="000000" w:sz="8" w:space="0"/>
            </w:tcBorders>
            <w:noWrap w:val="0"/>
            <w:tcMar>
              <w:top w:w="0" w:type="dxa"/>
              <w:left w:w="13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4</w:t>
            </w:r>
          </w:p>
        </w:tc>
      </w:tr>
      <w:tr>
        <w:tblPrEx>
          <w:tblCellMar>
            <w:top w:w="15" w:type="dxa"/>
            <w:left w:w="15" w:type="dxa"/>
            <w:bottom w:w="15" w:type="dxa"/>
            <w:right w:w="15" w:type="dxa"/>
          </w:tblCellMar>
        </w:tblPrEx>
        <w:trPr>
          <w:tblCellSpacing w:w="0" w:type="dxa"/>
          <w:jc w:val="center"/>
        </w:trPr>
        <w:tc>
          <w:tcPr>
            <w:tcW w:w="1070"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5</w:t>
            </w:r>
          </w:p>
        </w:tc>
        <w:tc>
          <w:tcPr>
            <w:vMerge w:val="continue"/>
            <w:tcBorders>
              <w:right w:val="single" w:color="000000" w:sz="8" w:space="0"/>
            </w:tcBorders>
            <w:vAlign w:val="center"/>
          </w:tcPr>
          <w:p>
            <w:pPr>
              <w:pStyle w:val="18"/>
              <w:rPr>
                <w:rFonts w:ascii="方正仿宋简体" w:hAnsi="方正仿宋简体" w:eastAsia="方正仿宋简体" w:cs="方正仿宋简体"/>
                <w:b w:val="0"/>
                <w:bCs w:val="0"/>
                <w:i w:val="0"/>
                <w:iCs w:val="0"/>
                <w:smallCaps w:val="0"/>
                <w:color w:val="000000"/>
                <w:sz w:val="21"/>
                <w:szCs w:val="21"/>
              </w:rPr>
            </w:pPr>
          </w:p>
        </w:tc>
        <w:tc>
          <w:tcPr>
            <w:tcW w:w="1070"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走廊保洁要求</w:t>
            </w:r>
          </w:p>
        </w:tc>
        <w:tc>
          <w:tcPr>
            <w:tcW w:w="5632" w:type="dxa"/>
            <w:gridSpan w:val="3"/>
            <w:tcBorders>
              <w:bottom w:val="single" w:color="000000" w:sz="8" w:space="0"/>
              <w:right w:val="single" w:color="000000" w:sz="8" w:space="0"/>
            </w:tcBorders>
            <w:noWrap w:val="0"/>
            <w:tcMar>
              <w:top w:w="0" w:type="dxa"/>
              <w:left w:w="13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垃圾桶表面洁净，内无沉积污物，指示牌干净、无灰尘，地面干净、无污迹、无杂物，窗台干净、无灰尘；三米下天棚墙面干净，无灰尘，垃圾清运时无撒漏、无乱堆乱放。每发现一次(处)不符合要求的扣1分。</w:t>
            </w:r>
          </w:p>
        </w:tc>
        <w:tc>
          <w:tcPr>
            <w:tcW w:w="1173" w:type="dxa"/>
            <w:tcBorders>
              <w:bottom w:val="single" w:color="000000" w:sz="8" w:space="0"/>
              <w:right w:val="single" w:color="000000" w:sz="8" w:space="0"/>
            </w:tcBorders>
            <w:noWrap w:val="0"/>
            <w:tcMar>
              <w:top w:w="0" w:type="dxa"/>
              <w:left w:w="13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2</w:t>
            </w:r>
          </w:p>
        </w:tc>
      </w:tr>
      <w:tr>
        <w:tblPrEx>
          <w:tblCellMar>
            <w:top w:w="15" w:type="dxa"/>
            <w:left w:w="15" w:type="dxa"/>
            <w:bottom w:w="15" w:type="dxa"/>
            <w:right w:w="15" w:type="dxa"/>
          </w:tblCellMar>
        </w:tblPrEx>
        <w:trPr>
          <w:tblCellSpacing w:w="0" w:type="dxa"/>
          <w:jc w:val="center"/>
        </w:trPr>
        <w:tc>
          <w:tcPr>
            <w:tcW w:w="1070"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6</w:t>
            </w:r>
          </w:p>
        </w:tc>
        <w:tc>
          <w:tcPr>
            <w:vMerge w:val="continue"/>
            <w:tcBorders>
              <w:right w:val="single" w:color="000000" w:sz="8" w:space="0"/>
            </w:tcBorders>
            <w:vAlign w:val="center"/>
          </w:tcPr>
          <w:p>
            <w:pPr>
              <w:pStyle w:val="18"/>
              <w:rPr>
                <w:rFonts w:ascii="方正仿宋简体" w:hAnsi="方正仿宋简体" w:eastAsia="方正仿宋简体" w:cs="方正仿宋简体"/>
                <w:b w:val="0"/>
                <w:bCs w:val="0"/>
                <w:i w:val="0"/>
                <w:iCs w:val="0"/>
                <w:smallCaps w:val="0"/>
                <w:color w:val="000000"/>
                <w:sz w:val="21"/>
                <w:szCs w:val="21"/>
              </w:rPr>
            </w:pPr>
          </w:p>
        </w:tc>
        <w:tc>
          <w:tcPr>
            <w:tcW w:w="1070"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楼梯保洁要求</w:t>
            </w:r>
          </w:p>
        </w:tc>
        <w:tc>
          <w:tcPr>
            <w:tcW w:w="5632" w:type="dxa"/>
            <w:gridSpan w:val="3"/>
            <w:tcBorders>
              <w:bottom w:val="single" w:color="000000" w:sz="8" w:space="0"/>
              <w:right w:val="single" w:color="000000" w:sz="8" w:space="0"/>
            </w:tcBorders>
            <w:noWrap w:val="0"/>
            <w:tcMar>
              <w:top w:w="0" w:type="dxa"/>
              <w:left w:w="13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台阶干净、无污迹，扶手、护栏光亮、无污迹，各种管线与各类窗台无灰尘，三米下棚、壁干净无灰尘。每发现一次(处)不符合要求的扣1分。</w:t>
            </w:r>
          </w:p>
        </w:tc>
        <w:tc>
          <w:tcPr>
            <w:tcW w:w="1173" w:type="dxa"/>
            <w:tcBorders>
              <w:bottom w:val="single" w:color="000000" w:sz="8" w:space="0"/>
              <w:right w:val="single" w:color="000000" w:sz="8" w:space="0"/>
            </w:tcBorders>
            <w:noWrap w:val="0"/>
            <w:tcMar>
              <w:top w:w="0" w:type="dxa"/>
              <w:left w:w="13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2</w:t>
            </w:r>
          </w:p>
        </w:tc>
      </w:tr>
      <w:tr>
        <w:tblPrEx>
          <w:tblCellMar>
            <w:top w:w="15" w:type="dxa"/>
            <w:left w:w="15" w:type="dxa"/>
            <w:bottom w:w="15" w:type="dxa"/>
            <w:right w:w="15" w:type="dxa"/>
          </w:tblCellMar>
        </w:tblPrEx>
        <w:trPr>
          <w:tblCellSpacing w:w="0" w:type="dxa"/>
          <w:jc w:val="center"/>
        </w:trPr>
        <w:tc>
          <w:tcPr>
            <w:tcW w:w="1070"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7</w:t>
            </w:r>
          </w:p>
        </w:tc>
        <w:tc>
          <w:tcPr>
            <w:vMerge w:val="continue"/>
            <w:tcBorders>
              <w:bottom w:val="single" w:color="000000" w:sz="8" w:space="0"/>
              <w:right w:val="single" w:color="000000" w:sz="8" w:space="0"/>
            </w:tcBorders>
            <w:vAlign w:val="center"/>
          </w:tcPr>
          <w:p>
            <w:pPr>
              <w:pStyle w:val="18"/>
              <w:rPr>
                <w:rFonts w:ascii="方正仿宋简体" w:hAnsi="方正仿宋简体" w:eastAsia="方正仿宋简体" w:cs="方正仿宋简体"/>
                <w:b w:val="0"/>
                <w:bCs w:val="0"/>
                <w:i w:val="0"/>
                <w:iCs w:val="0"/>
                <w:smallCaps w:val="0"/>
                <w:color w:val="000000"/>
                <w:sz w:val="21"/>
                <w:szCs w:val="21"/>
              </w:rPr>
            </w:pPr>
          </w:p>
        </w:tc>
        <w:tc>
          <w:tcPr>
            <w:tcW w:w="1070"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办公楼门及庭院保洁要求</w:t>
            </w:r>
          </w:p>
        </w:tc>
        <w:tc>
          <w:tcPr>
            <w:tcW w:w="5632" w:type="dxa"/>
            <w:gridSpan w:val="3"/>
            <w:tcBorders>
              <w:bottom w:val="single" w:color="000000" w:sz="8" w:space="0"/>
              <w:right w:val="single" w:color="000000" w:sz="8" w:space="0"/>
            </w:tcBorders>
            <w:noWrap w:val="0"/>
            <w:tcMar>
              <w:top w:w="0" w:type="dxa"/>
              <w:left w:w="13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门玻璃及门头干净整洁。庭院干净、无杂物、地面无烟头，垃圾桶表面洁净、桶内无沉积物。每发现一次(处)不符合要求的扣1分。</w:t>
            </w:r>
          </w:p>
        </w:tc>
        <w:tc>
          <w:tcPr>
            <w:tcW w:w="1173" w:type="dxa"/>
            <w:tcBorders>
              <w:bottom w:val="single" w:color="000000" w:sz="8" w:space="0"/>
              <w:right w:val="single" w:color="000000" w:sz="8" w:space="0"/>
            </w:tcBorders>
            <w:noWrap w:val="0"/>
            <w:tcMar>
              <w:top w:w="0" w:type="dxa"/>
              <w:left w:w="13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2</w:t>
            </w:r>
          </w:p>
        </w:tc>
      </w:tr>
      <w:tr>
        <w:tblPrEx>
          <w:tblCellMar>
            <w:top w:w="15" w:type="dxa"/>
            <w:left w:w="15" w:type="dxa"/>
            <w:bottom w:w="15" w:type="dxa"/>
            <w:right w:w="15" w:type="dxa"/>
          </w:tblCellMar>
        </w:tblPrEx>
        <w:trPr>
          <w:trHeight w:val="1143" w:hRule="atLeast"/>
          <w:tblCellSpacing w:w="0" w:type="dxa"/>
          <w:jc w:val="center"/>
        </w:trPr>
        <w:tc>
          <w:tcPr>
            <w:tcW w:w="1070"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8</w:t>
            </w:r>
          </w:p>
        </w:tc>
        <w:tc>
          <w:tcPr>
            <w:tcW w:w="1151" w:type="dxa"/>
            <w:vMerge w:val="restart"/>
            <w:tcBorders>
              <w:bottom w:val="nil"/>
              <w:right w:val="single" w:color="000000" w:sz="8" w:space="0"/>
            </w:tcBorders>
            <w:noWrap w:val="0"/>
            <w:tcMar>
              <w:top w:w="0" w:type="dxa"/>
              <w:left w:w="10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保洁管理</w:t>
            </w:r>
          </w:p>
        </w:tc>
        <w:tc>
          <w:tcPr>
            <w:tcW w:w="1100" w:type="dxa"/>
            <w:tcBorders>
              <w:bottom w:val="single" w:color="000000" w:sz="8" w:space="0"/>
              <w:right w:val="single" w:color="000000" w:sz="8" w:space="0"/>
            </w:tcBorders>
            <w:noWrap w:val="0"/>
            <w:tcMar>
              <w:top w:w="0" w:type="dxa"/>
              <w:left w:w="138" w:type="dxa"/>
              <w:bottom w:w="0" w:type="dxa"/>
              <w:right w:w="148" w:type="dxa"/>
            </w:tcMar>
            <w:vAlign w:val="center"/>
          </w:tcPr>
          <w:p>
            <w:pPr>
              <w:pStyle w:val="93"/>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会议室保洁要求</w:t>
            </w:r>
          </w:p>
        </w:tc>
        <w:tc>
          <w:tcPr>
            <w:tcW w:w="5632" w:type="dxa"/>
            <w:gridSpan w:val="3"/>
            <w:tcBorders>
              <w:bottom w:val="single" w:color="000000" w:sz="8" w:space="0"/>
              <w:right w:val="single" w:color="000000" w:sz="8" w:space="0"/>
            </w:tcBorders>
            <w:noWrap w:val="0"/>
            <w:tcMar>
              <w:top w:w="0" w:type="dxa"/>
              <w:left w:w="13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有会议时要在会议结束后立即保洁，无会议时，每周至少清洁2次，地面干净、无杂物、无灰尘，桌椅整齐、干净，会议室设备干净整齐。每发现一次(处)不符合要求的扣1分。</w:t>
            </w:r>
          </w:p>
        </w:tc>
        <w:tc>
          <w:tcPr>
            <w:tcW w:w="1173" w:type="dxa"/>
            <w:tcBorders>
              <w:bottom w:val="single" w:color="000000" w:sz="8" w:space="0"/>
              <w:right w:val="single" w:color="000000" w:sz="8" w:space="0"/>
            </w:tcBorders>
            <w:noWrap w:val="0"/>
            <w:tcMar>
              <w:top w:w="0" w:type="dxa"/>
              <w:left w:w="13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3</w:t>
            </w:r>
          </w:p>
        </w:tc>
      </w:tr>
      <w:tr>
        <w:tblPrEx>
          <w:tblCellMar>
            <w:top w:w="15" w:type="dxa"/>
            <w:left w:w="15" w:type="dxa"/>
            <w:bottom w:w="15" w:type="dxa"/>
            <w:right w:w="15" w:type="dxa"/>
          </w:tblCellMar>
        </w:tblPrEx>
        <w:trPr>
          <w:trHeight w:val="90" w:hRule="atLeast"/>
          <w:tblCellSpacing w:w="0" w:type="dxa"/>
          <w:jc w:val="center"/>
        </w:trPr>
        <w:tc>
          <w:tcPr>
            <w:tcW w:w="1070"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9</w:t>
            </w:r>
          </w:p>
        </w:tc>
        <w:tc>
          <w:tcPr>
            <w:vMerge w:val="continue"/>
            <w:tcBorders>
              <w:bottom w:val="single" w:color="000000" w:sz="8" w:space="0"/>
              <w:right w:val="single" w:color="000000" w:sz="8" w:space="0"/>
            </w:tcBorders>
            <w:vAlign w:val="center"/>
          </w:tcPr>
          <w:p>
            <w:pPr>
              <w:pStyle w:val="18"/>
              <w:rPr>
                <w:rFonts w:ascii="方正仿宋简体" w:hAnsi="方正仿宋简体" w:eastAsia="方正仿宋简体" w:cs="方正仿宋简体"/>
                <w:b w:val="0"/>
                <w:bCs w:val="0"/>
                <w:i w:val="0"/>
                <w:iCs w:val="0"/>
                <w:smallCaps w:val="0"/>
                <w:color w:val="000000"/>
                <w:sz w:val="21"/>
                <w:szCs w:val="21"/>
              </w:rPr>
            </w:pPr>
          </w:p>
        </w:tc>
        <w:tc>
          <w:tcPr>
            <w:tcW w:w="1070"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spacing w:after="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冬季清雪</w:t>
            </w:r>
          </w:p>
        </w:tc>
        <w:tc>
          <w:tcPr>
            <w:tcW w:w="5632" w:type="dxa"/>
            <w:gridSpan w:val="3"/>
            <w:tcBorders>
              <w:bottom w:val="single" w:color="000000" w:sz="8" w:space="0"/>
              <w:right w:val="single" w:color="000000" w:sz="8" w:space="0"/>
            </w:tcBorders>
            <w:noWrap w:val="0"/>
            <w:tcMar>
              <w:top w:w="0" w:type="dxa"/>
              <w:left w:w="13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根据雪量及时组织人力开展清扫，按照规定时间、质量清理完成。每次不符合要求的扣2分。</w:t>
            </w:r>
          </w:p>
        </w:tc>
        <w:tc>
          <w:tcPr>
            <w:tcW w:w="1173" w:type="dxa"/>
            <w:tcBorders>
              <w:bottom w:val="single" w:color="000000" w:sz="8" w:space="0"/>
              <w:right w:val="single" w:color="000000" w:sz="8" w:space="0"/>
            </w:tcBorders>
            <w:noWrap w:val="0"/>
            <w:tcMar>
              <w:top w:w="0" w:type="dxa"/>
              <w:left w:w="13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4</w:t>
            </w:r>
          </w:p>
        </w:tc>
      </w:tr>
      <w:tr>
        <w:tblPrEx>
          <w:tblCellMar>
            <w:top w:w="15" w:type="dxa"/>
            <w:left w:w="15" w:type="dxa"/>
            <w:bottom w:w="15" w:type="dxa"/>
            <w:right w:w="15" w:type="dxa"/>
          </w:tblCellMar>
        </w:tblPrEx>
        <w:trPr>
          <w:trHeight w:val="535" w:hRule="atLeast"/>
          <w:tblCellSpacing w:w="0" w:type="dxa"/>
          <w:jc w:val="center"/>
        </w:trPr>
        <w:tc>
          <w:tcPr>
            <w:tcW w:w="1070"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10</w:t>
            </w:r>
          </w:p>
        </w:tc>
        <w:tc>
          <w:tcPr>
            <w:tcW w:w="1151"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接待管理</w:t>
            </w:r>
          </w:p>
        </w:tc>
        <w:tc>
          <w:tcPr>
            <w:tcW w:w="1100" w:type="dxa"/>
            <w:tcBorders>
              <w:bottom w:val="single" w:color="000000" w:sz="8" w:space="0"/>
              <w:right w:val="single" w:color="000000" w:sz="8" w:space="0"/>
            </w:tcBorders>
            <w:noWrap w:val="0"/>
            <w:tcMar>
              <w:top w:w="0" w:type="dxa"/>
              <w:left w:w="138" w:type="dxa"/>
              <w:bottom w:w="0" w:type="dxa"/>
              <w:right w:w="148" w:type="dxa"/>
            </w:tcMar>
            <w:vAlign w:val="center"/>
          </w:tcPr>
          <w:p>
            <w:pPr>
              <w:pStyle w:val="93"/>
              <w:spacing w:after="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会议接待</w:t>
            </w:r>
          </w:p>
        </w:tc>
        <w:tc>
          <w:tcPr>
            <w:tcW w:w="5632" w:type="dxa"/>
            <w:gridSpan w:val="3"/>
            <w:tcBorders>
              <w:bottom w:val="single" w:color="000000" w:sz="8" w:space="0"/>
              <w:right w:val="single" w:color="000000" w:sz="8" w:space="0"/>
            </w:tcBorders>
            <w:noWrap w:val="0"/>
            <w:tcMar>
              <w:top w:w="0" w:type="dxa"/>
              <w:left w:w="13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做好重点区域接待工作和保洁工作。每发现一次(处)不符合要求的扣2分。</w:t>
            </w:r>
          </w:p>
        </w:tc>
        <w:tc>
          <w:tcPr>
            <w:tcW w:w="1173" w:type="dxa"/>
            <w:tcBorders>
              <w:bottom w:val="single" w:color="000000" w:sz="8" w:space="0"/>
              <w:right w:val="single" w:color="000000" w:sz="8" w:space="0"/>
            </w:tcBorders>
            <w:noWrap w:val="0"/>
            <w:tcMar>
              <w:top w:w="0" w:type="dxa"/>
              <w:left w:w="13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5</w:t>
            </w:r>
          </w:p>
        </w:tc>
      </w:tr>
      <w:tr>
        <w:tblPrEx>
          <w:tblCellMar>
            <w:top w:w="15" w:type="dxa"/>
            <w:left w:w="15" w:type="dxa"/>
            <w:bottom w:w="15" w:type="dxa"/>
            <w:right w:w="15" w:type="dxa"/>
          </w:tblCellMar>
        </w:tblPrEx>
        <w:trPr>
          <w:tblCellSpacing w:w="0" w:type="dxa"/>
          <w:jc w:val="center"/>
        </w:trPr>
        <w:tc>
          <w:tcPr>
            <w:tcW w:w="1070"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11</w:t>
            </w:r>
          </w:p>
        </w:tc>
        <w:tc>
          <w:tcPr>
            <w:tcW w:w="1151" w:type="dxa"/>
            <w:vMerge w:val="restart"/>
            <w:tcBorders>
              <w:bottom w:val="nil"/>
              <w:right w:val="single" w:color="000000" w:sz="8" w:space="0"/>
            </w:tcBorders>
            <w:noWrap w:val="0"/>
            <w:tcMar>
              <w:top w:w="0" w:type="dxa"/>
              <w:left w:w="108" w:type="dxa"/>
              <w:bottom w:w="0" w:type="dxa"/>
              <w:right w:w="148" w:type="dxa"/>
            </w:tcMar>
            <w:vAlign w:val="center"/>
          </w:tcPr>
          <w:p>
            <w:pPr>
              <w:pStyle w:val="93"/>
              <w:spacing w:after="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 </w:t>
            </w:r>
          </w:p>
          <w:p>
            <w:pPr>
              <w:pStyle w:val="93"/>
              <w:spacing w:before="240" w:after="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 </w:t>
            </w:r>
          </w:p>
          <w:p>
            <w:pPr>
              <w:pStyle w:val="93"/>
              <w:spacing w:before="240" w:after="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 </w:t>
            </w:r>
          </w:p>
          <w:p>
            <w:pPr>
              <w:pStyle w:val="93"/>
              <w:spacing w:before="240" w:after="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 </w:t>
            </w:r>
          </w:p>
          <w:p>
            <w:pPr>
              <w:pStyle w:val="93"/>
              <w:spacing w:before="240" w:after="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 </w:t>
            </w:r>
          </w:p>
          <w:p>
            <w:pPr>
              <w:pStyle w:val="93"/>
              <w:spacing w:before="240" w:after="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 </w:t>
            </w:r>
          </w:p>
          <w:p>
            <w:pPr>
              <w:pStyle w:val="93"/>
              <w:spacing w:before="240" w:after="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 </w:t>
            </w:r>
          </w:p>
          <w:p>
            <w:pPr>
              <w:pStyle w:val="93"/>
              <w:spacing w:before="240" w:after="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 </w:t>
            </w:r>
          </w:p>
          <w:p>
            <w:pPr>
              <w:pStyle w:val="93"/>
              <w:spacing w:before="240" w:after="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 </w:t>
            </w:r>
          </w:p>
          <w:p>
            <w:pPr>
              <w:pStyle w:val="93"/>
              <w:spacing w:before="240" w:after="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 </w:t>
            </w:r>
          </w:p>
          <w:p>
            <w:pPr>
              <w:pStyle w:val="93"/>
              <w:spacing w:before="240" w:after="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 </w:t>
            </w:r>
          </w:p>
          <w:p>
            <w:pPr>
              <w:pStyle w:val="93"/>
              <w:spacing w:before="240" w:after="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 </w:t>
            </w:r>
          </w:p>
          <w:p>
            <w:pPr>
              <w:pStyle w:val="93"/>
              <w:spacing w:before="240" w:after="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秩序维护工作</w:t>
            </w:r>
          </w:p>
          <w:p>
            <w:pPr>
              <w:pStyle w:val="93"/>
              <w:spacing w:before="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秩序维护工作</w:t>
            </w:r>
          </w:p>
        </w:tc>
        <w:tc>
          <w:tcPr>
            <w:tcW w:w="1100" w:type="dxa"/>
            <w:tcBorders>
              <w:bottom w:val="single" w:color="000000" w:sz="8" w:space="0"/>
              <w:right w:val="single" w:color="000000" w:sz="8" w:space="0"/>
            </w:tcBorders>
            <w:noWrap w:val="0"/>
            <w:tcMar>
              <w:top w:w="0" w:type="dxa"/>
              <w:left w:w="13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秩序维护人员职责要求</w:t>
            </w:r>
          </w:p>
        </w:tc>
        <w:tc>
          <w:tcPr>
            <w:tcW w:w="5632" w:type="dxa"/>
            <w:gridSpan w:val="3"/>
            <w:tcBorders>
              <w:bottom w:val="single" w:color="000000" w:sz="8" w:space="0"/>
              <w:right w:val="single" w:color="000000" w:sz="8" w:space="0"/>
            </w:tcBorders>
            <w:noWrap w:val="0"/>
            <w:tcMar>
              <w:top w:w="0" w:type="dxa"/>
              <w:left w:w="13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秩序维护人员必须坚守岗位、尽职尽责，严守工作时间，不准随意脱岗、空岗，作好值班日记和交接记录，值班时发生一切情况及时报告。按时巡逻检查，对重点部位重点检查；办公楼各门岗站岗服务，做好安全保卫。在岗时不做与工作无关的事。热情服务，礼貌待人，不准接受或索取他人物品；节假日内部员工进入办公大楼，做好登记；外部人员未经有关部门批准严禁进入；作好防火、防盗的检查巡视工作，并做好相关记录，发现紧急情况应及时与办公大楼管理人员或有关主管部门报告，夜间对低层门窗重点巡视。每发现一次(处)不符合要求的扣2分。</w:t>
            </w:r>
          </w:p>
        </w:tc>
        <w:tc>
          <w:tcPr>
            <w:tcW w:w="1173" w:type="dxa"/>
            <w:tcBorders>
              <w:bottom w:val="single" w:color="000000" w:sz="8" w:space="0"/>
              <w:right w:val="single" w:color="000000" w:sz="8" w:space="0"/>
            </w:tcBorders>
            <w:noWrap w:val="0"/>
            <w:tcMar>
              <w:top w:w="0" w:type="dxa"/>
              <w:left w:w="13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6</w:t>
            </w:r>
          </w:p>
        </w:tc>
      </w:tr>
      <w:tr>
        <w:tblPrEx>
          <w:tblCellMar>
            <w:top w:w="15" w:type="dxa"/>
            <w:left w:w="15" w:type="dxa"/>
            <w:bottom w:w="15" w:type="dxa"/>
            <w:right w:w="15" w:type="dxa"/>
          </w:tblCellMar>
        </w:tblPrEx>
        <w:trPr>
          <w:tblCellSpacing w:w="0" w:type="dxa"/>
          <w:jc w:val="center"/>
        </w:trPr>
        <w:tc>
          <w:tcPr>
            <w:tcW w:w="1070"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12</w:t>
            </w:r>
          </w:p>
        </w:tc>
        <w:tc>
          <w:tcPr>
            <w:vMerge w:val="continue"/>
            <w:tcBorders>
              <w:right w:val="single" w:color="000000" w:sz="8" w:space="0"/>
            </w:tcBorders>
            <w:vAlign w:val="center"/>
          </w:tcPr>
          <w:p>
            <w:pPr>
              <w:pStyle w:val="18"/>
              <w:rPr>
                <w:rFonts w:ascii="方正仿宋简体" w:hAnsi="方正仿宋简体" w:eastAsia="方正仿宋简体" w:cs="方正仿宋简体"/>
                <w:b w:val="0"/>
                <w:bCs w:val="0"/>
                <w:i w:val="0"/>
                <w:iCs w:val="0"/>
                <w:smallCaps w:val="0"/>
                <w:color w:val="000000"/>
                <w:sz w:val="21"/>
                <w:szCs w:val="21"/>
              </w:rPr>
            </w:pPr>
          </w:p>
        </w:tc>
        <w:tc>
          <w:tcPr>
            <w:tcW w:w="1070"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spacing w:after="240"/>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 </w:t>
            </w:r>
          </w:p>
          <w:p>
            <w:pPr>
              <w:pStyle w:val="93"/>
              <w:spacing w:before="240" w:after="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秩序维护白班巡查工作要求</w:t>
            </w:r>
          </w:p>
          <w:p>
            <w:pPr>
              <w:pStyle w:val="93"/>
              <w:spacing w:before="240"/>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 </w:t>
            </w:r>
          </w:p>
        </w:tc>
        <w:tc>
          <w:tcPr>
            <w:tcW w:w="5632" w:type="dxa"/>
            <w:gridSpan w:val="3"/>
            <w:tcBorders>
              <w:bottom w:val="single" w:color="000000" w:sz="8" w:space="0"/>
              <w:right w:val="single" w:color="000000" w:sz="8" w:space="0"/>
            </w:tcBorders>
            <w:noWrap w:val="0"/>
            <w:tcMar>
              <w:top w:w="0" w:type="dxa"/>
              <w:left w:w="13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检查各楼层通道、走廊、卫生间等照明是否有损坏或丢失现象，检看各种消防设备、设施是否正常工作状态，检查大楼步行楼梯(防火通道)、走廊等区域的地面、墙面和顶棚有无损坏，检查各楼层公共部位门、窗及相关的水、电等设施的表象是否正常无损坏，对楼内发生的异声、异味等情况要认真检查，找出原因并做好相应处置，对可疑人员进行盘查并及时上报，巡查中值班员无特殊情况不得进入办公室。每天全面巡查不少于四次:监管系统要24小时有人监管，保证有人在岗，发现问题与相关人员联系并妥善处理，以确保大楼安全。每发现一次(处)不符合要求的扣2分。</w:t>
            </w:r>
          </w:p>
        </w:tc>
        <w:tc>
          <w:tcPr>
            <w:tcW w:w="1173" w:type="dxa"/>
            <w:tcBorders>
              <w:bottom w:val="single" w:color="000000" w:sz="8" w:space="0"/>
              <w:right w:val="single" w:color="000000" w:sz="8" w:space="0"/>
            </w:tcBorders>
            <w:noWrap w:val="0"/>
            <w:tcMar>
              <w:top w:w="0" w:type="dxa"/>
              <w:left w:w="13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6</w:t>
            </w:r>
          </w:p>
        </w:tc>
      </w:tr>
      <w:tr>
        <w:tblPrEx>
          <w:tblCellMar>
            <w:top w:w="15" w:type="dxa"/>
            <w:left w:w="15" w:type="dxa"/>
            <w:bottom w:w="15" w:type="dxa"/>
            <w:right w:w="15" w:type="dxa"/>
          </w:tblCellMar>
        </w:tblPrEx>
        <w:trPr>
          <w:tblCellSpacing w:w="0" w:type="dxa"/>
          <w:jc w:val="center"/>
        </w:trPr>
        <w:tc>
          <w:tcPr>
            <w:tcW w:w="1070"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13</w:t>
            </w:r>
          </w:p>
        </w:tc>
        <w:tc>
          <w:tcPr>
            <w:vMerge w:val="continue"/>
            <w:tcBorders>
              <w:right w:val="single" w:color="000000" w:sz="8" w:space="0"/>
            </w:tcBorders>
            <w:vAlign w:val="center"/>
          </w:tcPr>
          <w:p>
            <w:pPr>
              <w:pStyle w:val="18"/>
              <w:rPr>
                <w:rFonts w:ascii="方正仿宋简体" w:hAnsi="方正仿宋简体" w:eastAsia="方正仿宋简体" w:cs="方正仿宋简体"/>
                <w:b w:val="0"/>
                <w:bCs w:val="0"/>
                <w:i w:val="0"/>
                <w:iCs w:val="0"/>
                <w:smallCaps w:val="0"/>
                <w:color w:val="000000"/>
                <w:sz w:val="21"/>
                <w:szCs w:val="21"/>
              </w:rPr>
            </w:pPr>
          </w:p>
        </w:tc>
        <w:tc>
          <w:tcPr>
            <w:tcW w:w="1070"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秩序维护夜班巡查工作要求</w:t>
            </w:r>
          </w:p>
        </w:tc>
        <w:tc>
          <w:tcPr>
            <w:tcW w:w="5632" w:type="dxa"/>
            <w:gridSpan w:val="3"/>
            <w:tcBorders>
              <w:bottom w:val="single" w:color="000000" w:sz="8" w:space="0"/>
              <w:right w:val="single" w:color="000000" w:sz="8" w:space="0"/>
            </w:tcBorders>
            <w:noWrap w:val="0"/>
            <w:tcMar>
              <w:top w:w="0" w:type="dxa"/>
              <w:left w:w="13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秩序维护人员每天21:00以后，对楼内进行一次彻底检查，发现问题能处理的及时处理，无法解决的向办公室领导报告，作好相关记录，第二天书面报送有关主管部门；夜间巡查时，应做到全面、仔细、不漏查，不得走过场，对重点区域的电器设备、水及各楼层门窗设施重点检查，确保大楼安全，并做好夜间巡查记录；夜间巡查时发现灯具不亮或其他设备设施损坏，第二天报送维修部门并做好记录，做到及时发现及时处理；监管系统要24小时有人监管，保证有人在岗，发现问题与相关人员联系并妥善处理，以确保大楼安全。夜间要求执行坐班与巡查制相结合，即上半夜与下半夜不定时对大楼内巡查，要求不得少于四次，并做好巡查记录。物业项目经理夜间抽查每周不少于一次，并做好记录，有利于督促指导消防、安全工作的落实。每发现一次(处)不符合要求的扣2分。</w:t>
            </w:r>
          </w:p>
        </w:tc>
        <w:tc>
          <w:tcPr>
            <w:tcW w:w="1173" w:type="dxa"/>
            <w:tcBorders>
              <w:bottom w:val="single" w:color="000000" w:sz="8" w:space="0"/>
              <w:right w:val="single" w:color="000000" w:sz="8" w:space="0"/>
            </w:tcBorders>
            <w:noWrap w:val="0"/>
            <w:tcMar>
              <w:top w:w="0" w:type="dxa"/>
              <w:left w:w="13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6</w:t>
            </w:r>
          </w:p>
        </w:tc>
      </w:tr>
      <w:tr>
        <w:tblPrEx>
          <w:tblCellMar>
            <w:top w:w="15" w:type="dxa"/>
            <w:left w:w="15" w:type="dxa"/>
            <w:bottom w:w="15" w:type="dxa"/>
            <w:right w:w="15" w:type="dxa"/>
          </w:tblCellMar>
        </w:tblPrEx>
        <w:trPr>
          <w:trHeight w:val="1068" w:hRule="atLeast"/>
          <w:tblCellSpacing w:w="0" w:type="dxa"/>
          <w:jc w:val="center"/>
        </w:trPr>
        <w:tc>
          <w:tcPr>
            <w:tcW w:w="1070"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14</w:t>
            </w:r>
          </w:p>
        </w:tc>
        <w:tc>
          <w:tcPr>
            <w:vMerge w:val="continue"/>
            <w:tcBorders>
              <w:right w:val="single" w:color="000000" w:sz="8" w:space="0"/>
            </w:tcBorders>
            <w:vAlign w:val="center"/>
          </w:tcPr>
          <w:p>
            <w:pPr>
              <w:pStyle w:val="18"/>
              <w:rPr>
                <w:rFonts w:ascii="方正仿宋简体" w:hAnsi="方正仿宋简体" w:eastAsia="方正仿宋简体" w:cs="方正仿宋简体"/>
                <w:b w:val="0"/>
                <w:bCs w:val="0"/>
                <w:i w:val="0"/>
                <w:iCs w:val="0"/>
                <w:smallCaps w:val="0"/>
                <w:color w:val="000000"/>
                <w:sz w:val="21"/>
                <w:szCs w:val="21"/>
              </w:rPr>
            </w:pPr>
          </w:p>
        </w:tc>
        <w:tc>
          <w:tcPr>
            <w:tcW w:w="1070"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车场秩序维护</w:t>
            </w:r>
          </w:p>
        </w:tc>
        <w:tc>
          <w:tcPr>
            <w:tcW w:w="5632" w:type="dxa"/>
            <w:gridSpan w:val="3"/>
            <w:tcBorders>
              <w:bottom w:val="single" w:color="000000" w:sz="8" w:space="0"/>
              <w:right w:val="single" w:color="000000" w:sz="8" w:space="0"/>
            </w:tcBorders>
            <w:noWrap w:val="0"/>
            <w:tcMar>
              <w:top w:w="0" w:type="dxa"/>
              <w:left w:w="13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引导准入的各类车辆进入并停放相应区域；对车辆进行及时、有效的指挥、疏导，保证道路通畅；进出车辆进行适当控制并详细记录。每发现一次(处)不符合要求的扣1分。</w:t>
            </w:r>
          </w:p>
        </w:tc>
        <w:tc>
          <w:tcPr>
            <w:tcW w:w="1173" w:type="dxa"/>
            <w:tcBorders>
              <w:bottom w:val="single" w:color="000000" w:sz="8" w:space="0"/>
              <w:right w:val="single" w:color="000000" w:sz="8" w:space="0"/>
            </w:tcBorders>
            <w:noWrap w:val="0"/>
            <w:tcMar>
              <w:top w:w="0" w:type="dxa"/>
              <w:left w:w="13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2</w:t>
            </w:r>
          </w:p>
        </w:tc>
      </w:tr>
      <w:tr>
        <w:tblPrEx>
          <w:tblCellMar>
            <w:top w:w="15" w:type="dxa"/>
            <w:left w:w="15" w:type="dxa"/>
            <w:bottom w:w="15" w:type="dxa"/>
            <w:right w:w="15" w:type="dxa"/>
          </w:tblCellMar>
        </w:tblPrEx>
        <w:trPr>
          <w:trHeight w:val="910" w:hRule="atLeast"/>
          <w:tblCellSpacing w:w="0" w:type="dxa"/>
          <w:jc w:val="center"/>
        </w:trPr>
        <w:tc>
          <w:tcPr>
            <w:tcW w:w="1070"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15</w:t>
            </w:r>
          </w:p>
        </w:tc>
        <w:tc>
          <w:tcPr>
            <w:vMerge w:val="continue"/>
            <w:tcBorders>
              <w:bottom w:val="single" w:color="000000" w:sz="8" w:space="0"/>
              <w:right w:val="single" w:color="000000" w:sz="8" w:space="0"/>
            </w:tcBorders>
            <w:vAlign w:val="center"/>
          </w:tcPr>
          <w:p>
            <w:pPr>
              <w:pStyle w:val="18"/>
              <w:rPr>
                <w:rFonts w:ascii="方正仿宋简体" w:hAnsi="方正仿宋简体" w:eastAsia="方正仿宋简体" w:cs="方正仿宋简体"/>
                <w:b w:val="0"/>
                <w:bCs w:val="0"/>
                <w:i w:val="0"/>
                <w:iCs w:val="0"/>
                <w:smallCaps w:val="0"/>
                <w:color w:val="000000"/>
                <w:sz w:val="21"/>
                <w:szCs w:val="21"/>
              </w:rPr>
            </w:pPr>
          </w:p>
        </w:tc>
        <w:tc>
          <w:tcPr>
            <w:tcW w:w="1070"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spacing w:after="240"/>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零星搬抬</w:t>
            </w:r>
          </w:p>
        </w:tc>
        <w:tc>
          <w:tcPr>
            <w:tcW w:w="5632" w:type="dxa"/>
            <w:gridSpan w:val="3"/>
            <w:tcBorders>
              <w:bottom w:val="single" w:color="000000" w:sz="8" w:space="0"/>
              <w:right w:val="single" w:color="000000" w:sz="8" w:space="0"/>
            </w:tcBorders>
            <w:noWrap w:val="0"/>
            <w:tcMar>
              <w:top w:w="0" w:type="dxa"/>
              <w:left w:w="13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按照工作需要，随时组织人力对零星物品进行搬抬，应有必要的保护措施，确保物品无破损；饮用水按照需求及时搬送到位。每发现一次(处)不符合要求的扣1分。</w:t>
            </w:r>
          </w:p>
        </w:tc>
        <w:tc>
          <w:tcPr>
            <w:tcW w:w="1173" w:type="dxa"/>
            <w:tcBorders>
              <w:bottom w:val="single" w:color="000000" w:sz="8" w:space="0"/>
              <w:right w:val="single" w:color="000000" w:sz="8" w:space="0"/>
            </w:tcBorders>
            <w:noWrap w:val="0"/>
            <w:tcMar>
              <w:top w:w="0" w:type="dxa"/>
              <w:left w:w="13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3</w:t>
            </w:r>
          </w:p>
        </w:tc>
      </w:tr>
      <w:tr>
        <w:tblPrEx>
          <w:tblCellMar>
            <w:top w:w="15" w:type="dxa"/>
            <w:left w:w="15" w:type="dxa"/>
            <w:bottom w:w="15" w:type="dxa"/>
            <w:right w:w="15" w:type="dxa"/>
          </w:tblCellMar>
        </w:tblPrEx>
        <w:trPr>
          <w:trHeight w:val="486" w:hRule="atLeast"/>
          <w:tblCellSpacing w:w="0" w:type="dxa"/>
          <w:jc w:val="center"/>
        </w:trPr>
        <w:tc>
          <w:tcPr>
            <w:tcW w:w="1070"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16</w:t>
            </w:r>
          </w:p>
        </w:tc>
        <w:tc>
          <w:tcPr>
            <w:tcW w:w="1151"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办公楼防灾</w:t>
            </w:r>
          </w:p>
        </w:tc>
        <w:tc>
          <w:tcPr>
            <w:tcW w:w="6446" w:type="dxa"/>
            <w:gridSpan w:val="3"/>
            <w:tcBorders>
              <w:bottom w:val="single" w:color="000000" w:sz="8" w:space="0"/>
              <w:right w:val="single" w:color="000000" w:sz="8" w:space="0"/>
            </w:tcBorders>
            <w:noWrap w:val="0"/>
            <w:tcMar>
              <w:top w:w="0" w:type="dxa"/>
              <w:left w:w="13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按照应急预案等文件要求，规范操作，做好办公楼防洪、除雪以及极端天气影响的防范工作。每发现一次(处)不符合要求的扣2.5分。</w:t>
            </w:r>
          </w:p>
        </w:tc>
        <w:tc>
          <w:tcPr>
            <w:tcW w:w="1173" w:type="dxa"/>
            <w:gridSpan w:val="2"/>
            <w:tcBorders>
              <w:bottom w:val="single" w:color="000000" w:sz="8" w:space="0"/>
              <w:right w:val="single" w:color="000000" w:sz="8" w:space="0"/>
            </w:tcBorders>
            <w:noWrap w:val="0"/>
            <w:tcMar>
              <w:top w:w="0" w:type="dxa"/>
              <w:left w:w="13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5</w:t>
            </w:r>
          </w:p>
        </w:tc>
      </w:tr>
      <w:tr>
        <w:tblPrEx>
          <w:tblCellMar>
            <w:top w:w="15" w:type="dxa"/>
            <w:left w:w="15" w:type="dxa"/>
            <w:bottom w:w="15" w:type="dxa"/>
            <w:right w:w="15" w:type="dxa"/>
          </w:tblCellMar>
        </w:tblPrEx>
        <w:trPr>
          <w:tblCellSpacing w:w="0" w:type="dxa"/>
          <w:jc w:val="center"/>
        </w:trPr>
        <w:tc>
          <w:tcPr>
            <w:tcW w:w="1070"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17</w:t>
            </w:r>
          </w:p>
        </w:tc>
        <w:tc>
          <w:tcPr>
            <w:tcW w:w="1151"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节能减排</w:t>
            </w:r>
          </w:p>
        </w:tc>
        <w:tc>
          <w:tcPr>
            <w:tcW w:w="6446" w:type="dxa"/>
            <w:gridSpan w:val="3"/>
            <w:tcBorders>
              <w:bottom w:val="single" w:color="000000" w:sz="8" w:space="0"/>
              <w:right w:val="single" w:color="000000" w:sz="8" w:space="0"/>
            </w:tcBorders>
            <w:noWrap w:val="0"/>
            <w:tcMar>
              <w:top w:w="0" w:type="dxa"/>
              <w:left w:w="13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做好节水、节电等节能相关减排工作。每发现一次(处)不符合要求的扣1分。</w:t>
            </w:r>
          </w:p>
        </w:tc>
        <w:tc>
          <w:tcPr>
            <w:tcW w:w="1173" w:type="dxa"/>
            <w:gridSpan w:val="2"/>
            <w:tcBorders>
              <w:bottom w:val="single" w:color="000000" w:sz="8" w:space="0"/>
              <w:right w:val="single" w:color="000000" w:sz="8" w:space="0"/>
            </w:tcBorders>
            <w:noWrap w:val="0"/>
            <w:tcMar>
              <w:top w:w="0" w:type="dxa"/>
              <w:left w:w="13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3</w:t>
            </w:r>
          </w:p>
        </w:tc>
      </w:tr>
      <w:tr>
        <w:tblPrEx>
          <w:tblCellMar>
            <w:top w:w="15" w:type="dxa"/>
            <w:left w:w="15" w:type="dxa"/>
            <w:bottom w:w="15" w:type="dxa"/>
            <w:right w:w="15" w:type="dxa"/>
          </w:tblCellMar>
        </w:tblPrEx>
        <w:trPr>
          <w:tblCellSpacing w:w="0" w:type="dxa"/>
          <w:jc w:val="center"/>
        </w:trPr>
        <w:tc>
          <w:tcPr>
            <w:tcW w:w="1070"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18</w:t>
            </w:r>
          </w:p>
        </w:tc>
        <w:tc>
          <w:tcPr>
            <w:tcW w:w="1151"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食堂</w:t>
            </w:r>
          </w:p>
        </w:tc>
        <w:tc>
          <w:tcPr>
            <w:tcW w:w="6446" w:type="dxa"/>
            <w:gridSpan w:val="3"/>
            <w:tcBorders>
              <w:bottom w:val="single" w:color="000000" w:sz="8" w:space="0"/>
              <w:right w:val="single" w:color="000000" w:sz="8" w:space="0"/>
            </w:tcBorders>
            <w:noWrap w:val="0"/>
            <w:tcMar>
              <w:top w:w="0" w:type="dxa"/>
              <w:left w:w="13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食堂人员管理未达到餐饮服务人员管理要求、按次扣2分；食堂饮食管理未达到餐饮服务饮食管理要求、按次扣2分；食堂厨房管理未达到餐饮服务厨房管理要求、按次扣2分；食堂烹饪管理未达到餐饮服务烹饪管理要求、按次扣2分；食堂食品管理未达到餐饮服务食品管理要求、按次扣2分；食堂协助管理未达到采购人管理要求、按次扣2分；食堂卫生管理未达到餐饮服务卫生管理要求、按次扣2分；食堂安全管理未达到餐饮服务安全管理要求、按次扣2分。无偿提供临时性就餐，未达到要求按次扣2分。</w:t>
            </w:r>
          </w:p>
        </w:tc>
        <w:tc>
          <w:tcPr>
            <w:tcW w:w="1173" w:type="dxa"/>
            <w:gridSpan w:val="2"/>
            <w:tcBorders>
              <w:bottom w:val="single" w:color="000000" w:sz="8" w:space="0"/>
              <w:right w:val="single" w:color="000000" w:sz="8" w:space="0"/>
            </w:tcBorders>
            <w:noWrap w:val="0"/>
            <w:tcMar>
              <w:top w:w="0" w:type="dxa"/>
              <w:left w:w="13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18</w:t>
            </w:r>
          </w:p>
        </w:tc>
      </w:tr>
      <w:tr>
        <w:tblPrEx>
          <w:tblCellMar>
            <w:top w:w="15" w:type="dxa"/>
            <w:left w:w="15" w:type="dxa"/>
            <w:bottom w:w="15" w:type="dxa"/>
            <w:right w:w="15" w:type="dxa"/>
          </w:tblCellMar>
        </w:tblPrEx>
        <w:trPr>
          <w:tblCellSpacing w:w="0" w:type="dxa"/>
          <w:jc w:val="center"/>
        </w:trPr>
        <w:tc>
          <w:tcPr>
            <w:tcW w:w="1070"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19</w:t>
            </w:r>
          </w:p>
        </w:tc>
        <w:tc>
          <w:tcPr>
            <w:tcW w:w="1151"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维修维护</w:t>
            </w:r>
          </w:p>
        </w:tc>
        <w:tc>
          <w:tcPr>
            <w:tcW w:w="6446" w:type="dxa"/>
            <w:gridSpan w:val="3"/>
            <w:tcBorders>
              <w:bottom w:val="single" w:color="000000" w:sz="8" w:space="0"/>
              <w:right w:val="single" w:color="000000" w:sz="8" w:space="0"/>
            </w:tcBorders>
            <w:noWrap w:val="0"/>
            <w:tcMar>
              <w:top w:w="0" w:type="dxa"/>
              <w:left w:w="138" w:type="dxa"/>
              <w:bottom w:w="0" w:type="dxa"/>
              <w:right w:w="148" w:type="dxa"/>
            </w:tcMar>
            <w:vAlign w:val="center"/>
          </w:tcPr>
          <w:p>
            <w:pPr>
              <w:pStyle w:val="93"/>
              <w:jc w:val="both"/>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按照工作需要，一般故障维修人员应在15分钟内到达现场，如：门、窗、锁、灯、电话、卫生间设施、公共区域等；紧急故障维修人员应在10分钟内到达现场，如：跑、冒、滴、漏、空调、照明等设备停运、室温、噪音、异味问题等；室内地面散水小修；检修门窗小修；清扫屋面、雨落管等小修；上下水系统小修；供电设备设施小修；二次装修管理；共用设施设备管理；供冷供暖管理，给排水系统管理，消防系统管理，安防监控系统管理，门禁系统管理等。每发现一次(处)不符合要求的扣2分。</w:t>
            </w:r>
          </w:p>
        </w:tc>
        <w:tc>
          <w:tcPr>
            <w:tcW w:w="1173" w:type="dxa"/>
            <w:gridSpan w:val="2"/>
            <w:tcBorders>
              <w:bottom w:val="single" w:color="000000" w:sz="8" w:space="0"/>
              <w:right w:val="single" w:color="000000" w:sz="8" w:space="0"/>
            </w:tcBorders>
            <w:noWrap w:val="0"/>
            <w:tcMar>
              <w:top w:w="0" w:type="dxa"/>
              <w:left w:w="13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6</w:t>
            </w:r>
          </w:p>
        </w:tc>
      </w:tr>
      <w:tr>
        <w:tblPrEx>
          <w:tblCellMar>
            <w:top w:w="15" w:type="dxa"/>
            <w:left w:w="15" w:type="dxa"/>
            <w:bottom w:w="15" w:type="dxa"/>
            <w:right w:w="15" w:type="dxa"/>
          </w:tblCellMar>
        </w:tblPrEx>
        <w:trPr>
          <w:tblCellSpacing w:w="0" w:type="dxa"/>
          <w:jc w:val="center"/>
        </w:trPr>
        <w:tc>
          <w:tcPr>
            <w:tcW w:w="1070" w:type="dxa"/>
            <w:tcBorders>
              <w:left w:val="single" w:color="000000" w:sz="8" w:space="0"/>
              <w:bottom w:val="single" w:color="000000" w:sz="8" w:space="0"/>
              <w:right w:val="single" w:color="000000" w:sz="8" w:space="0"/>
            </w:tcBorders>
            <w:noWrap w:val="0"/>
            <w:tcMar>
              <w:top w:w="0" w:type="dxa"/>
              <w:left w:w="14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 </w:t>
            </w:r>
          </w:p>
        </w:tc>
        <w:tc>
          <w:tcPr>
            <w:tcW w:w="1151" w:type="dxa"/>
            <w:tcBorders>
              <w:bottom w:val="single" w:color="000000" w:sz="8" w:space="0"/>
              <w:right w:val="single" w:color="000000" w:sz="8" w:space="0"/>
            </w:tcBorders>
            <w:noWrap w:val="0"/>
            <w:tcMar>
              <w:top w:w="0" w:type="dxa"/>
              <w:left w:w="10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 </w:t>
            </w:r>
          </w:p>
        </w:tc>
        <w:tc>
          <w:tcPr>
            <w:tcW w:w="6446" w:type="dxa"/>
            <w:gridSpan w:val="3"/>
            <w:tcBorders>
              <w:bottom w:val="single" w:color="000000" w:sz="8" w:space="0"/>
              <w:right w:val="single" w:color="000000" w:sz="8" w:space="0"/>
            </w:tcBorders>
            <w:noWrap w:val="0"/>
            <w:tcMar>
              <w:top w:w="0" w:type="dxa"/>
              <w:left w:w="13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合计</w:t>
            </w:r>
          </w:p>
        </w:tc>
        <w:tc>
          <w:tcPr>
            <w:tcW w:w="1173" w:type="dxa"/>
            <w:gridSpan w:val="2"/>
            <w:tcBorders>
              <w:bottom w:val="single" w:color="000000" w:sz="8" w:space="0"/>
              <w:right w:val="single" w:color="000000" w:sz="8" w:space="0"/>
            </w:tcBorders>
            <w:noWrap w:val="0"/>
            <w:tcMar>
              <w:top w:w="0" w:type="dxa"/>
              <w:left w:w="138" w:type="dxa"/>
              <w:bottom w:w="0" w:type="dxa"/>
              <w:right w:w="148" w:type="dxa"/>
            </w:tcMar>
            <w:vAlign w:val="center"/>
          </w:tcPr>
          <w:p>
            <w:pPr>
              <w:pStyle w:val="93"/>
              <w:jc w:val="center"/>
              <w:rPr>
                <w:rFonts w:ascii="Times New Roman" w:hAnsi="Times New Roman" w:eastAsia="Times New Roman" w:cs="Times New Roman"/>
                <w:b w:val="0"/>
                <w:bCs w:val="0"/>
                <w:i w:val="0"/>
                <w:iCs w:val="0"/>
                <w:smallCaps w:val="0"/>
                <w:color w:val="000000"/>
              </w:rPr>
            </w:pPr>
            <w:r>
              <w:rPr>
                <w:rFonts w:ascii="方正仿宋简体" w:hAnsi="方正仿宋简体" w:eastAsia="方正仿宋简体" w:cs="方正仿宋简体"/>
                <w:b w:val="0"/>
                <w:bCs w:val="0"/>
                <w:i w:val="0"/>
                <w:iCs w:val="0"/>
                <w:smallCaps w:val="0"/>
                <w:color w:val="000000"/>
                <w:sz w:val="21"/>
                <w:szCs w:val="21"/>
              </w:rPr>
              <w:t>100</w:t>
            </w:r>
          </w:p>
        </w:tc>
      </w:tr>
    </w:tbl>
    <w:p>
      <w:pPr>
        <w:pStyle w:val="18"/>
        <w:spacing w:before="0" w:after="0" w:line="360" w:lineRule="auto"/>
        <w:jc w:val="center"/>
        <w:rPr>
          <w:rFonts w:ascii="Times New Roman" w:hAnsi="Times New Roman" w:eastAsia="Times New Roman" w:cs="Times New Roman"/>
        </w:rPr>
      </w:pPr>
      <w:r>
        <w:rPr>
          <w:rFonts w:ascii="Times New Roman" w:hAnsi="Times New Roman" w:eastAsia="Times New Roman" w:cs="Times New Roman"/>
        </w:rPr>
        <w:t> </w:t>
      </w:r>
    </w:p>
    <w:p>
      <w:pPr>
        <w:pStyle w:val="100"/>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采购人检查人员做好工作检查记录和投诉记录，中标人对于投诉事项要及时应对，检查中发现或受理投诉不符合服务方案的，按照考核标准确定扣分，向物业公司发出书面整改及扣分通知书，物业负责人签字认可并整理保存。支付管理服务费时，统计扣分累计数，对照考评办法评定是否合格，不合格的进行处罚扣款。</w:t>
      </w:r>
    </w:p>
    <w:p>
      <w:pPr>
        <w:pStyle w:val="100"/>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（六）中标人承担的责任：</w:t>
      </w:r>
    </w:p>
    <w:p>
      <w:pPr>
        <w:pStyle w:val="100"/>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1.因物业服务人员在物业服务范围内从事违法活动导致的相关责任；</w:t>
      </w:r>
    </w:p>
    <w:p>
      <w:pPr>
        <w:pStyle w:val="100"/>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2.因工作失误或失职导致物业服务范围内财产被盗责任；</w:t>
      </w:r>
    </w:p>
    <w:p>
      <w:pPr>
        <w:pStyle w:val="100"/>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3.因工作方法不当、失误而伤害员工或访客以致引发的事故责任；</w:t>
      </w:r>
    </w:p>
    <w:p>
      <w:pPr>
        <w:pStyle w:val="100"/>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4.因操作不当造成物业服务范围内的设备、设施损坏的责任；</w:t>
      </w:r>
    </w:p>
    <w:p>
      <w:pPr>
        <w:pStyle w:val="100"/>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5.因在管理内容或职责范围内未有效排除险情(自然灾害除外)或未及时反馈给采购人而造成访客及员工伤残责任；</w:t>
      </w:r>
    </w:p>
    <w:p>
      <w:pPr>
        <w:pStyle w:val="100"/>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6.因管理松散，未按采购人规定浪费资源，视情节轻重扣减物业管理费；</w:t>
      </w:r>
    </w:p>
    <w:p>
      <w:pPr>
        <w:pStyle w:val="100"/>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7.因未达到物业管理质量量化考核标准，考核结果按评分细则进行奖惩，严重者解除合同；</w:t>
      </w:r>
    </w:p>
    <w:p>
      <w:pPr>
        <w:pStyle w:val="100"/>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8.因半个月内两天以上(含两天)人员配置不到位或者擅离工作岗位按缺岗计算，采购人有权扣减当季5%物业管理费；</w:t>
      </w:r>
    </w:p>
    <w:p>
      <w:pPr>
        <w:pStyle w:val="100"/>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9.因合同期内提供的服务与承诺相差较大或因管理问题而发生重大事故的，采购人有权要求中标人按要求整改或单方面解除合同，造成损失的，由中标人承担；</w:t>
      </w:r>
    </w:p>
    <w:p>
      <w:pPr>
        <w:pStyle w:val="100"/>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(七) 物业管理服务前期交接工作的要求：</w:t>
      </w:r>
    </w:p>
    <w:p>
      <w:pPr>
        <w:pStyle w:val="100"/>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1.中标人对物业管理服务前期交接工作不收取任何费用；</w:t>
      </w:r>
    </w:p>
    <w:p>
      <w:pPr>
        <w:pStyle w:val="100"/>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2.中标人需提前做好进场准备工作，服务开始前一周所有工作人员、设备全部准备到位；</w:t>
      </w:r>
    </w:p>
    <w:p>
      <w:pPr>
        <w:pStyle w:val="100"/>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3.中标人必须参加物业管理项目的全部设备、设施的验收工作，履行交接手续后一切责任由中标人承担。</w:t>
      </w:r>
    </w:p>
    <w:p>
      <w:pPr>
        <w:pStyle w:val="90"/>
        <w:keepNext w:val="0"/>
        <w:spacing w:before="0" w:after="0" w:line="360" w:lineRule="auto"/>
        <w:jc w:val="center"/>
        <w:rPr>
          <w:rFonts w:ascii="仿宋_GB2312" w:hAnsi="仿宋_GB2312" w:eastAsia="仿宋_GB2312" w:cs="仿宋_GB2312"/>
          <w:b/>
          <w:bCs/>
          <w:sz w:val="32"/>
          <w:szCs w:val="32"/>
        </w:rPr>
      </w:pPr>
      <w:bookmarkStart w:id="29" w:name="_Toc256000025"/>
      <w:r>
        <w:rPr>
          <w:rFonts w:ascii="仿宋_GB2312" w:hAnsi="仿宋_GB2312" w:eastAsia="仿宋_GB2312" w:cs="仿宋_GB2312"/>
          <w:kern w:val="36"/>
        </w:rPr>
        <w:t>6风险管控要求</w:t>
      </w:r>
      <w:bookmarkEnd w:id="29"/>
    </w:p>
    <w:p>
      <w:pPr>
        <w:pStyle w:val="95"/>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要求供应商对项目实施全过程中可能出现的风险进行全面识别与评估，包括但不限于需求变更风险、人员变动风险、技术风险等。基于风险评估结果，制定针对性的风险应对策略，持续监控风险状况，并根据实际情况及时完善风险应对策略，确保项目目标顺利实现。</w:t>
      </w:r>
    </w:p>
    <w:p>
      <w:pPr>
        <w:pStyle w:val="90"/>
        <w:keepNext w:val="0"/>
        <w:spacing w:before="0" w:after="0" w:line="360" w:lineRule="auto"/>
        <w:jc w:val="center"/>
        <w:rPr>
          <w:rFonts w:ascii="仿宋_GB2312" w:hAnsi="仿宋_GB2312" w:eastAsia="仿宋_GB2312" w:cs="仿宋_GB2312"/>
          <w:b/>
          <w:bCs/>
          <w:sz w:val="32"/>
          <w:szCs w:val="32"/>
        </w:rPr>
      </w:pPr>
      <w:bookmarkStart w:id="30" w:name="_Toc256000026"/>
      <w:r>
        <w:rPr>
          <w:rFonts w:ascii="仿宋_GB2312" w:hAnsi="仿宋_GB2312" w:eastAsia="仿宋_GB2312" w:cs="仿宋_GB2312"/>
          <w:kern w:val="36"/>
        </w:rPr>
        <w:t>7履约验收要求</w:t>
      </w:r>
      <w:bookmarkEnd w:id="30"/>
    </w:p>
    <w:p>
      <w:pPr>
        <w:pStyle w:val="91"/>
        <w:keepNext w:val="0"/>
        <w:spacing w:before="0" w:after="0" w:line="360" w:lineRule="auto"/>
        <w:rPr>
          <w:rFonts w:ascii="仿宋_GB2312" w:hAnsi="仿宋_GB2312" w:eastAsia="仿宋_GB2312" w:cs="仿宋_GB2312"/>
          <w:b/>
          <w:bCs/>
          <w:sz w:val="28"/>
          <w:szCs w:val="28"/>
        </w:rPr>
      </w:pPr>
      <w:bookmarkStart w:id="31" w:name="_Toc256000027"/>
      <w:r>
        <w:rPr>
          <w:rFonts w:ascii="仿宋_GB2312" w:hAnsi="仿宋_GB2312" w:eastAsia="仿宋_GB2312" w:cs="仿宋_GB2312"/>
          <w:i w:val="0"/>
          <w:iCs w:val="0"/>
        </w:rPr>
        <w:t>7.1总体要求</w:t>
      </w:r>
      <w:bookmarkEnd w:id="31"/>
    </w:p>
    <w:tbl>
      <w:tblPr>
        <w:tblStyle w:val="32"/>
        <w:tblW w:w="5000" w:type="pct"/>
        <w:tblInd w:w="30" w:type="dxa"/>
        <w:tblLayout w:type="autofit"/>
        <w:tblCellMar>
          <w:top w:w="15" w:type="dxa"/>
          <w:left w:w="15" w:type="dxa"/>
          <w:bottom w:w="15" w:type="dxa"/>
          <w:right w:w="15" w:type="dxa"/>
        </w:tblCellMar>
      </w:tblPr>
      <w:tblGrid>
        <w:gridCol w:w="4535"/>
        <w:gridCol w:w="4535"/>
      </w:tblGrid>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验收名称</w:t>
            </w:r>
          </w:p>
        </w:tc>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验收要求</w:t>
            </w:r>
          </w:p>
        </w:tc>
      </w:tr>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月度验收考核</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在符合项目验收条件后，中标人提出验收申请，采购人在收到中标人提出的合格的申请后，组织验收小组完成验收工作，按月执行。具体月度验收考核实施标准，详见5管理实施要求</w:t>
            </w:r>
          </w:p>
        </w:tc>
      </w:tr>
    </w:tbl>
    <w:p>
      <w:pPr>
        <w:pStyle w:val="91"/>
        <w:keepNext w:val="0"/>
        <w:spacing w:before="0" w:after="0" w:line="360" w:lineRule="auto"/>
        <w:rPr>
          <w:rFonts w:ascii="仿宋_GB2312" w:hAnsi="仿宋_GB2312" w:eastAsia="仿宋_GB2312" w:cs="仿宋_GB2312"/>
          <w:b/>
          <w:bCs/>
          <w:sz w:val="28"/>
          <w:szCs w:val="28"/>
        </w:rPr>
      </w:pPr>
      <w:bookmarkStart w:id="32" w:name="_Toc256000028"/>
      <w:r>
        <w:rPr>
          <w:rFonts w:ascii="仿宋_GB2312" w:hAnsi="仿宋_GB2312" w:eastAsia="仿宋_GB2312" w:cs="仿宋_GB2312"/>
          <w:i w:val="0"/>
          <w:iCs w:val="0"/>
        </w:rPr>
        <w:t>7.2具体要求</w:t>
      </w:r>
      <w:bookmarkEnd w:id="32"/>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采购人以项目采购需求及合同相关内容为验收标准组织验收，中标人配合。</w:t>
      </w:r>
    </w:p>
    <w:p>
      <w:pPr>
        <w:pStyle w:val="93"/>
        <w:spacing w:before="0" w:after="0" w:line="360" w:lineRule="auto"/>
        <w:ind w:firstLine="480"/>
        <w:rPr>
          <w:rFonts w:ascii="Times New Roman" w:hAnsi="Times New Roman" w:eastAsia="Times New Roman" w:cs="Times New Roman"/>
        </w:rPr>
      </w:pPr>
      <w:r>
        <w:rPr>
          <w:rFonts w:ascii="仿宋_GB2312" w:hAnsi="仿宋_GB2312" w:eastAsia="仿宋_GB2312" w:cs="仿宋_GB2312"/>
          <w:b/>
          <w:bCs/>
          <w:sz w:val="28"/>
          <w:szCs w:val="28"/>
        </w:rPr>
        <w:t>（一）验收条件</w:t>
      </w:r>
    </w:p>
    <w:p>
      <w:pPr>
        <w:pStyle w:val="93"/>
        <w:spacing w:before="0" w:after="0" w:line="360" w:lineRule="auto"/>
        <w:ind w:firstLine="480"/>
        <w:rPr>
          <w:rFonts w:ascii="Times New Roman" w:hAnsi="Times New Roman" w:eastAsia="Times New Roman" w:cs="Times New Roman"/>
        </w:rPr>
      </w:pPr>
      <w:r>
        <w:rPr>
          <w:rFonts w:ascii="仿宋_GB2312" w:hAnsi="仿宋_GB2312" w:eastAsia="仿宋_GB2312" w:cs="仿宋_GB2312"/>
          <w:sz w:val="28"/>
          <w:szCs w:val="28"/>
        </w:rPr>
        <w:t>中标人按照项目采购需求及合同相关内容完成全部服务，并通过采购人每个服务周期（1个月为一个服务周期）的考核。</w:t>
      </w:r>
    </w:p>
    <w:p>
      <w:pPr>
        <w:pStyle w:val="93"/>
        <w:spacing w:before="0" w:after="0" w:line="360" w:lineRule="auto"/>
        <w:ind w:firstLine="480"/>
        <w:rPr>
          <w:rFonts w:ascii="Times New Roman" w:hAnsi="Times New Roman" w:eastAsia="Times New Roman" w:cs="Times New Roman"/>
        </w:rPr>
      </w:pPr>
      <w:r>
        <w:rPr>
          <w:rFonts w:ascii="仿宋_GB2312" w:hAnsi="仿宋_GB2312" w:eastAsia="仿宋_GB2312" w:cs="仿宋_GB2312"/>
          <w:b/>
          <w:bCs/>
          <w:sz w:val="28"/>
          <w:szCs w:val="28"/>
        </w:rPr>
        <w:t>（二）验收方式及标准</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每期结算前，采购人依据本项目管理要求和中标人投标文件承诺，对中标人提供的服务质量进行考核打分。考核方式为百分制打分，采取定期不定期相结合，确保评价客观准确。具体打分见考核表（表4）， 总分100分。中标人违反物业合同约定服务标准的，除表4内容规定以外每一项不达标扣1分，中标人得分在 90(含)-100分之间的，要严格服务标准，提高服务质量；中标人得分在80(含)-90(不含)分之间的，要逐项向采购人提交整改措施，同时对不达标服务项目进行整改，采购人按当期合同约定费用的95%支付费用；中标人得分在80(不含)以下的，视为不合格，采购人按当期合同约定费用的90%支付费用，一年内中标人有2次考核不合格的，采购人有权不支付中标人当期任何费用并解除合同。同时，采购人有权要求中标人支付当期费用的5%作为违约金，违约金不足以弥补采购人损失的，中标人应当予以补足。因中标人工作人员的工作不认真造成的采购人物品、器具、设备、设施等的损坏由中标人按原价进行赔偿。</w:t>
      </w:r>
    </w:p>
    <w:p>
      <w:pPr>
        <w:pStyle w:val="93"/>
        <w:spacing w:before="0" w:after="0" w:line="360" w:lineRule="auto"/>
        <w:ind w:firstLine="480"/>
        <w:rPr>
          <w:rFonts w:ascii="Times New Roman" w:hAnsi="Times New Roman" w:eastAsia="Times New Roman" w:cs="Times New Roman"/>
        </w:rPr>
      </w:pPr>
      <w:r>
        <w:rPr>
          <w:rFonts w:ascii="仿宋_GB2312" w:hAnsi="仿宋_GB2312" w:eastAsia="仿宋_GB2312" w:cs="仿宋_GB2312"/>
          <w:b/>
          <w:bCs/>
          <w:sz w:val="28"/>
          <w:szCs w:val="28"/>
        </w:rPr>
        <w:t>（三）验收流程</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（1）中标人向采购人书面提出项目验收申请；</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2）中标人整理提交项目验收相关的管理和技术文档，由采购人进行初步审核，并根据采购人要求进行修正直至审核通过。中标人应提交的相关文档包括但不限于以下内容：每个服务周期的考核情况及整改情况、设施设备运行情况和风险隐患排查情况、各系统运行资料（运行记录、检测报告、外包合同等）。</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（3）采购人成立验收小组，召开项目验收评审会议，根据项目验收内容及相关要求，对中标人提交的项目过程文档进行验收评审；</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（4）验收评审通过后，由验收小组出具项目验收意见。</w:t>
      </w:r>
    </w:p>
    <w:p>
      <w:pPr>
        <w:pStyle w:val="93"/>
        <w:spacing w:before="0" w:after="0" w:line="360" w:lineRule="auto"/>
        <w:ind w:firstLine="560"/>
        <w:rPr>
          <w:rFonts w:ascii="Times New Roman" w:hAnsi="Times New Roman" w:eastAsia="Times New Roman" w:cs="Times New Roman"/>
        </w:rPr>
      </w:pPr>
      <w:r>
        <w:rPr>
          <w:rFonts w:ascii="仿宋_GB2312" w:hAnsi="仿宋_GB2312" w:eastAsia="仿宋_GB2312" w:cs="仿宋_GB2312"/>
          <w:sz w:val="28"/>
          <w:szCs w:val="28"/>
        </w:rPr>
        <w:t>（5）项目验收结束后，中标人配合采购人按照档案管理要求进行资料归档。采购人以项目采购需求及合同相关内容为验收标准组织验收，中标人配合。</w:t>
      </w:r>
    </w:p>
    <w:p>
      <w:pPr>
        <w:pStyle w:val="90"/>
        <w:keepNext w:val="0"/>
        <w:spacing w:before="0" w:after="0" w:line="360" w:lineRule="auto"/>
        <w:jc w:val="center"/>
        <w:rPr>
          <w:rFonts w:ascii="仿宋_GB2312" w:hAnsi="仿宋_GB2312" w:eastAsia="仿宋_GB2312" w:cs="仿宋_GB2312"/>
          <w:b/>
          <w:bCs/>
          <w:sz w:val="32"/>
          <w:szCs w:val="32"/>
        </w:rPr>
      </w:pPr>
      <w:bookmarkStart w:id="33" w:name="_Toc256000029"/>
      <w:r>
        <w:rPr>
          <w:rFonts w:ascii="仿宋_GB2312" w:hAnsi="仿宋_GB2312" w:eastAsia="仿宋_GB2312" w:cs="仿宋_GB2312"/>
          <w:kern w:val="36"/>
        </w:rPr>
        <w:t>8其他要求</w:t>
      </w:r>
      <w:bookmarkEnd w:id="33"/>
    </w:p>
    <w:p>
      <w:pPr>
        <w:pStyle w:val="91"/>
        <w:keepNext w:val="0"/>
        <w:spacing w:before="0" w:after="0" w:line="360" w:lineRule="auto"/>
        <w:rPr>
          <w:rFonts w:ascii="仿宋_GB2312" w:hAnsi="仿宋_GB2312" w:eastAsia="仿宋_GB2312" w:cs="仿宋_GB2312"/>
          <w:b/>
          <w:bCs/>
          <w:sz w:val="28"/>
          <w:szCs w:val="28"/>
        </w:rPr>
      </w:pPr>
      <w:bookmarkStart w:id="34" w:name="_Toc256000030"/>
      <w:r>
        <w:rPr>
          <w:rFonts w:ascii="仿宋_GB2312" w:hAnsi="仿宋_GB2312" w:eastAsia="仿宋_GB2312" w:cs="仿宋_GB2312"/>
          <w:i w:val="0"/>
          <w:iCs w:val="0"/>
        </w:rPr>
        <w:t>8.1必备要求</w:t>
      </w:r>
      <w:bookmarkEnd w:id="34"/>
    </w:p>
    <w:p>
      <w:pPr>
        <w:pStyle w:val="92"/>
        <w:keepNext w:val="0"/>
        <w:spacing w:before="0" w:after="0" w:line="360" w:lineRule="auto"/>
        <w:rPr>
          <w:rFonts w:ascii="仿宋_GB2312" w:hAnsi="仿宋_GB2312" w:eastAsia="仿宋_GB2312" w:cs="仿宋_GB2312"/>
          <w:b/>
          <w:bCs/>
          <w:sz w:val="28"/>
          <w:szCs w:val="28"/>
        </w:rPr>
      </w:pPr>
      <w:bookmarkStart w:id="35" w:name="_Toc256000031"/>
      <w:r>
        <w:rPr>
          <w:rFonts w:ascii="仿宋_GB2312" w:hAnsi="仿宋_GB2312" w:eastAsia="仿宋_GB2312" w:cs="仿宋_GB2312"/>
          <w:sz w:val="28"/>
          <w:szCs w:val="28"/>
        </w:rPr>
        <w:t>8.1.1通用必备要求</w:t>
      </w:r>
      <w:bookmarkEnd w:id="35"/>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pStyle w:val="18"/>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91"/>
        <w:keepNext w:val="0"/>
        <w:spacing w:before="0" w:after="0" w:line="360" w:lineRule="auto"/>
        <w:rPr>
          <w:rFonts w:ascii="仿宋_GB2312" w:hAnsi="仿宋_GB2312" w:eastAsia="仿宋_GB2312" w:cs="仿宋_GB2312"/>
          <w:b/>
          <w:bCs/>
          <w:sz w:val="28"/>
          <w:szCs w:val="28"/>
        </w:rPr>
      </w:pPr>
      <w:bookmarkStart w:id="36" w:name="_Toc256000032"/>
      <w:r>
        <w:rPr>
          <w:rFonts w:ascii="仿宋_GB2312" w:hAnsi="仿宋_GB2312" w:eastAsia="仿宋_GB2312" w:cs="仿宋_GB2312"/>
          <w:i w:val="0"/>
          <w:iCs w:val="0"/>
        </w:rPr>
        <w:t>8.2付款安排建议</w:t>
      </w:r>
      <w:bookmarkEnd w:id="36"/>
    </w:p>
    <w:tbl>
      <w:tblPr>
        <w:tblStyle w:val="32"/>
        <w:tblW w:w="5000" w:type="pct"/>
        <w:tblInd w:w="30" w:type="dxa"/>
        <w:tblLayout w:type="autofit"/>
        <w:tblCellMar>
          <w:top w:w="15" w:type="dxa"/>
          <w:left w:w="15" w:type="dxa"/>
          <w:bottom w:w="15" w:type="dxa"/>
          <w:right w:w="15" w:type="dxa"/>
        </w:tblCellMar>
      </w:tblPr>
      <w:tblGrid>
        <w:gridCol w:w="1814"/>
        <w:gridCol w:w="5442"/>
        <w:gridCol w:w="1814"/>
      </w:tblGrid>
      <w:tr>
        <w:tblPrEx>
          <w:tblCellMar>
            <w:top w:w="15" w:type="dxa"/>
            <w:left w:w="15" w:type="dxa"/>
            <w:bottom w:w="15" w:type="dxa"/>
            <w:right w:w="15" w:type="dxa"/>
          </w:tblCellMar>
        </w:tblPrEx>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付款名称</w:t>
            </w:r>
          </w:p>
        </w:tc>
        <w:tc>
          <w:tcPr>
            <w:tcW w:w="3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付款要求</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18"/>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付款比例(%)</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自项目实施开始之日起次月，采购人根据考核验收结果，按月支付物业服务费用。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第2次付款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自项目实施开始之日起第3个月，根据考核验收结果，支付第2个月的物业服务费用。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第3次付款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自项目实施开始之日起第4个月，根据考核验收结果，支付第3个月的物业服务费用。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第4次付款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自项目实施开始之日起第5个月，根据考核验收结果，支付第4个月的物业服务费用。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第5次付款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自项目实施开始之日起第6个月，根据考核验收结果，支付第5个月的物业服务费用。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第6次付款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自项目实施开始之日起第7个月，根据考核验收结果，支付第6个月的物业服务费用。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第7次付款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自项目实施开始之日起第8个月，根据考核验收结果，支付第7个月的物业服务费用。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第8次付款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自项目实施开始之日起第9个月，根据考核验收结果，支付第8个月的物业服务费用。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第9次付款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自项目实施开始之日起第10个月，根据考核验收结果，支付第9个月的物业服务费用。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第10次付款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自项目实施开始之日起第11个月，根据考核验收结果，支付第10个月的物业服务费用。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第11次付款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自项目实施开始之日起第12个月，根据考核验收结果，支付第11个月的物业服务费用。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8.33</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第12次付款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自项目实施开始之日起第13个月，根据考核验收结果，支付第12个月的物业服务费用。</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18"/>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8.37</w:t>
            </w:r>
          </w:p>
        </w:tc>
      </w:tr>
    </w:tbl>
    <w:p>
      <w:pPr>
        <w:pStyle w:val="91"/>
        <w:keepNext w:val="0"/>
        <w:spacing w:before="0" w:after="0" w:line="360" w:lineRule="auto"/>
        <w:rPr>
          <w:rFonts w:ascii="仿宋_GB2312" w:hAnsi="仿宋_GB2312" w:eastAsia="仿宋_GB2312" w:cs="仿宋_GB2312"/>
          <w:b/>
          <w:bCs/>
          <w:sz w:val="28"/>
          <w:szCs w:val="28"/>
        </w:rPr>
      </w:pPr>
      <w:bookmarkStart w:id="37" w:name="_Toc256000033"/>
      <w:r>
        <w:rPr>
          <w:rFonts w:ascii="仿宋_GB2312" w:hAnsi="仿宋_GB2312" w:eastAsia="仿宋_GB2312" w:cs="仿宋_GB2312"/>
          <w:i w:val="0"/>
          <w:iCs w:val="0"/>
        </w:rPr>
        <w:t>8.3其他要求</w:t>
      </w:r>
      <w:bookmarkEnd w:id="37"/>
    </w:p>
    <w:p>
      <w:pPr>
        <w:pStyle w:val="92"/>
        <w:keepNext w:val="0"/>
        <w:spacing w:before="0" w:after="0" w:line="360" w:lineRule="auto"/>
        <w:rPr>
          <w:rFonts w:ascii="仿宋_GB2312" w:hAnsi="仿宋_GB2312" w:eastAsia="仿宋_GB2312" w:cs="仿宋_GB2312"/>
          <w:b/>
          <w:bCs/>
          <w:sz w:val="28"/>
          <w:szCs w:val="28"/>
        </w:rPr>
      </w:pPr>
      <w:bookmarkStart w:id="38" w:name="_Toc256000034"/>
      <w:r>
        <w:rPr>
          <w:rFonts w:ascii="仿宋_GB2312" w:hAnsi="仿宋_GB2312" w:eastAsia="仿宋_GB2312" w:cs="仿宋_GB2312"/>
          <w:sz w:val="28"/>
          <w:szCs w:val="28"/>
        </w:rPr>
        <w:t>8.3.1保密要求</w:t>
      </w:r>
      <w:bookmarkEnd w:id="38"/>
    </w:p>
    <w:p>
      <w:pPr>
        <w:pStyle w:val="95"/>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 xml:space="preserve">    </w:t>
      </w:r>
      <w:r>
        <w:rPr>
          <w:rFonts w:ascii="FangSong_GB2312" w:hAnsi="FangSong_GB2312" w:eastAsia="FangSong_GB2312" w:cs="FangSong_GB2312"/>
          <w:sz w:val="28"/>
          <w:szCs w:val="28"/>
        </w:rPr>
        <w:t>物业服务企业员工上岗前应通过内容包括国家保密法律法规、保密制度、服务过程中的保密知识技能及相关要求、典型案例等的保密培训，签订《保密承诺书》；重点岗位员工须上报采购人进行审核后方可入职，进入重要办公区域的服务人员禁止摄影、摄像、录音；每季度至少开展 1 次对服务人员进行保密、思想政治教育的培训，提高服务人员保密意识和思想政治意识。新入职员工应当接受保密、思想政治教育培训，进行必要的人员经历审查，合格后签订保密协议方可上岗。</w:t>
      </w:r>
    </w:p>
    <w:p>
      <w:pPr>
        <w:pStyle w:val="92"/>
        <w:keepNext w:val="0"/>
        <w:spacing w:before="0" w:after="0" w:line="360" w:lineRule="auto"/>
        <w:rPr>
          <w:rFonts w:ascii="仿宋_GB2312" w:hAnsi="仿宋_GB2312" w:eastAsia="仿宋_GB2312" w:cs="仿宋_GB2312"/>
          <w:b/>
          <w:bCs/>
          <w:sz w:val="28"/>
          <w:szCs w:val="28"/>
        </w:rPr>
      </w:pPr>
      <w:bookmarkStart w:id="39" w:name="_Toc256000035"/>
      <w:r>
        <w:rPr>
          <w:rFonts w:ascii="仿宋_GB2312" w:hAnsi="仿宋_GB2312" w:eastAsia="仿宋_GB2312" w:cs="仿宋_GB2312"/>
          <w:sz w:val="28"/>
          <w:szCs w:val="28"/>
        </w:rPr>
        <w:t>8.3.2其他要求内容</w:t>
      </w:r>
      <w:bookmarkEnd w:id="39"/>
    </w:p>
    <w:p>
      <w:pPr>
        <w:pStyle w:val="100"/>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（一）中标人严格按照合同的要求向采购人提供物业管理服务，并达到质量标准。</w:t>
      </w:r>
    </w:p>
    <w:p>
      <w:pPr>
        <w:pStyle w:val="100"/>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（二）中标人严格遵守采购人的各项规章制度和管理规定，并确保采购人的正常工作环境、办公秩序及安全。</w:t>
      </w:r>
    </w:p>
    <w:p>
      <w:pPr>
        <w:pStyle w:val="100"/>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（三）中标人负责协调本项目服务人员提供节假日加班服务，不得向采购人另行收费；本项目服务人员可在采购人单位的食堂就餐，餐费由中标人自理。</w:t>
      </w:r>
    </w:p>
    <w:p>
      <w:pPr>
        <w:pStyle w:val="100"/>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（四）采购人有权要求中标人配齐符合规定的工作人员，中标人必须按要求配备物业队伍，物业工作人员需身体健康，经采购人审核同意后，方能上岗。</w:t>
      </w:r>
    </w:p>
    <w:p>
      <w:pPr>
        <w:pStyle w:val="100"/>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五）建立安全责任制，中标人在工作中应注意防火、防盗，注意工作安全，中标人员工在工作区域内因操作不当造成设备设施、配件损坏及人员受伤、死亡的，由中标人承担全部责任。并对给采购人造成的损失按实际发生金额进行赔偿。凡是中标人管理不善、操作不当等原因导致人身伤亡事故，由中标人负责。</w:t>
      </w:r>
    </w:p>
    <w:p>
      <w:pPr>
        <w:pStyle w:val="100"/>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（六）采购人提供中标人使用的全部资产属采购人所有，中标人不得出租、出售或转让。</w:t>
      </w:r>
    </w:p>
    <w:p>
      <w:pPr>
        <w:pStyle w:val="100"/>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（七）中标人应遵守采购人规定，并服从采购人工作人员的管理，采购人有权要求中标人重做未达到标准的工作。</w:t>
      </w:r>
    </w:p>
    <w:p>
      <w:pPr>
        <w:pStyle w:val="100"/>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（八）采购人为中标人提供生活用水、用电、办公场所以及应当由采购人提供的工程设备的维修所用材料等条件。</w:t>
      </w:r>
    </w:p>
    <w:p>
      <w:pPr>
        <w:pStyle w:val="100"/>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（九）中标人应定期组织员工进行培训，提高其专业技能，牢固树立为采购人服务的思想意识。</w:t>
      </w:r>
    </w:p>
    <w:p>
      <w:pPr>
        <w:pStyle w:val="100"/>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（十）中标人所有员工不得使用电饭锅电磁炉等与工作无关的电器设备，不得在楼内存放易燃易爆物品，对违反规定的，由采购人按考核规定扣减相应费用。</w:t>
      </w:r>
    </w:p>
    <w:p>
      <w:pPr>
        <w:pStyle w:val="100"/>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（十一）中标人因故无法正常工作时，应报采购人同意。</w:t>
      </w:r>
    </w:p>
    <w:p>
      <w:pPr>
        <w:pStyle w:val="100"/>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（十二）中标人应节约使用采购人提供的资源，保证不造成资源浪费。</w:t>
      </w:r>
    </w:p>
    <w:p>
      <w:pPr>
        <w:pStyle w:val="100"/>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（十三）中标人应及时向采购人汇报工作，征求意见，协助采购人更好的开展工作。</w:t>
      </w:r>
    </w:p>
    <w:p>
      <w:pPr>
        <w:pStyle w:val="100"/>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十四）在合同履约期内，中标人应对任何时候、任何情况下发生的用工人员意外伤害事故或用工人员致他人意外伤害等事故涉及的责任和赔偿承担全部责任，不得就此向采购人主张任何权利。凡提供服务人员出现任何事故和伤害，全部由中标人负责（包括人身伤害事故）。</w:t>
      </w:r>
    </w:p>
    <w:p>
      <w:pPr>
        <w:pStyle w:val="100"/>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十五）中标人为本项目所配备的人员不得随意辞退、调离、转岗，且中标人所有人员进场服务前，需向采购人提供所有入场人员清单由采购人进行确认，经采购人确认无误后，方可进场。如有特殊情况必须调整，须提交书面申请并征得采购人同意后方可调整。</w:t>
      </w:r>
    </w:p>
    <w:p>
      <w:pPr>
        <w:pStyle w:val="100"/>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（十六）采购人对中标人不尽职责的员工，有辞退的建议权。因中标人工作失误给采购人造成经济损失或重大不利影响的，采购人有权终止合同，并要求中标人给予经济赔偿并消除影响。</w:t>
      </w:r>
    </w:p>
    <w:p>
      <w:pPr>
        <w:pStyle w:val="100"/>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（十七）中标人编制物业管理服务年度计划，本着高效、精干的原则设置人员，服从采购人的整体管理。</w:t>
      </w:r>
    </w:p>
    <w:p>
      <w:pPr>
        <w:pStyle w:val="100"/>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（十八）物业工作人员工资、各项保险及伤亡，严格执行《劳动法》、《民法典》相关规定。中标人应为物业工作人员购买相关保险。如发生意外情况由中标人自行承担。</w:t>
      </w:r>
    </w:p>
    <w:p>
      <w:pPr>
        <w:pStyle w:val="100"/>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（十九）中标人不得拖欠物业服务人员工资，如因拖欠工资而导致的服务质量下降甚至出现重大延误，采购人有权对中标人进行处罚直至终止合同履行。</w:t>
      </w:r>
    </w:p>
    <w:p>
      <w:pPr>
        <w:pStyle w:val="100"/>
        <w:spacing w:before="0" w:after="0" w:line="360" w:lineRule="auto"/>
        <w:ind w:firstLine="561"/>
        <w:rPr>
          <w:rFonts w:ascii="Times New Roman" w:hAnsi="Times New Roman" w:eastAsia="Times New Roman" w:cs="Times New Roman"/>
        </w:rPr>
      </w:pPr>
      <w:r>
        <w:rPr>
          <w:rFonts w:ascii="仿宋_GB2312" w:hAnsi="仿宋_GB2312" w:eastAsia="仿宋_GB2312" w:cs="仿宋_GB2312"/>
          <w:sz w:val="28"/>
          <w:szCs w:val="28"/>
        </w:rPr>
        <w:t>（二十）保洁、保安所需清洁消耗品、工具、用具、设备、维修所需要的零配件由采购人提供。物业工作人员服装由中标人提供且须先征得采购人认可。</w:t>
      </w:r>
    </w:p>
    <w:p>
      <w:pPr>
        <w:pStyle w:val="18"/>
        <w:spacing w:before="0" w:after="0" w:line="360" w:lineRule="auto"/>
        <w:jc w:val="left"/>
      </w:pPr>
    </w:p>
    <w:sectPr>
      <w:footerReference r:id="rId3" w:type="default"/>
      <w:pgSz w:w="11906" w:h="16838"/>
      <w:pgMar w:top="1440" w:right="1440" w:bottom="1440" w:left="144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3"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CC"/>
    <w:family w:val="swiss"/>
    <w:pitch w:val="default"/>
    <w:sig w:usb0="E0002AFF" w:usb1="C0007843" w:usb2="00000009" w:usb3="00000000" w:csb0="400001FF" w:csb1="FFFF0000"/>
  </w:font>
  <w:font w:name="Verdana">
    <w:panose1 w:val="020B0604030504040204"/>
    <w:charset w:val="00"/>
    <w:family w:val="swiss"/>
    <w:pitch w:val="default"/>
    <w:sig w:usb0="A10006FF" w:usb1="4000205B" w:usb2="00000010" w:usb3="00000000" w:csb0="2000019F" w:csb1="00000000"/>
  </w:font>
  <w:font w:name="FangSong_GB2312">
    <w:altName w:val="仿宋"/>
    <w:panose1 w:val="020B0604020202020204"/>
    <w:charset w:val="00"/>
    <w:family w:val="auto"/>
    <w:pitch w:val="default"/>
    <w:sig w:usb0="00000000" w:usb1="00000000" w:usb2="00000000" w:usb3="00000000" w:csb0="00040000"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Courier New">
    <w:panose1 w:val="02070309020205020404"/>
    <w:charset w:val="00"/>
    <w:family w:val="modern"/>
    <w:pitch w:val="default"/>
    <w:sig w:usb0="E0002AFF" w:usb1="C0007843" w:usb2="00000009" w:usb3="00000000" w:csb0="400001FF" w:csb1="FFFF0000"/>
  </w:font>
  <w:font w:name="仿宋_GB2312">
    <w:altName w:val="仿宋"/>
    <w:panose1 w:val="00000000000000000000"/>
    <w:charset w:val="00"/>
    <w:family w:val="auto"/>
    <w:pitch w:val="default"/>
    <w:sig w:usb0="00000000" w:usb1="00000000" w:usb2="00000000" w:usb3="00000000" w:csb0="00000000" w:csb1="00000000"/>
  </w:font>
  <w:font w:name="长城仿宋">
    <w:altName w:val="微软雅黑"/>
    <w:panose1 w:val="020B0604020202020204"/>
    <w:charset w:val="00"/>
    <w:family w:val="modern"/>
    <w:pitch w:val="default"/>
    <w:sig w:usb0="00000000" w:usb1="00000000" w:usb2="00000010" w:usb3="00000000" w:csb0="00040000" w:csb1="00000000"/>
  </w:font>
  <w:font w:name="Calibri Light">
    <w:panose1 w:val="020F0302020204030204"/>
    <w:charset w:val="00"/>
    <w:family w:val="swiss"/>
    <w:pitch w:val="default"/>
    <w:sig w:usb0="A00002EF" w:usb1="4000207B" w:usb2="00000000" w:usb3="00000000" w:csb0="2000019F" w:csb1="00000000"/>
  </w:font>
  <w:font w:name="Tahoma">
    <w:panose1 w:val="020B0604030504040204"/>
    <w:charset w:val="00"/>
    <w:family w:val="swiss"/>
    <w:pitch w:val="default"/>
    <w:sig w:usb0="E1002EFF" w:usb1="C000605B" w:usb2="00000029" w:usb3="00000000" w:csb0="200101FF" w:csb1="20280000"/>
  </w:font>
  <w:font w:name="方正仿宋简体">
    <w:altName w:val="Arial Unicode MS"/>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spacing w:before="0" w:after="0" w:line="360" w:lineRule="auto"/>
      <w:jc w:val="center"/>
    </w:pPr>
    <w:r>
      <w:fldChar w:fldCharType="begin"/>
    </w:r>
    <w:r>
      <w:instrText xml:space="preserve"> PAGE </w:instrText>
    </w:r>
    <w:r>
      <w:fldChar w:fldCharType="separate"/>
    </w:r>
    <w:r>
      <w:t>39</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9FB07A5"/>
    <w:multiLevelType w:val="singleLevel"/>
    <w:tmpl w:val="F9FB07A5"/>
    <w:lvl w:ilvl="0" w:tentative="0">
      <w:start w:val="1"/>
      <w:numFmt w:val="decimal"/>
      <w:pStyle w:val="12"/>
      <w:lvlText w:val="%1."/>
      <w:lvlJc w:val="left"/>
      <w:pPr>
        <w:tabs>
          <w:tab w:val="left" w:pos="780"/>
        </w:tabs>
        <w:ind w:left="780" w:hanging="360"/>
      </w:pPr>
    </w:lvl>
  </w:abstractNum>
  <w:abstractNum w:abstractNumId="1">
    <w:nsid w:val="00000002"/>
    <w:multiLevelType w:val="multilevel"/>
    <w:tmpl w:val="00000002"/>
    <w:lvl w:ilvl="0" w:tentative="0">
      <w:start w:val="1"/>
      <w:numFmt w:val="decimal"/>
      <w:pStyle w:val="84"/>
      <w:lvlText w:val="%1."/>
      <w:lvlJc w:val="left"/>
      <w:pPr>
        <w:tabs>
          <w:tab w:val="left" w:pos="900"/>
        </w:tabs>
        <w:ind w:left="900" w:hanging="420"/>
      </w:pPr>
      <w:rPr>
        <w:b w:val="0"/>
        <w:i w:val="0"/>
        <w:sz w:val="24"/>
        <w:szCs w:val="24"/>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2">
    <w:nsid w:val="00000003"/>
    <w:multiLevelType w:val="multilevel"/>
    <w:tmpl w:val="00000003"/>
    <w:lvl w:ilvl="0" w:tentative="0">
      <w:start w:val="1"/>
      <w:numFmt w:val="decimal"/>
      <w:pStyle w:val="64"/>
      <w:lvlText w:val="(%1)"/>
      <w:lvlJc w:val="left"/>
      <w:pPr>
        <w:tabs>
          <w:tab w:val="left" w:pos="420"/>
        </w:tabs>
        <w:ind w:left="420" w:hanging="42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3">
    <w:nsid w:val="00000004"/>
    <w:multiLevelType w:val="multilevel"/>
    <w:tmpl w:val="00000004"/>
    <w:lvl w:ilvl="0" w:tentative="0">
      <w:start w:val="1"/>
      <w:numFmt w:val="decimal"/>
      <w:lvlText w:val="第%1章 "/>
      <w:lvlJc w:val="left"/>
      <w:pPr>
        <w:tabs>
          <w:tab w:val="left" w:pos="2400"/>
        </w:tabs>
        <w:ind w:left="1392" w:hanging="432"/>
      </w:pPr>
      <w:rPr>
        <w:rFonts w:hint="eastAsia" w:ascii="Times New Roman" w:hAnsi="Times New Roman" w:cs="Times New Roman"/>
        <w:i w:val="0"/>
        <w:iCs w:val="0"/>
        <w:caps w:val="0"/>
        <w:smallCaps w:val="0"/>
        <w:outline w:val="0"/>
        <w:shadow w:val="0"/>
        <w:spacing w:val="0"/>
        <w:kern w:val="0"/>
        <w:position w:val="0"/>
        <w:u w:val="none"/>
        <w:lang w:val="en-US"/>
      </w:rPr>
    </w:lvl>
    <w:lvl w:ilvl="1" w:tentative="0">
      <w:start w:val="1"/>
      <w:numFmt w:val="decimal"/>
      <w:pStyle w:val="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lvl>
    <w:lvl w:ilvl="3" w:tentative="0">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tentative="0">
      <w:start w:val="1"/>
      <w:numFmt w:val="decimal"/>
      <w:lvlText w:val="%1.%2.%3.%4.%5"/>
      <w:lvlJc w:val="left"/>
      <w:pPr>
        <w:tabs>
          <w:tab w:val="left" w:pos="1008"/>
        </w:tabs>
        <w:ind w:left="1008" w:hanging="1008"/>
      </w:pPr>
      <w:rPr>
        <w:lang w:eastAsia="zh-CN"/>
      </w:rPr>
    </w:lvl>
    <w:lvl w:ilvl="5" w:tentative="0">
      <w:start w:val="1"/>
      <w:numFmt w:val="decimal"/>
      <w:lvlText w:val="%1.%2.%3.%4.%5.%6"/>
      <w:lvlJc w:val="left"/>
      <w:pPr>
        <w:tabs>
          <w:tab w:val="left" w:pos="2145"/>
        </w:tabs>
        <w:ind w:left="2145" w:hanging="1152"/>
      </w:pPr>
      <w:rPr>
        <w:color w:val="auto"/>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4">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77"/>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documentProtection w:enforcement="0"/>
  <w:defaultTabStop w:val="420"/>
  <w:drawingGridVerticalSpacing w:val="156"/>
  <w:displayHorizontalDrawingGridEvery w:val="0"/>
  <w:displayVerticalDrawingGridEvery w:val="2"/>
  <w:doNotShadeFormData w:val="1"/>
  <w:characterSpacingControl w:val="compressPunctuation"/>
  <w:noLineBreaksAfter w:lang="zh-CN" w:val="([{·‘“〈《「『【〔〖（．［｛￡￥"/>
  <w:noLineBreaksBefore w:lang="zh-CN" w:val="!),.:;?]}¨·ˇˉ―‖’”…∶、。〃々〉》」』】〕〗！＂＇），．：；？］｀｜｝～￠"/>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D10DE7"/>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iPriority="99"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59" w:lineRule="auto"/>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39"/>
    <w:qFormat/>
    <w:uiPriority w:val="0"/>
    <w:pPr>
      <w:keepNext/>
      <w:keepLines/>
      <w:spacing w:before="340" w:after="330" w:line="576" w:lineRule="auto"/>
      <w:outlineLvl w:val="0"/>
    </w:pPr>
    <w:rPr>
      <w:b/>
      <w:bCs/>
      <w:kern w:val="44"/>
      <w:sz w:val="44"/>
      <w:szCs w:val="44"/>
    </w:rPr>
  </w:style>
  <w:style w:type="paragraph" w:styleId="4">
    <w:name w:val="heading 2"/>
    <w:basedOn w:val="3"/>
    <w:next w:val="5"/>
    <w:qFormat/>
    <w:uiPriority w:val="0"/>
    <w:pPr>
      <w:numPr>
        <w:ilvl w:val="1"/>
        <w:numId w:val="1"/>
      </w:numPr>
      <w:tabs>
        <w:tab w:val="left" w:pos="2400"/>
      </w:tabs>
      <w:spacing w:before="260" w:afterLines="50" w:line="416" w:lineRule="auto"/>
      <w:outlineLvl w:val="1"/>
    </w:pPr>
    <w:rPr>
      <w:rFonts w:ascii="Arial" w:hAnsi="Arial" w:eastAsia="黑体" w:cs="Calibri"/>
      <w:sz w:val="32"/>
      <w:szCs w:val="32"/>
    </w:rPr>
  </w:style>
  <w:style w:type="paragraph" w:styleId="5">
    <w:name w:val="heading 3"/>
    <w:basedOn w:val="1"/>
    <w:next w:val="1"/>
    <w:link w:val="40"/>
    <w:qFormat/>
    <w:uiPriority w:val="0"/>
    <w:pPr>
      <w:keepNext/>
      <w:keepLines/>
      <w:tabs>
        <w:tab w:val="left" w:pos="0"/>
      </w:tabs>
      <w:spacing w:before="260" w:after="260" w:line="415" w:lineRule="auto"/>
      <w:outlineLvl w:val="2"/>
    </w:pPr>
    <w:rPr>
      <w:b/>
      <w:sz w:val="32"/>
      <w:szCs w:val="32"/>
    </w:rPr>
  </w:style>
  <w:style w:type="paragraph" w:styleId="6">
    <w:name w:val="heading 4"/>
    <w:basedOn w:val="1"/>
    <w:next w:val="1"/>
    <w:link w:val="41"/>
    <w:qFormat/>
    <w:uiPriority w:val="0"/>
    <w:pPr>
      <w:keepNext/>
      <w:autoSpaceDE w:val="0"/>
      <w:autoSpaceDN w:val="0"/>
      <w:adjustRightInd w:val="0"/>
      <w:jc w:val="left"/>
      <w:outlineLvl w:val="3"/>
    </w:pPr>
    <w:rPr>
      <w:rFonts w:ascii="宋体" w:hAnsi="宋体"/>
      <w:color w:val="0000FF"/>
      <w:kern w:val="0"/>
      <w:sz w:val="28"/>
      <w:szCs w:val="20"/>
    </w:rPr>
  </w:style>
  <w:style w:type="paragraph" w:styleId="7">
    <w:name w:val="heading 5"/>
    <w:basedOn w:val="1"/>
    <w:next w:val="1"/>
    <w:link w:val="42"/>
    <w:qFormat/>
    <w:uiPriority w:val="0"/>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8">
    <w:name w:val="heading 6"/>
    <w:basedOn w:val="1"/>
    <w:next w:val="1"/>
    <w:link w:val="43"/>
    <w:qFormat/>
    <w:uiPriority w:val="0"/>
    <w:pPr>
      <w:keepNext/>
      <w:keepLines/>
      <w:tabs>
        <w:tab w:val="left" w:pos="1152"/>
      </w:tabs>
      <w:spacing w:before="240" w:after="64" w:line="319" w:lineRule="auto"/>
      <w:ind w:left="1152" w:hanging="1152"/>
      <w:outlineLvl w:val="5"/>
    </w:pPr>
    <w:rPr>
      <w:rFonts w:ascii="Arial" w:hAnsi="Arial" w:eastAsia="黑体"/>
      <w:b/>
      <w:bCs/>
      <w:sz w:val="24"/>
    </w:rPr>
  </w:style>
  <w:style w:type="paragraph" w:styleId="9">
    <w:name w:val="heading 7"/>
    <w:basedOn w:val="1"/>
    <w:next w:val="1"/>
    <w:link w:val="44"/>
    <w:qFormat/>
    <w:uiPriority w:val="0"/>
    <w:pPr>
      <w:keepNext/>
      <w:keepLines/>
      <w:tabs>
        <w:tab w:val="left" w:pos="1296"/>
      </w:tabs>
      <w:spacing w:before="240" w:after="64" w:line="319" w:lineRule="auto"/>
      <w:ind w:left="1296" w:hanging="1296"/>
      <w:outlineLvl w:val="6"/>
    </w:pPr>
    <w:rPr>
      <w:b/>
      <w:bCs/>
      <w:sz w:val="24"/>
    </w:rPr>
  </w:style>
  <w:style w:type="paragraph" w:styleId="10">
    <w:name w:val="heading 8"/>
    <w:basedOn w:val="1"/>
    <w:next w:val="1"/>
    <w:link w:val="45"/>
    <w:qFormat/>
    <w:uiPriority w:val="0"/>
    <w:pPr>
      <w:keepNext/>
      <w:keepLines/>
      <w:tabs>
        <w:tab w:val="left" w:pos="1440"/>
      </w:tabs>
      <w:spacing w:before="240" w:after="64" w:line="319" w:lineRule="auto"/>
      <w:ind w:left="1440" w:hanging="1440"/>
      <w:outlineLvl w:val="7"/>
    </w:pPr>
    <w:rPr>
      <w:rFonts w:ascii="Arial" w:hAnsi="Arial" w:eastAsia="黑体"/>
      <w:sz w:val="24"/>
    </w:rPr>
  </w:style>
  <w:style w:type="paragraph" w:styleId="11">
    <w:name w:val="heading 9"/>
    <w:basedOn w:val="1"/>
    <w:next w:val="1"/>
    <w:link w:val="46"/>
    <w:qFormat/>
    <w:uiPriority w:val="0"/>
    <w:pPr>
      <w:keepNext/>
      <w:keepLines/>
      <w:tabs>
        <w:tab w:val="left" w:pos="1584"/>
      </w:tabs>
      <w:spacing w:before="240" w:after="64" w:line="319" w:lineRule="auto"/>
      <w:ind w:left="1584" w:hanging="1584"/>
      <w:outlineLvl w:val="8"/>
    </w:pPr>
    <w:rPr>
      <w:rFonts w:ascii="Arial" w:hAnsi="Arial" w:eastAsia="黑体"/>
      <w:szCs w:val="21"/>
    </w:rPr>
  </w:style>
  <w:style w:type="character" w:default="1" w:styleId="33">
    <w:name w:val="Default Paragraph Font"/>
    <w:semiHidden/>
    <w:unhideWhenUsed/>
    <w:uiPriority w:val="1"/>
  </w:style>
  <w:style w:type="table" w:default="1" w:styleId="32">
    <w:name w:val="Normal Table"/>
    <w:semiHidden/>
    <w:unhideWhenUsed/>
    <w:uiPriority w:val="99"/>
    <w:tblPr>
      <w:tblCellMar>
        <w:top w:w="0" w:type="dxa"/>
        <w:left w:w="108" w:type="dxa"/>
        <w:bottom w:w="0" w:type="dxa"/>
        <w:right w:w="108" w:type="dxa"/>
      </w:tblCellMar>
    </w:tblPr>
  </w:style>
  <w:style w:type="paragraph" w:styleId="2">
    <w:name w:val="Body Text"/>
    <w:basedOn w:val="1"/>
    <w:link w:val="38"/>
    <w:qFormat/>
    <w:uiPriority w:val="0"/>
    <w:pPr>
      <w:spacing w:after="120"/>
    </w:pPr>
  </w:style>
  <w:style w:type="paragraph" w:styleId="12">
    <w:name w:val="List Number 2"/>
    <w:basedOn w:val="1"/>
    <w:qFormat/>
    <w:uiPriority w:val="0"/>
    <w:pPr>
      <w:numPr>
        <w:ilvl w:val="0"/>
        <w:numId w:val="2"/>
      </w:numPr>
    </w:pPr>
  </w:style>
  <w:style w:type="paragraph" w:styleId="13">
    <w:name w:val="Document Map"/>
    <w:basedOn w:val="1"/>
    <w:link w:val="47"/>
    <w:qFormat/>
    <w:uiPriority w:val="0"/>
    <w:pPr>
      <w:shd w:val="clear" w:color="auto" w:fill="000080"/>
    </w:pPr>
    <w:rPr>
      <w:kern w:val="0"/>
      <w:sz w:val="20"/>
      <w:shd w:val="clear" w:color="auto" w:fill="000080"/>
    </w:rPr>
  </w:style>
  <w:style w:type="paragraph" w:styleId="14">
    <w:name w:val="annotation text"/>
    <w:basedOn w:val="1"/>
    <w:qFormat/>
    <w:uiPriority w:val="0"/>
    <w:pPr>
      <w:jc w:val="left"/>
    </w:pPr>
  </w:style>
  <w:style w:type="paragraph" w:styleId="15">
    <w:name w:val="Body Text 3"/>
    <w:basedOn w:val="1"/>
    <w:unhideWhenUsed/>
    <w:qFormat/>
    <w:uiPriority w:val="99"/>
    <w:pPr>
      <w:widowControl/>
      <w:kinsoku w:val="0"/>
      <w:autoSpaceDE w:val="0"/>
      <w:autoSpaceDN w:val="0"/>
      <w:adjustRightInd w:val="0"/>
      <w:snapToGrid w:val="0"/>
      <w:spacing w:after="120"/>
      <w:jc w:val="left"/>
      <w:textAlignment w:val="baseline"/>
    </w:pPr>
    <w:rPr>
      <w:rFonts w:ascii="Cambria" w:hAnsi="Cambria" w:eastAsia="微软雅黑" w:cs="Arial"/>
      <w:snapToGrid w:val="0"/>
      <w:color w:val="595959"/>
      <w:kern w:val="20"/>
      <w:sz w:val="16"/>
      <w:szCs w:val="20"/>
      <w:lang w:val="zh-CN" w:eastAsia="en-US"/>
    </w:rPr>
  </w:style>
  <w:style w:type="paragraph" w:styleId="16">
    <w:name w:val="Body Text Indent"/>
    <w:basedOn w:val="1"/>
    <w:link w:val="48"/>
    <w:qFormat/>
    <w:uiPriority w:val="0"/>
    <w:pPr>
      <w:ind w:firstLine="360"/>
    </w:pPr>
    <w:rPr>
      <w:kern w:val="0"/>
      <w:sz w:val="20"/>
      <w:szCs w:val="20"/>
    </w:rPr>
  </w:style>
  <w:style w:type="paragraph" w:styleId="17">
    <w:name w:val="toc 3"/>
    <w:basedOn w:val="1"/>
    <w:next w:val="18"/>
    <w:uiPriority w:val="0"/>
    <w:pPr>
      <w:widowControl/>
      <w:spacing w:after="0" w:line="240" w:lineRule="auto"/>
      <w:ind w:left="480"/>
      <w:jc w:val="left"/>
    </w:pPr>
    <w:rPr>
      <w:rFonts w:ascii="仿宋_GB2312" w:hAnsi="仿宋_GB2312" w:eastAsia="仿宋_GB2312" w:cs="仿宋_GB2312"/>
      <w:color w:val="000000"/>
      <w:kern w:val="0"/>
      <w:sz w:val="24"/>
      <w:lang w:eastAsia="en-US"/>
    </w:rPr>
  </w:style>
  <w:style w:type="paragraph" w:customStyle="1" w:styleId="18">
    <w:name w:val="Normal_0"/>
    <w:qFormat/>
    <w:uiPriority w:val="0"/>
    <w:rPr>
      <w:rFonts w:ascii="Times New Roman" w:hAnsi="Times New Roman" w:eastAsia="Times New Roman" w:cs="Times New Roman"/>
      <w:sz w:val="24"/>
      <w:szCs w:val="24"/>
      <w:lang w:val="en-US" w:eastAsia="en-US" w:bidi="ar-SA"/>
    </w:rPr>
  </w:style>
  <w:style w:type="paragraph" w:styleId="19">
    <w:name w:val="Plain Text"/>
    <w:basedOn w:val="1"/>
    <w:link w:val="49"/>
    <w:qFormat/>
    <w:uiPriority w:val="0"/>
    <w:pPr>
      <w:spacing w:after="0"/>
    </w:pPr>
    <w:rPr>
      <w:rFonts w:ascii="宋体" w:hAnsi="Courier New"/>
      <w:kern w:val="0"/>
      <w:sz w:val="20"/>
      <w:szCs w:val="21"/>
    </w:rPr>
  </w:style>
  <w:style w:type="paragraph" w:styleId="20">
    <w:name w:val="Date"/>
    <w:basedOn w:val="1"/>
    <w:next w:val="1"/>
    <w:link w:val="50"/>
    <w:qFormat/>
    <w:uiPriority w:val="0"/>
    <w:pPr>
      <w:ind w:left="100" w:leftChars="2500"/>
    </w:pPr>
    <w:rPr>
      <w:kern w:val="0"/>
      <w:sz w:val="20"/>
    </w:rPr>
  </w:style>
  <w:style w:type="paragraph" w:styleId="21">
    <w:name w:val="Body Text Indent 2"/>
    <w:basedOn w:val="1"/>
    <w:link w:val="51"/>
    <w:qFormat/>
    <w:uiPriority w:val="0"/>
    <w:pPr>
      <w:ind w:firstLine="630"/>
    </w:pPr>
    <w:rPr>
      <w:rFonts w:ascii="宋体"/>
      <w:kern w:val="0"/>
      <w:sz w:val="28"/>
      <w:szCs w:val="20"/>
    </w:rPr>
  </w:style>
  <w:style w:type="paragraph" w:styleId="22">
    <w:name w:val="Balloon Text"/>
    <w:basedOn w:val="1"/>
    <w:link w:val="52"/>
    <w:qFormat/>
    <w:uiPriority w:val="0"/>
    <w:rPr>
      <w:kern w:val="0"/>
      <w:sz w:val="18"/>
      <w:szCs w:val="18"/>
    </w:rPr>
  </w:style>
  <w:style w:type="paragraph" w:styleId="23">
    <w:name w:val="footer"/>
    <w:basedOn w:val="1"/>
    <w:link w:val="53"/>
    <w:qFormat/>
    <w:uiPriority w:val="0"/>
    <w:pPr>
      <w:tabs>
        <w:tab w:val="center" w:pos="4140"/>
        <w:tab w:val="right" w:pos="8300"/>
      </w:tabs>
      <w:snapToGrid w:val="0"/>
      <w:spacing w:after="0"/>
      <w:jc w:val="left"/>
    </w:pPr>
    <w:rPr>
      <w:kern w:val="0"/>
      <w:sz w:val="18"/>
    </w:rPr>
  </w:style>
  <w:style w:type="paragraph" w:styleId="24">
    <w:name w:val="header"/>
    <w:basedOn w:val="1"/>
    <w:link w:val="54"/>
    <w:qFormat/>
    <w:uiPriority w:val="0"/>
    <w:pPr>
      <w:pBdr>
        <w:bottom w:val="single" w:color="auto" w:sz="6" w:space="1"/>
      </w:pBdr>
      <w:tabs>
        <w:tab w:val="center" w:pos="4153"/>
        <w:tab w:val="right" w:pos="8306"/>
      </w:tabs>
      <w:snapToGrid w:val="0"/>
      <w:jc w:val="center"/>
    </w:pPr>
    <w:rPr>
      <w:kern w:val="0"/>
      <w:sz w:val="18"/>
      <w:szCs w:val="18"/>
    </w:rPr>
  </w:style>
  <w:style w:type="paragraph" w:styleId="25">
    <w:name w:val="toc 1"/>
    <w:basedOn w:val="1"/>
    <w:next w:val="1"/>
    <w:qFormat/>
    <w:uiPriority w:val="0"/>
    <w:pPr>
      <w:spacing w:before="120" w:after="120"/>
      <w:jc w:val="left"/>
    </w:pPr>
    <w:rPr>
      <w:rFonts w:ascii="仿宋_GB2312" w:hAnsi="仿宋_GB2312" w:eastAsia="仿宋_GB2312" w:cs="仿宋_GB2312"/>
      <w:bCs/>
      <w:caps/>
      <w:color w:val="000000"/>
      <w:sz w:val="24"/>
      <w:szCs w:val="20"/>
    </w:rPr>
  </w:style>
  <w:style w:type="paragraph" w:styleId="26">
    <w:name w:val="Body Text Indent 3"/>
    <w:basedOn w:val="1"/>
    <w:link w:val="55"/>
    <w:qFormat/>
    <w:uiPriority w:val="0"/>
    <w:pPr>
      <w:spacing w:line="360" w:lineRule="auto"/>
      <w:ind w:firstLine="480" w:firstLineChars="200"/>
      <w:jc w:val="left"/>
    </w:pPr>
    <w:rPr>
      <w:kern w:val="0"/>
      <w:sz w:val="24"/>
      <w:szCs w:val="20"/>
    </w:rPr>
  </w:style>
  <w:style w:type="paragraph" w:styleId="27">
    <w:name w:val="toc 2"/>
    <w:basedOn w:val="1"/>
    <w:next w:val="18"/>
    <w:uiPriority w:val="0"/>
    <w:pPr>
      <w:widowControl/>
      <w:spacing w:after="0" w:line="240" w:lineRule="auto"/>
      <w:ind w:left="240"/>
      <w:jc w:val="left"/>
    </w:pPr>
    <w:rPr>
      <w:rFonts w:ascii="仿宋_GB2312" w:hAnsi="仿宋_GB2312" w:eastAsia="仿宋_GB2312" w:cs="仿宋_GB2312"/>
      <w:color w:val="000000"/>
      <w:kern w:val="0"/>
      <w:sz w:val="24"/>
      <w:lang w:eastAsia="en-US"/>
    </w:rPr>
  </w:style>
  <w:style w:type="paragraph" w:styleId="28">
    <w:name w:val="Body Text 2"/>
    <w:basedOn w:val="1"/>
    <w:link w:val="56"/>
    <w:qFormat/>
    <w:uiPriority w:val="0"/>
    <w:rPr>
      <w:rFonts w:ascii="FangSong_GB2312" w:eastAsia="FangSong_GB2312"/>
      <w:kern w:val="0"/>
      <w:sz w:val="28"/>
      <w:szCs w:val="20"/>
    </w:rPr>
  </w:style>
  <w:style w:type="paragraph" w:styleId="29">
    <w:name w:val="Normal (Web)"/>
    <w:basedOn w:val="1"/>
    <w:qFormat/>
    <w:uiPriority w:val="0"/>
    <w:pPr>
      <w:spacing w:before="100" w:beforeAutospacing="1" w:after="100" w:afterAutospacing="1"/>
      <w:jc w:val="left"/>
    </w:pPr>
    <w:rPr>
      <w:kern w:val="0"/>
      <w:sz w:val="24"/>
    </w:rPr>
  </w:style>
  <w:style w:type="paragraph" w:styleId="30">
    <w:name w:val="Title"/>
    <w:basedOn w:val="1"/>
    <w:link w:val="57"/>
    <w:qFormat/>
    <w:uiPriority w:val="0"/>
    <w:pPr>
      <w:spacing w:before="240" w:after="60"/>
      <w:jc w:val="center"/>
      <w:outlineLvl w:val="0"/>
    </w:pPr>
    <w:rPr>
      <w:rFonts w:ascii="Cambria" w:hAnsi="Cambria"/>
      <w:b/>
      <w:bCs/>
      <w:kern w:val="0"/>
      <w:sz w:val="32"/>
      <w:szCs w:val="32"/>
    </w:rPr>
  </w:style>
  <w:style w:type="paragraph" w:styleId="31">
    <w:name w:val="Body Text First Indent"/>
    <w:basedOn w:val="2"/>
    <w:link w:val="58"/>
    <w:qFormat/>
    <w:uiPriority w:val="0"/>
    <w:pPr>
      <w:ind w:firstLine="420" w:firstLineChars="100"/>
    </w:pPr>
    <w:rPr>
      <w:kern w:val="0"/>
      <w:sz w:val="20"/>
    </w:rPr>
  </w:style>
  <w:style w:type="character" w:styleId="34">
    <w:name w:val="Strong"/>
    <w:qFormat/>
    <w:uiPriority w:val="0"/>
    <w:rPr>
      <w:rFonts w:ascii="Times New Roman" w:hAnsi="Times New Roman" w:eastAsia="宋体" w:cs="Times New Roman"/>
      <w:b/>
    </w:rPr>
  </w:style>
  <w:style w:type="character" w:styleId="35">
    <w:name w:val="page number"/>
    <w:qFormat/>
    <w:uiPriority w:val="0"/>
    <w:rPr>
      <w:rFonts w:ascii="Times New Roman" w:hAnsi="Times New Roman" w:eastAsia="宋体" w:cs="Times New Roman"/>
    </w:rPr>
  </w:style>
  <w:style w:type="character" w:styleId="36">
    <w:name w:val="FollowedHyperlink"/>
    <w:qFormat/>
    <w:uiPriority w:val="0"/>
    <w:rPr>
      <w:rFonts w:hint="eastAsia" w:ascii="微软雅黑" w:hAnsi="微软雅黑" w:eastAsia="微软雅黑" w:cs="微软雅黑"/>
      <w:color w:val="02396F"/>
      <w:u w:val="single"/>
    </w:rPr>
  </w:style>
  <w:style w:type="character" w:styleId="37">
    <w:name w:val="Hyperlink"/>
    <w:qFormat/>
    <w:uiPriority w:val="0"/>
    <w:rPr>
      <w:rFonts w:ascii="Times New Roman" w:hAnsi="Times New Roman" w:eastAsia="宋体" w:cs="Times New Roman"/>
      <w:color w:val="0000FF"/>
      <w:u w:val="single"/>
    </w:rPr>
  </w:style>
  <w:style w:type="character" w:customStyle="1" w:styleId="38">
    <w:name w:val="Body Text Char"/>
    <w:link w:val="2"/>
    <w:qFormat/>
    <w:uiPriority w:val="0"/>
    <w:rPr>
      <w:rFonts w:ascii="Times New Roman" w:hAnsi="Times New Roman" w:eastAsia="宋体" w:cs="Times New Roman"/>
      <w:kern w:val="2"/>
      <w:sz w:val="21"/>
      <w:szCs w:val="24"/>
      <w:lang w:val="en-US" w:eastAsia="zh-CN" w:bidi="ar-SA"/>
    </w:rPr>
  </w:style>
  <w:style w:type="character" w:customStyle="1" w:styleId="39">
    <w:name w:val="Heading 1 Char"/>
    <w:link w:val="3"/>
    <w:qFormat/>
    <w:uiPriority w:val="0"/>
    <w:rPr>
      <w:rFonts w:ascii="Times New Roman" w:hAnsi="Times New Roman" w:eastAsia="宋体" w:cs="Times New Roman"/>
      <w:b/>
      <w:bCs/>
      <w:kern w:val="44"/>
      <w:sz w:val="44"/>
      <w:szCs w:val="44"/>
      <w:lang w:val="en-US" w:eastAsia="zh-CN" w:bidi="ar-SA"/>
    </w:rPr>
  </w:style>
  <w:style w:type="character" w:customStyle="1" w:styleId="40">
    <w:name w:val="Heading 3 Char"/>
    <w:link w:val="5"/>
    <w:qFormat/>
    <w:uiPriority w:val="0"/>
    <w:rPr>
      <w:rFonts w:ascii="Times New Roman" w:hAnsi="Times New Roman" w:eastAsia="宋体" w:cs="Times New Roman"/>
      <w:b/>
      <w:bCs/>
      <w:kern w:val="2"/>
      <w:sz w:val="32"/>
      <w:szCs w:val="32"/>
      <w:lang w:val="en-US" w:eastAsia="zh-CN" w:bidi="ar-SA"/>
    </w:rPr>
  </w:style>
  <w:style w:type="character" w:customStyle="1" w:styleId="41">
    <w:name w:val="Heading 4 Char"/>
    <w:link w:val="6"/>
    <w:qFormat/>
    <w:uiPriority w:val="0"/>
    <w:rPr>
      <w:rFonts w:ascii="宋体" w:hAnsi="宋体" w:eastAsia="宋体" w:cs="Times New Roman"/>
      <w:color w:val="0000FF"/>
      <w:sz w:val="28"/>
      <w:lang w:val="en-US" w:eastAsia="zh-CN" w:bidi="ar-SA"/>
    </w:rPr>
  </w:style>
  <w:style w:type="character" w:customStyle="1" w:styleId="42">
    <w:name w:val="Heading 5 Char"/>
    <w:link w:val="7"/>
    <w:qFormat/>
    <w:uiPriority w:val="0"/>
    <w:rPr>
      <w:rFonts w:ascii="Verdana" w:hAnsi="Verdana" w:eastAsia="宋体" w:cs="Times New Roman"/>
      <w:b/>
      <w:bCs/>
      <w:kern w:val="2"/>
      <w:sz w:val="28"/>
      <w:szCs w:val="28"/>
      <w:lang w:val="en-US" w:eastAsia="zh-CN" w:bidi="ar-SA"/>
    </w:rPr>
  </w:style>
  <w:style w:type="character" w:customStyle="1" w:styleId="43">
    <w:name w:val="Heading 6 Char"/>
    <w:link w:val="8"/>
    <w:qFormat/>
    <w:uiPriority w:val="0"/>
    <w:rPr>
      <w:rFonts w:ascii="Arial" w:hAnsi="Arial" w:eastAsia="黑体" w:cs="Times New Roman"/>
      <w:b/>
      <w:bCs/>
      <w:kern w:val="2"/>
      <w:sz w:val="24"/>
      <w:szCs w:val="24"/>
      <w:lang w:val="en-US" w:eastAsia="zh-CN" w:bidi="ar-SA"/>
    </w:rPr>
  </w:style>
  <w:style w:type="character" w:customStyle="1" w:styleId="44">
    <w:name w:val="Heading 7 Char"/>
    <w:link w:val="9"/>
    <w:qFormat/>
    <w:uiPriority w:val="0"/>
    <w:rPr>
      <w:rFonts w:ascii="Times New Roman" w:hAnsi="Times New Roman" w:eastAsia="宋体" w:cs="Times New Roman"/>
      <w:b/>
      <w:bCs/>
      <w:kern w:val="2"/>
      <w:sz w:val="24"/>
      <w:szCs w:val="24"/>
      <w:lang w:val="en-US" w:eastAsia="zh-CN" w:bidi="ar-SA"/>
    </w:rPr>
  </w:style>
  <w:style w:type="character" w:customStyle="1" w:styleId="45">
    <w:name w:val="Heading 8 Char"/>
    <w:link w:val="10"/>
    <w:qFormat/>
    <w:uiPriority w:val="0"/>
    <w:rPr>
      <w:rFonts w:ascii="Arial" w:hAnsi="Arial" w:eastAsia="黑体" w:cs="Times New Roman"/>
      <w:kern w:val="2"/>
      <w:sz w:val="24"/>
      <w:szCs w:val="24"/>
      <w:lang w:val="en-US" w:eastAsia="zh-CN" w:bidi="ar-SA"/>
    </w:rPr>
  </w:style>
  <w:style w:type="character" w:customStyle="1" w:styleId="46">
    <w:name w:val="Heading 9 Char"/>
    <w:link w:val="11"/>
    <w:qFormat/>
    <w:uiPriority w:val="0"/>
    <w:rPr>
      <w:rFonts w:ascii="Arial" w:hAnsi="Arial" w:eastAsia="黑体" w:cs="Times New Roman"/>
      <w:kern w:val="2"/>
      <w:sz w:val="21"/>
      <w:szCs w:val="21"/>
      <w:lang w:val="en-US" w:eastAsia="zh-CN" w:bidi="ar-SA"/>
    </w:rPr>
  </w:style>
  <w:style w:type="character" w:customStyle="1" w:styleId="47">
    <w:name w:val="Document Map Char"/>
    <w:link w:val="13"/>
    <w:qFormat/>
    <w:uiPriority w:val="0"/>
    <w:rPr>
      <w:rFonts w:ascii="Times New Roman" w:hAnsi="Times New Roman" w:eastAsia="宋体" w:cs="Times New Roman"/>
      <w:szCs w:val="24"/>
      <w:shd w:val="clear" w:color="auto" w:fill="000080"/>
      <w:lang w:bidi="ar-SA"/>
    </w:rPr>
  </w:style>
  <w:style w:type="character" w:customStyle="1" w:styleId="48">
    <w:name w:val="Body Text Indent Char"/>
    <w:link w:val="16"/>
    <w:qFormat/>
    <w:uiPriority w:val="0"/>
    <w:rPr>
      <w:rFonts w:ascii="Times New Roman" w:hAnsi="Times New Roman" w:eastAsia="宋体" w:cs="Times New Roman"/>
      <w:lang w:bidi="ar-SA"/>
    </w:rPr>
  </w:style>
  <w:style w:type="character" w:customStyle="1" w:styleId="49">
    <w:name w:val="Plain Text Char"/>
    <w:link w:val="19"/>
    <w:qFormat/>
    <w:uiPriority w:val="0"/>
    <w:rPr>
      <w:rFonts w:ascii="宋体" w:hAnsi="Courier New" w:eastAsia="宋体" w:cs="Times New Roman"/>
      <w:szCs w:val="21"/>
      <w:lang w:bidi="ar-SA"/>
    </w:rPr>
  </w:style>
  <w:style w:type="character" w:customStyle="1" w:styleId="50">
    <w:name w:val="Date Char"/>
    <w:link w:val="20"/>
    <w:qFormat/>
    <w:uiPriority w:val="0"/>
    <w:rPr>
      <w:rFonts w:ascii="Times New Roman" w:hAnsi="Times New Roman" w:eastAsia="宋体" w:cs="Times New Roman"/>
      <w:szCs w:val="24"/>
      <w:lang w:bidi="ar-SA"/>
    </w:rPr>
  </w:style>
  <w:style w:type="character" w:customStyle="1" w:styleId="51">
    <w:name w:val="Body Text Indent 2 Char"/>
    <w:link w:val="21"/>
    <w:qFormat/>
    <w:uiPriority w:val="0"/>
    <w:rPr>
      <w:rFonts w:ascii="宋体" w:hAnsi="Times New Roman" w:eastAsia="宋体" w:cs="Times New Roman"/>
      <w:sz w:val="28"/>
      <w:lang w:bidi="ar-SA"/>
    </w:rPr>
  </w:style>
  <w:style w:type="character" w:customStyle="1" w:styleId="52">
    <w:name w:val="Balloon Text Char"/>
    <w:link w:val="22"/>
    <w:qFormat/>
    <w:uiPriority w:val="0"/>
    <w:rPr>
      <w:rFonts w:ascii="Times New Roman" w:hAnsi="Times New Roman" w:eastAsia="宋体" w:cs="Times New Roman"/>
      <w:sz w:val="18"/>
      <w:szCs w:val="18"/>
      <w:lang w:bidi="ar-SA"/>
    </w:rPr>
  </w:style>
  <w:style w:type="character" w:customStyle="1" w:styleId="53">
    <w:name w:val="Footer Char"/>
    <w:link w:val="23"/>
    <w:qFormat/>
    <w:uiPriority w:val="0"/>
    <w:rPr>
      <w:rFonts w:ascii="Times New Roman" w:hAnsi="Times New Roman" w:eastAsia="宋体" w:cs="Times New Roman"/>
      <w:sz w:val="18"/>
      <w:szCs w:val="24"/>
      <w:lang w:bidi="ar-SA"/>
    </w:rPr>
  </w:style>
  <w:style w:type="character" w:customStyle="1" w:styleId="54">
    <w:name w:val="Header Char"/>
    <w:link w:val="24"/>
    <w:qFormat/>
    <w:uiPriority w:val="0"/>
    <w:rPr>
      <w:rFonts w:ascii="Times New Roman" w:hAnsi="Times New Roman" w:eastAsia="宋体" w:cs="Times New Roman"/>
      <w:sz w:val="18"/>
      <w:szCs w:val="18"/>
      <w:lang w:bidi="ar-SA"/>
    </w:rPr>
  </w:style>
  <w:style w:type="character" w:customStyle="1" w:styleId="55">
    <w:name w:val="Body Text Indent 3 Char"/>
    <w:link w:val="26"/>
    <w:qFormat/>
    <w:uiPriority w:val="0"/>
    <w:rPr>
      <w:rFonts w:ascii="Times New Roman" w:hAnsi="Times New Roman" w:eastAsia="宋体" w:cs="Times New Roman"/>
      <w:sz w:val="24"/>
      <w:lang w:bidi="ar-SA"/>
    </w:rPr>
  </w:style>
  <w:style w:type="character" w:customStyle="1" w:styleId="56">
    <w:name w:val="Body Text 2 Char"/>
    <w:link w:val="28"/>
    <w:qFormat/>
    <w:uiPriority w:val="0"/>
    <w:rPr>
      <w:rFonts w:ascii="FangSong_GB2312" w:hAnsi="Times New Roman" w:eastAsia="FangSong_GB2312" w:cs="Times New Roman"/>
      <w:sz w:val="28"/>
      <w:lang w:bidi="ar-SA"/>
    </w:rPr>
  </w:style>
  <w:style w:type="character" w:customStyle="1" w:styleId="57">
    <w:name w:val="Title Char"/>
    <w:link w:val="30"/>
    <w:qFormat/>
    <w:uiPriority w:val="0"/>
    <w:rPr>
      <w:rFonts w:ascii="Cambria" w:hAnsi="Cambria" w:eastAsia="宋体" w:cs="Times New Roman"/>
      <w:b/>
      <w:bCs/>
      <w:sz w:val="32"/>
      <w:szCs w:val="32"/>
      <w:lang w:bidi="ar-SA"/>
    </w:rPr>
  </w:style>
  <w:style w:type="character" w:customStyle="1" w:styleId="58">
    <w:name w:val="Body Text First Indent Char"/>
    <w:link w:val="31"/>
    <w:qFormat/>
    <w:uiPriority w:val="0"/>
    <w:rPr>
      <w:rFonts w:ascii="Times New Roman" w:hAnsi="Times New Roman" w:eastAsia="宋体" w:cs="Times New Roman"/>
      <w:szCs w:val="24"/>
      <w:lang w:bidi="ar-SA"/>
    </w:rPr>
  </w:style>
  <w:style w:type="character" w:customStyle="1" w:styleId="59">
    <w:name w:val="gjfg"/>
    <w:basedOn w:val="33"/>
    <w:qFormat/>
    <w:uiPriority w:val="0"/>
  </w:style>
  <w:style w:type="character" w:customStyle="1" w:styleId="60">
    <w:name w:val="cfdate"/>
    <w:qFormat/>
    <w:uiPriority w:val="0"/>
    <w:rPr>
      <w:rFonts w:ascii="Times New Roman" w:hAnsi="Times New Roman" w:eastAsia="宋体" w:cs="Times New Roman"/>
      <w:color w:val="333333"/>
      <w:sz w:val="12"/>
      <w:szCs w:val="12"/>
    </w:rPr>
  </w:style>
  <w:style w:type="character" w:customStyle="1" w:styleId="61">
    <w:name w:val="正文文本 Char1"/>
    <w:qFormat/>
    <w:uiPriority w:val="0"/>
    <w:rPr>
      <w:rFonts w:ascii="Times New Roman" w:hAnsi="Times New Roman" w:eastAsia="宋体" w:cs="Times New Roman"/>
      <w:szCs w:val="24"/>
    </w:rPr>
  </w:style>
  <w:style w:type="character" w:customStyle="1" w:styleId="62">
    <w:name w:val="redfilenumber"/>
    <w:qFormat/>
    <w:uiPriority w:val="0"/>
    <w:rPr>
      <w:rFonts w:ascii="Times New Roman" w:hAnsi="Times New Roman" w:eastAsia="宋体" w:cs="Times New Roman"/>
      <w:color w:val="BA2636"/>
      <w:sz w:val="12"/>
      <w:szCs w:val="12"/>
    </w:rPr>
  </w:style>
  <w:style w:type="character" w:customStyle="1" w:styleId="63">
    <w:name w:val="ll2 Char Char"/>
    <w:link w:val="64"/>
    <w:qFormat/>
    <w:uiPriority w:val="0"/>
    <w:rPr>
      <w:rFonts w:ascii="宋体" w:hAnsi="宋体" w:eastAsia="Times New Roman" w:cs="Times New Roman"/>
      <w:bCs/>
      <w:color w:val="000000"/>
      <w:sz w:val="24"/>
      <w:szCs w:val="32"/>
      <w:lang w:val="en-US" w:eastAsia="zh-CN" w:bidi="ar-SA"/>
    </w:rPr>
  </w:style>
  <w:style w:type="paragraph" w:customStyle="1" w:styleId="64">
    <w:name w:val="ll2"/>
    <w:link w:val="63"/>
    <w:qFormat/>
    <w:uiPriority w:val="0"/>
    <w:pPr>
      <w:numPr>
        <w:ilvl w:val="0"/>
        <w:numId w:val="3"/>
      </w:numPr>
      <w:tabs>
        <w:tab w:val="left" w:pos="0"/>
      </w:tabs>
      <w:snapToGrid w:val="0"/>
      <w:spacing w:after="160" w:line="240" w:lineRule="atLeast"/>
      <w:ind w:left="0" w:firstLine="0"/>
    </w:pPr>
    <w:rPr>
      <w:rFonts w:ascii="宋体" w:hAnsi="宋体" w:eastAsia="Times New Roman" w:cs="Times New Roman"/>
      <w:bCs/>
      <w:color w:val="000000"/>
      <w:sz w:val="24"/>
      <w:szCs w:val="32"/>
      <w:lang w:val="en-US" w:eastAsia="zh-CN" w:bidi="ar-SA"/>
    </w:rPr>
  </w:style>
  <w:style w:type="character" w:customStyle="1" w:styleId="65">
    <w:name w:val="Style .. + 宋体 五号 Black Char"/>
    <w:link w:val="66"/>
    <w:qFormat/>
    <w:uiPriority w:val="0"/>
    <w:rPr>
      <w:rFonts w:ascii="宋体" w:hAnsi="宋体" w:eastAsia="宋体" w:cs="Times New Roman"/>
      <w:color w:val="000000"/>
      <w:sz w:val="24"/>
      <w:lang w:bidi="ar-SA"/>
    </w:rPr>
  </w:style>
  <w:style w:type="paragraph" w:customStyle="1" w:styleId="66">
    <w:name w:val="Style .. + 宋体 五号 Black"/>
    <w:basedOn w:val="1"/>
    <w:link w:val="65"/>
    <w:qFormat/>
    <w:uiPriority w:val="0"/>
    <w:pPr>
      <w:autoSpaceDE w:val="0"/>
      <w:autoSpaceDN w:val="0"/>
      <w:adjustRightInd w:val="0"/>
      <w:spacing w:line="360" w:lineRule="auto"/>
      <w:jc w:val="left"/>
    </w:pPr>
    <w:rPr>
      <w:rFonts w:ascii="宋体" w:hAnsi="宋体"/>
      <w:color w:val="000000"/>
      <w:kern w:val="0"/>
      <w:sz w:val="24"/>
      <w:szCs w:val="20"/>
    </w:rPr>
  </w:style>
  <w:style w:type="character" w:customStyle="1" w:styleId="67">
    <w:name w:val="15"/>
    <w:basedOn w:val="33"/>
    <w:qFormat/>
    <w:uiPriority w:val="0"/>
    <w:rPr>
      <w:rFonts w:hint="default" w:ascii="Times New Roman" w:hAnsi="Times New Roman" w:eastAsia="宋体" w:cs="Times New Roman"/>
    </w:rPr>
  </w:style>
  <w:style w:type="character" w:customStyle="1" w:styleId="68">
    <w:name w:val="正文文字 Char"/>
    <w:link w:val="69"/>
    <w:qFormat/>
    <w:uiPriority w:val="0"/>
    <w:rPr>
      <w:rFonts w:ascii="Times New Roman" w:hAnsi="Times New Roman" w:eastAsia="宋体" w:cs="Times New Roman"/>
      <w:sz w:val="24"/>
      <w:szCs w:val="24"/>
      <w:lang w:bidi="ar-SA"/>
    </w:rPr>
  </w:style>
  <w:style w:type="paragraph" w:customStyle="1" w:styleId="69">
    <w:name w:val="正文文字"/>
    <w:basedOn w:val="1"/>
    <w:link w:val="68"/>
    <w:qFormat/>
    <w:uiPriority w:val="0"/>
    <w:pPr>
      <w:spacing w:before="60" w:after="60" w:line="360" w:lineRule="auto"/>
      <w:ind w:firstLine="200" w:firstLineChars="200"/>
      <w:jc w:val="left"/>
    </w:pPr>
    <w:rPr>
      <w:kern w:val="0"/>
      <w:sz w:val="24"/>
    </w:rPr>
  </w:style>
  <w:style w:type="character" w:customStyle="1" w:styleId="70">
    <w:name w:val="文档正文 Char"/>
    <w:link w:val="71"/>
    <w:qFormat/>
    <w:uiPriority w:val="0"/>
    <w:rPr>
      <w:rFonts w:ascii="长城仿宋" w:hAnsi="Times New Roman" w:eastAsia="宋体" w:cs="Times New Roman"/>
      <w:sz w:val="24"/>
      <w:lang w:bidi="ar-SA"/>
    </w:rPr>
  </w:style>
  <w:style w:type="paragraph" w:customStyle="1" w:styleId="71">
    <w:name w:val="文档正文"/>
    <w:basedOn w:val="1"/>
    <w:link w:val="70"/>
    <w:qFormat/>
    <w:uiPriority w:val="0"/>
    <w:pPr>
      <w:adjustRightInd w:val="0"/>
      <w:spacing w:line="480" w:lineRule="atLeast"/>
      <w:ind w:firstLine="567"/>
    </w:pPr>
    <w:rPr>
      <w:rFonts w:ascii="长城仿宋"/>
      <w:kern w:val="0"/>
      <w:sz w:val="24"/>
      <w:szCs w:val="20"/>
    </w:rPr>
  </w:style>
  <w:style w:type="character" w:customStyle="1" w:styleId="72">
    <w:name w:val="displayarti"/>
    <w:qFormat/>
    <w:uiPriority w:val="0"/>
    <w:rPr>
      <w:rFonts w:ascii="Times New Roman" w:hAnsi="Times New Roman" w:eastAsia="宋体" w:cs="Times New Roman"/>
      <w:color w:val="FFFFFF"/>
      <w:shd w:val="clear" w:color="auto" w:fill="A00000"/>
    </w:rPr>
  </w:style>
  <w:style w:type="character" w:customStyle="1" w:styleId="73">
    <w:name w:val="redfilefwwh"/>
    <w:qFormat/>
    <w:uiPriority w:val="0"/>
    <w:rPr>
      <w:rFonts w:ascii="Times New Roman" w:hAnsi="Times New Roman" w:eastAsia="宋体" w:cs="Times New Roman"/>
      <w:color w:val="BA2636"/>
      <w:sz w:val="12"/>
      <w:szCs w:val="12"/>
    </w:rPr>
  </w:style>
  <w:style w:type="character" w:customStyle="1" w:styleId="74">
    <w:name w:val="qxdate"/>
    <w:qFormat/>
    <w:uiPriority w:val="0"/>
    <w:rPr>
      <w:rFonts w:ascii="Times New Roman" w:hAnsi="Times New Roman" w:eastAsia="宋体" w:cs="Times New Roman"/>
      <w:color w:val="333333"/>
      <w:sz w:val="12"/>
      <w:szCs w:val="12"/>
    </w:rPr>
  </w:style>
  <w:style w:type="paragraph" w:customStyle="1" w:styleId="75">
    <w:name w:val="_Style 3"/>
    <w:basedOn w:val="3"/>
    <w:next w:val="1"/>
    <w:qFormat/>
    <w:uiPriority w:val="0"/>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76">
    <w:name w:val="正文（绿盟科技）"/>
    <w:qFormat/>
    <w:uiPriority w:val="0"/>
    <w:pPr>
      <w:spacing w:after="160" w:line="300" w:lineRule="auto"/>
    </w:pPr>
    <w:rPr>
      <w:rFonts w:ascii="Arial" w:hAnsi="Arial" w:eastAsia="宋体" w:cs="黑体"/>
      <w:sz w:val="21"/>
      <w:szCs w:val="21"/>
      <w:lang w:val="en-US" w:eastAsia="zh-CN" w:bidi="ar-SA"/>
    </w:rPr>
  </w:style>
  <w:style w:type="paragraph" w:customStyle="1" w:styleId="77">
    <w:name w:val="标题 5（有编号）（绿盟科技）"/>
    <w:basedOn w:val="1"/>
    <w:next w:val="76"/>
    <w:qFormat/>
    <w:uiPriority w:val="0"/>
    <w:pPr>
      <w:keepNext/>
      <w:keepLines/>
      <w:numPr>
        <w:ilvl w:val="4"/>
        <w:numId w:val="4"/>
      </w:numPr>
      <w:spacing w:before="280" w:after="156" w:line="377" w:lineRule="auto"/>
      <w:jc w:val="left"/>
      <w:outlineLvl w:val="4"/>
    </w:pPr>
    <w:rPr>
      <w:rFonts w:ascii="Arial" w:hAnsi="Arial" w:eastAsia="黑体" w:cs="黑体"/>
      <w:b/>
      <w:kern w:val="0"/>
      <w:sz w:val="24"/>
      <w:szCs w:val="28"/>
    </w:rPr>
  </w:style>
  <w:style w:type="paragraph" w:customStyle="1" w:styleId="78">
    <w:name w:val="Char"/>
    <w:basedOn w:val="1"/>
    <w:qFormat/>
    <w:uiPriority w:val="0"/>
    <w:rPr>
      <w:rFonts w:ascii="Tahoma" w:hAnsi="Tahoma"/>
      <w:sz w:val="24"/>
      <w:szCs w:val="20"/>
    </w:rPr>
  </w:style>
  <w:style w:type="paragraph" w:styleId="79">
    <w:name w:val="List Paragraph"/>
    <w:basedOn w:val="1"/>
    <w:qFormat/>
    <w:uiPriority w:val="34"/>
    <w:pPr>
      <w:ind w:firstLine="420"/>
    </w:pPr>
    <w:rPr>
      <w:kern w:val="0"/>
      <w:szCs w:val="21"/>
    </w:rPr>
  </w:style>
  <w:style w:type="paragraph" w:customStyle="1" w:styleId="80">
    <w:name w:val="正常"/>
    <w:basedOn w:val="81"/>
    <w:qFormat/>
    <w:uiPriority w:val="0"/>
    <w:rPr>
      <w:sz w:val="24"/>
    </w:rPr>
  </w:style>
  <w:style w:type="paragraph" w:customStyle="1" w:styleId="81">
    <w:name w:val="小正常"/>
    <w:basedOn w:val="1"/>
    <w:qFormat/>
    <w:uiPriority w:val="0"/>
    <w:rPr>
      <w:sz w:val="20"/>
      <w:szCs w:val="20"/>
    </w:rPr>
  </w:style>
  <w:style w:type="paragraph" w:customStyle="1" w:styleId="82">
    <w:name w:val="样式 样式 样式 标题 2 + 宋体 五号 非加粗 黑色 + 段前: 6 磅 段后: 0 磅 行距: 单倍行距 + 段前: 12..."/>
    <w:basedOn w:val="1"/>
    <w:qFormat/>
    <w:uiPriority w:val="0"/>
    <w:pPr>
      <w:keepNext/>
      <w:keepLines/>
      <w:tabs>
        <w:tab w:val="left" w:pos="1875"/>
      </w:tabs>
      <w:adjustRightInd w:val="0"/>
      <w:spacing w:before="240"/>
      <w:ind w:left="1875" w:hanging="435"/>
      <w:jc w:val="left"/>
      <w:outlineLvl w:val="1"/>
    </w:pPr>
    <w:rPr>
      <w:rFonts w:ascii="宋体" w:hAnsi="宋体"/>
      <w:color w:val="000000"/>
      <w:kern w:val="0"/>
      <w:szCs w:val="20"/>
    </w:rPr>
  </w:style>
  <w:style w:type="paragraph" w:customStyle="1" w:styleId="83">
    <w:name w:val="列出段落1"/>
    <w:basedOn w:val="1"/>
    <w:qFormat/>
    <w:uiPriority w:val="0"/>
    <w:pPr>
      <w:spacing w:line="360" w:lineRule="auto"/>
      <w:ind w:firstLine="420" w:firstLineChars="200"/>
      <w:jc w:val="left"/>
    </w:pPr>
    <w:rPr>
      <w:rFonts w:ascii="Calibri" w:hAnsi="Calibri"/>
      <w:kern w:val="0"/>
      <w:szCs w:val="22"/>
      <w:lang w:bidi="en-US"/>
    </w:rPr>
  </w:style>
  <w:style w:type="paragraph" w:customStyle="1" w:styleId="84">
    <w:name w:val="样式1"/>
    <w:basedOn w:val="1"/>
    <w:qFormat/>
    <w:uiPriority w:val="0"/>
    <w:pPr>
      <w:numPr>
        <w:ilvl w:val="0"/>
        <w:numId w:val="5"/>
      </w:numPr>
      <w:adjustRightInd w:val="0"/>
    </w:pPr>
    <w:rPr>
      <w:rFonts w:ascii="宋体" w:hAnsi="宋体"/>
      <w:kern w:val="0"/>
      <w:szCs w:val="20"/>
    </w:rPr>
  </w:style>
  <w:style w:type="paragraph" w:customStyle="1" w:styleId="85">
    <w:name w:val="Char Char Char"/>
    <w:basedOn w:val="1"/>
    <w:qFormat/>
    <w:uiPriority w:val="0"/>
    <w:rPr>
      <w:rFonts w:ascii="Tahoma" w:hAnsi="Tahoma"/>
      <w:sz w:val="24"/>
      <w:szCs w:val="20"/>
    </w:rPr>
  </w:style>
  <w:style w:type="paragraph" w:customStyle="1" w:styleId="86">
    <w:name w:val="Normal Indent1"/>
    <w:qFormat/>
    <w:uiPriority w:val="0"/>
    <w:pPr>
      <w:spacing w:after="160" w:afterLines="50" w:line="360" w:lineRule="auto"/>
      <w:ind w:firstLine="420" w:firstLineChars="200"/>
    </w:pPr>
    <w:rPr>
      <w:rFonts w:ascii="Times New Roman" w:hAnsi="Times New Roman" w:eastAsia="宋体" w:cs="Times New Roman"/>
      <w:lang w:val="en-US" w:eastAsia="zh-CN" w:bidi="ar-SA"/>
    </w:rPr>
  </w:style>
  <w:style w:type="table" w:customStyle="1" w:styleId="87">
    <w:name w:val="Table Normal_0"/>
    <w:unhideWhenUsed/>
    <w:qFormat/>
    <w:uiPriority w:val="0"/>
    <w:pPr>
      <w:spacing w:after="160" w:line="259" w:lineRule="auto"/>
    </w:pPr>
    <w:tblPr>
      <w:tblCellMar>
        <w:top w:w="0" w:type="dxa"/>
        <w:left w:w="0" w:type="dxa"/>
        <w:bottom w:w="0" w:type="dxa"/>
        <w:right w:w="0" w:type="dxa"/>
      </w:tblCellMar>
    </w:tblPr>
  </w:style>
  <w:style w:type="character" w:customStyle="1" w:styleId="88">
    <w:name w:val="Hyperlink_0"/>
    <w:basedOn w:val="33"/>
    <w:uiPriority w:val="0"/>
    <w:rPr>
      <w:color w:val="0000FF"/>
      <w:u w:val="single"/>
    </w:rPr>
  </w:style>
  <w:style w:type="paragraph" w:customStyle="1" w:styleId="89">
    <w:name w:val="TOC 1_0"/>
    <w:basedOn w:val="1"/>
    <w:next w:val="18"/>
    <w:uiPriority w:val="0"/>
    <w:pPr>
      <w:widowControl/>
      <w:spacing w:after="0" w:line="240" w:lineRule="auto"/>
      <w:jc w:val="left"/>
    </w:pPr>
    <w:rPr>
      <w:rFonts w:eastAsia="Times New Roman"/>
      <w:kern w:val="0"/>
      <w:sz w:val="24"/>
      <w:lang w:eastAsia="en-US"/>
    </w:rPr>
  </w:style>
  <w:style w:type="paragraph" w:customStyle="1" w:styleId="90">
    <w:name w:val="Heading 1_0"/>
    <w:basedOn w:val="1"/>
    <w:next w:val="18"/>
    <w:qFormat/>
    <w:uiPriority w:val="0"/>
    <w:pPr>
      <w:keepNext/>
      <w:widowControl/>
      <w:spacing w:before="240" w:after="60" w:line="240" w:lineRule="auto"/>
      <w:jc w:val="left"/>
      <w:outlineLvl w:val="0"/>
    </w:pPr>
    <w:rPr>
      <w:rFonts w:ascii="Arial" w:hAnsi="Arial" w:eastAsia="Times New Roman" w:cs="Arial"/>
      <w:b/>
      <w:bCs/>
      <w:kern w:val="32"/>
      <w:sz w:val="32"/>
      <w:szCs w:val="32"/>
      <w:lang w:eastAsia="en-US"/>
    </w:rPr>
  </w:style>
  <w:style w:type="paragraph" w:customStyle="1" w:styleId="91">
    <w:name w:val="Heading 2_0"/>
    <w:basedOn w:val="1"/>
    <w:next w:val="18"/>
    <w:qFormat/>
    <w:uiPriority w:val="0"/>
    <w:pPr>
      <w:keepNext/>
      <w:widowControl/>
      <w:spacing w:before="240" w:after="60" w:line="240" w:lineRule="auto"/>
      <w:jc w:val="left"/>
      <w:outlineLvl w:val="1"/>
    </w:pPr>
    <w:rPr>
      <w:rFonts w:ascii="Arial" w:hAnsi="Arial" w:eastAsia="Times New Roman" w:cs="Arial"/>
      <w:b/>
      <w:bCs/>
      <w:i/>
      <w:iCs/>
      <w:kern w:val="0"/>
      <w:sz w:val="28"/>
      <w:szCs w:val="28"/>
      <w:lang w:eastAsia="en-US"/>
    </w:rPr>
  </w:style>
  <w:style w:type="paragraph" w:customStyle="1" w:styleId="92">
    <w:name w:val="Heading 3_0"/>
    <w:basedOn w:val="1"/>
    <w:next w:val="18"/>
    <w:qFormat/>
    <w:uiPriority w:val="0"/>
    <w:pPr>
      <w:keepNext/>
      <w:widowControl/>
      <w:spacing w:before="240" w:after="60" w:line="240" w:lineRule="auto"/>
      <w:jc w:val="left"/>
      <w:outlineLvl w:val="2"/>
    </w:pPr>
    <w:rPr>
      <w:rFonts w:ascii="Arial" w:hAnsi="Arial" w:eastAsia="Times New Roman" w:cs="Arial"/>
      <w:b/>
      <w:bCs/>
      <w:kern w:val="0"/>
      <w:sz w:val="26"/>
      <w:szCs w:val="26"/>
      <w:lang w:eastAsia="en-US"/>
    </w:rPr>
  </w:style>
  <w:style w:type="paragraph" w:customStyle="1" w:styleId="93">
    <w:name w:val="16"/>
    <w:basedOn w:val="1"/>
    <w:uiPriority w:val="0"/>
    <w:pPr>
      <w:widowControl/>
      <w:spacing w:after="0" w:line="240" w:lineRule="auto"/>
      <w:jc w:val="left"/>
    </w:pPr>
    <w:rPr>
      <w:rFonts w:eastAsia="Times New Roman"/>
      <w:kern w:val="0"/>
      <w:sz w:val="24"/>
      <w:lang w:eastAsia="en-US"/>
    </w:rPr>
  </w:style>
  <w:style w:type="paragraph" w:customStyle="1" w:styleId="94">
    <w:name w:val="Heading 4_0"/>
    <w:basedOn w:val="1"/>
    <w:next w:val="18"/>
    <w:qFormat/>
    <w:uiPriority w:val="0"/>
    <w:pPr>
      <w:keepNext/>
      <w:widowControl/>
      <w:spacing w:before="240" w:after="60" w:line="240" w:lineRule="auto"/>
      <w:jc w:val="left"/>
      <w:outlineLvl w:val="3"/>
    </w:pPr>
    <w:rPr>
      <w:rFonts w:eastAsia="Times New Roman"/>
      <w:b/>
      <w:bCs/>
      <w:kern w:val="0"/>
      <w:sz w:val="28"/>
      <w:szCs w:val="28"/>
      <w:lang w:eastAsia="en-US"/>
    </w:rPr>
  </w:style>
  <w:style w:type="paragraph" w:customStyle="1" w:styleId="95">
    <w:name w:val="MsoNormal"/>
    <w:basedOn w:val="1"/>
    <w:uiPriority w:val="0"/>
    <w:pPr>
      <w:widowControl/>
      <w:spacing w:after="0" w:line="240" w:lineRule="auto"/>
      <w:jc w:val="left"/>
    </w:pPr>
    <w:rPr>
      <w:rFonts w:eastAsia="Times New Roman"/>
      <w:kern w:val="0"/>
      <w:sz w:val="24"/>
      <w:lang w:eastAsia="en-US"/>
    </w:rPr>
  </w:style>
  <w:style w:type="table" w:customStyle="1" w:styleId="96">
    <w:name w:val="16 Table"/>
    <w:basedOn w:val="32"/>
    <w:uiPriority w:val="0"/>
    <w:rPr>
      <w:rFonts w:eastAsia="Times New Roman"/>
      <w:lang w:val="en-US" w:eastAsia="en-US"/>
    </w:rPr>
  </w:style>
  <w:style w:type="table" w:customStyle="1" w:styleId="97">
    <w:name w:val="MsoTableGrid"/>
    <w:basedOn w:val="32"/>
    <w:uiPriority w:val="0"/>
    <w:rPr>
      <w:rFonts w:eastAsia="Times New Roman"/>
      <w:lang w:val="en-US" w:eastAsia="en-US"/>
    </w:rPr>
  </w:style>
  <w:style w:type="paragraph" w:customStyle="1" w:styleId="98">
    <w:name w:val="18"/>
    <w:basedOn w:val="1"/>
    <w:uiPriority w:val="0"/>
    <w:pPr>
      <w:widowControl/>
      <w:spacing w:after="0" w:line="240" w:lineRule="auto"/>
      <w:jc w:val="left"/>
    </w:pPr>
    <w:rPr>
      <w:rFonts w:eastAsia="Times New Roman"/>
      <w:kern w:val="0"/>
      <w:sz w:val="24"/>
      <w:lang w:eastAsia="en-US"/>
    </w:rPr>
  </w:style>
  <w:style w:type="table" w:customStyle="1" w:styleId="99">
    <w:name w:val="19"/>
    <w:basedOn w:val="32"/>
    <w:uiPriority w:val="0"/>
    <w:rPr>
      <w:rFonts w:eastAsia="Times New Roman"/>
      <w:lang w:val="en-US" w:eastAsia="en-US"/>
    </w:rPr>
  </w:style>
  <w:style w:type="paragraph" w:customStyle="1" w:styleId="100">
    <w:name w:val="17"/>
    <w:basedOn w:val="1"/>
    <w:uiPriority w:val="0"/>
    <w:pPr>
      <w:widowControl/>
      <w:spacing w:after="0" w:line="240" w:lineRule="auto"/>
      <w:jc w:val="left"/>
    </w:pPr>
    <w:rPr>
      <w:rFonts w:eastAsia="Times New Roman"/>
      <w:kern w:val="0"/>
      <w:sz w:val="24"/>
      <w:lang w:eastAsia="en-US"/>
    </w:rPr>
  </w:style>
  <w:style w:type="table" w:customStyle="1" w:styleId="101">
    <w:name w:val="17 Table"/>
    <w:basedOn w:val="32"/>
    <w:uiPriority w:val="0"/>
    <w:rPr>
      <w:rFonts w:eastAsia="Times New Roman"/>
      <w:lang w:val="en-US" w:eastAsia="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39</Pages>
  <Words>9</Words>
  <Characters>53</Characters>
  <Lines>1</Lines>
  <Paragraphs>1</Paragraphs>
  <TotalTime>4</TotalTime>
  <ScaleCrop>false</ScaleCrop>
  <LinksUpToDate>false</LinksUpToDate>
  <CharactersWithSpaces>61</CharactersWithSpaces>
  <Application>WPS Office_11.8.2.8959_F1E327BC-269C-435d-A152-05C5408002CA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2020-05-09T07:26:00Z</dcterms:created>
  <dc:creator>Administrator</dc:creator>
  <cp:lastModifiedBy>sj-n-627-1</cp:lastModifiedBy>
  <cp:lastPrinted>2023-10-01T11:04:00Z</cp:lastPrinted>
  <dcterms:modified xsi:type="dcterms:W3CDTF">2025-10-23T02:22:15Z</dcterms:modified>
  <dc:title>招 标 文 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2052-11.8.2.8959</vt:lpwstr>
  </property>
</Properties>
</file>