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 Id="rId4" Type="http://schemas.openxmlformats.org/officeDocument/2006/relationships/custom-properties" Target="docProps/custom.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Java 21.6.0 -->
  <w:body>
    <w:p w:rsidR="00BD6A54" w14:paraId="51C321CE" w14:textId="77777777">
      <w:pPr>
        <w:jc w:val="left"/>
        <w:rPr>
          <w:rFonts w:hAnsi="SimSun"/>
          <w:b/>
          <w:sz w:val="96"/>
          <w:szCs w:val="96"/>
        </w:rPr>
      </w:pPr>
    </w:p>
    <w:p w:rsidR="00BD6A54" w14:paraId="45F4BCF1" w14:textId="77777777">
      <w:pPr>
        <w:topLinePunct/>
        <w:autoSpaceDE w:val="0"/>
        <w:autoSpaceDN w:val="0"/>
        <w:jc w:val="center"/>
        <w:rPr>
          <w:rFonts w:hAnsi="SimSun"/>
          <w:b/>
          <w:sz w:val="96"/>
          <w:szCs w:val="96"/>
        </w:rPr>
      </w:pPr>
      <w:r>
        <w:rPr>
          <w:rFonts w:hAnsi="SimSun" w:hint="eastAsia"/>
          <w:b/>
          <w:sz w:val="96"/>
          <w:szCs w:val="96"/>
        </w:rPr>
        <w:t>招</w:t>
      </w:r>
      <w:r>
        <w:rPr>
          <w:rFonts w:hAnsi="SimSun" w:hint="eastAsia"/>
          <w:b/>
          <w:sz w:val="96"/>
          <w:szCs w:val="96"/>
        </w:rPr>
        <w:t xml:space="preserve"> </w:t>
      </w:r>
      <w:r>
        <w:rPr>
          <w:rFonts w:hAnsi="SimSun" w:hint="eastAsia"/>
          <w:b/>
          <w:sz w:val="96"/>
          <w:szCs w:val="96"/>
        </w:rPr>
        <w:t>标</w:t>
      </w:r>
      <w:r>
        <w:rPr>
          <w:rFonts w:hAnsi="SimSun" w:hint="eastAsia"/>
          <w:b/>
          <w:sz w:val="96"/>
          <w:szCs w:val="96"/>
        </w:rPr>
        <w:t xml:space="preserve"> </w:t>
      </w:r>
      <w:r>
        <w:rPr>
          <w:rFonts w:hAnsi="SimSun" w:hint="eastAsia"/>
          <w:b/>
          <w:sz w:val="96"/>
          <w:szCs w:val="96"/>
        </w:rPr>
        <w:t>文</w:t>
      </w:r>
      <w:r>
        <w:rPr>
          <w:rFonts w:hAnsi="SimSun" w:hint="eastAsia"/>
          <w:b/>
          <w:sz w:val="96"/>
          <w:szCs w:val="96"/>
        </w:rPr>
        <w:t xml:space="preserve"> </w:t>
      </w:r>
      <w:r>
        <w:rPr>
          <w:rFonts w:hAnsi="SimSun" w:hint="eastAsia"/>
          <w:b/>
          <w:sz w:val="96"/>
          <w:szCs w:val="96"/>
        </w:rPr>
        <w:t>件</w:t>
      </w:r>
    </w:p>
    <w:p w:rsidR="00BD6A54" w14:paraId="590152F9" w14:textId="77777777">
      <w:pPr>
        <w:topLinePunct/>
        <w:autoSpaceDE w:val="0"/>
        <w:autoSpaceDN w:val="0"/>
        <w:spacing w:line="60" w:lineRule="exact"/>
        <w:jc w:val="center"/>
        <w:rPr>
          <w:rFonts w:hAnsi="SimSun"/>
          <w:sz w:val="96"/>
          <w:szCs w:val="96"/>
        </w:rPr>
      </w:pPr>
    </w:p>
    <w:p w:rsidR="00BD6A54" w14:paraId="22D90A1A" w14:textId="77777777">
      <w:pPr>
        <w:topLinePunct/>
        <w:autoSpaceDE w:val="0"/>
        <w:autoSpaceDN w:val="0"/>
        <w:snapToGrid w:val="0"/>
        <w:jc w:val="center"/>
        <w:rPr>
          <w:rFonts w:ascii="SimSun" w:hAnsi="SimSun"/>
          <w:sz w:val="96"/>
          <w:szCs w:val="96"/>
        </w:rPr>
      </w:pPr>
      <w:r>
        <w:rPr>
          <w:rFonts w:hAnsi="SimSun" w:hint="eastAsia"/>
          <w:b/>
          <w:sz w:val="56"/>
          <w:szCs w:val="56"/>
        </w:rPr>
        <w:t>（技术部分）</w:t>
      </w:r>
    </w:p>
    <w:p w:rsidR="00BD6A54" w14:paraId="7B6553A5" w14:textId="77777777">
      <w:pPr>
        <w:topLinePunct/>
        <w:autoSpaceDE w:val="0"/>
        <w:autoSpaceDN w:val="0"/>
        <w:snapToGrid w:val="0"/>
        <w:spacing w:line="360" w:lineRule="auto"/>
        <w:ind w:left="1401" w:hanging="280" w:leftChars="534" w:hangingChars="100"/>
        <w:rPr>
          <w:rFonts w:ascii="SimSun"/>
          <w:b/>
          <w:bCs/>
          <w:sz w:val="28"/>
          <w:szCs w:val="28"/>
        </w:rPr>
      </w:pPr>
    </w:p>
    <w:p w:rsidR="00BD6A54" w14:paraId="7946D6BA" w14:textId="77777777">
      <w:pPr>
        <w:topLinePunct/>
        <w:autoSpaceDE w:val="0"/>
        <w:autoSpaceDN w:val="0"/>
        <w:snapToGrid w:val="0"/>
        <w:spacing w:line="360" w:lineRule="auto"/>
        <w:ind w:left="1401" w:hanging="280" w:leftChars="534" w:hangingChars="100"/>
        <w:rPr>
          <w:rFonts w:ascii="SimSun"/>
          <w:b/>
          <w:bCs/>
          <w:sz w:val="28"/>
          <w:szCs w:val="28"/>
        </w:rPr>
      </w:pPr>
    </w:p>
    <w:p w:rsidR="00BD6A54" w14:paraId="2DA88C17" w14:textId="6E0FC461">
      <w:pPr>
        <w:topLinePunct/>
        <w:autoSpaceDE w:val="0"/>
        <w:autoSpaceDN w:val="0"/>
        <w:snapToGrid w:val="0"/>
        <w:spacing w:line="360" w:lineRule="auto"/>
        <w:ind w:left="1401" w:hanging="280" w:leftChars="534" w:hangingChars="100"/>
        <w:rPr>
          <w:rFonts w:ascii="SimSun"/>
          <w:b/>
          <w:bCs/>
          <w:sz w:val="28"/>
          <w:szCs w:val="28"/>
        </w:rPr>
      </w:pPr>
      <w:r>
        <w:rPr>
          <w:rFonts w:ascii="SimSun" w:hint="eastAsia"/>
          <w:b/>
          <w:bCs/>
          <w:sz w:val="28"/>
          <w:szCs w:val="28"/>
        </w:rPr>
        <w:t>项目名称：</w:t>
      </w:r>
      <w:bookmarkStart w:id="0" w:name="项目名称_fa_planName"/>
      <w:r w:rsidRPr="00381FED" w:rsidR="00381FED">
        <w:rPr>
          <w:rFonts w:ascii="SimSun" w:hint="eastAsia"/>
          <w:b/>
          <w:bCs/>
          <w:sz w:val="28"/>
          <w:szCs w:val="28"/>
        </w:rPr>
        <w:t>国家税务总局敦化市税务局2025年办税服务厅及党建宣传展示系统多媒体屏幕采购项目（第二次）</w:t>
      </w:r>
      <w:bookmarkEnd w:id="0"/>
    </w:p>
    <w:p w:rsidR="00BD6A54" w14:paraId="36132533" w14:textId="40A2B885">
      <w:pPr>
        <w:topLinePunct/>
        <w:autoSpaceDE w:val="0"/>
        <w:autoSpaceDN w:val="0"/>
        <w:snapToGrid w:val="0"/>
        <w:spacing w:line="360" w:lineRule="auto"/>
        <w:ind w:left="1401" w:hanging="280" w:leftChars="534" w:hangingChars="100"/>
        <w:rPr>
          <w:rFonts w:ascii="SimSun"/>
          <w:b/>
          <w:bCs/>
          <w:sz w:val="28"/>
          <w:szCs w:val="28"/>
        </w:rPr>
      </w:pPr>
      <w:r>
        <w:rPr>
          <w:rFonts w:ascii="SimSun" w:hint="eastAsia"/>
          <w:b/>
          <w:bCs/>
          <w:sz w:val="28"/>
          <w:szCs w:val="28"/>
        </w:rPr>
        <w:t>项目编号：</w:t>
      </w:r>
      <w:bookmarkStart w:id="1" w:name="项目编号_fa_planNo"/>
      <w:r w:rsidRPr="00381FED" w:rsidR="00381FED">
        <w:rPr>
          <w:rFonts w:ascii="SimSun" w:hint="eastAsia"/>
          <w:b/>
          <w:bCs/>
          <w:sz w:val="28"/>
          <w:szCs w:val="28"/>
        </w:rPr>
        <w:t>JL2025-ZXGK-A0115-B00</w:t>
      </w:r>
      <w:bookmarkEnd w:id="1"/>
    </w:p>
    <w:p w:rsidR="00BD6A54" w14:paraId="1786DD03" w14:textId="77777777">
      <w:pPr>
        <w:topLinePunct/>
        <w:autoSpaceDE w:val="0"/>
        <w:autoSpaceDN w:val="0"/>
        <w:snapToGrid w:val="0"/>
        <w:spacing w:line="360" w:lineRule="auto"/>
        <w:ind w:firstLine="1120" w:firstLineChars="400"/>
        <w:rPr>
          <w:rFonts w:ascii="SimSun"/>
          <w:b/>
          <w:bCs/>
          <w:sz w:val="28"/>
          <w:szCs w:val="28"/>
        </w:rPr>
      </w:pPr>
    </w:p>
    <w:p w:rsidR="00BD6A54" w14:paraId="2BD97A82" w14:textId="77777777">
      <w:pPr>
        <w:topLinePunct/>
        <w:autoSpaceDE w:val="0"/>
        <w:autoSpaceDN w:val="0"/>
        <w:snapToGrid w:val="0"/>
        <w:spacing w:line="360" w:lineRule="auto"/>
        <w:rPr>
          <w:rFonts w:ascii="SimSun"/>
          <w:b/>
          <w:bCs/>
          <w:sz w:val="28"/>
          <w:szCs w:val="28"/>
        </w:rPr>
      </w:pPr>
    </w:p>
    <w:p w:rsidR="00BD6A54" w14:paraId="513D8C77" w14:textId="77777777">
      <w:pPr>
        <w:topLinePunct/>
        <w:autoSpaceDE w:val="0"/>
        <w:autoSpaceDN w:val="0"/>
        <w:spacing w:line="460" w:lineRule="exact"/>
        <w:rPr>
          <w:rFonts w:ascii="SimHei" w:eastAsia="SimHei"/>
          <w:b/>
          <w:sz w:val="52"/>
        </w:rPr>
      </w:pPr>
    </w:p>
    <w:p w:rsidR="00BD6A54" w14:paraId="414296C2" w14:textId="77777777">
      <w:pPr>
        <w:topLinePunct/>
        <w:autoSpaceDE w:val="0"/>
        <w:autoSpaceDN w:val="0"/>
        <w:spacing w:line="460" w:lineRule="exact"/>
        <w:rPr>
          <w:rFonts w:ascii="SimHei" w:eastAsia="SimHei"/>
          <w:b/>
          <w:sz w:val="36"/>
          <w:szCs w:val="36"/>
        </w:rPr>
      </w:pPr>
    </w:p>
    <w:p w:rsidR="00BD6A54" w14:paraId="329E6F0A" w14:textId="77777777">
      <w:pPr>
        <w:topLinePunct/>
        <w:autoSpaceDE w:val="0"/>
        <w:autoSpaceDN w:val="0"/>
        <w:spacing w:line="460" w:lineRule="exact"/>
        <w:rPr>
          <w:rFonts w:ascii="SimHei" w:eastAsia="SimHei"/>
          <w:b/>
          <w:sz w:val="36"/>
          <w:szCs w:val="36"/>
        </w:rPr>
      </w:pPr>
    </w:p>
    <w:p w:rsidR="00BD6A54" w14:paraId="03168EF4" w14:textId="77777777">
      <w:pPr>
        <w:topLinePunct/>
        <w:autoSpaceDE w:val="0"/>
        <w:autoSpaceDN w:val="0"/>
        <w:spacing w:line="460" w:lineRule="exact"/>
        <w:jc w:val="center"/>
        <w:rPr>
          <w:rFonts w:ascii="SimHei" w:eastAsia="SimHei"/>
          <w:sz w:val="36"/>
          <w:szCs w:val="36"/>
        </w:rPr>
      </w:pPr>
    </w:p>
    <w:p w:rsidR="00BD6A54" w14:paraId="1376E296" w14:textId="77777777">
      <w:pPr>
        <w:topLinePunct/>
        <w:autoSpaceDE w:val="0"/>
        <w:autoSpaceDN w:val="0"/>
        <w:spacing w:line="460" w:lineRule="exact"/>
        <w:jc w:val="center"/>
        <w:rPr>
          <w:rFonts w:ascii="SimHei" w:eastAsia="SimHei"/>
          <w:sz w:val="36"/>
          <w:szCs w:val="36"/>
        </w:rPr>
      </w:pPr>
    </w:p>
    <w:p w:rsidR="00BD6A54" w14:paraId="52DF53F5" w14:textId="77777777">
      <w:pPr>
        <w:topLinePunct/>
        <w:autoSpaceDE w:val="0"/>
        <w:autoSpaceDN w:val="0"/>
        <w:spacing w:line="460" w:lineRule="exact"/>
        <w:jc w:val="center"/>
        <w:rPr>
          <w:rFonts w:ascii="SimHei" w:eastAsia="SimHei"/>
          <w:sz w:val="36"/>
          <w:szCs w:val="36"/>
        </w:rPr>
      </w:pPr>
    </w:p>
    <w:p w:rsidR="00BD6A54" w14:paraId="5CA4C913" w14:textId="77777777">
      <w:pPr>
        <w:topLinePunct/>
        <w:autoSpaceDE w:val="0"/>
        <w:autoSpaceDN w:val="0"/>
        <w:spacing w:line="460" w:lineRule="exact"/>
        <w:jc w:val="center"/>
        <w:rPr>
          <w:rFonts w:ascii="SimHei" w:eastAsia="SimHei"/>
          <w:sz w:val="36"/>
          <w:szCs w:val="36"/>
        </w:rPr>
      </w:pPr>
      <w:bookmarkStart w:id="2" w:name="采购人名称_cgrmc"/>
      <w:r>
        <w:rPr>
          <w:rFonts w:ascii="SimHei" w:eastAsia="SimHei" w:hint="eastAsia"/>
          <w:sz w:val="36"/>
          <w:szCs w:val="36"/>
        </w:rPr>
        <w:t>国家税务总局延边朝鲜族自治州税务局</w:t>
      </w:r>
      <w:bookmarkEnd w:id="2"/>
    </w:p>
    <w:p w:rsidR="00BD6A54" w14:paraId="244E8052" w14:textId="77777777">
      <w:pPr>
        <w:widowControl/>
        <w:topLinePunct/>
        <w:autoSpaceDE w:val="0"/>
        <w:autoSpaceDN w:val="0"/>
        <w:jc w:val="center"/>
        <w:rPr>
          <w:rFonts w:ascii="SimSun" w:hAnsi="SimSun" w:cs="SimSun"/>
        </w:rPr>
        <w:sectPr>
          <w:pgSz w:w="11906" w:h="16838"/>
          <w:pgMar w:top="1440" w:right="1508" w:bottom="1440" w:left="1588" w:header="851" w:footer="851" w:gutter="0"/>
          <w:cols w:space="720"/>
          <w:titlePg/>
          <w:docGrid w:type="lines" w:linePitch="312"/>
        </w:sectPr>
      </w:pPr>
      <w:bookmarkStart w:id="3" w:name="生成日期_currentDateTime_ymd"/>
      <w:r>
        <w:rPr>
          <w:rFonts w:ascii="SimHei" w:eastAsia="SimHei" w:hAnsi="Courier New" w:cs="Courier New" w:hint="eastAsia"/>
          <w:sz w:val="36"/>
          <w:szCs w:val="36"/>
        </w:rPr>
        <w:t>2025年11月</w:t>
      </w:r>
      <w:bookmarkEnd w:id="3"/>
    </w:p>
    <w:p w:rsidR="00A77B3E">
      <w:pPr>
        <w:pStyle w:val="Normal0"/>
        <w:spacing w:before="0" w:after="0" w:line="360" w:lineRule="auto"/>
        <w:jc w:val="center"/>
        <w:rPr>
          <w:rFonts w:ascii="SimSun" w:eastAsia="SimSun" w:hAnsi="SimSun" w:cs="SimSun"/>
          <w:sz w:val="32"/>
        </w:rPr>
      </w:pPr>
      <w:r>
        <w:rPr>
          <w:rFonts w:ascii="SimSun" w:eastAsia="SimSun" w:hAnsi="SimSun" w:cs="SimSun"/>
          <w:sz w:val="32"/>
        </w:rPr>
        <w:t>目 录</w:t>
      </w:r>
    </w:p>
    <w:p>
      <w:pPr>
        <w:pStyle w:val="TOC1"/>
        <w:tabs>
          <w:tab w:val="right" w:leader="dot" w:pos="9016"/>
        </w:tabs>
        <w:spacing w:before="0" w:after="0" w:line="360" w:lineRule="auto"/>
        <w:rPr>
          <w:rFonts w:asciiTheme="minorHAnsi" w:hAnsiTheme="minorHAnsi"/>
          <w:noProof/>
          <w:sz w:val="22"/>
        </w:rPr>
      </w:pPr>
      <w:r w:rsidR="00A77B3E">
        <w:rPr>
          <w:rFonts w:ascii="SimSun" w:eastAsia="SimSun" w:hAnsi="SimSun" w:cs="SimSun"/>
          <w:sz w:val="32"/>
        </w:rPr>
        <w:fldChar w:fldCharType="begin"/>
      </w:r>
      <w:r w:rsidR="00A77B3E">
        <w:rPr>
          <w:rFonts w:ascii="SimSun" w:eastAsia="SimSun" w:hAnsi="SimSun" w:cs="SimSun"/>
          <w:sz w:val="32"/>
        </w:rPr>
        <w:instrText>TOC \o "1-3" \h \z \u</w:instrText>
      </w:r>
      <w:r w:rsidR="00A77B3E">
        <w:rPr>
          <w:rFonts w:ascii="SimSun" w:eastAsia="SimSun" w:hAnsi="SimSun" w:cs="SimSun"/>
          <w:sz w:val="32"/>
        </w:rPr>
        <w:fldChar w:fldCharType="separate"/>
      </w:r>
      <w:hyperlink w:anchor="_Toc256000000" w:history="1">
        <w:r>
          <w:rPr>
            <w:rStyle w:val="Hyperlink"/>
            <w:rFonts w:ascii="仿宋_GB2312" w:eastAsia="仿宋_GB2312" w:hAnsi="仿宋_GB2312" w:cs="仿宋_GB2312"/>
            <w:kern w:val="36"/>
          </w:rPr>
          <w:t>1项目概述</w:t>
        </w:r>
        <w:r>
          <w:tab/>
        </w:r>
        <w:r>
          <w:fldChar w:fldCharType="begin"/>
        </w:r>
        <w:r>
          <w:instrText xml:space="preserve"> PAGEREF _Toc256000000 \h </w:instrText>
        </w:r>
        <w:r>
          <w:fldChar w:fldCharType="separate"/>
        </w:r>
        <w:r>
          <w:t>3</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01" w:history="1">
        <w:r>
          <w:rPr>
            <w:rStyle w:val="Hyperlink"/>
            <w:rFonts w:ascii="仿宋_GB2312" w:eastAsia="仿宋_GB2312" w:hAnsi="仿宋_GB2312" w:cs="仿宋_GB2312"/>
          </w:rPr>
          <w:t>1.1项目背景</w:t>
        </w:r>
        <w:r>
          <w:tab/>
        </w:r>
        <w:r>
          <w:fldChar w:fldCharType="begin"/>
        </w:r>
        <w:r>
          <w:instrText xml:space="preserve"> PAGEREF _Toc256000001 \h </w:instrText>
        </w:r>
        <w:r>
          <w:fldChar w:fldCharType="separate"/>
        </w:r>
        <w:r>
          <w:t>3</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02" w:history="1">
        <w:r>
          <w:rPr>
            <w:rStyle w:val="Hyperlink"/>
            <w:rFonts w:ascii="仿宋_GB2312" w:eastAsia="仿宋_GB2312" w:hAnsi="仿宋_GB2312" w:cs="仿宋_GB2312"/>
          </w:rPr>
          <w:t>1.1.1项目基本情况</w:t>
        </w:r>
        <w:r>
          <w:tab/>
        </w:r>
        <w:r>
          <w:fldChar w:fldCharType="begin"/>
        </w:r>
        <w:r>
          <w:instrText xml:space="preserve"> PAGEREF _Toc256000002 \h </w:instrText>
        </w:r>
        <w:r>
          <w:fldChar w:fldCharType="separate"/>
        </w:r>
        <w:r>
          <w:t>3</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03" w:history="1">
        <w:r>
          <w:rPr>
            <w:rStyle w:val="Hyperlink"/>
            <w:rFonts w:ascii="仿宋_GB2312" w:eastAsia="仿宋_GB2312" w:hAnsi="仿宋_GB2312" w:cs="仿宋_GB2312"/>
          </w:rPr>
          <w:t>1.2项目内容</w:t>
        </w:r>
        <w:r>
          <w:tab/>
        </w:r>
        <w:r>
          <w:fldChar w:fldCharType="begin"/>
        </w:r>
        <w:r>
          <w:instrText xml:space="preserve"> PAGEREF _Toc256000003 \h </w:instrText>
        </w:r>
        <w:r>
          <w:fldChar w:fldCharType="separate"/>
        </w:r>
        <w:r>
          <w:t>3</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04" w:history="1">
        <w:r>
          <w:rPr>
            <w:rStyle w:val="Hyperlink"/>
            <w:rFonts w:ascii="仿宋_GB2312" w:eastAsia="仿宋_GB2312" w:hAnsi="仿宋_GB2312" w:cs="仿宋_GB2312"/>
          </w:rPr>
          <w:t>1.2.1采购内容</w:t>
        </w:r>
        <w:r>
          <w:tab/>
        </w:r>
        <w:r>
          <w:fldChar w:fldCharType="begin"/>
        </w:r>
        <w:r>
          <w:instrText xml:space="preserve"> PAGEREF _Toc256000004 \h </w:instrText>
        </w:r>
        <w:r>
          <w:fldChar w:fldCharType="separate"/>
        </w:r>
        <w:r>
          <w:t>3</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05" w:history="1">
        <w:r>
          <w:rPr>
            <w:rStyle w:val="Hyperlink"/>
            <w:rFonts w:ascii="仿宋_GB2312" w:eastAsia="仿宋_GB2312" w:hAnsi="仿宋_GB2312" w:cs="仿宋_GB2312"/>
          </w:rPr>
          <w:t>1.2.2项目实施要求</w:t>
        </w:r>
        <w:r>
          <w:tab/>
        </w:r>
        <w:r>
          <w:fldChar w:fldCharType="begin"/>
        </w:r>
        <w:r>
          <w:instrText xml:space="preserve"> PAGEREF _Toc256000005 \h </w:instrText>
        </w:r>
        <w:r>
          <w:fldChar w:fldCharType="separate"/>
        </w:r>
        <w:r>
          <w:t>3</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06" w:history="1">
        <w:r>
          <w:rPr>
            <w:rStyle w:val="Hyperlink"/>
            <w:rFonts w:ascii="仿宋_GB2312" w:eastAsia="仿宋_GB2312" w:hAnsi="仿宋_GB2312" w:cs="仿宋_GB2312"/>
            <w:kern w:val="36"/>
          </w:rPr>
          <w:t>2投标/响应要求</w:t>
        </w:r>
        <w:r>
          <w:tab/>
        </w:r>
        <w:r>
          <w:fldChar w:fldCharType="begin"/>
        </w:r>
        <w:r>
          <w:instrText xml:space="preserve"> PAGEREF _Toc256000006 \h </w:instrText>
        </w:r>
        <w:r>
          <w:fldChar w:fldCharType="separate"/>
        </w:r>
        <w:r>
          <w:t>4</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07" w:history="1">
        <w:r>
          <w:rPr>
            <w:rStyle w:val="Hyperlink"/>
            <w:rFonts w:ascii="仿宋_GB2312" w:eastAsia="仿宋_GB2312" w:hAnsi="仿宋_GB2312" w:cs="仿宋_GB2312"/>
          </w:rPr>
          <w:t>2.1对供应商的要求</w:t>
        </w:r>
        <w:r>
          <w:tab/>
        </w:r>
        <w:r>
          <w:fldChar w:fldCharType="begin"/>
        </w:r>
        <w:r>
          <w:instrText xml:space="preserve"> PAGEREF _Toc256000007 \h </w:instrText>
        </w:r>
        <w:r>
          <w:fldChar w:fldCharType="separate"/>
        </w:r>
        <w:r>
          <w:t>4</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08" w:history="1">
        <w:r>
          <w:rPr>
            <w:rStyle w:val="Hyperlink"/>
            <w:rFonts w:ascii="仿宋_GB2312" w:eastAsia="仿宋_GB2312" w:hAnsi="仿宋_GB2312" w:cs="仿宋_GB2312"/>
          </w:rPr>
          <w:t>2.1.1必备资质</w:t>
        </w:r>
        <w:r>
          <w:tab/>
        </w:r>
        <w:r>
          <w:fldChar w:fldCharType="begin"/>
        </w:r>
        <w:r>
          <w:instrText xml:space="preserve"> PAGEREF _Toc256000008 \h </w:instrText>
        </w:r>
        <w:r>
          <w:fldChar w:fldCharType="separate"/>
        </w:r>
        <w:r>
          <w:t>4</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09" w:history="1">
        <w:r>
          <w:rPr>
            <w:rStyle w:val="Hyperlink"/>
            <w:rFonts w:ascii="仿宋_GB2312" w:eastAsia="仿宋_GB2312" w:hAnsi="仿宋_GB2312" w:cs="仿宋_GB2312"/>
          </w:rPr>
          <w:t>2.1.2优选资质/优选指标</w:t>
        </w:r>
        <w:r>
          <w:tab/>
        </w:r>
        <w:r>
          <w:fldChar w:fldCharType="begin"/>
        </w:r>
        <w:r>
          <w:instrText xml:space="preserve"> PAGEREF _Toc256000009 \h </w:instrText>
        </w:r>
        <w:r>
          <w:fldChar w:fldCharType="separate"/>
        </w:r>
        <w:r>
          <w:t>4</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10" w:history="1">
        <w:r>
          <w:rPr>
            <w:rStyle w:val="Hyperlink"/>
            <w:rFonts w:ascii="仿宋_GB2312" w:eastAsia="仿宋_GB2312" w:hAnsi="仿宋_GB2312" w:cs="仿宋_GB2312"/>
          </w:rPr>
          <w:t>2.1.3是否允许联合体</w:t>
        </w:r>
        <w:r>
          <w:tab/>
        </w:r>
        <w:r>
          <w:fldChar w:fldCharType="begin"/>
        </w:r>
        <w:r>
          <w:instrText xml:space="preserve"> PAGEREF _Toc256000010 \h </w:instrText>
        </w:r>
        <w:r>
          <w:fldChar w:fldCharType="separate"/>
        </w:r>
        <w:r>
          <w:t>5</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11" w:history="1">
        <w:r>
          <w:rPr>
            <w:rStyle w:val="Hyperlink"/>
            <w:rFonts w:ascii="仿宋_GB2312" w:eastAsia="仿宋_GB2312" w:hAnsi="仿宋_GB2312" w:cs="仿宋_GB2312"/>
          </w:rPr>
          <w:t>2.1.4是否专门面向中小企业</w:t>
        </w:r>
        <w:r>
          <w:tab/>
        </w:r>
        <w:r>
          <w:fldChar w:fldCharType="begin"/>
        </w:r>
        <w:r>
          <w:instrText xml:space="preserve"> PAGEREF _Toc256000011 \h </w:instrText>
        </w:r>
        <w:r>
          <w:fldChar w:fldCharType="separate"/>
        </w:r>
        <w:r>
          <w:t>5</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12" w:history="1">
        <w:r>
          <w:rPr>
            <w:rStyle w:val="Hyperlink"/>
            <w:rFonts w:ascii="仿宋_GB2312" w:eastAsia="仿宋_GB2312" w:hAnsi="仿宋_GB2312" w:cs="仿宋_GB2312"/>
          </w:rPr>
          <w:t>2.2技术部分投标/响应内容</w:t>
        </w:r>
        <w:r>
          <w:tab/>
        </w:r>
        <w:r>
          <w:fldChar w:fldCharType="begin"/>
        </w:r>
        <w:r>
          <w:instrText xml:space="preserve"> PAGEREF _Toc256000012 \h </w:instrText>
        </w:r>
        <w:r>
          <w:fldChar w:fldCharType="separate"/>
        </w:r>
        <w:r>
          <w:t>5</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13" w:history="1">
        <w:r>
          <w:rPr>
            <w:rStyle w:val="Hyperlink"/>
            <w:rFonts w:ascii="仿宋_GB2312" w:eastAsia="仿宋_GB2312" w:hAnsi="仿宋_GB2312" w:cs="仿宋_GB2312"/>
          </w:rPr>
          <w:t>2.2.1技术投标/响应总要求</w:t>
        </w:r>
        <w:r>
          <w:tab/>
        </w:r>
        <w:r>
          <w:fldChar w:fldCharType="begin"/>
        </w:r>
        <w:r>
          <w:instrText xml:space="preserve"> PAGEREF _Toc256000013 \h </w:instrText>
        </w:r>
        <w:r>
          <w:fldChar w:fldCharType="separate"/>
        </w:r>
        <w:r>
          <w:t>5</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14" w:history="1">
        <w:r>
          <w:rPr>
            <w:rStyle w:val="Hyperlink"/>
            <w:rFonts w:ascii="仿宋_GB2312" w:eastAsia="仿宋_GB2312" w:hAnsi="仿宋_GB2312" w:cs="仿宋_GB2312"/>
          </w:rPr>
          <w:t>2.2.2投标/响应方案要求</w:t>
        </w:r>
        <w:r>
          <w:tab/>
        </w:r>
        <w:r>
          <w:fldChar w:fldCharType="begin"/>
        </w:r>
        <w:r>
          <w:instrText xml:space="preserve"> PAGEREF _Toc256000014 \h </w:instrText>
        </w:r>
        <w:r>
          <w:fldChar w:fldCharType="separate"/>
        </w:r>
        <w:r>
          <w:t>6</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15" w:history="1">
        <w:r>
          <w:rPr>
            <w:rStyle w:val="Hyperlink"/>
            <w:rFonts w:ascii="仿宋_GB2312" w:eastAsia="仿宋_GB2312" w:hAnsi="仿宋_GB2312" w:cs="仿宋_GB2312"/>
            <w:kern w:val="36"/>
          </w:rPr>
          <w:t>3项目需求</w:t>
        </w:r>
        <w:r>
          <w:tab/>
        </w:r>
        <w:r>
          <w:fldChar w:fldCharType="begin"/>
        </w:r>
        <w:r>
          <w:instrText xml:space="preserve"> PAGEREF _Toc256000015 \h </w:instrText>
        </w:r>
        <w:r>
          <w:fldChar w:fldCharType="separate"/>
        </w:r>
        <w:r>
          <w:t>6</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16" w:history="1">
        <w:r>
          <w:rPr>
            <w:rStyle w:val="Hyperlink"/>
            <w:rFonts w:ascii="仿宋_GB2312" w:eastAsia="仿宋_GB2312" w:hAnsi="仿宋_GB2312" w:cs="仿宋_GB2312"/>
          </w:rPr>
          <w:t>3.1总体要求</w:t>
        </w:r>
        <w:r>
          <w:tab/>
        </w:r>
        <w:r>
          <w:fldChar w:fldCharType="begin"/>
        </w:r>
        <w:r>
          <w:instrText xml:space="preserve"> PAGEREF _Toc256000016 \h </w:instrText>
        </w:r>
        <w:r>
          <w:fldChar w:fldCharType="separate"/>
        </w:r>
        <w:r>
          <w:t>6</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17" w:history="1">
        <w:r>
          <w:rPr>
            <w:rStyle w:val="Hyperlink"/>
            <w:rFonts w:ascii="仿宋_GB2312" w:eastAsia="仿宋_GB2312" w:hAnsi="仿宋_GB2312" w:cs="仿宋_GB2312"/>
          </w:rPr>
          <w:t>3.2采购产品一览表</w:t>
        </w:r>
        <w:r>
          <w:tab/>
        </w:r>
        <w:r>
          <w:fldChar w:fldCharType="begin"/>
        </w:r>
        <w:r>
          <w:instrText xml:space="preserve"> PAGEREF _Toc256000017 \h </w:instrText>
        </w:r>
        <w:r>
          <w:fldChar w:fldCharType="separate"/>
        </w:r>
        <w:r>
          <w:t>6</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18" w:history="1">
        <w:r>
          <w:rPr>
            <w:rStyle w:val="Hyperlink"/>
            <w:rFonts w:ascii="仿宋_GB2312" w:eastAsia="仿宋_GB2312" w:hAnsi="仿宋_GB2312" w:cs="仿宋_GB2312"/>
          </w:rPr>
          <w:t>3.2.1拟采购产品一览表</w:t>
        </w:r>
        <w:r>
          <w:tab/>
        </w:r>
        <w:r>
          <w:fldChar w:fldCharType="begin"/>
        </w:r>
        <w:r>
          <w:instrText xml:space="preserve"> PAGEREF _Toc256000018 \h </w:instrText>
        </w:r>
        <w:r>
          <w:fldChar w:fldCharType="separate"/>
        </w:r>
        <w:r>
          <w:t>6</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19" w:history="1">
        <w:r>
          <w:rPr>
            <w:rStyle w:val="Hyperlink"/>
            <w:rFonts w:ascii="仿宋_GB2312" w:eastAsia="仿宋_GB2312" w:hAnsi="仿宋_GB2312" w:cs="仿宋_GB2312"/>
          </w:rPr>
          <w:t>3.3采购产品详细清单及技术指标</w:t>
        </w:r>
        <w:r>
          <w:tab/>
        </w:r>
        <w:r>
          <w:fldChar w:fldCharType="begin"/>
        </w:r>
        <w:r>
          <w:instrText xml:space="preserve"> PAGEREF _Toc256000019 \h </w:instrText>
        </w:r>
        <w:r>
          <w:fldChar w:fldCharType="separate"/>
        </w:r>
        <w:r>
          <w:t>6</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20" w:history="1">
        <w:r>
          <w:rPr>
            <w:rStyle w:val="Hyperlink"/>
            <w:rFonts w:ascii="仿宋_GB2312" w:eastAsia="仿宋_GB2312" w:hAnsi="仿宋_GB2312" w:cs="仿宋_GB2312"/>
          </w:rPr>
          <w:t>3.3.1产品和服务指标要求</w:t>
        </w:r>
        <w:r>
          <w:tab/>
        </w:r>
        <w:r>
          <w:fldChar w:fldCharType="begin"/>
        </w:r>
        <w:r>
          <w:instrText xml:space="preserve"> PAGEREF _Toc256000020 \h </w:instrText>
        </w:r>
        <w:r>
          <w:fldChar w:fldCharType="separate"/>
        </w:r>
        <w:r>
          <w:t>6</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21" w:history="1">
        <w:r>
          <w:rPr>
            <w:rStyle w:val="Hyperlink"/>
            <w:rFonts w:ascii="仿宋_GB2312" w:eastAsia="仿宋_GB2312" w:hAnsi="仿宋_GB2312" w:cs="仿宋_GB2312"/>
          </w:rPr>
          <w:t>3.4服务要求</w:t>
        </w:r>
        <w:r>
          <w:tab/>
        </w:r>
        <w:r>
          <w:fldChar w:fldCharType="begin"/>
        </w:r>
        <w:r>
          <w:instrText xml:space="preserve"> PAGEREF _Toc256000021 \h </w:instrText>
        </w:r>
        <w:r>
          <w:fldChar w:fldCharType="separate"/>
        </w:r>
        <w:r>
          <w:t>7</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22" w:history="1">
        <w:r>
          <w:rPr>
            <w:rStyle w:val="Hyperlink"/>
            <w:rFonts w:ascii="仿宋_GB2312" w:eastAsia="仿宋_GB2312" w:hAnsi="仿宋_GB2312" w:cs="仿宋_GB2312"/>
          </w:rPr>
          <w:t>3.4.1服务要求</w:t>
        </w:r>
        <w:r>
          <w:tab/>
        </w:r>
        <w:r>
          <w:fldChar w:fldCharType="begin"/>
        </w:r>
        <w:r>
          <w:instrText xml:space="preserve"> PAGEREF _Toc256000022 \h </w:instrText>
        </w:r>
        <w:r>
          <w:fldChar w:fldCharType="separate"/>
        </w:r>
        <w:r>
          <w:t>8</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23" w:history="1">
        <w:r>
          <w:rPr>
            <w:rStyle w:val="Hyperlink"/>
            <w:rFonts w:ascii="仿宋_GB2312" w:eastAsia="仿宋_GB2312" w:hAnsi="仿宋_GB2312" w:cs="仿宋_GB2312"/>
          </w:rPr>
          <w:t>3.5其他要求</w:t>
        </w:r>
        <w:r>
          <w:tab/>
        </w:r>
        <w:r>
          <w:fldChar w:fldCharType="begin"/>
        </w:r>
        <w:r>
          <w:instrText xml:space="preserve"> PAGEREF _Toc256000023 \h </w:instrText>
        </w:r>
        <w:r>
          <w:fldChar w:fldCharType="separate"/>
        </w:r>
        <w:r>
          <w:t>8</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24" w:history="1">
        <w:r>
          <w:rPr>
            <w:rStyle w:val="Hyperlink"/>
            <w:rFonts w:ascii="仿宋_GB2312" w:eastAsia="仿宋_GB2312" w:hAnsi="仿宋_GB2312" w:cs="仿宋_GB2312"/>
            <w:kern w:val="36"/>
          </w:rPr>
          <w:t>4人员要求</w:t>
        </w:r>
        <w:r>
          <w:tab/>
        </w:r>
        <w:r>
          <w:fldChar w:fldCharType="begin"/>
        </w:r>
        <w:r>
          <w:instrText xml:space="preserve"> PAGEREF _Toc256000024 \h </w:instrText>
        </w:r>
        <w:r>
          <w:fldChar w:fldCharType="separate"/>
        </w:r>
        <w:r>
          <w:t>8</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25" w:history="1">
        <w:r>
          <w:rPr>
            <w:rStyle w:val="Hyperlink"/>
            <w:rFonts w:ascii="仿宋_GB2312" w:eastAsia="仿宋_GB2312" w:hAnsi="仿宋_GB2312" w:cs="仿宋_GB2312"/>
          </w:rPr>
          <w:t>4.1团队要求</w:t>
        </w:r>
        <w:r>
          <w:tab/>
        </w:r>
        <w:r>
          <w:fldChar w:fldCharType="begin"/>
        </w:r>
        <w:r>
          <w:instrText xml:space="preserve"> PAGEREF _Toc256000025 \h </w:instrText>
        </w:r>
        <w:r>
          <w:fldChar w:fldCharType="separate"/>
        </w:r>
        <w:r>
          <w:t>8</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26" w:history="1">
        <w:r>
          <w:rPr>
            <w:rStyle w:val="Hyperlink"/>
            <w:rFonts w:ascii="仿宋_GB2312" w:eastAsia="仿宋_GB2312" w:hAnsi="仿宋_GB2312" w:cs="仿宋_GB2312"/>
          </w:rPr>
          <w:t>4.1.1基本要求</w:t>
        </w:r>
        <w:r>
          <w:tab/>
        </w:r>
        <w:r>
          <w:fldChar w:fldCharType="begin"/>
        </w:r>
        <w:r>
          <w:instrText xml:space="preserve"> PAGEREF _Toc256000026 \h </w:instrText>
        </w:r>
        <w:r>
          <w:fldChar w:fldCharType="separate"/>
        </w:r>
        <w:r>
          <w:t>8</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27" w:history="1">
        <w:r>
          <w:rPr>
            <w:rStyle w:val="Hyperlink"/>
            <w:rFonts w:ascii="仿宋_GB2312" w:eastAsia="仿宋_GB2312" w:hAnsi="仿宋_GB2312" w:cs="仿宋_GB2312"/>
          </w:rPr>
          <w:t>4.1.2优选资质/优选指标</w:t>
        </w:r>
        <w:r>
          <w:tab/>
        </w:r>
        <w:r>
          <w:fldChar w:fldCharType="begin"/>
        </w:r>
        <w:r>
          <w:instrText xml:space="preserve"> PAGEREF _Toc256000027 \h </w:instrText>
        </w:r>
        <w:r>
          <w:fldChar w:fldCharType="separate"/>
        </w:r>
        <w:r>
          <w:t>8</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28" w:history="1">
        <w:r>
          <w:rPr>
            <w:rStyle w:val="Hyperlink"/>
            <w:rFonts w:ascii="仿宋_GB2312" w:eastAsia="仿宋_GB2312" w:hAnsi="仿宋_GB2312" w:cs="仿宋_GB2312"/>
            <w:kern w:val="36"/>
          </w:rPr>
          <w:t>5管理实施要求</w:t>
        </w:r>
        <w:r>
          <w:tab/>
        </w:r>
        <w:r>
          <w:fldChar w:fldCharType="begin"/>
        </w:r>
        <w:r>
          <w:instrText xml:space="preserve"> PAGEREF _Toc256000028 \h </w:instrText>
        </w:r>
        <w:r>
          <w:fldChar w:fldCharType="separate"/>
        </w:r>
        <w:r>
          <w:t>8</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29" w:history="1">
        <w:r>
          <w:rPr>
            <w:rStyle w:val="Hyperlink"/>
            <w:rFonts w:ascii="仿宋_GB2312" w:eastAsia="仿宋_GB2312" w:hAnsi="仿宋_GB2312" w:cs="仿宋_GB2312"/>
            <w:kern w:val="36"/>
          </w:rPr>
          <w:t>6风险管控要求</w:t>
        </w:r>
        <w:r>
          <w:tab/>
        </w:r>
        <w:r>
          <w:fldChar w:fldCharType="begin"/>
        </w:r>
        <w:r>
          <w:instrText xml:space="preserve"> PAGEREF _Toc256000029 \h </w:instrText>
        </w:r>
        <w:r>
          <w:fldChar w:fldCharType="separate"/>
        </w:r>
        <w:r>
          <w:t>9</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30" w:history="1">
        <w:r>
          <w:rPr>
            <w:rStyle w:val="Hyperlink"/>
            <w:rFonts w:ascii="仿宋_GB2312" w:eastAsia="仿宋_GB2312" w:hAnsi="仿宋_GB2312" w:cs="仿宋_GB2312"/>
            <w:kern w:val="36"/>
          </w:rPr>
          <w:t>7履约验收要求</w:t>
        </w:r>
        <w:r>
          <w:tab/>
        </w:r>
        <w:r>
          <w:fldChar w:fldCharType="begin"/>
        </w:r>
        <w:r>
          <w:instrText xml:space="preserve"> PAGEREF _Toc256000030 \h </w:instrText>
        </w:r>
        <w:r>
          <w:fldChar w:fldCharType="separate"/>
        </w:r>
        <w:r>
          <w:t>9</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31" w:history="1">
        <w:r>
          <w:rPr>
            <w:rStyle w:val="Hyperlink"/>
            <w:rFonts w:ascii="仿宋_GB2312" w:eastAsia="仿宋_GB2312" w:hAnsi="仿宋_GB2312" w:cs="仿宋_GB2312"/>
          </w:rPr>
          <w:t>7.1总体要求</w:t>
        </w:r>
        <w:r>
          <w:tab/>
        </w:r>
        <w:r>
          <w:fldChar w:fldCharType="begin"/>
        </w:r>
        <w:r>
          <w:instrText xml:space="preserve"> PAGEREF _Toc256000031 \h </w:instrText>
        </w:r>
        <w:r>
          <w:fldChar w:fldCharType="separate"/>
        </w:r>
        <w:r>
          <w:t>9</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32" w:history="1">
        <w:r>
          <w:rPr>
            <w:rStyle w:val="Hyperlink"/>
            <w:rFonts w:ascii="仿宋_GB2312" w:eastAsia="仿宋_GB2312" w:hAnsi="仿宋_GB2312" w:cs="仿宋_GB2312"/>
          </w:rPr>
          <w:t>7.2具体要求</w:t>
        </w:r>
        <w:r>
          <w:tab/>
        </w:r>
        <w:r>
          <w:fldChar w:fldCharType="begin"/>
        </w:r>
        <w:r>
          <w:instrText xml:space="preserve"> PAGEREF _Toc256000032 \h </w:instrText>
        </w:r>
        <w:r>
          <w:fldChar w:fldCharType="separate"/>
        </w:r>
        <w:r>
          <w:t>9</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33" w:history="1">
        <w:r>
          <w:rPr>
            <w:rStyle w:val="Hyperlink"/>
            <w:rFonts w:ascii="仿宋_GB2312" w:eastAsia="仿宋_GB2312" w:hAnsi="仿宋_GB2312" w:cs="仿宋_GB2312"/>
            <w:kern w:val="36"/>
          </w:rPr>
          <w:t>8其他要求</w:t>
        </w:r>
        <w:r>
          <w:tab/>
        </w:r>
        <w:r>
          <w:fldChar w:fldCharType="begin"/>
        </w:r>
        <w:r>
          <w:instrText xml:space="preserve"> PAGEREF _Toc256000033 \h </w:instrText>
        </w:r>
        <w:r>
          <w:fldChar w:fldCharType="separate"/>
        </w:r>
        <w:r>
          <w:t>10</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34" w:history="1">
        <w:r>
          <w:rPr>
            <w:rStyle w:val="Hyperlink"/>
            <w:rFonts w:ascii="仿宋_GB2312" w:eastAsia="仿宋_GB2312" w:hAnsi="仿宋_GB2312" w:cs="仿宋_GB2312"/>
          </w:rPr>
          <w:t>8.1必备要求</w:t>
        </w:r>
        <w:r>
          <w:tab/>
        </w:r>
        <w:r>
          <w:fldChar w:fldCharType="begin"/>
        </w:r>
        <w:r>
          <w:instrText xml:space="preserve"> PAGEREF _Toc256000034 \h </w:instrText>
        </w:r>
        <w:r>
          <w:fldChar w:fldCharType="separate"/>
        </w:r>
        <w:r>
          <w:t>10</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35" w:history="1">
        <w:r>
          <w:rPr>
            <w:rStyle w:val="Hyperlink"/>
            <w:rFonts w:ascii="仿宋_GB2312" w:eastAsia="仿宋_GB2312" w:hAnsi="仿宋_GB2312" w:cs="仿宋_GB2312"/>
          </w:rPr>
          <w:t>8.1.1通用必备要求</w:t>
        </w:r>
        <w:r>
          <w:tab/>
        </w:r>
        <w:r>
          <w:fldChar w:fldCharType="begin"/>
        </w:r>
        <w:r>
          <w:instrText xml:space="preserve"> PAGEREF _Toc256000035 \h </w:instrText>
        </w:r>
        <w:r>
          <w:fldChar w:fldCharType="separate"/>
        </w:r>
        <w:r>
          <w:t>10</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36" w:history="1">
        <w:r>
          <w:rPr>
            <w:rStyle w:val="Hyperlink"/>
            <w:rFonts w:ascii="仿宋_GB2312" w:eastAsia="仿宋_GB2312" w:hAnsi="仿宋_GB2312" w:cs="仿宋_GB2312"/>
          </w:rPr>
          <w:t>8.2付款安排建议</w:t>
        </w:r>
        <w:r>
          <w:tab/>
        </w:r>
        <w:r>
          <w:fldChar w:fldCharType="begin"/>
        </w:r>
        <w:r>
          <w:instrText xml:space="preserve"> PAGEREF _Toc256000036 \h </w:instrText>
        </w:r>
        <w:r>
          <w:fldChar w:fldCharType="separate"/>
        </w:r>
        <w:r>
          <w:t>10</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37" w:history="1">
        <w:r>
          <w:rPr>
            <w:rStyle w:val="Hyperlink"/>
            <w:rFonts w:ascii="仿宋_GB2312" w:eastAsia="仿宋_GB2312" w:hAnsi="仿宋_GB2312" w:cs="仿宋_GB2312"/>
          </w:rPr>
          <w:t>8.3其他要求</w:t>
        </w:r>
        <w:r>
          <w:tab/>
        </w:r>
        <w:r>
          <w:fldChar w:fldCharType="begin"/>
        </w:r>
        <w:r>
          <w:instrText xml:space="preserve"> PAGEREF _Toc256000037 \h </w:instrText>
        </w:r>
        <w:r>
          <w:fldChar w:fldCharType="separate"/>
        </w:r>
        <w:r>
          <w:t>10</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38" w:history="1">
        <w:r>
          <w:rPr>
            <w:rStyle w:val="Hyperlink"/>
            <w:rFonts w:ascii="仿宋_GB2312" w:eastAsia="仿宋_GB2312" w:hAnsi="仿宋_GB2312" w:cs="仿宋_GB2312"/>
          </w:rPr>
          <w:t>8.3.1保密要求</w:t>
        </w:r>
        <w:r>
          <w:tab/>
        </w:r>
        <w:r>
          <w:fldChar w:fldCharType="begin"/>
        </w:r>
        <w:r>
          <w:instrText xml:space="preserve"> PAGEREF _Toc256000038 \h </w:instrText>
        </w:r>
        <w:r>
          <w:fldChar w:fldCharType="separate"/>
        </w:r>
        <w:r>
          <w:t>10</w:t>
        </w:r>
        <w:r>
          <w:fldChar w:fldCharType="end"/>
        </w:r>
      </w:hyperlink>
    </w:p>
    <w:p>
      <w:pPr>
        <w:pStyle w:val="Normal0"/>
        <w:spacing w:before="0" w:after="0" w:line="360" w:lineRule="auto"/>
        <w:jc w:val="left"/>
      </w:pPr>
      <w:r w:rsidR="00A77B3E">
        <w:rPr>
          <w:rFonts w:ascii="SimSun" w:eastAsia="SimSun" w:hAnsi="SimSun" w:cs="SimSun"/>
          <w:sz w:val="32"/>
        </w:rPr>
        <w:fldChar w:fldCharType="end"/>
      </w:r>
      <w:r>
        <w:br w:type="page"/>
      </w:r>
    </w:p>
    <w:p>
      <w:pPr>
        <w:pStyle w:val="Heading10"/>
        <w:keepNext w:val="0"/>
        <w:spacing w:before="0" w:after="0" w:line="360" w:lineRule="auto"/>
        <w:jc w:val="center"/>
        <w:rPr>
          <w:rFonts w:ascii="仿宋_GB2312" w:eastAsia="仿宋_GB2312" w:hAnsi="仿宋_GB2312" w:cs="仿宋_GB2312"/>
          <w:b/>
          <w:bCs/>
          <w:sz w:val="32"/>
          <w:szCs w:val="32"/>
        </w:rPr>
      </w:pPr>
      <w:bookmarkStart w:id="4" w:name="_Toc256000000"/>
      <w:r>
        <w:rPr>
          <w:rFonts w:ascii="仿宋_GB2312" w:eastAsia="仿宋_GB2312" w:hAnsi="仿宋_GB2312" w:cs="仿宋_GB2312"/>
          <w:kern w:val="36"/>
        </w:rPr>
        <w:t>1项目概述</w:t>
      </w:r>
      <w:bookmarkEnd w:id="4"/>
    </w:p>
    <w:p>
      <w:pPr>
        <w:pStyle w:val="Heading20"/>
        <w:keepNext w:val="0"/>
        <w:spacing w:before="0" w:after="0" w:line="360" w:lineRule="auto"/>
        <w:rPr>
          <w:rFonts w:ascii="仿宋_GB2312" w:eastAsia="仿宋_GB2312" w:hAnsi="仿宋_GB2312" w:cs="仿宋_GB2312"/>
          <w:b/>
          <w:bCs/>
          <w:sz w:val="28"/>
          <w:szCs w:val="28"/>
        </w:rPr>
      </w:pPr>
      <w:bookmarkStart w:id="5" w:name="_Toc256000001"/>
      <w:r>
        <w:rPr>
          <w:rFonts w:ascii="仿宋_GB2312" w:eastAsia="仿宋_GB2312" w:hAnsi="仿宋_GB2312" w:cs="仿宋_GB2312"/>
          <w:i w:val="0"/>
          <w:iCs w:val="0"/>
        </w:rPr>
        <w:t>1.1项目背景</w:t>
      </w:r>
      <w:bookmarkEnd w:id="5"/>
    </w:p>
    <w:p>
      <w:pPr>
        <w:pStyle w:val="Heading30"/>
        <w:keepNext w:val="0"/>
        <w:spacing w:before="0" w:after="0" w:line="360" w:lineRule="auto"/>
        <w:rPr>
          <w:rFonts w:ascii="仿宋_GB2312" w:eastAsia="仿宋_GB2312" w:hAnsi="仿宋_GB2312" w:cs="仿宋_GB2312"/>
          <w:b/>
          <w:bCs/>
          <w:sz w:val="28"/>
          <w:szCs w:val="28"/>
        </w:rPr>
      </w:pPr>
      <w:bookmarkStart w:id="6" w:name="_Toc256000002"/>
      <w:r>
        <w:rPr>
          <w:rFonts w:ascii="仿宋_GB2312" w:eastAsia="仿宋_GB2312" w:hAnsi="仿宋_GB2312" w:cs="仿宋_GB2312"/>
          <w:sz w:val="28"/>
          <w:szCs w:val="28"/>
        </w:rPr>
        <w:t>1.1.1项目基本情况</w:t>
      </w:r>
      <w:bookmarkEnd w:id="6"/>
    </w:p>
    <w:p>
      <w:pPr>
        <w:pStyle w:val="150"/>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国家税务总局敦化市税务局</w:t>
      </w:r>
      <w:r>
        <w:rPr>
          <w:rFonts w:ascii="仿宋_GB2312" w:eastAsia="仿宋_GB2312" w:hAnsi="仿宋_GB2312" w:cs="仿宋_GB2312"/>
          <w:sz w:val="28"/>
          <w:szCs w:val="28"/>
        </w:rPr>
        <w:t>2025年办税服务厅及党建宣传展示系统多媒体屏幕采购项目，为办税服务厅及党建宣传展示系统多媒体屏幕采购标包，采购预算为人民币38万元，供应商按照本包金额进行投标报价，投标价格不得超过预算。</w:t>
      </w:r>
    </w:p>
    <w:p>
      <w:pPr>
        <w:pStyle w:val="Heading20"/>
        <w:keepNext w:val="0"/>
        <w:spacing w:before="0" w:after="0" w:line="360" w:lineRule="auto"/>
        <w:rPr>
          <w:rFonts w:ascii="仿宋_GB2312" w:eastAsia="仿宋_GB2312" w:hAnsi="仿宋_GB2312" w:cs="仿宋_GB2312"/>
          <w:b/>
          <w:bCs/>
          <w:sz w:val="28"/>
          <w:szCs w:val="28"/>
        </w:rPr>
      </w:pPr>
      <w:bookmarkStart w:id="7" w:name="_Toc256000003"/>
      <w:r>
        <w:rPr>
          <w:rFonts w:ascii="仿宋_GB2312" w:eastAsia="仿宋_GB2312" w:hAnsi="仿宋_GB2312" w:cs="仿宋_GB2312"/>
          <w:i w:val="0"/>
          <w:iCs w:val="0"/>
        </w:rPr>
        <w:t>1.2项目内容</w:t>
      </w:r>
      <w:bookmarkEnd w:id="7"/>
    </w:p>
    <w:p>
      <w:pPr>
        <w:pStyle w:val="Heading30"/>
        <w:keepNext w:val="0"/>
        <w:spacing w:before="0" w:after="0" w:line="360" w:lineRule="auto"/>
        <w:rPr>
          <w:rFonts w:ascii="仿宋_GB2312" w:eastAsia="仿宋_GB2312" w:hAnsi="仿宋_GB2312" w:cs="仿宋_GB2312"/>
          <w:b/>
          <w:bCs/>
          <w:sz w:val="28"/>
          <w:szCs w:val="28"/>
        </w:rPr>
      </w:pPr>
      <w:bookmarkStart w:id="8" w:name="_Toc256000004"/>
      <w:r>
        <w:rPr>
          <w:rFonts w:ascii="仿宋_GB2312" w:eastAsia="仿宋_GB2312" w:hAnsi="仿宋_GB2312" w:cs="仿宋_GB2312"/>
          <w:sz w:val="28"/>
          <w:szCs w:val="28"/>
        </w:rPr>
        <w:t>1.2.1采购内容</w:t>
      </w:r>
      <w:bookmarkEnd w:id="8"/>
    </w:p>
    <w:p>
      <w:pPr>
        <w:pStyle w:val="150"/>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本包采购国家税务总局敦化市税务局所需办税服务厅及党建宣传展示系统多媒体屏幕，含相应安装及配送。</w:t>
      </w:r>
    </w:p>
    <w:p>
      <w:pPr>
        <w:pStyle w:val="Heading30"/>
        <w:keepNext w:val="0"/>
        <w:spacing w:before="0" w:after="0" w:line="360" w:lineRule="auto"/>
        <w:rPr>
          <w:rFonts w:ascii="仿宋_GB2312" w:eastAsia="仿宋_GB2312" w:hAnsi="仿宋_GB2312" w:cs="仿宋_GB2312"/>
          <w:b/>
          <w:bCs/>
          <w:sz w:val="28"/>
          <w:szCs w:val="28"/>
        </w:rPr>
      </w:pPr>
      <w:bookmarkStart w:id="9" w:name="_Toc256000005"/>
      <w:r>
        <w:rPr>
          <w:rFonts w:ascii="仿宋_GB2312" w:eastAsia="仿宋_GB2312" w:hAnsi="仿宋_GB2312" w:cs="仿宋_GB2312"/>
          <w:sz w:val="28"/>
          <w:szCs w:val="28"/>
        </w:rPr>
        <w:t>1.2.2项目实施要求</w:t>
      </w:r>
      <w:bookmarkEnd w:id="9"/>
    </w:p>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1.2.2.1实施范围要求</w:t>
      </w:r>
    </w:p>
    <w:p>
      <w:pPr>
        <w:pStyle w:val="150"/>
        <w:spacing w:before="0" w:after="0" w:line="360" w:lineRule="auto"/>
        <w:ind w:firstLine="560"/>
        <w:jc w:val="both"/>
        <w:rPr>
          <w:rFonts w:ascii="Times New Roman" w:eastAsia="Times New Roman" w:hAnsi="Times New Roman" w:cs="Times New Roman"/>
        </w:rPr>
      </w:pPr>
      <w:r>
        <w:rPr>
          <w:rFonts w:ascii="仿宋_GB2312" w:eastAsia="仿宋_GB2312" w:hAnsi="仿宋_GB2312" w:cs="仿宋_GB2312"/>
          <w:sz w:val="28"/>
          <w:szCs w:val="28"/>
        </w:rPr>
        <w:t>具体要求如下：</w:t>
      </w:r>
    </w:p>
    <w:p>
      <w:pPr>
        <w:pStyle w:val="16"/>
        <w:spacing w:before="0" w:after="0" w:line="360" w:lineRule="auto"/>
        <w:rPr>
          <w:rFonts w:ascii="Times New Roman" w:eastAsia="Times New Roman" w:hAnsi="Times New Roman" w:cs="Times New Roman"/>
        </w:rPr>
      </w:pPr>
      <w:r>
        <w:rPr>
          <w:rFonts w:ascii="仿宋_GB2312" w:eastAsia="仿宋_GB2312" w:hAnsi="仿宋_GB2312" w:cs="仿宋_GB2312"/>
          <w:b/>
          <w:bCs/>
          <w:sz w:val="28"/>
          <w:szCs w:val="28"/>
        </w:rPr>
        <w:t>    1.2.2.1.1硬件设备采购与安装</w:t>
      </w:r>
    </w:p>
    <w:p>
      <w:pPr>
        <w:pStyle w:val="16"/>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多媒体显示屏幕（如室内全彩</w:t>
      </w:r>
      <w:r>
        <w:rPr>
          <w:rFonts w:ascii="仿宋_GB2312" w:eastAsia="仿宋_GB2312" w:hAnsi="仿宋_GB2312" w:cs="仿宋_GB2312"/>
          <w:sz w:val="28"/>
          <w:szCs w:val="28"/>
        </w:rPr>
        <w:t>LED屏、LCD拼接屏、触摸查询一体机等）的供应。</w:t>
      </w:r>
    </w:p>
    <w:p>
      <w:pPr>
        <w:pStyle w:val="16"/>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配套设备（如控制主机、信号切换器、支架、线缆、配电设备等）的调试。</w:t>
      </w:r>
    </w:p>
    <w:p>
      <w:pPr>
        <w:pStyle w:val="16"/>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设备的现场安装、调试及固定，确保符合安全与视觉展示要求。</w:t>
      </w:r>
    </w:p>
    <w:p>
      <w:pPr>
        <w:pStyle w:val="16"/>
        <w:spacing w:before="0" w:after="0" w:line="360" w:lineRule="auto"/>
        <w:rPr>
          <w:rFonts w:ascii="Times New Roman" w:eastAsia="Times New Roman" w:hAnsi="Times New Roman" w:cs="Times New Roman"/>
        </w:rPr>
      </w:pPr>
      <w:r>
        <w:rPr>
          <w:rFonts w:ascii="仿宋_GB2312" w:eastAsia="仿宋_GB2312" w:hAnsi="仿宋_GB2312" w:cs="仿宋_GB2312"/>
          <w:b/>
          <w:bCs/>
          <w:sz w:val="28"/>
          <w:szCs w:val="28"/>
        </w:rPr>
        <w:t>    1.2.2.1.2系统集成与调试</w:t>
      </w:r>
    </w:p>
    <w:p>
      <w:pPr>
        <w:pStyle w:val="16"/>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显示系统与现有办税业务系统，党建宣传平台的对接。</w:t>
      </w:r>
    </w:p>
    <w:p>
      <w:pPr>
        <w:pStyle w:val="16"/>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多屏联动控制系统的部署与调试。</w:t>
      </w:r>
    </w:p>
    <w:p>
      <w:pPr>
        <w:pStyle w:val="16"/>
        <w:spacing w:before="0" w:after="0" w:line="360" w:lineRule="auto"/>
        <w:rPr>
          <w:rFonts w:ascii="Times New Roman" w:eastAsia="Times New Roman" w:hAnsi="Times New Roman" w:cs="Times New Roman"/>
        </w:rPr>
      </w:pPr>
      <w:r>
        <w:rPr>
          <w:rFonts w:ascii="仿宋_GB2312" w:eastAsia="仿宋_GB2312" w:hAnsi="仿宋_GB2312" w:cs="仿宋_GB2312"/>
          <w:b/>
          <w:bCs/>
          <w:sz w:val="28"/>
          <w:szCs w:val="28"/>
        </w:rPr>
        <w:t>    1.2.2.1.3控制软件</w:t>
      </w:r>
    </w:p>
    <w:p>
      <w:pPr>
        <w:pStyle w:val="16"/>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配套多媒体内容管理软件的安装与调试。</w:t>
      </w:r>
    </w:p>
    <w:p>
      <w:pPr>
        <w:pStyle w:val="16"/>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操作人员培训，确保税务人员可自主更新上传内容。</w:t>
      </w:r>
    </w:p>
    <w:p>
      <w:pPr>
        <w:pStyle w:val="16"/>
        <w:spacing w:before="0" w:after="0" w:line="360" w:lineRule="auto"/>
        <w:rPr>
          <w:rFonts w:ascii="Times New Roman" w:eastAsia="Times New Roman" w:hAnsi="Times New Roman" w:cs="Times New Roman"/>
        </w:rPr>
      </w:pPr>
      <w:r>
        <w:rPr>
          <w:rFonts w:ascii="仿宋_GB2312" w:eastAsia="仿宋_GB2312" w:hAnsi="仿宋_GB2312" w:cs="仿宋_GB2312"/>
          <w:b/>
          <w:bCs/>
          <w:sz w:val="28"/>
          <w:szCs w:val="28"/>
        </w:rPr>
        <w:t>    1.2.2.1.4点位规划与安装实施</w:t>
      </w:r>
    </w:p>
    <w:p>
      <w:pPr>
        <w:pStyle w:val="16"/>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在办税服务厅区域部署屏幕。</w:t>
      </w:r>
    </w:p>
    <w:p>
      <w:pPr>
        <w:pStyle w:val="16"/>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安装位置需符合消防安全、人员动线及观看舒适度要求。</w:t>
      </w:r>
    </w:p>
    <w:p>
      <w:pPr>
        <w:pStyle w:val="16"/>
        <w:spacing w:before="0" w:after="0" w:line="360" w:lineRule="auto"/>
        <w:rPr>
          <w:rFonts w:ascii="Times New Roman" w:eastAsia="Times New Roman" w:hAnsi="Times New Roman" w:cs="Times New Roman"/>
        </w:rPr>
      </w:pPr>
      <w:r>
        <w:rPr>
          <w:rFonts w:ascii="仿宋_GB2312" w:eastAsia="仿宋_GB2312" w:hAnsi="仿宋_GB2312" w:cs="仿宋_GB2312"/>
          <w:b/>
          <w:bCs/>
          <w:sz w:val="28"/>
          <w:szCs w:val="28"/>
        </w:rPr>
        <w:t>    1.2.2.1.5系统功能要求</w:t>
      </w:r>
    </w:p>
    <w:p>
      <w:pPr>
        <w:pStyle w:val="16"/>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支持分屏显示（如政策宣传、信息同屏）。</w:t>
      </w:r>
    </w:p>
    <w:p>
      <w:pPr>
        <w:pStyle w:val="16"/>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支持音视频、图文、实时数据播放。</w:t>
      </w:r>
    </w:p>
    <w:p>
      <w:pPr>
        <w:pStyle w:val="16"/>
        <w:spacing w:before="0" w:after="0" w:line="360" w:lineRule="auto"/>
        <w:rPr>
          <w:rFonts w:ascii="Times New Roman" w:eastAsia="Times New Roman" w:hAnsi="Times New Roman" w:cs="Times New Roman"/>
        </w:rPr>
      </w:pPr>
      <w:r>
        <w:rPr>
          <w:rFonts w:ascii="仿宋_GB2312" w:eastAsia="仿宋_GB2312" w:hAnsi="仿宋_GB2312" w:cs="仿宋_GB2312"/>
          <w:b/>
          <w:bCs/>
          <w:sz w:val="28"/>
          <w:szCs w:val="28"/>
        </w:rPr>
        <w:t>    1.2.2.1.6验收与培训</w:t>
      </w:r>
    </w:p>
    <w:p>
      <w:pPr>
        <w:pStyle w:val="16"/>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系统交付前需进行</w:t>
      </w:r>
      <w:r>
        <w:rPr>
          <w:rFonts w:ascii="仿宋_GB2312" w:eastAsia="仿宋_GB2312" w:hAnsi="仿宋_GB2312" w:cs="仿宋_GB2312"/>
          <w:sz w:val="28"/>
          <w:szCs w:val="28"/>
        </w:rPr>
        <w:t>72小时连续稳定性测试。</w:t>
      </w:r>
    </w:p>
    <w:p>
      <w:pPr>
        <w:pStyle w:val="16"/>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提供完整的操作手册及现场培训。</w:t>
      </w:r>
    </w:p>
    <w:p>
      <w:pPr>
        <w:pStyle w:val="16"/>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验收标准：画面清晰无残影、控制系统响应及时、内容切换流畅。</w:t>
      </w:r>
    </w:p>
    <w:p>
      <w:pPr>
        <w:pStyle w:val="16"/>
        <w:spacing w:before="0" w:after="0" w:line="360" w:lineRule="auto"/>
        <w:rPr>
          <w:rFonts w:ascii="Times New Roman" w:eastAsia="Times New Roman" w:hAnsi="Times New Roman" w:cs="Times New Roman"/>
        </w:rPr>
      </w:pPr>
      <w:r>
        <w:rPr>
          <w:rFonts w:ascii="仿宋_GB2312" w:eastAsia="仿宋_GB2312" w:hAnsi="仿宋_GB2312" w:cs="仿宋_GB2312"/>
          <w:b/>
          <w:bCs/>
          <w:sz w:val="28"/>
          <w:szCs w:val="28"/>
        </w:rPr>
        <w:t>    1.2.2.1.7售后服务范围</w:t>
      </w:r>
    </w:p>
    <w:p>
      <w:pPr>
        <w:pStyle w:val="16"/>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提供不少于</w:t>
      </w:r>
      <w:r>
        <w:rPr>
          <w:rFonts w:ascii="仿宋_GB2312" w:eastAsia="仿宋_GB2312" w:hAnsi="仿宋_GB2312" w:cs="仿宋_GB2312"/>
          <w:sz w:val="28"/>
          <w:szCs w:val="28"/>
        </w:rPr>
        <w:t>2年硬件质保。</w:t>
      </w:r>
    </w:p>
    <w:p>
      <w:pPr>
        <w:pStyle w:val="16"/>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7×12小时远程技术支持。</w:t>
      </w:r>
    </w:p>
    <w:p>
      <w:pPr>
        <w:pStyle w:val="16"/>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定期巡检服务（每年不少于</w:t>
      </w:r>
      <w:r>
        <w:rPr>
          <w:rFonts w:ascii="仿宋_GB2312" w:eastAsia="仿宋_GB2312" w:hAnsi="仿宋_GB2312" w:cs="仿宋_GB2312"/>
          <w:sz w:val="28"/>
          <w:szCs w:val="28"/>
        </w:rPr>
        <w:t>2次）。</w:t>
      </w:r>
    </w:p>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1.2.2.2实施时间要求</w:t>
      </w:r>
    </w:p>
    <w:p>
      <w:pPr>
        <w:pStyle w:val="150"/>
        <w:spacing w:before="0" w:after="0" w:line="360" w:lineRule="auto"/>
        <w:ind w:left="0" w:right="0" w:firstLine="480"/>
        <w:jc w:val="both"/>
        <w:rPr>
          <w:rFonts w:ascii="Times New Roman" w:eastAsia="Times New Roman" w:hAnsi="Times New Roman" w:cs="Times New Roman"/>
        </w:rPr>
      </w:pPr>
      <w:r>
        <w:rPr>
          <w:rFonts w:ascii="仿宋_GB2312" w:eastAsia="仿宋_GB2312" w:hAnsi="仿宋_GB2312" w:cs="仿宋_GB2312"/>
          <w:sz w:val="28"/>
          <w:szCs w:val="28"/>
        </w:rPr>
        <w:t>到货期限：自合同签订之日起</w:t>
      </w:r>
      <w:r>
        <w:rPr>
          <w:rFonts w:ascii="仿宋_GB2312" w:eastAsia="仿宋_GB2312" w:hAnsi="仿宋_GB2312" w:cs="仿宋_GB2312"/>
          <w:sz w:val="28"/>
          <w:szCs w:val="28"/>
        </w:rPr>
        <w:t>10天到达国家税务总局敦化市税务局指定地点，并保证所有货物全部符合质量标准和要求。货物经验收合格后，10天内完成设备调试部署，并保证所有设备稳定运行。</w:t>
      </w:r>
    </w:p>
    <w:p>
      <w:pPr>
        <w:pStyle w:val="150"/>
        <w:spacing w:before="0" w:after="0" w:line="360" w:lineRule="auto"/>
        <w:ind w:left="0" w:right="0" w:firstLine="480"/>
        <w:jc w:val="both"/>
        <w:rPr>
          <w:rFonts w:ascii="Times New Roman" w:eastAsia="Times New Roman" w:hAnsi="Times New Roman" w:cs="Times New Roman"/>
        </w:rPr>
      </w:pPr>
      <w:r>
        <w:rPr>
          <w:rFonts w:ascii="仿宋_GB2312" w:eastAsia="仿宋_GB2312" w:hAnsi="仿宋_GB2312" w:cs="仿宋_GB2312"/>
          <w:sz w:val="28"/>
          <w:szCs w:val="28"/>
        </w:rPr>
        <w:t>质量保障服务期限：自验收通过之日起</w:t>
      </w:r>
      <w:r>
        <w:rPr>
          <w:rFonts w:ascii="仿宋_GB2312" w:eastAsia="仿宋_GB2312" w:hAnsi="仿宋_GB2312" w:cs="仿宋_GB2312"/>
          <w:sz w:val="28"/>
          <w:szCs w:val="28"/>
        </w:rPr>
        <w:t>2年。</w:t>
      </w:r>
    </w:p>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1.2.2.3实施地点要求</w:t>
      </w:r>
    </w:p>
    <w:p>
      <w:pPr>
        <w:pStyle w:val="150"/>
        <w:spacing w:before="0" w:after="0" w:line="360" w:lineRule="auto"/>
        <w:ind w:firstLine="560"/>
        <w:jc w:val="both"/>
        <w:rPr>
          <w:rFonts w:ascii="Times New Roman" w:eastAsia="Times New Roman" w:hAnsi="Times New Roman" w:cs="Times New Roman"/>
        </w:rPr>
      </w:pPr>
      <w:r>
        <w:rPr>
          <w:rFonts w:ascii="仿宋_GB2312" w:eastAsia="仿宋_GB2312" w:hAnsi="仿宋_GB2312" w:cs="仿宋_GB2312"/>
          <w:sz w:val="28"/>
          <w:szCs w:val="28"/>
        </w:rPr>
        <w:t>国家税务总局敦化市税务局。</w:t>
      </w:r>
    </w:p>
    <w:p>
      <w:pPr>
        <w:pStyle w:val="Heading10"/>
        <w:keepNext w:val="0"/>
        <w:spacing w:before="0" w:after="0" w:line="360" w:lineRule="auto"/>
        <w:jc w:val="center"/>
        <w:rPr>
          <w:rFonts w:ascii="仿宋_GB2312" w:eastAsia="仿宋_GB2312" w:hAnsi="仿宋_GB2312" w:cs="仿宋_GB2312"/>
          <w:b/>
          <w:bCs/>
          <w:sz w:val="32"/>
          <w:szCs w:val="32"/>
        </w:rPr>
      </w:pPr>
      <w:bookmarkStart w:id="10" w:name="_Toc256000006"/>
      <w:r>
        <w:rPr>
          <w:rFonts w:ascii="仿宋_GB2312" w:eastAsia="仿宋_GB2312" w:hAnsi="仿宋_GB2312" w:cs="仿宋_GB2312"/>
          <w:kern w:val="36"/>
        </w:rPr>
        <w:t>2投标/响应要求</w:t>
      </w:r>
      <w:bookmarkEnd w:id="10"/>
    </w:p>
    <w:p>
      <w:pPr>
        <w:pStyle w:val="Heading20"/>
        <w:keepNext w:val="0"/>
        <w:spacing w:before="0" w:after="0" w:line="360" w:lineRule="auto"/>
        <w:rPr>
          <w:rFonts w:ascii="仿宋_GB2312" w:eastAsia="仿宋_GB2312" w:hAnsi="仿宋_GB2312" w:cs="仿宋_GB2312"/>
          <w:b/>
          <w:bCs/>
          <w:sz w:val="28"/>
          <w:szCs w:val="28"/>
        </w:rPr>
      </w:pPr>
      <w:bookmarkStart w:id="11" w:name="_Toc256000007"/>
      <w:r>
        <w:rPr>
          <w:rFonts w:ascii="仿宋_GB2312" w:eastAsia="仿宋_GB2312" w:hAnsi="仿宋_GB2312" w:cs="仿宋_GB2312"/>
          <w:i w:val="0"/>
          <w:iCs w:val="0"/>
        </w:rPr>
        <w:t>2.1对供应商的要求</w:t>
      </w:r>
      <w:bookmarkEnd w:id="11"/>
    </w:p>
    <w:p>
      <w:pPr>
        <w:pStyle w:val="Heading30"/>
        <w:keepNext w:val="0"/>
        <w:spacing w:before="0" w:after="0" w:line="360" w:lineRule="auto"/>
        <w:rPr>
          <w:rFonts w:ascii="仿宋_GB2312" w:eastAsia="仿宋_GB2312" w:hAnsi="仿宋_GB2312" w:cs="仿宋_GB2312"/>
          <w:b/>
          <w:bCs/>
          <w:sz w:val="28"/>
          <w:szCs w:val="28"/>
        </w:rPr>
      </w:pPr>
      <w:bookmarkStart w:id="12" w:name="_Toc256000008"/>
      <w:r>
        <w:rPr>
          <w:rFonts w:ascii="仿宋_GB2312" w:eastAsia="仿宋_GB2312" w:hAnsi="仿宋_GB2312" w:cs="仿宋_GB2312"/>
          <w:sz w:val="28"/>
          <w:szCs w:val="28"/>
        </w:rPr>
        <w:t>2.1.1必备资质</w:t>
      </w:r>
      <w:bookmarkEnd w:id="12"/>
    </w:p>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2.1.1.1投标人应遵守有关国家法律、法规和条例,具备《中华人民共和国政府采购法》第二十二条的规定和本文件中规定的条件。</w:t>
      </w:r>
    </w:p>
    <w:p>
      <w:pPr>
        <w:pStyle w:val="Heading30"/>
        <w:keepNext w:val="0"/>
        <w:spacing w:before="0" w:after="0" w:line="360" w:lineRule="auto"/>
        <w:rPr>
          <w:rFonts w:ascii="仿宋_GB2312" w:eastAsia="仿宋_GB2312" w:hAnsi="仿宋_GB2312" w:cs="仿宋_GB2312"/>
          <w:b/>
          <w:bCs/>
          <w:sz w:val="28"/>
          <w:szCs w:val="28"/>
        </w:rPr>
      </w:pPr>
      <w:bookmarkStart w:id="13" w:name="_Toc256000009"/>
      <w:r>
        <w:rPr>
          <w:rFonts w:ascii="仿宋_GB2312" w:eastAsia="仿宋_GB2312" w:hAnsi="仿宋_GB2312" w:cs="仿宋_GB2312"/>
          <w:sz w:val="28"/>
          <w:szCs w:val="28"/>
        </w:rPr>
        <w:t>2.1.2优选资质/优选指标</w:t>
      </w:r>
      <w:bookmarkEnd w:id="13"/>
    </w:p>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2.1.2.1相关证书</w:t>
      </w:r>
    </w:p>
    <w:tbl>
      <w:tblPr>
        <w:tblStyle w:val="16Table"/>
        <w:tblW w:w="5000" w:type="pct"/>
        <w:tblCellSpacing w:w="0" w:type="dxa"/>
        <w:tblInd w:w="286" w:type="dxa"/>
        <w:tblCellMar>
          <w:top w:w="15" w:type="dxa"/>
          <w:left w:w="15" w:type="dxa"/>
          <w:bottom w:w="15" w:type="dxa"/>
          <w:right w:w="15" w:type="dxa"/>
        </w:tblCellMar>
        <w:tblLook w:val="05E0"/>
      </w:tblPr>
      <w:tblGrid>
        <w:gridCol w:w="906"/>
        <w:gridCol w:w="4532"/>
        <w:gridCol w:w="3636"/>
      </w:tblGrid>
      <w:tr>
        <w:tblPrEx>
          <w:tblW w:w="5000" w:type="pct"/>
          <w:tblCellSpacing w:w="0" w:type="dxa"/>
          <w:tblInd w:w="286" w:type="dxa"/>
          <w:tblCellMar>
            <w:top w:w="15" w:type="dxa"/>
            <w:left w:w="15" w:type="dxa"/>
            <w:bottom w:w="15" w:type="dxa"/>
            <w:right w:w="15" w:type="dxa"/>
          </w:tblCellMar>
          <w:tblLook w:val="05E0"/>
        </w:tblPrEx>
        <w:trPr>
          <w:tblCellSpacing w:w="0" w:type="dxa"/>
        </w:trPr>
        <w:tc>
          <w:tcPr>
            <w:tcW w:w="499" w:type="pct"/>
            <w:tcBorders>
              <w:top w:val="single" w:sz="8" w:space="0" w:color="000000"/>
              <w:left w:val="single" w:sz="8" w:space="0" w:color="000000"/>
              <w:bottom w:val="single" w:sz="8" w:space="0" w:color="000000"/>
              <w:right w:val="single" w:sz="8" w:space="0" w:color="000000"/>
            </w:tcBorders>
            <w:shd w:val="clear" w:color="auto" w:fill="D3D3D3"/>
            <w:noWrap w:val="0"/>
            <w:tcMar>
              <w:top w:w="42" w:type="dxa"/>
              <w:left w:w="42" w:type="dxa"/>
              <w:bottom w:w="42" w:type="dxa"/>
              <w:right w:w="42"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1"/>
                <w:szCs w:val="21"/>
              </w:rPr>
              <w:t>序号</w:t>
            </w:r>
          </w:p>
        </w:tc>
        <w:tc>
          <w:tcPr>
            <w:tcW w:w="2496" w:type="pct"/>
            <w:tcBorders>
              <w:top w:val="single" w:sz="8" w:space="0" w:color="000000"/>
              <w:bottom w:val="single" w:sz="8" w:space="0" w:color="000000"/>
              <w:right w:val="single" w:sz="8" w:space="0" w:color="000000"/>
            </w:tcBorders>
            <w:shd w:val="clear" w:color="auto" w:fill="D3D3D3"/>
            <w:noWrap w:val="0"/>
            <w:tcMar>
              <w:top w:w="42" w:type="dxa"/>
              <w:left w:w="27" w:type="dxa"/>
              <w:bottom w:w="42" w:type="dxa"/>
              <w:right w:w="42"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1"/>
                <w:szCs w:val="21"/>
              </w:rPr>
              <w:t>证书名称</w:t>
            </w:r>
          </w:p>
        </w:tc>
        <w:tc>
          <w:tcPr>
            <w:tcW w:w="2003" w:type="pct"/>
            <w:tcBorders>
              <w:top w:val="single" w:sz="8" w:space="0" w:color="000000"/>
              <w:bottom w:val="single" w:sz="8" w:space="0" w:color="000000"/>
              <w:right w:val="single" w:sz="8" w:space="0" w:color="000000"/>
            </w:tcBorders>
            <w:shd w:val="clear" w:color="auto" w:fill="D3D3D3"/>
            <w:noWrap w:val="0"/>
            <w:tcMar>
              <w:top w:w="42" w:type="dxa"/>
              <w:left w:w="27" w:type="dxa"/>
              <w:bottom w:w="42" w:type="dxa"/>
              <w:right w:w="42"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1"/>
                <w:szCs w:val="21"/>
              </w:rPr>
              <w:t>备注</w:t>
            </w:r>
          </w:p>
        </w:tc>
      </w:tr>
      <w:tr>
        <w:tblPrEx>
          <w:tblW w:w="5000" w:type="pct"/>
          <w:tblCellSpacing w:w="0" w:type="dxa"/>
          <w:tblInd w:w="286" w:type="dxa"/>
          <w:tblCellMar>
            <w:top w:w="15" w:type="dxa"/>
            <w:left w:w="15" w:type="dxa"/>
            <w:bottom w:w="15" w:type="dxa"/>
            <w:right w:w="15" w:type="dxa"/>
          </w:tblCellMar>
          <w:tblLook w:val="05E0"/>
        </w:tblPrEx>
        <w:trPr>
          <w:tblCellSpacing w:w="0" w:type="dxa"/>
        </w:trPr>
        <w:tc>
          <w:tcPr>
            <w:tcBorders>
              <w:left w:val="single" w:sz="8" w:space="0" w:color="000000"/>
              <w:bottom w:val="single" w:sz="8" w:space="0" w:color="000000"/>
              <w:right w:val="single" w:sz="8" w:space="0" w:color="000000"/>
            </w:tcBorders>
            <w:noWrap w:val="0"/>
            <w:tcMar>
              <w:top w:w="27" w:type="dxa"/>
              <w:left w:w="42" w:type="dxa"/>
              <w:bottom w:w="42" w:type="dxa"/>
              <w:right w:w="42"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1</w:t>
            </w:r>
          </w:p>
        </w:tc>
        <w:tc>
          <w:tcPr>
            <w:tcW w:w="2496" w:type="pct"/>
            <w:tcBorders>
              <w:bottom w:val="single" w:sz="8" w:space="0" w:color="000000"/>
              <w:right w:val="single" w:sz="8" w:space="0" w:color="000000"/>
            </w:tcBorders>
            <w:noWrap w:val="0"/>
            <w:tcMar>
              <w:top w:w="27" w:type="dxa"/>
              <w:left w:w="27" w:type="dxa"/>
              <w:bottom w:w="42" w:type="dxa"/>
              <w:right w:w="42" w:type="dxa"/>
            </w:tcMar>
            <w:vAlign w:val="center"/>
            <w:hideMark/>
          </w:tcPr>
          <w:p>
            <w:pPr>
              <w:pStyle w:val="15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质量管理体系认证证书(ISO9001)</w:t>
            </w:r>
          </w:p>
        </w:tc>
        <w:tc>
          <w:tcPr>
            <w:tcW w:w="2003" w:type="pct"/>
            <w:tcBorders>
              <w:bottom w:val="single" w:sz="8" w:space="0" w:color="000000"/>
              <w:right w:val="single" w:sz="8" w:space="0" w:color="000000"/>
            </w:tcBorders>
            <w:noWrap w:val="0"/>
            <w:tcMar>
              <w:top w:w="27" w:type="dxa"/>
              <w:left w:w="27" w:type="dxa"/>
              <w:bottom w:w="42" w:type="dxa"/>
              <w:right w:w="42" w:type="dxa"/>
            </w:tcMar>
            <w:vAlign w:val="center"/>
            <w:hideMark/>
          </w:tcPr>
          <w:p>
            <w:pPr>
              <w:pStyle w:val="15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 </w:t>
            </w:r>
          </w:p>
        </w:tc>
      </w:tr>
      <w:tr>
        <w:tblPrEx>
          <w:tblW w:w="5000" w:type="pct"/>
          <w:tblCellSpacing w:w="0" w:type="dxa"/>
          <w:tblInd w:w="286" w:type="dxa"/>
          <w:tblCellMar>
            <w:top w:w="15" w:type="dxa"/>
            <w:left w:w="15" w:type="dxa"/>
            <w:bottom w:w="15" w:type="dxa"/>
            <w:right w:w="15" w:type="dxa"/>
          </w:tblCellMar>
          <w:tblLook w:val="05E0"/>
        </w:tblPrEx>
        <w:trPr>
          <w:tblCellSpacing w:w="0" w:type="dxa"/>
        </w:trPr>
        <w:tc>
          <w:tcPr>
            <w:tcBorders>
              <w:left w:val="single" w:sz="8" w:space="0" w:color="000000"/>
              <w:bottom w:val="single" w:sz="8" w:space="0" w:color="000000"/>
              <w:right w:val="single" w:sz="8" w:space="0" w:color="000000"/>
            </w:tcBorders>
            <w:noWrap w:val="0"/>
            <w:tcMar>
              <w:top w:w="27" w:type="dxa"/>
              <w:left w:w="42" w:type="dxa"/>
              <w:bottom w:w="42" w:type="dxa"/>
              <w:right w:w="42"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2</w:t>
            </w:r>
          </w:p>
        </w:tc>
        <w:tc>
          <w:tcPr>
            <w:tcW w:w="2496" w:type="pct"/>
            <w:tcBorders>
              <w:bottom w:val="single" w:sz="8" w:space="0" w:color="000000"/>
              <w:right w:val="single" w:sz="8" w:space="0" w:color="000000"/>
            </w:tcBorders>
            <w:noWrap w:val="0"/>
            <w:tcMar>
              <w:top w:w="27" w:type="dxa"/>
              <w:left w:w="27" w:type="dxa"/>
              <w:bottom w:w="42" w:type="dxa"/>
              <w:right w:w="42" w:type="dxa"/>
            </w:tcMar>
            <w:vAlign w:val="center"/>
            <w:hideMark/>
          </w:tcPr>
          <w:p>
            <w:pPr>
              <w:pStyle w:val="15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信息安全管理体系认证(ISO/IEC 27001)</w:t>
            </w:r>
          </w:p>
        </w:tc>
        <w:tc>
          <w:tcPr>
            <w:tcW w:w="2003" w:type="pct"/>
            <w:tcBorders>
              <w:bottom w:val="single" w:sz="8" w:space="0" w:color="000000"/>
              <w:right w:val="single" w:sz="8" w:space="0" w:color="000000"/>
            </w:tcBorders>
            <w:noWrap w:val="0"/>
            <w:tcMar>
              <w:top w:w="27" w:type="dxa"/>
              <w:left w:w="27" w:type="dxa"/>
              <w:bottom w:w="42" w:type="dxa"/>
              <w:right w:w="42" w:type="dxa"/>
            </w:tcMar>
            <w:vAlign w:val="center"/>
            <w:hideMark/>
          </w:tcPr>
          <w:p>
            <w:pPr>
              <w:pStyle w:val="15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 </w:t>
            </w:r>
          </w:p>
        </w:tc>
      </w:tr>
      <w:tr>
        <w:tblPrEx>
          <w:tblW w:w="5000" w:type="pct"/>
          <w:tblCellSpacing w:w="0" w:type="dxa"/>
          <w:tblInd w:w="286" w:type="dxa"/>
          <w:tblCellMar>
            <w:top w:w="15" w:type="dxa"/>
            <w:left w:w="15" w:type="dxa"/>
            <w:bottom w:w="15" w:type="dxa"/>
            <w:right w:w="15" w:type="dxa"/>
          </w:tblCellMar>
          <w:tblLook w:val="05E0"/>
        </w:tblPrEx>
        <w:trPr>
          <w:tblCellSpacing w:w="0" w:type="dxa"/>
        </w:trPr>
        <w:tc>
          <w:tcPr>
            <w:tcBorders>
              <w:left w:val="single" w:sz="8" w:space="0" w:color="000000"/>
              <w:bottom w:val="single" w:sz="8" w:space="0" w:color="000000"/>
              <w:right w:val="single" w:sz="8" w:space="0" w:color="000000"/>
            </w:tcBorders>
            <w:noWrap w:val="0"/>
            <w:tcMar>
              <w:top w:w="27" w:type="dxa"/>
              <w:left w:w="42" w:type="dxa"/>
              <w:bottom w:w="42" w:type="dxa"/>
              <w:right w:w="42"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3</w:t>
            </w:r>
          </w:p>
        </w:tc>
        <w:tc>
          <w:tcPr>
            <w:tcW w:w="2496" w:type="pct"/>
            <w:tcBorders>
              <w:bottom w:val="single" w:sz="8" w:space="0" w:color="000000"/>
              <w:right w:val="single" w:sz="8" w:space="0" w:color="000000"/>
            </w:tcBorders>
            <w:noWrap w:val="0"/>
            <w:tcMar>
              <w:top w:w="27" w:type="dxa"/>
              <w:left w:w="27" w:type="dxa"/>
              <w:bottom w:w="42" w:type="dxa"/>
              <w:right w:w="42" w:type="dxa"/>
            </w:tcMar>
            <w:vAlign w:val="center"/>
            <w:hideMark/>
          </w:tcPr>
          <w:p>
            <w:pPr>
              <w:pStyle w:val="15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信息技术服务管理体系认证(ISO/IEC 20000)</w:t>
            </w:r>
          </w:p>
        </w:tc>
        <w:tc>
          <w:tcPr>
            <w:tcW w:w="2003" w:type="pct"/>
            <w:tcBorders>
              <w:bottom w:val="single" w:sz="8" w:space="0" w:color="000000"/>
              <w:right w:val="single" w:sz="8" w:space="0" w:color="000000"/>
            </w:tcBorders>
            <w:noWrap w:val="0"/>
            <w:tcMar>
              <w:top w:w="27" w:type="dxa"/>
              <w:left w:w="27" w:type="dxa"/>
              <w:bottom w:w="42" w:type="dxa"/>
              <w:right w:w="42" w:type="dxa"/>
            </w:tcMar>
            <w:vAlign w:val="center"/>
            <w:hideMark/>
          </w:tcPr>
          <w:p>
            <w:pPr>
              <w:pStyle w:val="150"/>
              <w:rPr>
                <w:rFonts w:ascii="Times New Roman" w:eastAsia="Times New Roman" w:hAnsi="Times New Roman" w:cs="Times New Roman"/>
                <w:b w:val="0"/>
                <w:bCs w:val="0"/>
                <w:i w:val="0"/>
                <w:iCs w:val="0"/>
                <w:smallCaps w:val="0"/>
                <w:color w:val="000000"/>
              </w:rPr>
            </w:pPr>
            <w:r>
              <w:rPr>
                <w:b w:val="0"/>
                <w:bCs w:val="0"/>
                <w:i w:val="0"/>
                <w:iCs w:val="0"/>
                <w:smallCaps w:val="0"/>
                <w:color w:val="000000"/>
              </w:rPr>
              <w:t> </w:t>
            </w:r>
          </w:p>
        </w:tc>
      </w:tr>
    </w:tbl>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2.1.2.2成功案例</w:t>
      </w:r>
    </w:p>
    <w:p>
      <w:pPr>
        <w:pStyle w:val="150"/>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提供</w:t>
      </w:r>
      <w:r>
        <w:rPr>
          <w:rFonts w:ascii="仿宋_GB2312" w:eastAsia="仿宋_GB2312" w:hAnsi="仿宋_GB2312" w:cs="仿宋_GB2312"/>
          <w:sz w:val="28"/>
          <w:szCs w:val="28"/>
        </w:rPr>
        <w:t>2020年1月1日以来（以合同签订日期为准）独立承担实施的相类似项目成功案例。为同一个单位提供类似货物分年度多次签订的案例按1个计算。投标方提供同类业绩资料的合同等证明材料复印件。有效业绩要求包括：根据应答人提供近年同类项目业绩，要求提供同类业绩发票相关信息和发票扫描件及对应的合同扫描件，发票未通过税务局网站验证的不予计取，提供的合同关键信息必须完整。</w:t>
      </w:r>
    </w:p>
    <w:p>
      <w:pPr>
        <w:pStyle w:val="Heading30"/>
        <w:keepNext w:val="0"/>
        <w:spacing w:before="0" w:after="0" w:line="360" w:lineRule="auto"/>
        <w:rPr>
          <w:rFonts w:ascii="仿宋_GB2312" w:eastAsia="仿宋_GB2312" w:hAnsi="仿宋_GB2312" w:cs="仿宋_GB2312"/>
          <w:b/>
          <w:bCs/>
          <w:sz w:val="28"/>
          <w:szCs w:val="28"/>
        </w:rPr>
      </w:pPr>
      <w:bookmarkStart w:id="14" w:name="_Toc256000010"/>
      <w:r>
        <w:rPr>
          <w:rFonts w:ascii="仿宋_GB2312" w:eastAsia="仿宋_GB2312" w:hAnsi="仿宋_GB2312" w:cs="仿宋_GB2312"/>
          <w:sz w:val="28"/>
          <w:szCs w:val="28"/>
        </w:rPr>
        <w:t>2.1.3是否允许联合体</w:t>
      </w:r>
      <w:bookmarkEnd w:id="14"/>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否</w:t>
      </w:r>
    </w:p>
    <w:p>
      <w:pPr>
        <w:pStyle w:val="Heading30"/>
        <w:keepNext w:val="0"/>
        <w:spacing w:before="0" w:after="0" w:line="360" w:lineRule="auto"/>
        <w:rPr>
          <w:rFonts w:ascii="仿宋_GB2312" w:eastAsia="仿宋_GB2312" w:hAnsi="仿宋_GB2312" w:cs="仿宋_GB2312"/>
          <w:b/>
          <w:bCs/>
          <w:sz w:val="28"/>
          <w:szCs w:val="28"/>
        </w:rPr>
      </w:pPr>
      <w:bookmarkStart w:id="15" w:name="_Toc256000011"/>
      <w:r>
        <w:rPr>
          <w:rFonts w:ascii="仿宋_GB2312" w:eastAsia="仿宋_GB2312" w:hAnsi="仿宋_GB2312" w:cs="仿宋_GB2312"/>
          <w:sz w:val="28"/>
          <w:szCs w:val="28"/>
        </w:rPr>
        <w:t>2.1.4是否专门面向中小企业</w:t>
      </w:r>
      <w:bookmarkEnd w:id="15"/>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本项目不专门面向中小企业采购项目</w:t>
      </w:r>
    </w:p>
    <w:p>
      <w:pPr>
        <w:pStyle w:val="Heading20"/>
        <w:keepNext w:val="0"/>
        <w:spacing w:before="0" w:after="0" w:line="360" w:lineRule="auto"/>
        <w:rPr>
          <w:rFonts w:ascii="仿宋_GB2312" w:eastAsia="仿宋_GB2312" w:hAnsi="仿宋_GB2312" w:cs="仿宋_GB2312"/>
          <w:b/>
          <w:bCs/>
          <w:sz w:val="28"/>
          <w:szCs w:val="28"/>
        </w:rPr>
      </w:pPr>
      <w:bookmarkStart w:id="16" w:name="_Toc256000012"/>
      <w:r>
        <w:rPr>
          <w:rFonts w:ascii="仿宋_GB2312" w:eastAsia="仿宋_GB2312" w:hAnsi="仿宋_GB2312" w:cs="仿宋_GB2312"/>
          <w:i w:val="0"/>
          <w:iCs w:val="0"/>
        </w:rPr>
        <w:t>2.2技术部分投标/响应内容</w:t>
      </w:r>
      <w:bookmarkEnd w:id="16"/>
    </w:p>
    <w:p>
      <w:pPr>
        <w:pStyle w:val="Heading30"/>
        <w:keepNext w:val="0"/>
        <w:spacing w:before="0" w:after="0" w:line="360" w:lineRule="auto"/>
        <w:rPr>
          <w:rFonts w:ascii="仿宋_GB2312" w:eastAsia="仿宋_GB2312" w:hAnsi="仿宋_GB2312" w:cs="仿宋_GB2312"/>
          <w:b/>
          <w:bCs/>
          <w:sz w:val="28"/>
          <w:szCs w:val="28"/>
        </w:rPr>
      </w:pPr>
      <w:bookmarkStart w:id="17" w:name="_Toc256000013"/>
      <w:r>
        <w:rPr>
          <w:rFonts w:ascii="仿宋_GB2312" w:eastAsia="仿宋_GB2312" w:hAnsi="仿宋_GB2312" w:cs="仿宋_GB2312"/>
          <w:sz w:val="28"/>
          <w:szCs w:val="28"/>
        </w:rPr>
        <w:t>2.2.1技术投标/响应总要求</w:t>
      </w:r>
      <w:bookmarkEnd w:id="17"/>
    </w:p>
    <w:p>
      <w:pPr>
        <w:pStyle w:val="150"/>
        <w:spacing w:before="0" w:after="0" w:line="360" w:lineRule="auto"/>
        <w:ind w:firstLine="480"/>
        <w:jc w:val="both"/>
        <w:rPr>
          <w:rFonts w:ascii="Times New Roman" w:eastAsia="Times New Roman" w:hAnsi="Times New Roman" w:cs="Times New Roman"/>
        </w:rPr>
      </w:pPr>
      <w:r>
        <w:rPr>
          <w:rFonts w:ascii="仿宋_GB2312" w:eastAsia="仿宋_GB2312" w:hAnsi="仿宋_GB2312" w:cs="仿宋_GB2312"/>
          <w:sz w:val="28"/>
          <w:szCs w:val="28"/>
        </w:rPr>
        <w:t>投标人必须针对技术部分中的需求逐个或分块作出实质性响应，其响应与采购文件内容采用同样的顺序。对每个需求的响应必须遵循如下规则：</w:t>
      </w:r>
    </w:p>
    <w:p>
      <w:pPr>
        <w:pStyle w:val="150"/>
        <w:spacing w:before="0" w:after="0" w:line="360" w:lineRule="auto"/>
        <w:ind w:firstLine="480"/>
        <w:jc w:val="both"/>
        <w:rPr>
          <w:rFonts w:ascii="Times New Roman" w:eastAsia="Times New Roman" w:hAnsi="Times New Roman" w:cs="Times New Roman"/>
        </w:rPr>
      </w:pPr>
      <w:r>
        <w:rPr>
          <w:rFonts w:ascii="仿宋_GB2312" w:eastAsia="仿宋_GB2312" w:hAnsi="仿宋_GB2312" w:cs="仿宋_GB2312"/>
          <w:sz w:val="28"/>
          <w:szCs w:val="28"/>
        </w:rPr>
        <w:t>·重复该需求。</w:t>
      </w:r>
    </w:p>
    <w:p>
      <w:pPr>
        <w:pStyle w:val="150"/>
        <w:spacing w:before="0" w:after="0" w:line="360" w:lineRule="auto"/>
        <w:ind w:firstLine="480"/>
        <w:jc w:val="both"/>
        <w:rPr>
          <w:rFonts w:ascii="Times New Roman" w:eastAsia="Times New Roman" w:hAnsi="Times New Roman" w:cs="Times New Roman"/>
        </w:rPr>
      </w:pPr>
      <w:r>
        <w:rPr>
          <w:rFonts w:ascii="仿宋_GB2312" w:eastAsia="仿宋_GB2312" w:hAnsi="仿宋_GB2312" w:cs="仿宋_GB2312"/>
          <w:sz w:val="28"/>
          <w:szCs w:val="28"/>
        </w:rPr>
        <w:t>·用“是/否”响应来表明该需求是否被满足。</w:t>
      </w:r>
    </w:p>
    <w:p>
      <w:pPr>
        <w:pStyle w:val="150"/>
        <w:spacing w:before="0" w:after="0" w:line="360" w:lineRule="auto"/>
        <w:ind w:firstLine="480"/>
        <w:jc w:val="both"/>
        <w:rPr>
          <w:rFonts w:ascii="Times New Roman" w:eastAsia="Times New Roman" w:hAnsi="Times New Roman" w:cs="Times New Roman"/>
        </w:rPr>
      </w:pPr>
      <w:r>
        <w:rPr>
          <w:rFonts w:ascii="仿宋_GB2312" w:eastAsia="仿宋_GB2312" w:hAnsi="仿宋_GB2312" w:cs="仿宋_GB2312"/>
          <w:sz w:val="28"/>
          <w:szCs w:val="28"/>
        </w:rPr>
        <w:t>·简要描述投标文件如何满足该需求，如果该响应在投标文件其他部分有详述，可在该处简单应答，但必须给出确切的位置索引。</w:t>
      </w:r>
    </w:p>
    <w:p>
      <w:pPr>
        <w:pStyle w:val="150"/>
        <w:spacing w:before="0" w:after="0" w:line="360" w:lineRule="auto"/>
        <w:ind w:firstLine="480"/>
        <w:jc w:val="both"/>
        <w:rPr>
          <w:rFonts w:ascii="Times New Roman" w:eastAsia="Times New Roman" w:hAnsi="Times New Roman" w:cs="Times New Roman"/>
        </w:rPr>
      </w:pPr>
      <w:r>
        <w:rPr>
          <w:rFonts w:ascii="仿宋_GB2312" w:eastAsia="仿宋_GB2312" w:hAnsi="仿宋_GB2312" w:cs="仿宋_GB2312"/>
          <w:sz w:val="28"/>
          <w:szCs w:val="28"/>
        </w:rPr>
        <w:t>·解释投标文件与用户需求之间的偏差，用数量来表示的需求，必须用确切的数字、单位来响应。</w:t>
      </w:r>
    </w:p>
    <w:p>
      <w:pPr>
        <w:pStyle w:val="150"/>
        <w:spacing w:before="0" w:after="0" w:line="360" w:lineRule="auto"/>
        <w:ind w:firstLine="480"/>
        <w:jc w:val="both"/>
        <w:rPr>
          <w:rFonts w:ascii="Times New Roman" w:eastAsia="Times New Roman" w:hAnsi="Times New Roman" w:cs="Times New Roman"/>
        </w:rPr>
      </w:pPr>
      <w:r>
        <w:rPr>
          <w:rFonts w:ascii="仿宋_GB2312" w:eastAsia="仿宋_GB2312" w:hAnsi="仿宋_GB2312" w:cs="仿宋_GB2312"/>
          <w:sz w:val="28"/>
          <w:szCs w:val="28"/>
        </w:rPr>
        <w:t>·对采购文件（技术部分）的应答应至少包含采购文件技术部分中的全部内容。投标人应提供实质性确切响应，并有详细的文字描述和说明，任何仅采用“符合”、“满足”或非确定性数值（如“&gt;=”或“&lt;=”）的响应均将被视为没有对采购文件的实质性响应，从而可能导致严重后果直至投标被拒绝。</w:t>
      </w:r>
    </w:p>
    <w:p>
      <w:pPr>
        <w:pStyle w:val="150"/>
        <w:spacing w:before="0" w:after="0" w:line="360" w:lineRule="auto"/>
        <w:ind w:firstLine="480"/>
        <w:jc w:val="both"/>
        <w:rPr>
          <w:rFonts w:ascii="Times New Roman" w:eastAsia="Times New Roman" w:hAnsi="Times New Roman" w:cs="Times New Roman"/>
        </w:rPr>
      </w:pPr>
      <w:r>
        <w:rPr>
          <w:rFonts w:ascii="仿宋_GB2312" w:eastAsia="仿宋_GB2312" w:hAnsi="仿宋_GB2312" w:cs="仿宋_GB2312"/>
          <w:sz w:val="28"/>
          <w:szCs w:val="28"/>
        </w:rPr>
        <w:t>·采购文件（技术部分）中有标注★号的，为必备服务内容，必须满足，如未作出响应，将导致投标无效。#为重要服务内容、△为一般服务内容。</w:t>
      </w:r>
    </w:p>
    <w:p>
      <w:pPr>
        <w:pStyle w:val="150"/>
        <w:spacing w:before="0" w:after="0" w:line="360" w:lineRule="auto"/>
        <w:ind w:firstLine="480"/>
        <w:jc w:val="both"/>
        <w:rPr>
          <w:rFonts w:ascii="Times New Roman" w:eastAsia="Times New Roman" w:hAnsi="Times New Roman" w:cs="Times New Roman"/>
        </w:rPr>
      </w:pPr>
      <w:r>
        <w:rPr>
          <w:rFonts w:ascii="仿宋_GB2312" w:eastAsia="仿宋_GB2312" w:hAnsi="仿宋_GB2312" w:cs="仿宋_GB2312"/>
          <w:sz w:val="28"/>
          <w:szCs w:val="28"/>
        </w:rPr>
        <w:t>·投标人认为对整个项目建设特别重要的建议，需单独说明（此项单列为可选性需求）。</w:t>
      </w:r>
    </w:p>
    <w:p>
      <w:pPr>
        <w:pStyle w:val="150"/>
        <w:spacing w:before="0" w:after="0" w:line="360" w:lineRule="auto"/>
        <w:ind w:firstLine="480"/>
        <w:jc w:val="both"/>
        <w:rPr>
          <w:rFonts w:ascii="Times New Roman" w:eastAsia="Times New Roman" w:hAnsi="Times New Roman" w:cs="Times New Roman"/>
        </w:rPr>
      </w:pPr>
      <w:r>
        <w:rPr>
          <w:rFonts w:ascii="仿宋_GB2312" w:eastAsia="仿宋_GB2312" w:hAnsi="仿宋_GB2312" w:cs="仿宋_GB2312"/>
          <w:sz w:val="28"/>
          <w:szCs w:val="28"/>
        </w:rPr>
        <w:t>·★上传报价必须填写所有产品品牌、型号、单价、合计价并且报价单必须加盖单位公章，否则视为无效响应。报价方必须认真审核本需求清单所列技术参数和报价要求，若发现报价方存在未实质性响应需求的行为，采购方将视该报价为无效报价。若报价方行为违反税务采购网相关制度和规章的，我方将报有关部门依法处理。建设内容清单全部内容并能实现包括但不限于全部需求功能。供应商在报价时需充分考虑设备费用、安装线材费用、人工费、运输费、装卸费、安装调试费、售后服务费、合理利润及税费等一切相关的费用，使用方不再单独另行支付。</w:t>
      </w:r>
    </w:p>
    <w:p>
      <w:pPr>
        <w:pStyle w:val="150"/>
        <w:spacing w:before="0" w:after="0" w:line="360" w:lineRule="auto"/>
        <w:ind w:firstLine="480"/>
        <w:jc w:val="both"/>
        <w:rPr>
          <w:rFonts w:ascii="Times New Roman" w:eastAsia="Times New Roman" w:hAnsi="Times New Roman" w:cs="Times New Roman"/>
        </w:rPr>
      </w:pPr>
      <w:r>
        <w:rPr>
          <w:rFonts w:ascii="仿宋_GB2312" w:eastAsia="仿宋_GB2312" w:hAnsi="仿宋_GB2312" w:cs="仿宋_GB2312"/>
          <w:sz w:val="28"/>
          <w:szCs w:val="28"/>
        </w:rPr>
        <w:t>·★为确保产品质量和售后服务的及时响应，本项目不接受非原厂生产的品牌参与。供应商应保证提供给采购方的产品是生产厂家原厂生产的、全新的、未使用过的，并完全符合采购方在采购时提出的规格参数等要求，如无法提供的，视为虚假应标，取消成交资格。</w:t>
      </w:r>
    </w:p>
    <w:p>
      <w:pPr>
        <w:pStyle w:val="Heading30"/>
        <w:keepNext w:val="0"/>
        <w:spacing w:before="0" w:after="0" w:line="360" w:lineRule="auto"/>
        <w:rPr>
          <w:rFonts w:ascii="仿宋_GB2312" w:eastAsia="仿宋_GB2312" w:hAnsi="仿宋_GB2312" w:cs="仿宋_GB2312"/>
          <w:b/>
          <w:bCs/>
          <w:sz w:val="28"/>
          <w:szCs w:val="28"/>
        </w:rPr>
      </w:pPr>
      <w:bookmarkStart w:id="18" w:name="_Toc256000014"/>
      <w:r>
        <w:rPr>
          <w:rFonts w:ascii="仿宋_GB2312" w:eastAsia="仿宋_GB2312" w:hAnsi="仿宋_GB2312" w:cs="仿宋_GB2312"/>
          <w:sz w:val="28"/>
          <w:szCs w:val="28"/>
        </w:rPr>
        <w:t>2.2.2投标/响应方案要求</w:t>
      </w:r>
      <w:bookmarkEnd w:id="18"/>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以下相关方案，若作为评审因素，则投标人应在满足★必备指标项要求的前提下，根据项目特点和采购需求，制定更为完整、详细、可操作性强的方案。</w:t>
      </w:r>
    </w:p>
    <w:p>
      <w:pPr>
        <w:pStyle w:val="150"/>
        <w:spacing w:before="0" w:after="0" w:line="360" w:lineRule="auto"/>
        <w:ind w:firstLine="480"/>
        <w:jc w:val="both"/>
        <w:rPr>
          <w:rFonts w:ascii="Times New Roman" w:eastAsia="Times New Roman" w:hAnsi="Times New Roman" w:cs="Times New Roman"/>
        </w:rPr>
      </w:pPr>
      <w:r>
        <w:rPr>
          <w:rFonts w:ascii="仿宋_GB2312" w:eastAsia="仿宋_GB2312" w:hAnsi="仿宋_GB2312" w:cs="仿宋_GB2312"/>
          <w:sz w:val="28"/>
          <w:szCs w:val="28"/>
        </w:rPr>
        <w:t>投标人根据项目特点和采购需求，制定和提供完整、详细、可操作性强的管理实施方案、风险管控方案、保密方案、履约验收方案、售后服务方案。</w:t>
      </w:r>
    </w:p>
    <w:p>
      <w:pPr>
        <w:pStyle w:val="Heading10"/>
        <w:keepNext w:val="0"/>
        <w:spacing w:before="0" w:after="0" w:line="360" w:lineRule="auto"/>
        <w:jc w:val="center"/>
        <w:rPr>
          <w:rFonts w:ascii="仿宋_GB2312" w:eastAsia="仿宋_GB2312" w:hAnsi="仿宋_GB2312" w:cs="仿宋_GB2312"/>
          <w:b/>
          <w:bCs/>
          <w:sz w:val="32"/>
          <w:szCs w:val="32"/>
        </w:rPr>
      </w:pPr>
      <w:bookmarkStart w:id="19" w:name="_Toc256000015"/>
      <w:r>
        <w:rPr>
          <w:rFonts w:ascii="仿宋_GB2312" w:eastAsia="仿宋_GB2312" w:hAnsi="仿宋_GB2312" w:cs="仿宋_GB2312"/>
          <w:kern w:val="36"/>
        </w:rPr>
        <w:t>3项目需求</w:t>
      </w:r>
      <w:bookmarkEnd w:id="19"/>
    </w:p>
    <w:p>
      <w:pPr>
        <w:pStyle w:val="Heading20"/>
        <w:keepNext w:val="0"/>
        <w:spacing w:before="0" w:after="0" w:line="360" w:lineRule="auto"/>
        <w:rPr>
          <w:rFonts w:ascii="仿宋_GB2312" w:eastAsia="仿宋_GB2312" w:hAnsi="仿宋_GB2312" w:cs="仿宋_GB2312"/>
          <w:b/>
          <w:bCs/>
          <w:sz w:val="28"/>
          <w:szCs w:val="28"/>
        </w:rPr>
      </w:pPr>
      <w:bookmarkStart w:id="20" w:name="_Toc256000016"/>
      <w:r>
        <w:rPr>
          <w:rFonts w:ascii="仿宋_GB2312" w:eastAsia="仿宋_GB2312" w:hAnsi="仿宋_GB2312" w:cs="仿宋_GB2312"/>
          <w:i w:val="0"/>
          <w:iCs w:val="0"/>
        </w:rPr>
        <w:t>3.1总体要求</w:t>
      </w:r>
      <w:bookmarkEnd w:id="20"/>
    </w:p>
    <w:p>
      <w:pPr>
        <w:pStyle w:val="150"/>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投标人需确保项目工作的顺利实施和稳定运行，满足市局工作的要求。</w:t>
      </w:r>
    </w:p>
    <w:p>
      <w:pPr>
        <w:pStyle w:val="Heading20"/>
        <w:keepNext w:val="0"/>
        <w:spacing w:before="0" w:after="0" w:line="360" w:lineRule="auto"/>
        <w:rPr>
          <w:rFonts w:ascii="仿宋_GB2312" w:eastAsia="仿宋_GB2312" w:hAnsi="仿宋_GB2312" w:cs="仿宋_GB2312"/>
          <w:b/>
          <w:bCs/>
          <w:sz w:val="28"/>
          <w:szCs w:val="28"/>
        </w:rPr>
      </w:pPr>
      <w:bookmarkStart w:id="21" w:name="_Toc256000017"/>
      <w:r>
        <w:rPr>
          <w:rFonts w:ascii="仿宋_GB2312" w:eastAsia="仿宋_GB2312" w:hAnsi="仿宋_GB2312" w:cs="仿宋_GB2312"/>
          <w:i w:val="0"/>
          <w:iCs w:val="0"/>
        </w:rPr>
        <w:t>3.2采购产品一览表</w:t>
      </w:r>
      <w:bookmarkEnd w:id="21"/>
    </w:p>
    <w:p>
      <w:pPr>
        <w:pStyle w:val="Heading30"/>
        <w:keepNext w:val="0"/>
        <w:spacing w:before="0" w:after="0" w:line="360" w:lineRule="auto"/>
        <w:rPr>
          <w:rFonts w:ascii="仿宋_GB2312" w:eastAsia="仿宋_GB2312" w:hAnsi="仿宋_GB2312" w:cs="仿宋_GB2312"/>
          <w:b/>
          <w:bCs/>
          <w:sz w:val="28"/>
          <w:szCs w:val="28"/>
        </w:rPr>
      </w:pPr>
      <w:bookmarkStart w:id="22" w:name="_Toc256000018"/>
      <w:r>
        <w:rPr>
          <w:rFonts w:ascii="仿宋_GB2312" w:eastAsia="仿宋_GB2312" w:hAnsi="仿宋_GB2312" w:cs="仿宋_GB2312"/>
          <w:sz w:val="28"/>
          <w:szCs w:val="28"/>
        </w:rPr>
        <w:t>3.2.1拟采购产品一览表</w:t>
      </w:r>
      <w:bookmarkEnd w:id="22"/>
    </w:p>
    <w:tbl>
      <w:tblPr>
        <w:tblStyle w:val="16Table"/>
        <w:tblW w:w="8317" w:type="dxa"/>
        <w:jc w:val="center"/>
        <w:tblCellSpacing w:w="0" w:type="dxa"/>
        <w:tblInd w:w="158" w:type="dxa"/>
        <w:tblCellMar>
          <w:top w:w="15" w:type="dxa"/>
          <w:left w:w="15" w:type="dxa"/>
          <w:bottom w:w="15" w:type="dxa"/>
          <w:right w:w="15" w:type="dxa"/>
        </w:tblCellMar>
        <w:tblLook w:val="05E0"/>
      </w:tblPr>
      <w:tblGrid>
        <w:gridCol w:w="2110"/>
        <w:gridCol w:w="2925"/>
        <w:gridCol w:w="2703"/>
        <w:gridCol w:w="579"/>
      </w:tblGrid>
      <w:tr>
        <w:tblPrEx>
          <w:tblW w:w="8317" w:type="dxa"/>
          <w:jc w:val="center"/>
          <w:tblCellSpacing w:w="0" w:type="dxa"/>
          <w:tblInd w:w="158" w:type="dxa"/>
          <w:tblCellMar>
            <w:top w:w="15" w:type="dxa"/>
            <w:left w:w="15" w:type="dxa"/>
            <w:bottom w:w="15" w:type="dxa"/>
            <w:right w:w="15" w:type="dxa"/>
          </w:tblCellMar>
          <w:tblLook w:val="05E0"/>
        </w:tblPrEx>
        <w:trPr>
          <w:trHeight w:val="377"/>
          <w:tblCellSpacing w:w="0" w:type="dxa"/>
          <w:jc w:val="center"/>
        </w:trPr>
        <w:tc>
          <w:tcPr>
            <w:tcW w:w="2274" w:type="dxa"/>
            <w:tcBorders>
              <w:top w:val="single" w:sz="8" w:space="0" w:color="000000"/>
              <w:left w:val="single" w:sz="8" w:space="0" w:color="000000"/>
              <w:bottom w:val="single" w:sz="8" w:space="0" w:color="000000"/>
              <w:right w:val="single" w:sz="8" w:space="0" w:color="000000"/>
            </w:tcBorders>
            <w:noWrap w:val="0"/>
            <w:tcMar>
              <w:top w:w="0" w:type="dxa"/>
              <w:left w:w="148" w:type="dxa"/>
              <w:bottom w:w="0" w:type="dxa"/>
              <w:right w:w="14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rPr>
              <w:t>序号</w:t>
            </w:r>
          </w:p>
        </w:tc>
        <w:tc>
          <w:tcPr>
            <w:tcW w:w="3164" w:type="dxa"/>
            <w:tcBorders>
              <w:top w:val="single" w:sz="8" w:space="0" w:color="000000"/>
              <w:bottom w:val="single" w:sz="8" w:space="0" w:color="000000"/>
              <w:right w:val="single" w:sz="8" w:space="0" w:color="000000"/>
            </w:tcBorders>
            <w:noWrap w:val="0"/>
            <w:tcMar>
              <w:top w:w="0" w:type="dxa"/>
              <w:left w:w="123" w:type="dxa"/>
              <w:bottom w:w="0" w:type="dxa"/>
              <w:right w:w="14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rPr>
              <w:t>设备或服务名称</w:t>
            </w:r>
          </w:p>
        </w:tc>
        <w:tc>
          <w:tcPr>
            <w:tcW w:w="3020" w:type="dxa"/>
            <w:tcBorders>
              <w:top w:val="single" w:sz="8" w:space="0" w:color="000000"/>
              <w:bottom w:val="single" w:sz="8" w:space="0" w:color="000000"/>
              <w:right w:val="single" w:sz="8" w:space="0" w:color="000000"/>
            </w:tcBorders>
            <w:noWrap w:val="0"/>
            <w:tcMar>
              <w:top w:w="0" w:type="dxa"/>
              <w:left w:w="123" w:type="dxa"/>
              <w:bottom w:w="0" w:type="dxa"/>
              <w:right w:w="14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rPr>
              <w:t>数量</w:t>
            </w:r>
          </w:p>
        </w:tc>
        <w:tc>
          <w:tcPr>
            <w:tcW w:w="3081" w:type="dxa"/>
            <w:tcBorders>
              <w:top w:val="single" w:sz="8" w:space="0" w:color="000000"/>
              <w:bottom w:val="single" w:sz="8" w:space="0" w:color="000000"/>
              <w:right w:val="single" w:sz="8" w:space="0" w:color="000000"/>
            </w:tcBorders>
            <w:noWrap w:val="0"/>
            <w:tcMar>
              <w:top w:w="0" w:type="dxa"/>
              <w:left w:w="123" w:type="dxa"/>
              <w:bottom w:w="0" w:type="dxa"/>
              <w:right w:w="14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rPr>
              <w:t>单位</w:t>
            </w:r>
          </w:p>
        </w:tc>
      </w:tr>
      <w:tr>
        <w:tblPrEx>
          <w:tblW w:w="8317" w:type="dxa"/>
          <w:jc w:val="center"/>
          <w:tblCellSpacing w:w="0" w:type="dxa"/>
          <w:tblInd w:w="158" w:type="dxa"/>
          <w:tblCellMar>
            <w:top w:w="15" w:type="dxa"/>
            <w:left w:w="15" w:type="dxa"/>
            <w:bottom w:w="15" w:type="dxa"/>
            <w:right w:w="15" w:type="dxa"/>
          </w:tblCellMar>
          <w:tblLook w:val="05E0"/>
        </w:tblPrEx>
        <w:trPr>
          <w:trHeight w:val="377"/>
          <w:tblCellSpacing w:w="0" w:type="dxa"/>
          <w:jc w:val="center"/>
        </w:trPr>
        <w:tc>
          <w:tcPr>
            <w:tcW w:w="2274" w:type="dxa"/>
            <w:tcBorders>
              <w:left w:val="single" w:sz="8" w:space="0" w:color="000000"/>
              <w:bottom w:val="single" w:sz="8" w:space="0" w:color="000000"/>
              <w:right w:val="single" w:sz="8" w:space="0" w:color="000000"/>
            </w:tcBorders>
            <w:noWrap w:val="0"/>
            <w:tcMar>
              <w:top w:w="0" w:type="dxa"/>
              <w:left w:w="148" w:type="dxa"/>
              <w:bottom w:w="0" w:type="dxa"/>
              <w:right w:w="14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w:t>
            </w:r>
          </w:p>
        </w:tc>
        <w:tc>
          <w:tcPr>
            <w:tcW w:w="3164" w:type="dxa"/>
            <w:tcBorders>
              <w:bottom w:val="single" w:sz="8" w:space="0" w:color="000000"/>
              <w:right w:val="single" w:sz="8" w:space="0" w:color="000000"/>
            </w:tcBorders>
            <w:noWrap w:val="0"/>
            <w:tcMar>
              <w:top w:w="0" w:type="dxa"/>
              <w:left w:w="123" w:type="dxa"/>
              <w:bottom w:w="0" w:type="dxa"/>
              <w:right w:w="14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LED显示屏</w:t>
            </w:r>
          </w:p>
        </w:tc>
        <w:tc>
          <w:tcPr>
            <w:tcW w:w="3020" w:type="dxa"/>
            <w:tcBorders>
              <w:bottom w:val="single" w:sz="8" w:space="0" w:color="000000"/>
              <w:right w:val="single" w:sz="8" w:space="0" w:color="000000"/>
            </w:tcBorders>
            <w:noWrap w:val="0"/>
            <w:tcMar>
              <w:top w:w="0" w:type="dxa"/>
              <w:left w:w="123" w:type="dxa"/>
              <w:bottom w:w="0" w:type="dxa"/>
              <w:right w:w="14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15.3</w:t>
            </w:r>
          </w:p>
        </w:tc>
        <w:tc>
          <w:tcPr>
            <w:tcW w:w="3081" w:type="dxa"/>
            <w:tcBorders>
              <w:bottom w:val="single" w:sz="8" w:space="0" w:color="000000"/>
              <w:right w:val="single" w:sz="8" w:space="0" w:color="000000"/>
            </w:tcBorders>
            <w:noWrap w:val="0"/>
            <w:tcMar>
              <w:top w:w="0" w:type="dxa"/>
              <w:left w:w="123" w:type="dxa"/>
              <w:bottom w:w="0" w:type="dxa"/>
              <w:right w:w="14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平方</w:t>
            </w:r>
          </w:p>
        </w:tc>
      </w:tr>
      <w:tr>
        <w:tblPrEx>
          <w:tblW w:w="8317" w:type="dxa"/>
          <w:jc w:val="center"/>
          <w:tblCellSpacing w:w="0" w:type="dxa"/>
          <w:tblInd w:w="158" w:type="dxa"/>
          <w:tblCellMar>
            <w:top w:w="15" w:type="dxa"/>
            <w:left w:w="15" w:type="dxa"/>
            <w:bottom w:w="15" w:type="dxa"/>
            <w:right w:w="15" w:type="dxa"/>
          </w:tblCellMar>
          <w:tblLook w:val="05E0"/>
        </w:tblPrEx>
        <w:trPr>
          <w:trHeight w:val="419"/>
          <w:tblCellSpacing w:w="0" w:type="dxa"/>
          <w:jc w:val="center"/>
        </w:trPr>
        <w:tc>
          <w:tcPr>
            <w:tcW w:w="2274" w:type="dxa"/>
            <w:tcBorders>
              <w:left w:val="single" w:sz="8" w:space="0" w:color="000000"/>
              <w:bottom w:val="single" w:sz="8" w:space="0" w:color="000000"/>
              <w:right w:val="single" w:sz="8" w:space="0" w:color="000000"/>
            </w:tcBorders>
            <w:noWrap w:val="0"/>
            <w:tcMar>
              <w:top w:w="0" w:type="dxa"/>
              <w:left w:w="148" w:type="dxa"/>
              <w:bottom w:w="0" w:type="dxa"/>
              <w:right w:w="14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w:t>
            </w:r>
          </w:p>
        </w:tc>
        <w:tc>
          <w:tcPr>
            <w:tcBorders>
              <w:bottom w:val="single" w:sz="8" w:space="0" w:color="000000"/>
              <w:right w:val="single" w:sz="8" w:space="0" w:color="000000"/>
            </w:tcBorders>
            <w:noWrap/>
            <w:tcMar>
              <w:top w:w="0" w:type="dxa"/>
              <w:left w:w="123" w:type="dxa"/>
              <w:bottom w:w="0" w:type="dxa"/>
              <w:right w:w="14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接收卡</w:t>
            </w:r>
          </w:p>
        </w:tc>
        <w:tc>
          <w:tcPr>
            <w:tcW w:w="3020" w:type="dxa"/>
            <w:tcBorders>
              <w:bottom w:val="single" w:sz="8" w:space="0" w:color="000000"/>
              <w:right w:val="single" w:sz="8" w:space="0" w:color="000000"/>
            </w:tcBorders>
            <w:noWrap w:val="0"/>
            <w:tcMar>
              <w:top w:w="0" w:type="dxa"/>
              <w:left w:w="123" w:type="dxa"/>
              <w:bottom w:w="0" w:type="dxa"/>
              <w:right w:w="14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70</w:t>
            </w:r>
          </w:p>
        </w:tc>
        <w:tc>
          <w:tcPr>
            <w:tcW w:w="3081" w:type="dxa"/>
            <w:tcBorders>
              <w:bottom w:val="single" w:sz="8" w:space="0" w:color="000000"/>
              <w:right w:val="single" w:sz="8" w:space="0" w:color="000000"/>
            </w:tcBorders>
            <w:noWrap w:val="0"/>
            <w:tcMar>
              <w:top w:w="0" w:type="dxa"/>
              <w:left w:w="123" w:type="dxa"/>
              <w:bottom w:w="0" w:type="dxa"/>
              <w:right w:w="14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张</w:t>
            </w:r>
          </w:p>
        </w:tc>
      </w:tr>
      <w:tr>
        <w:tblPrEx>
          <w:tblW w:w="8317" w:type="dxa"/>
          <w:jc w:val="center"/>
          <w:tblCellSpacing w:w="0" w:type="dxa"/>
          <w:tblInd w:w="158" w:type="dxa"/>
          <w:tblCellMar>
            <w:top w:w="15" w:type="dxa"/>
            <w:left w:w="15" w:type="dxa"/>
            <w:bottom w:w="15" w:type="dxa"/>
            <w:right w:w="15" w:type="dxa"/>
          </w:tblCellMar>
          <w:tblLook w:val="05E0"/>
        </w:tblPrEx>
        <w:trPr>
          <w:trHeight w:val="419"/>
          <w:tblCellSpacing w:w="0" w:type="dxa"/>
          <w:jc w:val="center"/>
        </w:trPr>
        <w:tc>
          <w:tcPr>
            <w:tcW w:w="2274" w:type="dxa"/>
            <w:tcBorders>
              <w:left w:val="single" w:sz="8" w:space="0" w:color="000000"/>
              <w:bottom w:val="single" w:sz="8" w:space="0" w:color="000000"/>
              <w:right w:val="single" w:sz="8" w:space="0" w:color="000000"/>
            </w:tcBorders>
            <w:noWrap w:val="0"/>
            <w:tcMar>
              <w:top w:w="0" w:type="dxa"/>
              <w:left w:w="148" w:type="dxa"/>
              <w:bottom w:w="0" w:type="dxa"/>
              <w:right w:w="14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3</w:t>
            </w:r>
          </w:p>
        </w:tc>
        <w:tc>
          <w:tcPr>
            <w:tcBorders>
              <w:bottom w:val="single" w:sz="8" w:space="0" w:color="000000"/>
              <w:right w:val="single" w:sz="8" w:space="0" w:color="000000"/>
            </w:tcBorders>
            <w:noWrap/>
            <w:tcMar>
              <w:top w:w="0" w:type="dxa"/>
              <w:left w:w="123" w:type="dxa"/>
              <w:bottom w:w="0" w:type="dxa"/>
              <w:right w:w="14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电源</w:t>
            </w:r>
          </w:p>
        </w:tc>
        <w:tc>
          <w:tcPr>
            <w:tcW w:w="3020" w:type="dxa"/>
            <w:tcBorders>
              <w:bottom w:val="single" w:sz="8" w:space="0" w:color="000000"/>
              <w:right w:val="single" w:sz="8" w:space="0" w:color="000000"/>
            </w:tcBorders>
            <w:noWrap w:val="0"/>
            <w:tcMar>
              <w:top w:w="0" w:type="dxa"/>
              <w:left w:w="123" w:type="dxa"/>
              <w:bottom w:w="0" w:type="dxa"/>
              <w:right w:w="14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82</w:t>
            </w:r>
          </w:p>
        </w:tc>
        <w:tc>
          <w:tcPr>
            <w:tcW w:w="3081" w:type="dxa"/>
            <w:tcBorders>
              <w:bottom w:val="single" w:sz="8" w:space="0" w:color="000000"/>
              <w:right w:val="single" w:sz="8" w:space="0" w:color="000000"/>
            </w:tcBorders>
            <w:noWrap w:val="0"/>
            <w:tcMar>
              <w:top w:w="0" w:type="dxa"/>
              <w:left w:w="123" w:type="dxa"/>
              <w:bottom w:w="0" w:type="dxa"/>
              <w:right w:w="14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个</w:t>
            </w:r>
          </w:p>
        </w:tc>
      </w:tr>
      <w:tr>
        <w:tblPrEx>
          <w:tblW w:w="8317" w:type="dxa"/>
          <w:jc w:val="center"/>
          <w:tblCellSpacing w:w="0" w:type="dxa"/>
          <w:tblInd w:w="158" w:type="dxa"/>
          <w:tblCellMar>
            <w:top w:w="15" w:type="dxa"/>
            <w:left w:w="15" w:type="dxa"/>
            <w:bottom w:w="15" w:type="dxa"/>
            <w:right w:w="15" w:type="dxa"/>
          </w:tblCellMar>
          <w:tblLook w:val="05E0"/>
        </w:tblPrEx>
        <w:trPr>
          <w:trHeight w:val="377"/>
          <w:tblCellSpacing w:w="0" w:type="dxa"/>
          <w:jc w:val="center"/>
        </w:trPr>
        <w:tc>
          <w:tcPr>
            <w:tcW w:w="2274" w:type="dxa"/>
            <w:tcBorders>
              <w:left w:val="single" w:sz="8" w:space="0" w:color="000000"/>
              <w:bottom w:val="single" w:sz="8" w:space="0" w:color="000000"/>
              <w:right w:val="single" w:sz="8" w:space="0" w:color="000000"/>
            </w:tcBorders>
            <w:noWrap w:val="0"/>
            <w:tcMar>
              <w:top w:w="0" w:type="dxa"/>
              <w:left w:w="148" w:type="dxa"/>
              <w:bottom w:w="0" w:type="dxa"/>
              <w:right w:w="14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4</w:t>
            </w:r>
          </w:p>
        </w:tc>
        <w:tc>
          <w:tcPr>
            <w:tcW w:w="3164" w:type="dxa"/>
            <w:tcBorders>
              <w:bottom w:val="single" w:sz="8" w:space="0" w:color="000000"/>
              <w:right w:val="single" w:sz="8" w:space="0" w:color="000000"/>
            </w:tcBorders>
            <w:noWrap w:val="0"/>
            <w:tcMar>
              <w:top w:w="0" w:type="dxa"/>
              <w:left w:w="123" w:type="dxa"/>
              <w:bottom w:w="0" w:type="dxa"/>
              <w:right w:w="14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拼接处理器</w:t>
            </w:r>
          </w:p>
        </w:tc>
        <w:tc>
          <w:tcPr>
            <w:tcW w:w="3020" w:type="dxa"/>
            <w:tcBorders>
              <w:bottom w:val="single" w:sz="8" w:space="0" w:color="000000"/>
              <w:right w:val="single" w:sz="8" w:space="0" w:color="000000"/>
            </w:tcBorders>
            <w:noWrap w:val="0"/>
            <w:tcMar>
              <w:top w:w="0" w:type="dxa"/>
              <w:left w:w="123" w:type="dxa"/>
              <w:bottom w:w="0" w:type="dxa"/>
              <w:right w:w="14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w:t>
            </w:r>
          </w:p>
        </w:tc>
        <w:tc>
          <w:tcPr>
            <w:tcW w:w="3081" w:type="dxa"/>
            <w:tcBorders>
              <w:bottom w:val="single" w:sz="8" w:space="0" w:color="000000"/>
              <w:right w:val="single" w:sz="8" w:space="0" w:color="000000"/>
            </w:tcBorders>
            <w:noWrap w:val="0"/>
            <w:tcMar>
              <w:top w:w="0" w:type="dxa"/>
              <w:left w:w="123" w:type="dxa"/>
              <w:bottom w:w="0" w:type="dxa"/>
              <w:right w:w="14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台</w:t>
            </w:r>
          </w:p>
        </w:tc>
      </w:tr>
      <w:tr>
        <w:tblPrEx>
          <w:tblW w:w="8317" w:type="dxa"/>
          <w:jc w:val="center"/>
          <w:tblCellSpacing w:w="0" w:type="dxa"/>
          <w:tblInd w:w="158" w:type="dxa"/>
          <w:tblCellMar>
            <w:top w:w="15" w:type="dxa"/>
            <w:left w:w="15" w:type="dxa"/>
            <w:bottom w:w="15" w:type="dxa"/>
            <w:right w:w="15" w:type="dxa"/>
          </w:tblCellMar>
          <w:tblLook w:val="05E0"/>
        </w:tblPrEx>
        <w:trPr>
          <w:trHeight w:val="377"/>
          <w:tblCellSpacing w:w="0" w:type="dxa"/>
          <w:jc w:val="center"/>
        </w:trPr>
        <w:tc>
          <w:tcPr>
            <w:tcW w:w="2274" w:type="dxa"/>
            <w:tcBorders>
              <w:left w:val="single" w:sz="8" w:space="0" w:color="000000"/>
              <w:bottom w:val="single" w:sz="8" w:space="0" w:color="000000"/>
              <w:right w:val="single" w:sz="8" w:space="0" w:color="000000"/>
            </w:tcBorders>
            <w:noWrap w:val="0"/>
            <w:tcMar>
              <w:top w:w="0" w:type="dxa"/>
              <w:left w:w="148" w:type="dxa"/>
              <w:bottom w:w="0" w:type="dxa"/>
              <w:right w:w="14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5</w:t>
            </w:r>
          </w:p>
        </w:tc>
        <w:tc>
          <w:tcPr>
            <w:tcW w:w="3164" w:type="dxa"/>
            <w:tcBorders>
              <w:bottom w:val="single" w:sz="8" w:space="0" w:color="000000"/>
              <w:right w:val="single" w:sz="8" w:space="0" w:color="000000"/>
            </w:tcBorders>
            <w:noWrap w:val="0"/>
            <w:tcMar>
              <w:top w:w="0" w:type="dxa"/>
              <w:left w:w="123" w:type="dxa"/>
              <w:bottom w:w="0" w:type="dxa"/>
              <w:right w:w="14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控制软件</w:t>
            </w:r>
          </w:p>
        </w:tc>
        <w:tc>
          <w:tcPr>
            <w:tcW w:w="3020" w:type="dxa"/>
            <w:tcBorders>
              <w:bottom w:val="single" w:sz="8" w:space="0" w:color="000000"/>
              <w:right w:val="single" w:sz="8" w:space="0" w:color="000000"/>
            </w:tcBorders>
            <w:noWrap w:val="0"/>
            <w:tcMar>
              <w:top w:w="0" w:type="dxa"/>
              <w:left w:w="123" w:type="dxa"/>
              <w:bottom w:w="0" w:type="dxa"/>
              <w:right w:w="14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w:t>
            </w:r>
          </w:p>
        </w:tc>
        <w:tc>
          <w:tcPr>
            <w:tcW w:w="3081" w:type="dxa"/>
            <w:tcBorders>
              <w:bottom w:val="single" w:sz="8" w:space="0" w:color="000000"/>
              <w:right w:val="single" w:sz="8" w:space="0" w:color="000000"/>
            </w:tcBorders>
            <w:noWrap w:val="0"/>
            <w:tcMar>
              <w:top w:w="0" w:type="dxa"/>
              <w:left w:w="123" w:type="dxa"/>
              <w:bottom w:w="0" w:type="dxa"/>
              <w:right w:w="14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套</w:t>
            </w:r>
          </w:p>
        </w:tc>
      </w:tr>
      <w:tr>
        <w:tblPrEx>
          <w:tblW w:w="8317" w:type="dxa"/>
          <w:jc w:val="center"/>
          <w:tblCellSpacing w:w="0" w:type="dxa"/>
          <w:tblInd w:w="158" w:type="dxa"/>
          <w:tblCellMar>
            <w:top w:w="15" w:type="dxa"/>
            <w:left w:w="15" w:type="dxa"/>
            <w:bottom w:w="15" w:type="dxa"/>
            <w:right w:w="15" w:type="dxa"/>
          </w:tblCellMar>
          <w:tblLook w:val="05E0"/>
        </w:tblPrEx>
        <w:trPr>
          <w:trHeight w:val="377"/>
          <w:tblCellSpacing w:w="0" w:type="dxa"/>
          <w:jc w:val="center"/>
        </w:trPr>
        <w:tc>
          <w:tcPr>
            <w:tcW w:w="2274" w:type="dxa"/>
            <w:tcBorders>
              <w:left w:val="single" w:sz="8" w:space="0" w:color="000000"/>
              <w:bottom w:val="single" w:sz="8" w:space="0" w:color="000000"/>
              <w:right w:val="single" w:sz="8" w:space="0" w:color="000000"/>
            </w:tcBorders>
            <w:noWrap w:val="0"/>
            <w:tcMar>
              <w:top w:w="0" w:type="dxa"/>
              <w:left w:w="148" w:type="dxa"/>
              <w:bottom w:w="0" w:type="dxa"/>
              <w:right w:w="14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6</w:t>
            </w:r>
          </w:p>
        </w:tc>
        <w:tc>
          <w:tcPr>
            <w:tcW w:w="3164" w:type="dxa"/>
            <w:tcBorders>
              <w:bottom w:val="single" w:sz="8" w:space="0" w:color="000000"/>
              <w:right w:val="single" w:sz="8" w:space="0" w:color="000000"/>
            </w:tcBorders>
            <w:noWrap w:val="0"/>
            <w:tcMar>
              <w:top w:w="0" w:type="dxa"/>
              <w:left w:w="123" w:type="dxa"/>
              <w:bottom w:w="0" w:type="dxa"/>
              <w:right w:w="14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安装结构</w:t>
            </w:r>
          </w:p>
        </w:tc>
        <w:tc>
          <w:tcPr>
            <w:tcW w:w="3020" w:type="dxa"/>
            <w:tcBorders>
              <w:bottom w:val="single" w:sz="8" w:space="0" w:color="000000"/>
              <w:right w:val="single" w:sz="8" w:space="0" w:color="000000"/>
            </w:tcBorders>
            <w:noWrap w:val="0"/>
            <w:tcMar>
              <w:top w:w="0" w:type="dxa"/>
              <w:left w:w="123" w:type="dxa"/>
              <w:bottom w:w="0" w:type="dxa"/>
              <w:right w:w="14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15.3</w:t>
            </w:r>
          </w:p>
        </w:tc>
        <w:tc>
          <w:tcPr>
            <w:tcW w:w="3081" w:type="dxa"/>
            <w:tcBorders>
              <w:bottom w:val="single" w:sz="8" w:space="0" w:color="000000"/>
              <w:right w:val="single" w:sz="8" w:space="0" w:color="000000"/>
            </w:tcBorders>
            <w:noWrap w:val="0"/>
            <w:tcMar>
              <w:top w:w="0" w:type="dxa"/>
              <w:left w:w="123" w:type="dxa"/>
              <w:bottom w:w="0" w:type="dxa"/>
              <w:right w:w="14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r>
      <w:tr>
        <w:tblPrEx>
          <w:tblW w:w="8317" w:type="dxa"/>
          <w:jc w:val="center"/>
          <w:tblCellSpacing w:w="0" w:type="dxa"/>
          <w:tblInd w:w="158" w:type="dxa"/>
          <w:tblCellMar>
            <w:top w:w="15" w:type="dxa"/>
            <w:left w:w="15" w:type="dxa"/>
            <w:bottom w:w="15" w:type="dxa"/>
            <w:right w:w="15" w:type="dxa"/>
          </w:tblCellMar>
          <w:tblLook w:val="05E0"/>
        </w:tblPrEx>
        <w:trPr>
          <w:trHeight w:val="377"/>
          <w:tblCellSpacing w:w="0" w:type="dxa"/>
          <w:jc w:val="center"/>
        </w:trPr>
        <w:tc>
          <w:tcPr>
            <w:tcW w:w="2274" w:type="dxa"/>
            <w:tcBorders>
              <w:left w:val="single" w:sz="8" w:space="0" w:color="000000"/>
              <w:bottom w:val="single" w:sz="8" w:space="0" w:color="000000"/>
              <w:right w:val="single" w:sz="8" w:space="0" w:color="000000"/>
            </w:tcBorders>
            <w:noWrap w:val="0"/>
            <w:tcMar>
              <w:top w:w="0" w:type="dxa"/>
              <w:left w:w="148" w:type="dxa"/>
              <w:bottom w:w="0" w:type="dxa"/>
              <w:right w:w="14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7</w:t>
            </w:r>
          </w:p>
        </w:tc>
        <w:tc>
          <w:tcPr>
            <w:tcW w:w="3164" w:type="dxa"/>
            <w:tcBorders>
              <w:bottom w:val="single" w:sz="8" w:space="0" w:color="000000"/>
              <w:right w:val="single" w:sz="8" w:space="0" w:color="000000"/>
            </w:tcBorders>
            <w:noWrap w:val="0"/>
            <w:tcMar>
              <w:top w:w="0" w:type="dxa"/>
              <w:left w:w="123" w:type="dxa"/>
              <w:bottom w:w="0" w:type="dxa"/>
              <w:right w:w="14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配电柜</w:t>
            </w:r>
          </w:p>
        </w:tc>
        <w:tc>
          <w:tcPr>
            <w:tcW w:w="3020" w:type="dxa"/>
            <w:tcBorders>
              <w:bottom w:val="single" w:sz="8" w:space="0" w:color="000000"/>
              <w:right w:val="single" w:sz="8" w:space="0" w:color="000000"/>
            </w:tcBorders>
            <w:noWrap w:val="0"/>
            <w:tcMar>
              <w:top w:w="0" w:type="dxa"/>
              <w:left w:w="123" w:type="dxa"/>
              <w:bottom w:w="0" w:type="dxa"/>
              <w:right w:w="14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w:t>
            </w:r>
          </w:p>
        </w:tc>
        <w:tc>
          <w:tcPr>
            <w:tcW w:w="3081" w:type="dxa"/>
            <w:tcBorders>
              <w:bottom w:val="single" w:sz="8" w:space="0" w:color="000000"/>
              <w:right w:val="single" w:sz="8" w:space="0" w:color="000000"/>
            </w:tcBorders>
            <w:noWrap w:val="0"/>
            <w:tcMar>
              <w:top w:w="0" w:type="dxa"/>
              <w:left w:w="123" w:type="dxa"/>
              <w:bottom w:w="0" w:type="dxa"/>
              <w:right w:w="14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台</w:t>
            </w:r>
          </w:p>
        </w:tc>
      </w:tr>
      <w:tr>
        <w:tblPrEx>
          <w:tblW w:w="8317" w:type="dxa"/>
          <w:jc w:val="center"/>
          <w:tblCellSpacing w:w="0" w:type="dxa"/>
          <w:tblInd w:w="158" w:type="dxa"/>
          <w:tblCellMar>
            <w:top w:w="15" w:type="dxa"/>
            <w:left w:w="15" w:type="dxa"/>
            <w:bottom w:w="15" w:type="dxa"/>
            <w:right w:w="15" w:type="dxa"/>
          </w:tblCellMar>
          <w:tblLook w:val="05E0"/>
        </w:tblPrEx>
        <w:trPr>
          <w:trHeight w:val="377"/>
          <w:tblCellSpacing w:w="0" w:type="dxa"/>
          <w:jc w:val="center"/>
        </w:trPr>
        <w:tc>
          <w:tcPr>
            <w:tcW w:w="2274" w:type="dxa"/>
            <w:tcBorders>
              <w:left w:val="single" w:sz="8" w:space="0" w:color="000000"/>
              <w:bottom w:val="single" w:sz="8" w:space="0" w:color="000000"/>
              <w:right w:val="single" w:sz="8" w:space="0" w:color="000000"/>
            </w:tcBorders>
            <w:noWrap w:val="0"/>
            <w:tcMar>
              <w:top w:w="0" w:type="dxa"/>
              <w:left w:w="148" w:type="dxa"/>
              <w:bottom w:w="0" w:type="dxa"/>
              <w:right w:w="14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8</w:t>
            </w:r>
          </w:p>
        </w:tc>
        <w:tc>
          <w:tcPr>
            <w:tcW w:w="3164" w:type="dxa"/>
            <w:tcBorders>
              <w:bottom w:val="single" w:sz="8" w:space="0" w:color="000000"/>
              <w:right w:val="single" w:sz="8" w:space="0" w:color="000000"/>
            </w:tcBorders>
            <w:noWrap w:val="0"/>
            <w:tcMar>
              <w:top w:w="0" w:type="dxa"/>
              <w:left w:w="123" w:type="dxa"/>
              <w:bottom w:w="0" w:type="dxa"/>
              <w:right w:w="14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音响</w:t>
            </w:r>
          </w:p>
        </w:tc>
        <w:tc>
          <w:tcPr>
            <w:tcW w:w="3020" w:type="dxa"/>
            <w:tcBorders>
              <w:bottom w:val="single" w:sz="8" w:space="0" w:color="000000"/>
              <w:right w:val="single" w:sz="8" w:space="0" w:color="000000"/>
            </w:tcBorders>
            <w:noWrap w:val="0"/>
            <w:tcMar>
              <w:top w:w="0" w:type="dxa"/>
              <w:left w:w="123" w:type="dxa"/>
              <w:bottom w:w="0" w:type="dxa"/>
              <w:right w:w="14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6</w:t>
            </w:r>
          </w:p>
        </w:tc>
        <w:tc>
          <w:tcPr>
            <w:tcW w:w="3081" w:type="dxa"/>
            <w:tcBorders>
              <w:bottom w:val="single" w:sz="8" w:space="0" w:color="000000"/>
              <w:right w:val="single" w:sz="8" w:space="0" w:color="000000"/>
            </w:tcBorders>
            <w:noWrap w:val="0"/>
            <w:tcMar>
              <w:top w:w="0" w:type="dxa"/>
              <w:left w:w="123" w:type="dxa"/>
              <w:bottom w:w="0" w:type="dxa"/>
              <w:right w:w="14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台</w:t>
            </w:r>
          </w:p>
        </w:tc>
      </w:tr>
      <w:tr>
        <w:tblPrEx>
          <w:tblW w:w="8317" w:type="dxa"/>
          <w:jc w:val="center"/>
          <w:tblCellSpacing w:w="0" w:type="dxa"/>
          <w:tblInd w:w="158" w:type="dxa"/>
          <w:tblCellMar>
            <w:top w:w="15" w:type="dxa"/>
            <w:left w:w="15" w:type="dxa"/>
            <w:bottom w:w="15" w:type="dxa"/>
            <w:right w:w="15" w:type="dxa"/>
          </w:tblCellMar>
          <w:tblLook w:val="05E0"/>
        </w:tblPrEx>
        <w:trPr>
          <w:trHeight w:val="377"/>
          <w:tblCellSpacing w:w="0" w:type="dxa"/>
          <w:jc w:val="center"/>
        </w:trPr>
        <w:tc>
          <w:tcPr>
            <w:tcW w:w="2274" w:type="dxa"/>
            <w:tcBorders>
              <w:left w:val="single" w:sz="8" w:space="0" w:color="000000"/>
              <w:bottom w:val="single" w:sz="8" w:space="0" w:color="000000"/>
              <w:right w:val="single" w:sz="8" w:space="0" w:color="000000"/>
            </w:tcBorders>
            <w:noWrap w:val="0"/>
            <w:tcMar>
              <w:top w:w="0" w:type="dxa"/>
              <w:left w:w="148" w:type="dxa"/>
              <w:bottom w:w="0" w:type="dxa"/>
              <w:right w:w="14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9</w:t>
            </w:r>
          </w:p>
        </w:tc>
        <w:tc>
          <w:tcPr>
            <w:tcW w:w="3164" w:type="dxa"/>
            <w:tcBorders>
              <w:bottom w:val="single" w:sz="8" w:space="0" w:color="000000"/>
              <w:right w:val="single" w:sz="8" w:space="0" w:color="000000"/>
            </w:tcBorders>
            <w:noWrap w:val="0"/>
            <w:tcMar>
              <w:top w:w="0" w:type="dxa"/>
              <w:left w:w="123" w:type="dxa"/>
              <w:bottom w:w="0" w:type="dxa"/>
              <w:right w:w="14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功放</w:t>
            </w:r>
          </w:p>
        </w:tc>
        <w:tc>
          <w:tcPr>
            <w:tcW w:w="3020" w:type="dxa"/>
            <w:tcBorders>
              <w:bottom w:val="single" w:sz="8" w:space="0" w:color="000000"/>
              <w:right w:val="single" w:sz="8" w:space="0" w:color="000000"/>
            </w:tcBorders>
            <w:noWrap w:val="0"/>
            <w:tcMar>
              <w:top w:w="0" w:type="dxa"/>
              <w:left w:w="123" w:type="dxa"/>
              <w:bottom w:w="0" w:type="dxa"/>
              <w:right w:w="14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w:t>
            </w:r>
          </w:p>
        </w:tc>
        <w:tc>
          <w:tcPr>
            <w:tcW w:w="3081" w:type="dxa"/>
            <w:tcBorders>
              <w:bottom w:val="single" w:sz="8" w:space="0" w:color="000000"/>
              <w:right w:val="single" w:sz="8" w:space="0" w:color="000000"/>
            </w:tcBorders>
            <w:noWrap w:val="0"/>
            <w:tcMar>
              <w:top w:w="0" w:type="dxa"/>
              <w:left w:w="123" w:type="dxa"/>
              <w:bottom w:w="0" w:type="dxa"/>
              <w:right w:w="14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台</w:t>
            </w:r>
          </w:p>
        </w:tc>
      </w:tr>
      <w:tr>
        <w:tblPrEx>
          <w:tblW w:w="8317" w:type="dxa"/>
          <w:jc w:val="center"/>
          <w:tblCellSpacing w:w="0" w:type="dxa"/>
          <w:tblInd w:w="158" w:type="dxa"/>
          <w:tblCellMar>
            <w:top w:w="15" w:type="dxa"/>
            <w:left w:w="15" w:type="dxa"/>
            <w:bottom w:w="15" w:type="dxa"/>
            <w:right w:w="15" w:type="dxa"/>
          </w:tblCellMar>
          <w:tblLook w:val="05E0"/>
        </w:tblPrEx>
        <w:trPr>
          <w:trHeight w:val="377"/>
          <w:tblCellSpacing w:w="0" w:type="dxa"/>
          <w:jc w:val="center"/>
        </w:trPr>
        <w:tc>
          <w:tcPr>
            <w:tcW w:w="2274" w:type="dxa"/>
            <w:tcBorders>
              <w:left w:val="single" w:sz="8" w:space="0" w:color="000000"/>
              <w:bottom w:val="single" w:sz="8" w:space="0" w:color="000000"/>
              <w:right w:val="single" w:sz="8" w:space="0" w:color="000000"/>
            </w:tcBorders>
            <w:noWrap w:val="0"/>
            <w:tcMar>
              <w:top w:w="0" w:type="dxa"/>
              <w:left w:w="148" w:type="dxa"/>
              <w:bottom w:w="0" w:type="dxa"/>
              <w:right w:w="14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10</w:t>
            </w:r>
          </w:p>
        </w:tc>
        <w:tc>
          <w:tcPr>
            <w:tcW w:w="3164" w:type="dxa"/>
            <w:tcBorders>
              <w:bottom w:val="single" w:sz="8" w:space="0" w:color="000000"/>
              <w:right w:val="single" w:sz="8" w:space="0" w:color="000000"/>
            </w:tcBorders>
            <w:noWrap w:val="0"/>
            <w:tcMar>
              <w:top w:w="0" w:type="dxa"/>
              <w:left w:w="123" w:type="dxa"/>
              <w:bottom w:w="0" w:type="dxa"/>
              <w:right w:w="14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工程线缆</w:t>
            </w:r>
          </w:p>
        </w:tc>
        <w:tc>
          <w:tcPr>
            <w:tcW w:w="3020" w:type="dxa"/>
            <w:tcBorders>
              <w:bottom w:val="single" w:sz="8" w:space="0" w:color="000000"/>
              <w:right w:val="single" w:sz="8" w:space="0" w:color="000000"/>
            </w:tcBorders>
            <w:noWrap w:val="0"/>
            <w:tcMar>
              <w:top w:w="0" w:type="dxa"/>
              <w:left w:w="123" w:type="dxa"/>
              <w:bottom w:w="0" w:type="dxa"/>
              <w:right w:w="14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w:t>
            </w:r>
          </w:p>
        </w:tc>
        <w:tc>
          <w:tcPr>
            <w:tcW w:w="3081" w:type="dxa"/>
            <w:tcBorders>
              <w:bottom w:val="single" w:sz="8" w:space="0" w:color="000000"/>
              <w:right w:val="single" w:sz="8" w:space="0" w:color="000000"/>
            </w:tcBorders>
            <w:noWrap w:val="0"/>
            <w:tcMar>
              <w:top w:w="0" w:type="dxa"/>
              <w:left w:w="123" w:type="dxa"/>
              <w:bottom w:w="0" w:type="dxa"/>
              <w:right w:w="14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套</w:t>
            </w:r>
          </w:p>
        </w:tc>
      </w:tr>
      <w:tr>
        <w:tblPrEx>
          <w:tblW w:w="8317" w:type="dxa"/>
          <w:jc w:val="center"/>
          <w:tblCellSpacing w:w="0" w:type="dxa"/>
          <w:tblInd w:w="158" w:type="dxa"/>
          <w:tblCellMar>
            <w:top w:w="15" w:type="dxa"/>
            <w:left w:w="15" w:type="dxa"/>
            <w:bottom w:w="15" w:type="dxa"/>
            <w:right w:w="15" w:type="dxa"/>
          </w:tblCellMar>
          <w:tblLook w:val="05E0"/>
        </w:tblPrEx>
        <w:trPr>
          <w:trHeight w:val="377"/>
          <w:tblCellSpacing w:w="0" w:type="dxa"/>
          <w:jc w:val="center"/>
        </w:trPr>
        <w:tc>
          <w:tcPr>
            <w:tcW w:w="2274" w:type="dxa"/>
            <w:tcBorders>
              <w:left w:val="single" w:sz="8" w:space="0" w:color="000000"/>
              <w:bottom w:val="single" w:sz="8" w:space="0" w:color="000000"/>
              <w:right w:val="single" w:sz="8" w:space="0" w:color="000000"/>
            </w:tcBorders>
            <w:noWrap w:val="0"/>
            <w:tcMar>
              <w:top w:w="0" w:type="dxa"/>
              <w:left w:w="148" w:type="dxa"/>
              <w:bottom w:w="0" w:type="dxa"/>
              <w:right w:w="14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11</w:t>
            </w:r>
          </w:p>
        </w:tc>
        <w:tc>
          <w:tcPr>
            <w:tcW w:w="3164" w:type="dxa"/>
            <w:tcBorders>
              <w:bottom w:val="single" w:sz="8" w:space="0" w:color="000000"/>
              <w:right w:val="single" w:sz="8" w:space="0" w:color="000000"/>
            </w:tcBorders>
            <w:noWrap w:val="0"/>
            <w:tcMar>
              <w:top w:w="0" w:type="dxa"/>
              <w:left w:w="123" w:type="dxa"/>
              <w:bottom w:w="0" w:type="dxa"/>
              <w:right w:w="14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备品备件</w:t>
            </w:r>
          </w:p>
        </w:tc>
        <w:tc>
          <w:tcPr>
            <w:tcW w:w="3020" w:type="dxa"/>
            <w:tcBorders>
              <w:bottom w:val="single" w:sz="8" w:space="0" w:color="000000"/>
              <w:right w:val="single" w:sz="8" w:space="0" w:color="000000"/>
            </w:tcBorders>
            <w:noWrap w:val="0"/>
            <w:tcMar>
              <w:top w:w="0" w:type="dxa"/>
              <w:left w:w="123" w:type="dxa"/>
              <w:bottom w:w="0" w:type="dxa"/>
              <w:right w:w="14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w:t>
            </w:r>
          </w:p>
        </w:tc>
        <w:tc>
          <w:tcPr>
            <w:tcW w:w="3081" w:type="dxa"/>
            <w:tcBorders>
              <w:bottom w:val="single" w:sz="8" w:space="0" w:color="000000"/>
              <w:right w:val="single" w:sz="8" w:space="0" w:color="000000"/>
            </w:tcBorders>
            <w:noWrap w:val="0"/>
            <w:tcMar>
              <w:top w:w="0" w:type="dxa"/>
              <w:left w:w="123" w:type="dxa"/>
              <w:bottom w:w="0" w:type="dxa"/>
              <w:right w:w="14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套</w:t>
            </w:r>
          </w:p>
        </w:tc>
      </w:tr>
      <w:tr>
        <w:tblPrEx>
          <w:tblW w:w="8317" w:type="dxa"/>
          <w:jc w:val="center"/>
          <w:tblCellSpacing w:w="0" w:type="dxa"/>
          <w:tblInd w:w="158" w:type="dxa"/>
          <w:tblCellMar>
            <w:top w:w="15" w:type="dxa"/>
            <w:left w:w="15" w:type="dxa"/>
            <w:bottom w:w="15" w:type="dxa"/>
            <w:right w:w="15" w:type="dxa"/>
          </w:tblCellMar>
          <w:tblLook w:val="05E0"/>
        </w:tblPrEx>
        <w:trPr>
          <w:trHeight w:val="377"/>
          <w:tblCellSpacing w:w="0" w:type="dxa"/>
          <w:jc w:val="center"/>
        </w:trPr>
        <w:tc>
          <w:tcPr>
            <w:tcW w:w="2274" w:type="dxa"/>
            <w:tcBorders>
              <w:left w:val="single" w:sz="8" w:space="0" w:color="000000"/>
              <w:bottom w:val="single" w:sz="8" w:space="0" w:color="000000"/>
              <w:right w:val="single" w:sz="8" w:space="0" w:color="000000"/>
            </w:tcBorders>
            <w:noWrap w:val="0"/>
            <w:tcMar>
              <w:top w:w="0" w:type="dxa"/>
              <w:left w:w="148" w:type="dxa"/>
              <w:bottom w:w="0" w:type="dxa"/>
              <w:right w:w="14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12</w:t>
            </w:r>
          </w:p>
        </w:tc>
        <w:tc>
          <w:tcPr>
            <w:tcW w:w="3164" w:type="dxa"/>
            <w:tcBorders>
              <w:bottom w:val="single" w:sz="8" w:space="0" w:color="000000"/>
              <w:right w:val="single" w:sz="8" w:space="0" w:color="000000"/>
            </w:tcBorders>
            <w:noWrap w:val="0"/>
            <w:tcMar>
              <w:top w:w="0" w:type="dxa"/>
              <w:left w:w="123" w:type="dxa"/>
              <w:bottom w:w="0" w:type="dxa"/>
              <w:right w:w="14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安装调试</w:t>
            </w:r>
          </w:p>
        </w:tc>
        <w:tc>
          <w:tcPr>
            <w:tcW w:w="3020" w:type="dxa"/>
            <w:tcBorders>
              <w:bottom w:val="single" w:sz="8" w:space="0" w:color="000000"/>
              <w:right w:val="single" w:sz="8" w:space="0" w:color="000000"/>
            </w:tcBorders>
            <w:noWrap w:val="0"/>
            <w:tcMar>
              <w:top w:w="0" w:type="dxa"/>
              <w:left w:w="123" w:type="dxa"/>
              <w:bottom w:w="0" w:type="dxa"/>
              <w:right w:w="14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w:t>
            </w:r>
          </w:p>
        </w:tc>
        <w:tc>
          <w:tcPr>
            <w:tcW w:w="3081" w:type="dxa"/>
            <w:tcBorders>
              <w:bottom w:val="single" w:sz="8" w:space="0" w:color="000000"/>
              <w:right w:val="single" w:sz="8" w:space="0" w:color="000000"/>
            </w:tcBorders>
            <w:noWrap w:val="0"/>
            <w:tcMar>
              <w:top w:w="0" w:type="dxa"/>
              <w:left w:w="123" w:type="dxa"/>
              <w:bottom w:w="0" w:type="dxa"/>
              <w:right w:w="14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项</w:t>
            </w:r>
          </w:p>
        </w:tc>
      </w:tr>
      <w:tr>
        <w:tblPrEx>
          <w:tblW w:w="8317" w:type="dxa"/>
          <w:jc w:val="center"/>
          <w:tblCellSpacing w:w="0" w:type="dxa"/>
          <w:tblInd w:w="158" w:type="dxa"/>
          <w:tblCellMar>
            <w:top w:w="15" w:type="dxa"/>
            <w:left w:w="15" w:type="dxa"/>
            <w:bottom w:w="15" w:type="dxa"/>
            <w:right w:w="15" w:type="dxa"/>
          </w:tblCellMar>
          <w:tblLook w:val="05E0"/>
        </w:tblPrEx>
        <w:trPr>
          <w:trHeight w:val="389"/>
          <w:tblCellSpacing w:w="0" w:type="dxa"/>
          <w:jc w:val="center"/>
        </w:trPr>
        <w:tc>
          <w:tcPr>
            <w:tcW w:w="2274" w:type="dxa"/>
            <w:tcBorders>
              <w:left w:val="single" w:sz="8" w:space="0" w:color="000000"/>
              <w:bottom w:val="single" w:sz="8" w:space="0" w:color="000000"/>
              <w:right w:val="single" w:sz="8" w:space="0" w:color="000000"/>
            </w:tcBorders>
            <w:noWrap w:val="0"/>
            <w:tcMar>
              <w:top w:w="0" w:type="dxa"/>
              <w:left w:w="148" w:type="dxa"/>
              <w:bottom w:w="0" w:type="dxa"/>
              <w:right w:w="14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13</w:t>
            </w:r>
          </w:p>
        </w:tc>
        <w:tc>
          <w:tcPr>
            <w:tcW w:w="3164" w:type="dxa"/>
            <w:tcBorders>
              <w:bottom w:val="single" w:sz="8" w:space="0" w:color="000000"/>
              <w:right w:val="single" w:sz="8" w:space="0" w:color="000000"/>
            </w:tcBorders>
            <w:noWrap w:val="0"/>
            <w:tcMar>
              <w:top w:w="0" w:type="dxa"/>
              <w:left w:w="123" w:type="dxa"/>
              <w:bottom w:w="0" w:type="dxa"/>
              <w:right w:w="14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运费</w:t>
            </w:r>
          </w:p>
        </w:tc>
        <w:tc>
          <w:tcPr>
            <w:tcW w:w="3020" w:type="dxa"/>
            <w:tcBorders>
              <w:bottom w:val="single" w:sz="8" w:space="0" w:color="000000"/>
              <w:right w:val="single" w:sz="8" w:space="0" w:color="000000"/>
            </w:tcBorders>
            <w:noWrap w:val="0"/>
            <w:tcMar>
              <w:top w:w="0" w:type="dxa"/>
              <w:left w:w="123" w:type="dxa"/>
              <w:bottom w:w="0" w:type="dxa"/>
              <w:right w:w="14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w:t>
            </w:r>
          </w:p>
        </w:tc>
        <w:tc>
          <w:tcPr>
            <w:tcW w:w="3081" w:type="dxa"/>
            <w:tcBorders>
              <w:bottom w:val="single" w:sz="8" w:space="0" w:color="000000"/>
              <w:right w:val="single" w:sz="8" w:space="0" w:color="000000"/>
            </w:tcBorders>
            <w:noWrap w:val="0"/>
            <w:tcMar>
              <w:top w:w="0" w:type="dxa"/>
              <w:left w:w="123" w:type="dxa"/>
              <w:bottom w:w="0" w:type="dxa"/>
              <w:right w:w="148"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项</w:t>
            </w:r>
          </w:p>
        </w:tc>
      </w:tr>
    </w:tbl>
    <w:p>
      <w:pPr>
        <w:pStyle w:val="Heading20"/>
        <w:keepNext w:val="0"/>
        <w:spacing w:before="0" w:after="0" w:line="360" w:lineRule="auto"/>
        <w:rPr>
          <w:rFonts w:ascii="仿宋_GB2312" w:eastAsia="仿宋_GB2312" w:hAnsi="仿宋_GB2312" w:cs="仿宋_GB2312"/>
          <w:b/>
          <w:bCs/>
          <w:sz w:val="28"/>
          <w:szCs w:val="28"/>
        </w:rPr>
      </w:pPr>
      <w:bookmarkStart w:id="23" w:name="_Toc256000019"/>
      <w:r>
        <w:rPr>
          <w:rFonts w:ascii="仿宋_GB2312" w:eastAsia="仿宋_GB2312" w:hAnsi="仿宋_GB2312" w:cs="仿宋_GB2312"/>
          <w:i w:val="0"/>
          <w:iCs w:val="0"/>
        </w:rPr>
        <w:t>3.3采购产品详细清单及技术指标</w:t>
      </w:r>
      <w:bookmarkEnd w:id="23"/>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采购文件（技术部分）中有标注★号的，为必备要求，必须满足，如未作出响应，将导致响应无效；#为重要内容、△为一般内容。</w:t>
      </w:r>
    </w:p>
    <w:p>
      <w:pPr>
        <w:pStyle w:val="Heading30"/>
        <w:keepNext w:val="0"/>
        <w:spacing w:before="0" w:after="0" w:line="360" w:lineRule="auto"/>
        <w:rPr>
          <w:rFonts w:ascii="仿宋_GB2312" w:eastAsia="仿宋_GB2312" w:hAnsi="仿宋_GB2312" w:cs="仿宋_GB2312"/>
          <w:b/>
          <w:bCs/>
          <w:sz w:val="28"/>
          <w:szCs w:val="28"/>
        </w:rPr>
      </w:pPr>
      <w:bookmarkStart w:id="24" w:name="_Toc256000020"/>
      <w:r>
        <w:rPr>
          <w:rFonts w:ascii="仿宋_GB2312" w:eastAsia="仿宋_GB2312" w:hAnsi="仿宋_GB2312" w:cs="仿宋_GB2312"/>
          <w:sz w:val="28"/>
          <w:szCs w:val="28"/>
        </w:rPr>
        <w:t>3.3.1产品和服务指标要求</w:t>
      </w:r>
      <w:bookmarkEnd w:id="24"/>
    </w:p>
    <w:tbl>
      <w:tblPr>
        <w:tblStyle w:val="16Table"/>
        <w:tblW w:w="9145" w:type="dxa"/>
        <w:jc w:val="center"/>
        <w:tblCellSpacing w:w="0" w:type="dxa"/>
        <w:tblInd w:w="158" w:type="dxa"/>
        <w:tblCellMar>
          <w:top w:w="15" w:type="dxa"/>
          <w:left w:w="15" w:type="dxa"/>
          <w:bottom w:w="15" w:type="dxa"/>
          <w:right w:w="15" w:type="dxa"/>
        </w:tblCellMar>
        <w:tblLook w:val="05E0"/>
      </w:tblPr>
      <w:tblGrid>
        <w:gridCol w:w="315"/>
        <w:gridCol w:w="583"/>
        <w:gridCol w:w="6996"/>
        <w:gridCol w:w="352"/>
        <w:gridCol w:w="918"/>
      </w:tblGrid>
      <w:tr>
        <w:tblPrEx>
          <w:tblW w:w="9145" w:type="dxa"/>
          <w:jc w:val="center"/>
          <w:tblCellSpacing w:w="0" w:type="dxa"/>
          <w:tblInd w:w="158" w:type="dxa"/>
          <w:tblCellMar>
            <w:top w:w="15" w:type="dxa"/>
            <w:left w:w="15" w:type="dxa"/>
            <w:bottom w:w="15" w:type="dxa"/>
            <w:right w:w="15" w:type="dxa"/>
          </w:tblCellMar>
          <w:tblLook w:val="05E0"/>
        </w:tblPrEx>
        <w:trPr>
          <w:trHeight w:val="285"/>
          <w:tblCellSpacing w:w="0" w:type="dxa"/>
          <w:jc w:val="center"/>
        </w:trPr>
        <w:tc>
          <w:tcPr>
            <w:tcW w:w="1734" w:type="dxa"/>
            <w:tcBorders>
              <w:top w:val="single" w:sz="8" w:space="0" w:color="000000"/>
              <w:left w:val="single" w:sz="8" w:space="0" w:color="000000"/>
              <w:bottom w:val="single" w:sz="8" w:space="0" w:color="000000"/>
              <w:right w:val="single" w:sz="8" w:space="0" w:color="000000"/>
            </w:tcBorders>
            <w:noWrap w:val="0"/>
            <w:tcMar>
              <w:top w:w="0" w:type="dxa"/>
              <w:left w:w="14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rPr>
              <w:t>序号</w:t>
            </w:r>
          </w:p>
        </w:tc>
        <w:tc>
          <w:tcPr>
            <w:tcW w:w="2006" w:type="dxa"/>
            <w:tcBorders>
              <w:top w:val="single" w:sz="8" w:space="0" w:color="000000"/>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rPr>
              <w:t>名称</w:t>
            </w:r>
          </w:p>
        </w:tc>
        <w:tc>
          <w:tcPr>
            <w:tcW w:w="4891" w:type="dxa"/>
            <w:tcBorders>
              <w:top w:val="single" w:sz="8" w:space="0" w:color="000000"/>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rPr>
              <w:t>指标内容</w:t>
            </w:r>
          </w:p>
        </w:tc>
        <w:tc>
          <w:tcPr>
            <w:tcW w:w="1908" w:type="dxa"/>
            <w:tcBorders>
              <w:top w:val="single" w:sz="8" w:space="0" w:color="000000"/>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rPr>
              <w:t>重要性</w:t>
            </w:r>
          </w:p>
        </w:tc>
        <w:tc>
          <w:tcPr>
            <w:tcW w:w="2566" w:type="dxa"/>
            <w:tcBorders>
              <w:top w:val="single" w:sz="8" w:space="0" w:color="000000"/>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rPr>
              <w:t>是否需要证明材料</w:t>
            </w:r>
          </w:p>
        </w:tc>
      </w:tr>
      <w:tr>
        <w:tblPrEx>
          <w:tblW w:w="9145" w:type="dxa"/>
          <w:jc w:val="center"/>
          <w:tblCellSpacing w:w="0" w:type="dxa"/>
          <w:tblInd w:w="158" w:type="dxa"/>
          <w:tblCellMar>
            <w:top w:w="15" w:type="dxa"/>
            <w:left w:w="15" w:type="dxa"/>
            <w:bottom w:w="15" w:type="dxa"/>
            <w:right w:w="15" w:type="dxa"/>
          </w:tblCellMar>
          <w:tblLook w:val="05E0"/>
        </w:tblPrEx>
        <w:trPr>
          <w:trHeight w:val="285"/>
          <w:tblCellSpacing w:w="0" w:type="dxa"/>
          <w:jc w:val="center"/>
        </w:trPr>
        <w:tc>
          <w:tcPr>
            <w:tcW w:w="1734" w:type="dxa"/>
            <w:vMerge w:val="restart"/>
            <w:tcBorders>
              <w:left w:val="single" w:sz="8" w:space="0" w:color="000000"/>
              <w:bottom w:val="none" w:sz="0" w:space="0" w:color="auto"/>
              <w:right w:val="single" w:sz="8" w:space="0" w:color="000000"/>
            </w:tcBorders>
            <w:noWrap w:val="0"/>
            <w:tcMar>
              <w:top w:w="0" w:type="dxa"/>
              <w:left w:w="14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w:t>
            </w:r>
          </w:p>
        </w:tc>
        <w:tc>
          <w:tcPr>
            <w:tcW w:w="2006" w:type="dxa"/>
            <w:vMerge w:val="restart"/>
            <w:tcBorders>
              <w:bottom w:val="none" w:sz="0" w:space="0" w:color="auto"/>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LED显示屏</w:t>
            </w:r>
          </w:p>
        </w:tc>
        <w:tc>
          <w:tcPr>
            <w:tcW w:w="4891" w:type="dxa"/>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1.LED全彩显示屏</w:t>
            </w:r>
          </w:p>
        </w:tc>
        <w:tc>
          <w:tcPr>
            <w:tcW w:w="1908" w:type="dxa"/>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2566" w:type="dxa"/>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9145" w:type="dxa"/>
          <w:jc w:val="center"/>
          <w:tblCellSpacing w:w="0" w:type="dxa"/>
          <w:tblInd w:w="158" w:type="dxa"/>
          <w:tblCellMar>
            <w:top w:w="15" w:type="dxa"/>
            <w:left w:w="15" w:type="dxa"/>
            <w:bottom w:w="15" w:type="dxa"/>
            <w:right w:w="15" w:type="dxa"/>
          </w:tblCellMar>
          <w:tblLook w:val="05E0"/>
        </w:tblPrEx>
        <w:trPr>
          <w:trHeight w:val="285"/>
          <w:tblCellSpacing w:w="0" w:type="dxa"/>
          <w:jc w:val="center"/>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4891" w:type="dxa"/>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2.像素结构：SMD 1010</w:t>
            </w:r>
          </w:p>
        </w:tc>
        <w:tc>
          <w:tcPr>
            <w:tcW w:w="1908" w:type="dxa"/>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2566" w:type="dxa"/>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是，提供检测报告复印件</w:t>
            </w:r>
          </w:p>
        </w:tc>
      </w:tr>
      <w:tr>
        <w:tblPrEx>
          <w:tblW w:w="9145" w:type="dxa"/>
          <w:jc w:val="center"/>
          <w:tblCellSpacing w:w="0" w:type="dxa"/>
          <w:tblInd w:w="158" w:type="dxa"/>
          <w:tblCellMar>
            <w:top w:w="15" w:type="dxa"/>
            <w:left w:w="15" w:type="dxa"/>
            <w:bottom w:w="15" w:type="dxa"/>
            <w:right w:w="15" w:type="dxa"/>
          </w:tblCellMar>
          <w:tblLook w:val="05E0"/>
        </w:tblPrEx>
        <w:trPr>
          <w:trHeight w:val="285"/>
          <w:tblCellSpacing w:w="0" w:type="dxa"/>
          <w:jc w:val="center"/>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4891" w:type="dxa"/>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3.驱动IC：列:2065/行2018</w:t>
            </w:r>
          </w:p>
        </w:tc>
        <w:tc>
          <w:tcPr>
            <w:tcW w:w="1908" w:type="dxa"/>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2566" w:type="dxa"/>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是，提供检测报告复印件</w:t>
            </w:r>
          </w:p>
        </w:tc>
      </w:tr>
      <w:tr>
        <w:tblPrEx>
          <w:tblW w:w="9145" w:type="dxa"/>
          <w:jc w:val="center"/>
          <w:tblCellSpacing w:w="0" w:type="dxa"/>
          <w:tblInd w:w="158" w:type="dxa"/>
          <w:tblCellMar>
            <w:top w:w="15" w:type="dxa"/>
            <w:left w:w="15" w:type="dxa"/>
            <w:bottom w:w="15" w:type="dxa"/>
            <w:right w:w="15" w:type="dxa"/>
          </w:tblCellMar>
          <w:tblLook w:val="05E0"/>
        </w:tblPrEx>
        <w:trPr>
          <w:trHeight w:val="285"/>
          <w:tblCellSpacing w:w="0" w:type="dxa"/>
          <w:jc w:val="center"/>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4891" w:type="dxa"/>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4.像素间距(mm)：1.25mm</w:t>
            </w:r>
          </w:p>
        </w:tc>
        <w:tc>
          <w:tcPr>
            <w:tcW w:w="1908" w:type="dxa"/>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2566" w:type="dxa"/>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是，提供检测报告复印件</w:t>
            </w:r>
          </w:p>
        </w:tc>
      </w:tr>
      <w:tr>
        <w:tblPrEx>
          <w:tblW w:w="9145" w:type="dxa"/>
          <w:jc w:val="center"/>
          <w:tblCellSpacing w:w="0" w:type="dxa"/>
          <w:tblInd w:w="158" w:type="dxa"/>
          <w:tblCellMar>
            <w:top w:w="15" w:type="dxa"/>
            <w:left w:w="15" w:type="dxa"/>
            <w:bottom w:w="15" w:type="dxa"/>
            <w:right w:w="15" w:type="dxa"/>
          </w:tblCellMar>
          <w:tblLook w:val="05E0"/>
        </w:tblPrEx>
        <w:trPr>
          <w:trHeight w:val="285"/>
          <w:tblCellSpacing w:w="0" w:type="dxa"/>
          <w:jc w:val="center"/>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4891" w:type="dxa"/>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5.模块分辨率：256*128</w:t>
            </w:r>
          </w:p>
        </w:tc>
        <w:tc>
          <w:tcPr>
            <w:tcW w:w="1908" w:type="dxa"/>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2566" w:type="dxa"/>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是，提供检测报告复印件</w:t>
            </w:r>
          </w:p>
        </w:tc>
      </w:tr>
      <w:tr>
        <w:tblPrEx>
          <w:tblW w:w="9145" w:type="dxa"/>
          <w:jc w:val="center"/>
          <w:tblCellSpacing w:w="0" w:type="dxa"/>
          <w:tblInd w:w="158" w:type="dxa"/>
          <w:tblCellMar>
            <w:top w:w="15" w:type="dxa"/>
            <w:left w:w="15" w:type="dxa"/>
            <w:bottom w:w="15" w:type="dxa"/>
            <w:right w:w="15" w:type="dxa"/>
          </w:tblCellMar>
          <w:tblLook w:val="05E0"/>
        </w:tblPrEx>
        <w:trPr>
          <w:trHeight w:val="285"/>
          <w:tblCellSpacing w:w="0" w:type="dxa"/>
          <w:jc w:val="center"/>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4891" w:type="dxa"/>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6.模块尺寸：320mm*160mm </w:t>
            </w:r>
          </w:p>
        </w:tc>
        <w:tc>
          <w:tcPr>
            <w:tcW w:w="1908" w:type="dxa"/>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2566" w:type="dxa"/>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是，提供检测报告复印件</w:t>
            </w:r>
          </w:p>
        </w:tc>
      </w:tr>
      <w:tr>
        <w:tblPrEx>
          <w:tblW w:w="9145" w:type="dxa"/>
          <w:jc w:val="center"/>
          <w:tblCellSpacing w:w="0" w:type="dxa"/>
          <w:tblInd w:w="158" w:type="dxa"/>
          <w:tblCellMar>
            <w:top w:w="15" w:type="dxa"/>
            <w:left w:w="15" w:type="dxa"/>
            <w:bottom w:w="15" w:type="dxa"/>
            <w:right w:w="15" w:type="dxa"/>
          </w:tblCellMar>
          <w:tblLook w:val="05E0"/>
        </w:tblPrEx>
        <w:trPr>
          <w:trHeight w:val="362"/>
          <w:tblCellSpacing w:w="0" w:type="dxa"/>
          <w:jc w:val="center"/>
        </w:trPr>
        <w:tc>
          <w:tcPr>
            <w:vMerge/>
            <w:tcBorders>
              <w:left w:val="single" w:sz="8" w:space="0" w:color="000000"/>
              <w:bottom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bottom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4891" w:type="dxa"/>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7.模块平整度(mm)：≤0.15</w:t>
            </w:r>
          </w:p>
        </w:tc>
        <w:tc>
          <w:tcPr>
            <w:tcW w:w="1908" w:type="dxa"/>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2566" w:type="dxa"/>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是，提供检测报告复印件</w:t>
            </w:r>
          </w:p>
        </w:tc>
      </w:tr>
      <w:tr>
        <w:tblPrEx>
          <w:tblW w:w="9145" w:type="dxa"/>
          <w:jc w:val="center"/>
          <w:tblCellSpacing w:w="0" w:type="dxa"/>
          <w:tblInd w:w="158" w:type="dxa"/>
          <w:tblCellMar>
            <w:top w:w="15" w:type="dxa"/>
            <w:left w:w="15" w:type="dxa"/>
            <w:bottom w:w="15" w:type="dxa"/>
            <w:right w:w="15" w:type="dxa"/>
          </w:tblCellMar>
          <w:tblLook w:val="05E0"/>
        </w:tblPrEx>
        <w:trPr>
          <w:trHeight w:val="90"/>
          <w:tblCellSpacing w:w="0" w:type="dxa"/>
          <w:jc w:val="center"/>
        </w:trPr>
        <w:tc>
          <w:tcPr>
            <w:tcW w:w="1734" w:type="dxa"/>
            <w:tcBorders>
              <w:left w:val="single" w:sz="8" w:space="0" w:color="000000"/>
              <w:bottom w:val="single" w:sz="8" w:space="0" w:color="000000"/>
              <w:right w:val="single" w:sz="8" w:space="0" w:color="000000"/>
            </w:tcBorders>
            <w:noWrap w:val="0"/>
            <w:tcMar>
              <w:top w:w="0" w:type="dxa"/>
              <w:left w:w="14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w:t>
            </w:r>
          </w:p>
        </w:tc>
        <w:tc>
          <w:tcPr>
            <w:tcBorders>
              <w:bottom w:val="single" w:sz="8" w:space="0" w:color="000000"/>
              <w:right w:val="single" w:sz="8" w:space="0" w:color="000000"/>
            </w:tcBorders>
            <w:noWrap/>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接收卡</w:t>
            </w:r>
          </w:p>
        </w:tc>
        <w:tc>
          <w:tcPr>
            <w:tcW w:w="4891" w:type="dxa"/>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带载128x1024；输出:16xHUB75；支持32扫、支持固件程序版本回读</w:t>
            </w:r>
          </w:p>
        </w:tc>
        <w:tc>
          <w:tcPr>
            <w:tcW w:w="1908" w:type="dxa"/>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2566" w:type="dxa"/>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9145" w:type="dxa"/>
          <w:jc w:val="center"/>
          <w:tblCellSpacing w:w="0" w:type="dxa"/>
          <w:tblInd w:w="158" w:type="dxa"/>
          <w:tblCellMar>
            <w:top w:w="15" w:type="dxa"/>
            <w:left w:w="15" w:type="dxa"/>
            <w:bottom w:w="15" w:type="dxa"/>
            <w:right w:w="15" w:type="dxa"/>
          </w:tblCellMar>
          <w:tblLook w:val="05E0"/>
        </w:tblPrEx>
        <w:trPr>
          <w:trHeight w:val="330"/>
          <w:tblCellSpacing w:w="0" w:type="dxa"/>
          <w:jc w:val="center"/>
        </w:trPr>
        <w:tc>
          <w:tcPr>
            <w:tcW w:w="1734" w:type="dxa"/>
            <w:tcBorders>
              <w:left w:val="single" w:sz="8" w:space="0" w:color="000000"/>
              <w:bottom w:val="single" w:sz="8" w:space="0" w:color="000000"/>
              <w:right w:val="single" w:sz="8" w:space="0" w:color="000000"/>
            </w:tcBorders>
            <w:noWrap w:val="0"/>
            <w:tcMar>
              <w:top w:w="0" w:type="dxa"/>
              <w:left w:w="14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3</w:t>
            </w:r>
          </w:p>
        </w:tc>
        <w:tc>
          <w:tcPr>
            <w:tcBorders>
              <w:bottom w:val="single" w:sz="8" w:space="0" w:color="000000"/>
              <w:right w:val="single" w:sz="8" w:space="0" w:color="000000"/>
            </w:tcBorders>
            <w:noWrap/>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电源</w:t>
            </w:r>
          </w:p>
        </w:tc>
        <w:tc>
          <w:tcPr>
            <w:tcW w:w="4891" w:type="dxa"/>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5V/40A；短路/过载保护功能效率高、高可靠性</w:t>
            </w:r>
          </w:p>
        </w:tc>
        <w:tc>
          <w:tcPr>
            <w:tcW w:w="1908" w:type="dxa"/>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2566" w:type="dxa"/>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9145" w:type="dxa"/>
          <w:jc w:val="center"/>
          <w:tblCellSpacing w:w="0" w:type="dxa"/>
          <w:tblInd w:w="158" w:type="dxa"/>
          <w:tblCellMar>
            <w:top w:w="15" w:type="dxa"/>
            <w:left w:w="15" w:type="dxa"/>
            <w:bottom w:w="15" w:type="dxa"/>
            <w:right w:w="15" w:type="dxa"/>
          </w:tblCellMar>
          <w:tblLook w:val="05E0"/>
        </w:tblPrEx>
        <w:trPr>
          <w:trHeight w:val="570"/>
          <w:tblCellSpacing w:w="0" w:type="dxa"/>
          <w:jc w:val="center"/>
        </w:trPr>
        <w:tc>
          <w:tcPr>
            <w:tcW w:w="1734" w:type="dxa"/>
            <w:tcBorders>
              <w:left w:val="single" w:sz="8" w:space="0" w:color="000000"/>
              <w:bottom w:val="single" w:sz="8" w:space="0" w:color="000000"/>
              <w:right w:val="single" w:sz="8" w:space="0" w:color="000000"/>
            </w:tcBorders>
            <w:noWrap w:val="0"/>
            <w:tcMar>
              <w:top w:w="0" w:type="dxa"/>
              <w:left w:w="14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4</w:t>
            </w:r>
          </w:p>
        </w:tc>
        <w:tc>
          <w:tcPr>
            <w:tcW w:w="2006" w:type="dxa"/>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拼接处理器</w:t>
            </w:r>
          </w:p>
        </w:tc>
        <w:tc>
          <w:tcPr>
            <w:tcW w:w="4891" w:type="dxa"/>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单机具有10个网口，单网口带载65万像素，整机最大带载650万像素</w:t>
            </w:r>
          </w:p>
        </w:tc>
        <w:tc>
          <w:tcPr>
            <w:tcW w:w="1908" w:type="dxa"/>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2566" w:type="dxa"/>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9145" w:type="dxa"/>
          <w:jc w:val="center"/>
          <w:tblCellSpacing w:w="0" w:type="dxa"/>
          <w:tblInd w:w="158" w:type="dxa"/>
          <w:tblCellMar>
            <w:top w:w="15" w:type="dxa"/>
            <w:left w:w="15" w:type="dxa"/>
            <w:bottom w:w="15" w:type="dxa"/>
            <w:right w:w="15" w:type="dxa"/>
          </w:tblCellMar>
          <w:tblLook w:val="05E0"/>
        </w:tblPrEx>
        <w:trPr>
          <w:trHeight w:val="340"/>
          <w:tblCellSpacing w:w="0" w:type="dxa"/>
          <w:jc w:val="center"/>
        </w:trPr>
        <w:tc>
          <w:tcPr>
            <w:tcW w:w="1734" w:type="dxa"/>
            <w:tcBorders>
              <w:left w:val="single" w:sz="8" w:space="0" w:color="000000"/>
              <w:bottom w:val="single" w:sz="8" w:space="0" w:color="000000"/>
              <w:right w:val="single" w:sz="8" w:space="0" w:color="000000"/>
            </w:tcBorders>
            <w:noWrap w:val="0"/>
            <w:tcMar>
              <w:top w:w="0" w:type="dxa"/>
              <w:left w:w="14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5</w:t>
            </w:r>
          </w:p>
        </w:tc>
        <w:tc>
          <w:tcPr>
            <w:tcW w:w="2006" w:type="dxa"/>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控制软件</w:t>
            </w:r>
          </w:p>
        </w:tc>
        <w:tc>
          <w:tcPr>
            <w:tcW w:w="4891" w:type="dxa"/>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大屏幕设备的设置和日常使用，具备设置预案、开关机、信号切换等功能；能根据实际情况播放视频、图片等内容</w:t>
            </w:r>
          </w:p>
        </w:tc>
        <w:tc>
          <w:tcPr>
            <w:tcW w:w="1908" w:type="dxa"/>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2566" w:type="dxa"/>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9145" w:type="dxa"/>
          <w:jc w:val="center"/>
          <w:tblCellSpacing w:w="0" w:type="dxa"/>
          <w:tblInd w:w="158" w:type="dxa"/>
          <w:tblCellMar>
            <w:top w:w="15" w:type="dxa"/>
            <w:left w:w="15" w:type="dxa"/>
            <w:bottom w:w="15" w:type="dxa"/>
            <w:right w:w="15" w:type="dxa"/>
          </w:tblCellMar>
          <w:tblLook w:val="05E0"/>
        </w:tblPrEx>
        <w:trPr>
          <w:trHeight w:val="285"/>
          <w:tblCellSpacing w:w="0" w:type="dxa"/>
          <w:jc w:val="center"/>
        </w:trPr>
        <w:tc>
          <w:tcPr>
            <w:tcW w:w="1734" w:type="dxa"/>
            <w:vMerge w:val="restart"/>
            <w:tcBorders>
              <w:left w:val="single" w:sz="8" w:space="0" w:color="000000"/>
              <w:bottom w:val="none" w:sz="0" w:space="0" w:color="auto"/>
              <w:right w:val="single" w:sz="8" w:space="0" w:color="000000"/>
            </w:tcBorders>
            <w:noWrap w:val="0"/>
            <w:tcMar>
              <w:top w:w="0" w:type="dxa"/>
              <w:left w:w="14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6</w:t>
            </w:r>
          </w:p>
        </w:tc>
        <w:tc>
          <w:tcPr>
            <w:tcW w:w="2006" w:type="dxa"/>
            <w:vMerge w:val="restart"/>
            <w:tcBorders>
              <w:bottom w:val="none" w:sz="0" w:space="0" w:color="auto"/>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安装结构</w:t>
            </w:r>
          </w:p>
        </w:tc>
        <w:tc>
          <w:tcPr>
            <w:tcW w:w="4891" w:type="dxa"/>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1.LED屏专用榫卯免焊结构：LED屏专用榫卯铁管结构黑钛不锈钢装饰四周收边</w:t>
            </w:r>
          </w:p>
        </w:tc>
        <w:tc>
          <w:tcPr>
            <w:tcW w:w="1908" w:type="dxa"/>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2566" w:type="dxa"/>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9145" w:type="dxa"/>
          <w:jc w:val="center"/>
          <w:tblCellSpacing w:w="0" w:type="dxa"/>
          <w:tblInd w:w="158" w:type="dxa"/>
          <w:tblCellMar>
            <w:top w:w="15" w:type="dxa"/>
            <w:left w:w="15" w:type="dxa"/>
            <w:bottom w:w="15" w:type="dxa"/>
            <w:right w:w="15" w:type="dxa"/>
          </w:tblCellMar>
          <w:tblLook w:val="05E0"/>
        </w:tblPrEx>
        <w:trPr>
          <w:trHeight w:val="285"/>
          <w:tblCellSpacing w:w="0" w:type="dxa"/>
          <w:jc w:val="center"/>
        </w:trPr>
        <w:tc>
          <w:tcPr>
            <w:vMerge/>
            <w:tcBorders>
              <w:left w:val="single" w:sz="8" w:space="0" w:color="000000"/>
              <w:bottom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bottom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4891" w:type="dxa"/>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2.配合框架镶嵌：含玻璃的拆解,背景墙拆除，框架镶嵌及预埋件的制作，垃圾清运等</w:t>
            </w:r>
          </w:p>
        </w:tc>
        <w:tc>
          <w:tcPr>
            <w:tcW w:w="1908" w:type="dxa"/>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2566" w:type="dxa"/>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9145" w:type="dxa"/>
          <w:jc w:val="center"/>
          <w:tblCellSpacing w:w="0" w:type="dxa"/>
          <w:tblInd w:w="158" w:type="dxa"/>
          <w:tblCellMar>
            <w:top w:w="15" w:type="dxa"/>
            <w:left w:w="15" w:type="dxa"/>
            <w:bottom w:w="15" w:type="dxa"/>
            <w:right w:w="15" w:type="dxa"/>
          </w:tblCellMar>
          <w:tblLook w:val="05E0"/>
        </w:tblPrEx>
        <w:trPr>
          <w:trHeight w:val="570"/>
          <w:tblCellSpacing w:w="0" w:type="dxa"/>
          <w:jc w:val="center"/>
        </w:trPr>
        <w:tc>
          <w:tcPr>
            <w:tcW w:w="1734" w:type="dxa"/>
            <w:tcBorders>
              <w:left w:val="single" w:sz="8" w:space="0" w:color="000000"/>
              <w:bottom w:val="single" w:sz="8" w:space="0" w:color="000000"/>
              <w:right w:val="single" w:sz="8" w:space="0" w:color="000000"/>
            </w:tcBorders>
            <w:noWrap w:val="0"/>
            <w:tcMar>
              <w:top w:w="0" w:type="dxa"/>
              <w:left w:w="14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7</w:t>
            </w:r>
          </w:p>
        </w:tc>
        <w:tc>
          <w:tcPr>
            <w:tcW w:w="2006" w:type="dxa"/>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配电柜</w:t>
            </w:r>
          </w:p>
        </w:tc>
        <w:tc>
          <w:tcPr>
            <w:tcW w:w="4891" w:type="dxa"/>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3P主空开，交流接触器，三路分空开，独立零地排，面板指示灯，面板控制按钮</w:t>
            </w:r>
          </w:p>
        </w:tc>
        <w:tc>
          <w:tcPr>
            <w:tcW w:w="1908" w:type="dxa"/>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2566" w:type="dxa"/>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9145" w:type="dxa"/>
          <w:jc w:val="center"/>
          <w:tblCellSpacing w:w="0" w:type="dxa"/>
          <w:tblInd w:w="158" w:type="dxa"/>
          <w:tblCellMar>
            <w:top w:w="15" w:type="dxa"/>
            <w:left w:w="15" w:type="dxa"/>
            <w:bottom w:w="15" w:type="dxa"/>
            <w:right w:w="15" w:type="dxa"/>
          </w:tblCellMar>
          <w:tblLook w:val="05E0"/>
        </w:tblPrEx>
        <w:trPr>
          <w:trHeight w:val="285"/>
          <w:tblCellSpacing w:w="0" w:type="dxa"/>
          <w:jc w:val="center"/>
        </w:trPr>
        <w:tc>
          <w:tcPr>
            <w:tcW w:w="1734" w:type="dxa"/>
            <w:tcBorders>
              <w:left w:val="single" w:sz="8" w:space="0" w:color="000000"/>
              <w:bottom w:val="single" w:sz="8" w:space="0" w:color="000000"/>
              <w:right w:val="single" w:sz="8" w:space="0" w:color="000000"/>
            </w:tcBorders>
            <w:noWrap w:val="0"/>
            <w:tcMar>
              <w:top w:w="0" w:type="dxa"/>
              <w:left w:w="14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8</w:t>
            </w:r>
          </w:p>
        </w:tc>
        <w:tc>
          <w:tcPr>
            <w:tcW w:w="2006" w:type="dxa"/>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音响</w:t>
            </w:r>
          </w:p>
        </w:tc>
        <w:tc>
          <w:tcPr>
            <w:tcW w:w="4891" w:type="dxa"/>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6.5寸全金属防火天花吸顶音响，功率：6W变压器</w:t>
            </w:r>
          </w:p>
        </w:tc>
        <w:tc>
          <w:tcPr>
            <w:tcW w:w="1908" w:type="dxa"/>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2566" w:type="dxa"/>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9145" w:type="dxa"/>
          <w:jc w:val="center"/>
          <w:tblCellSpacing w:w="0" w:type="dxa"/>
          <w:tblInd w:w="158" w:type="dxa"/>
          <w:tblCellMar>
            <w:top w:w="15" w:type="dxa"/>
            <w:left w:w="15" w:type="dxa"/>
            <w:bottom w:w="15" w:type="dxa"/>
            <w:right w:w="15" w:type="dxa"/>
          </w:tblCellMar>
          <w:tblLook w:val="05E0"/>
        </w:tblPrEx>
        <w:trPr>
          <w:trHeight w:val="285"/>
          <w:tblCellSpacing w:w="0" w:type="dxa"/>
          <w:jc w:val="center"/>
        </w:trPr>
        <w:tc>
          <w:tcPr>
            <w:tcW w:w="1734" w:type="dxa"/>
            <w:tcBorders>
              <w:left w:val="single" w:sz="8" w:space="0" w:color="000000"/>
              <w:bottom w:val="single" w:sz="8" w:space="0" w:color="000000"/>
              <w:right w:val="single" w:sz="8" w:space="0" w:color="000000"/>
            </w:tcBorders>
            <w:noWrap w:val="0"/>
            <w:tcMar>
              <w:top w:w="0" w:type="dxa"/>
              <w:left w:w="14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9</w:t>
            </w:r>
          </w:p>
        </w:tc>
        <w:tc>
          <w:tcPr>
            <w:tcW w:w="2006" w:type="dxa"/>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功放</w:t>
            </w:r>
          </w:p>
        </w:tc>
        <w:tc>
          <w:tcPr>
            <w:tcW w:w="4891" w:type="dxa"/>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专用功放，有短路，过载等保护，含音频步线及安装</w:t>
            </w:r>
          </w:p>
        </w:tc>
        <w:tc>
          <w:tcPr>
            <w:tcW w:w="1908" w:type="dxa"/>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2566" w:type="dxa"/>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9145" w:type="dxa"/>
          <w:jc w:val="center"/>
          <w:tblCellSpacing w:w="0" w:type="dxa"/>
          <w:tblInd w:w="158" w:type="dxa"/>
          <w:tblCellMar>
            <w:top w:w="15" w:type="dxa"/>
            <w:left w:w="15" w:type="dxa"/>
            <w:bottom w:w="15" w:type="dxa"/>
            <w:right w:w="15" w:type="dxa"/>
          </w:tblCellMar>
          <w:tblLook w:val="05E0"/>
        </w:tblPrEx>
        <w:trPr>
          <w:trHeight w:val="570"/>
          <w:tblCellSpacing w:w="0" w:type="dxa"/>
          <w:jc w:val="center"/>
        </w:trPr>
        <w:tc>
          <w:tcPr>
            <w:tcW w:w="1734" w:type="dxa"/>
            <w:tcBorders>
              <w:left w:val="single" w:sz="8" w:space="0" w:color="000000"/>
              <w:bottom w:val="single" w:sz="8" w:space="0" w:color="000000"/>
              <w:right w:val="single" w:sz="8" w:space="0" w:color="000000"/>
            </w:tcBorders>
            <w:noWrap w:val="0"/>
            <w:tcMar>
              <w:top w:w="0" w:type="dxa"/>
              <w:left w:w="14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10</w:t>
            </w:r>
          </w:p>
        </w:tc>
        <w:tc>
          <w:tcPr>
            <w:tcW w:w="2006" w:type="dxa"/>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工程线缆</w:t>
            </w:r>
          </w:p>
        </w:tc>
        <w:tc>
          <w:tcPr>
            <w:tcW w:w="4891" w:type="dxa"/>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含屏体外的线材，线槽及布线施工，同时涵盖物品的运输及搬运，电锤水钻开眼等；其中网线布线距离约15米(13条)，电线布线距离约20米(7条)，电缆布线距离约35米(5芯)，音频布线距离约35米(4条)</w:t>
            </w:r>
          </w:p>
        </w:tc>
        <w:tc>
          <w:tcPr>
            <w:tcW w:w="1908" w:type="dxa"/>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2566" w:type="dxa"/>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9145" w:type="dxa"/>
          <w:jc w:val="center"/>
          <w:tblCellSpacing w:w="0" w:type="dxa"/>
          <w:tblInd w:w="158" w:type="dxa"/>
          <w:tblCellMar>
            <w:top w:w="15" w:type="dxa"/>
            <w:left w:w="15" w:type="dxa"/>
            <w:bottom w:w="15" w:type="dxa"/>
            <w:right w:w="15" w:type="dxa"/>
          </w:tblCellMar>
          <w:tblLook w:val="05E0"/>
        </w:tblPrEx>
        <w:trPr>
          <w:trHeight w:val="285"/>
          <w:tblCellSpacing w:w="0" w:type="dxa"/>
          <w:jc w:val="center"/>
        </w:trPr>
        <w:tc>
          <w:tcPr>
            <w:tcW w:w="1734" w:type="dxa"/>
            <w:tcBorders>
              <w:left w:val="single" w:sz="8" w:space="0" w:color="000000"/>
              <w:bottom w:val="single" w:sz="8" w:space="0" w:color="000000"/>
              <w:right w:val="single" w:sz="8" w:space="0" w:color="000000"/>
            </w:tcBorders>
            <w:noWrap w:val="0"/>
            <w:tcMar>
              <w:top w:w="0" w:type="dxa"/>
              <w:left w:w="14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11</w:t>
            </w:r>
          </w:p>
        </w:tc>
        <w:tc>
          <w:tcPr>
            <w:tcW w:w="2006" w:type="dxa"/>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备品备件</w:t>
            </w:r>
          </w:p>
        </w:tc>
        <w:tc>
          <w:tcPr>
            <w:tcW w:w="4891" w:type="dxa"/>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售后维修配件，备用模组，电源控制卡，灯珠，ic</w:t>
            </w:r>
          </w:p>
        </w:tc>
        <w:tc>
          <w:tcPr>
            <w:tcW w:w="1908" w:type="dxa"/>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2566" w:type="dxa"/>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9145" w:type="dxa"/>
          <w:jc w:val="center"/>
          <w:tblCellSpacing w:w="0" w:type="dxa"/>
          <w:tblInd w:w="158" w:type="dxa"/>
          <w:tblCellMar>
            <w:top w:w="15" w:type="dxa"/>
            <w:left w:w="15" w:type="dxa"/>
            <w:bottom w:w="15" w:type="dxa"/>
            <w:right w:w="15" w:type="dxa"/>
          </w:tblCellMar>
          <w:tblLook w:val="05E0"/>
        </w:tblPrEx>
        <w:trPr>
          <w:trHeight w:val="285"/>
          <w:tblCellSpacing w:w="0" w:type="dxa"/>
          <w:jc w:val="center"/>
        </w:trPr>
        <w:tc>
          <w:tcPr>
            <w:tcW w:w="1734" w:type="dxa"/>
            <w:vMerge w:val="restart"/>
            <w:tcBorders>
              <w:left w:val="single" w:sz="8" w:space="0" w:color="000000"/>
              <w:bottom w:val="none" w:sz="0" w:space="0" w:color="auto"/>
              <w:right w:val="single" w:sz="8" w:space="0" w:color="000000"/>
            </w:tcBorders>
            <w:noWrap w:val="0"/>
            <w:tcMar>
              <w:top w:w="0" w:type="dxa"/>
              <w:left w:w="14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12</w:t>
            </w:r>
          </w:p>
        </w:tc>
        <w:tc>
          <w:tcPr>
            <w:tcW w:w="2006" w:type="dxa"/>
            <w:vMerge w:val="restart"/>
            <w:tcBorders>
              <w:bottom w:val="none" w:sz="0" w:space="0" w:color="auto"/>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安装调试</w:t>
            </w:r>
          </w:p>
        </w:tc>
        <w:tc>
          <w:tcPr>
            <w:tcW w:w="4891" w:type="dxa"/>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屏体安装调试</w:t>
            </w:r>
          </w:p>
        </w:tc>
        <w:tc>
          <w:tcPr>
            <w:tcW w:w="1908" w:type="dxa"/>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2566" w:type="dxa"/>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9145" w:type="dxa"/>
          <w:jc w:val="center"/>
          <w:tblCellSpacing w:w="0" w:type="dxa"/>
          <w:tblInd w:w="158" w:type="dxa"/>
          <w:tblCellMar>
            <w:top w:w="15" w:type="dxa"/>
            <w:left w:w="15" w:type="dxa"/>
            <w:bottom w:w="15" w:type="dxa"/>
            <w:right w:w="15" w:type="dxa"/>
          </w:tblCellMar>
          <w:tblLook w:val="05E0"/>
        </w:tblPrEx>
        <w:trPr>
          <w:trHeight w:val="285"/>
          <w:tblCellSpacing w:w="0" w:type="dxa"/>
          <w:jc w:val="center"/>
        </w:trPr>
        <w:tc>
          <w:tcPr>
            <w:vMerge/>
            <w:tcBorders>
              <w:left w:val="single" w:sz="8" w:space="0" w:color="000000"/>
              <w:bottom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bottom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4891" w:type="dxa"/>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异地安装及临时设施费用</w:t>
            </w:r>
          </w:p>
        </w:tc>
        <w:tc>
          <w:tcPr>
            <w:tcW w:w="1908" w:type="dxa"/>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2566" w:type="dxa"/>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r>
        <w:tblPrEx>
          <w:tblW w:w="9145" w:type="dxa"/>
          <w:jc w:val="center"/>
          <w:tblCellSpacing w:w="0" w:type="dxa"/>
          <w:tblInd w:w="158" w:type="dxa"/>
          <w:tblCellMar>
            <w:top w:w="15" w:type="dxa"/>
            <w:left w:w="15" w:type="dxa"/>
            <w:bottom w:w="15" w:type="dxa"/>
            <w:right w:w="15" w:type="dxa"/>
          </w:tblCellMar>
          <w:tblLook w:val="05E0"/>
        </w:tblPrEx>
        <w:trPr>
          <w:trHeight w:val="285"/>
          <w:tblCellSpacing w:w="0" w:type="dxa"/>
          <w:jc w:val="center"/>
        </w:trPr>
        <w:tc>
          <w:tcPr>
            <w:tcW w:w="1734" w:type="dxa"/>
            <w:tcBorders>
              <w:left w:val="single" w:sz="8" w:space="0" w:color="000000"/>
              <w:bottom w:val="single" w:sz="8" w:space="0" w:color="000000"/>
              <w:right w:val="single" w:sz="8" w:space="0" w:color="000000"/>
            </w:tcBorders>
            <w:noWrap w:val="0"/>
            <w:tcMar>
              <w:top w:w="0" w:type="dxa"/>
              <w:left w:w="14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13</w:t>
            </w:r>
          </w:p>
        </w:tc>
        <w:tc>
          <w:tcPr>
            <w:tcW w:w="2006" w:type="dxa"/>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运费</w:t>
            </w:r>
          </w:p>
        </w:tc>
        <w:tc>
          <w:tcPr>
            <w:tcW w:w="4891" w:type="dxa"/>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工厂到施工现场运输费用</w:t>
            </w:r>
          </w:p>
        </w:tc>
        <w:tc>
          <w:tcPr>
            <w:tcW w:w="1908" w:type="dxa"/>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2566" w:type="dxa"/>
            <w:tcBorders>
              <w:bottom w:val="single" w:sz="8" w:space="0" w:color="000000"/>
              <w:right w:val="single" w:sz="8" w:space="0" w:color="000000"/>
            </w:tcBorders>
            <w:noWrap w:val="0"/>
            <w:tcMar>
              <w:top w:w="0" w:type="dxa"/>
              <w:left w:w="118" w:type="dxa"/>
              <w:bottom w:w="0" w:type="dxa"/>
              <w:right w:w="148" w:type="dxa"/>
            </w:tcMar>
            <w:vAlign w:val="center"/>
            <w:hideMark/>
          </w:tcPr>
          <w:p>
            <w:pPr>
              <w:pStyle w:val="150"/>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否</w:t>
            </w:r>
          </w:p>
        </w:tc>
      </w:tr>
    </w:tbl>
    <w:p>
      <w:pPr>
        <w:pStyle w:val="Heading20"/>
        <w:keepNext w:val="0"/>
        <w:spacing w:before="0" w:after="0" w:line="360" w:lineRule="auto"/>
        <w:rPr>
          <w:rFonts w:ascii="仿宋_GB2312" w:eastAsia="仿宋_GB2312" w:hAnsi="仿宋_GB2312" w:cs="仿宋_GB2312"/>
          <w:b/>
          <w:bCs/>
          <w:sz w:val="28"/>
          <w:szCs w:val="28"/>
        </w:rPr>
      </w:pPr>
      <w:bookmarkStart w:id="25" w:name="_Toc256000021"/>
      <w:r>
        <w:rPr>
          <w:rFonts w:ascii="仿宋_GB2312" w:eastAsia="仿宋_GB2312" w:hAnsi="仿宋_GB2312" w:cs="仿宋_GB2312"/>
          <w:i w:val="0"/>
          <w:iCs w:val="0"/>
        </w:rPr>
        <w:t>3.4服务要求</w:t>
      </w:r>
      <w:bookmarkEnd w:id="25"/>
    </w:p>
    <w:p>
      <w:pPr>
        <w:pStyle w:val="Heading30"/>
        <w:keepNext w:val="0"/>
        <w:spacing w:before="0" w:after="0" w:line="360" w:lineRule="auto"/>
        <w:rPr>
          <w:rFonts w:ascii="仿宋_GB2312" w:eastAsia="仿宋_GB2312" w:hAnsi="仿宋_GB2312" w:cs="仿宋_GB2312"/>
          <w:b/>
          <w:bCs/>
          <w:sz w:val="28"/>
          <w:szCs w:val="28"/>
        </w:rPr>
      </w:pPr>
      <w:bookmarkStart w:id="26" w:name="_Toc256000022"/>
      <w:r>
        <w:rPr>
          <w:rFonts w:ascii="仿宋_GB2312" w:eastAsia="仿宋_GB2312" w:hAnsi="仿宋_GB2312" w:cs="仿宋_GB2312"/>
          <w:sz w:val="28"/>
          <w:szCs w:val="28"/>
        </w:rPr>
        <w:t>3.4.1服务要求</w:t>
      </w:r>
      <w:bookmarkEnd w:id="26"/>
    </w:p>
    <w:p>
      <w:pPr>
        <w:pStyle w:val="150"/>
        <w:spacing w:before="0" w:after="0" w:line="360" w:lineRule="auto"/>
        <w:ind w:firstLine="480"/>
        <w:jc w:val="both"/>
        <w:rPr>
          <w:rFonts w:ascii="Times New Roman" w:eastAsia="Times New Roman" w:hAnsi="Times New Roman" w:cs="Times New Roman"/>
        </w:rPr>
      </w:pPr>
      <w:r>
        <w:rPr>
          <w:rFonts w:ascii="仿宋_GB2312" w:eastAsia="仿宋_GB2312" w:hAnsi="仿宋_GB2312" w:cs="仿宋_GB2312"/>
          <w:sz w:val="28"/>
          <w:szCs w:val="28"/>
        </w:rPr>
        <w:t>3.4.1.1 所有货物质保期和功能维护期时间自最终验收合格并交付使用之日起计算，质保期为二年，自安装调试完毕并经验收合格之日起一年内提供免费硬件及所有功能维护。在质保期内，供货商应无偿提供上门服务，采购方无需支付任何费用（包括但不限于上门费、备件费、人工费等）。采购方提出技术支持请求后，成交供应商须在30分钟内响应，在12小时内提供现场服务。</w:t>
      </w:r>
    </w:p>
    <w:p>
      <w:pPr>
        <w:pStyle w:val="150"/>
        <w:spacing w:before="0" w:after="0" w:line="360" w:lineRule="auto"/>
        <w:ind w:firstLine="480"/>
        <w:jc w:val="both"/>
        <w:rPr>
          <w:rFonts w:ascii="Times New Roman" w:eastAsia="Times New Roman" w:hAnsi="Times New Roman" w:cs="Times New Roman"/>
        </w:rPr>
      </w:pPr>
      <w:r>
        <w:rPr>
          <w:rFonts w:ascii="仿宋_GB2312" w:eastAsia="仿宋_GB2312" w:hAnsi="仿宋_GB2312" w:cs="仿宋_GB2312"/>
          <w:sz w:val="28"/>
          <w:szCs w:val="28"/>
        </w:rPr>
        <w:t>3.4.1.2 成交供应商每季度应提供不少于1次定期巡检服务，及时发现问题、解决问题，确保用户安全有效的使用设备，并提交由采购方确认的巡检报告。如采购方因某一时期运维工作内容增加、紧急事件处理等需增加现场技术支持人员服务的，成交供应商需安排相应技术人员协助开展相关工作。同时应提供技术培训，使采购方人员能掌握有关系统设备的使用、维护和管理。</w:t>
      </w:r>
    </w:p>
    <w:p>
      <w:pPr>
        <w:pStyle w:val="150"/>
        <w:spacing w:before="0" w:after="0" w:line="360" w:lineRule="auto"/>
        <w:ind w:firstLine="480"/>
        <w:jc w:val="both"/>
        <w:rPr>
          <w:rFonts w:ascii="Times New Roman" w:eastAsia="Times New Roman" w:hAnsi="Times New Roman" w:cs="Times New Roman"/>
        </w:rPr>
      </w:pPr>
      <w:r>
        <w:rPr>
          <w:rFonts w:ascii="仿宋_GB2312" w:eastAsia="仿宋_GB2312" w:hAnsi="仿宋_GB2312" w:cs="仿宋_GB2312"/>
          <w:sz w:val="28"/>
          <w:szCs w:val="28"/>
        </w:rPr>
        <w:t>3.4.1.3 供应商必须提供项目所有设备的系统集成，包含线路铺设安装及配套设备安装，安装调试符合使用要求。</w:t>
      </w:r>
    </w:p>
    <w:p>
      <w:pPr>
        <w:pStyle w:val="150"/>
        <w:spacing w:before="0" w:after="0" w:line="360" w:lineRule="auto"/>
        <w:ind w:firstLine="480"/>
        <w:jc w:val="both"/>
        <w:rPr>
          <w:rFonts w:ascii="Times New Roman" w:eastAsia="Times New Roman" w:hAnsi="Times New Roman" w:cs="Times New Roman"/>
        </w:rPr>
      </w:pPr>
      <w:r>
        <w:rPr>
          <w:rFonts w:ascii="仿宋_GB2312" w:eastAsia="仿宋_GB2312" w:hAnsi="仿宋_GB2312" w:cs="仿宋_GB2312"/>
          <w:sz w:val="28"/>
          <w:szCs w:val="28"/>
        </w:rPr>
        <w:t>3.4.1.4 为了确保项目进度，成交方需在场安排不少于3名技术员。</w:t>
      </w:r>
    </w:p>
    <w:p>
      <w:pPr>
        <w:pStyle w:val="150"/>
        <w:spacing w:before="0" w:after="0" w:line="360" w:lineRule="auto"/>
        <w:ind w:firstLine="480"/>
        <w:jc w:val="both"/>
        <w:rPr>
          <w:rFonts w:ascii="Times New Roman" w:eastAsia="Times New Roman" w:hAnsi="Times New Roman" w:cs="Times New Roman"/>
        </w:rPr>
      </w:pPr>
      <w:r>
        <w:rPr>
          <w:rFonts w:ascii="仿宋_GB2312" w:eastAsia="仿宋_GB2312" w:hAnsi="仿宋_GB2312" w:cs="仿宋_GB2312"/>
          <w:sz w:val="28"/>
          <w:szCs w:val="28"/>
        </w:rPr>
        <w:t>3.4.1.5 售后及质量保障服务要求：自验收通过之日起2年。</w:t>
      </w:r>
    </w:p>
    <w:p>
      <w:pPr>
        <w:pStyle w:val="Heading20"/>
        <w:keepNext w:val="0"/>
        <w:spacing w:before="0" w:after="0" w:line="360" w:lineRule="auto"/>
        <w:rPr>
          <w:rFonts w:ascii="仿宋_GB2312" w:eastAsia="仿宋_GB2312" w:hAnsi="仿宋_GB2312" w:cs="仿宋_GB2312"/>
          <w:b/>
          <w:bCs/>
          <w:sz w:val="28"/>
          <w:szCs w:val="28"/>
        </w:rPr>
      </w:pPr>
      <w:bookmarkStart w:id="27" w:name="_Toc256000023"/>
      <w:r>
        <w:rPr>
          <w:rFonts w:ascii="仿宋_GB2312" w:eastAsia="仿宋_GB2312" w:hAnsi="仿宋_GB2312" w:cs="仿宋_GB2312"/>
          <w:i w:val="0"/>
          <w:iCs w:val="0"/>
        </w:rPr>
        <w:t>3.5其他要求</w:t>
      </w:r>
      <w:bookmarkEnd w:id="27"/>
    </w:p>
    <w:p>
      <w:pPr>
        <w:pStyle w:val="150"/>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无。</w:t>
      </w:r>
    </w:p>
    <w:p>
      <w:pPr>
        <w:pStyle w:val="Heading10"/>
        <w:keepNext w:val="0"/>
        <w:spacing w:before="0" w:after="0" w:line="360" w:lineRule="auto"/>
        <w:jc w:val="center"/>
        <w:rPr>
          <w:rFonts w:ascii="仿宋_GB2312" w:eastAsia="仿宋_GB2312" w:hAnsi="仿宋_GB2312" w:cs="仿宋_GB2312"/>
          <w:b/>
          <w:bCs/>
          <w:sz w:val="32"/>
          <w:szCs w:val="32"/>
        </w:rPr>
      </w:pPr>
      <w:bookmarkStart w:id="28" w:name="_Toc256000024"/>
      <w:r>
        <w:rPr>
          <w:rFonts w:ascii="仿宋_GB2312" w:eastAsia="仿宋_GB2312" w:hAnsi="仿宋_GB2312" w:cs="仿宋_GB2312"/>
          <w:kern w:val="36"/>
        </w:rPr>
        <w:t>4人员要求</w:t>
      </w:r>
      <w:bookmarkEnd w:id="28"/>
    </w:p>
    <w:p>
      <w:pPr>
        <w:pStyle w:val="Heading20"/>
        <w:keepNext w:val="0"/>
        <w:spacing w:before="0" w:after="0" w:line="360" w:lineRule="auto"/>
        <w:rPr>
          <w:rFonts w:ascii="仿宋_GB2312" w:eastAsia="仿宋_GB2312" w:hAnsi="仿宋_GB2312" w:cs="仿宋_GB2312"/>
          <w:b/>
          <w:bCs/>
          <w:sz w:val="28"/>
          <w:szCs w:val="28"/>
        </w:rPr>
      </w:pPr>
      <w:bookmarkStart w:id="29" w:name="_Toc256000025"/>
      <w:r>
        <w:rPr>
          <w:rFonts w:ascii="仿宋_GB2312" w:eastAsia="仿宋_GB2312" w:hAnsi="仿宋_GB2312" w:cs="仿宋_GB2312"/>
          <w:i w:val="0"/>
          <w:iCs w:val="0"/>
        </w:rPr>
        <w:t>4.1团队要求</w:t>
      </w:r>
      <w:bookmarkEnd w:id="29"/>
    </w:p>
    <w:p>
      <w:pPr>
        <w:pStyle w:val="Heading30"/>
        <w:keepNext w:val="0"/>
        <w:spacing w:before="0" w:after="0" w:line="360" w:lineRule="auto"/>
        <w:rPr>
          <w:rFonts w:ascii="仿宋_GB2312" w:eastAsia="仿宋_GB2312" w:hAnsi="仿宋_GB2312" w:cs="仿宋_GB2312"/>
          <w:b/>
          <w:bCs/>
          <w:sz w:val="28"/>
          <w:szCs w:val="28"/>
        </w:rPr>
      </w:pPr>
      <w:bookmarkStart w:id="30" w:name="_Toc256000026"/>
      <w:r>
        <w:rPr>
          <w:rFonts w:ascii="仿宋_GB2312" w:eastAsia="仿宋_GB2312" w:hAnsi="仿宋_GB2312" w:cs="仿宋_GB2312"/>
          <w:sz w:val="28"/>
          <w:szCs w:val="28"/>
        </w:rPr>
        <w:t>4.1.1基本要求</w:t>
      </w:r>
      <w:bookmarkEnd w:id="30"/>
    </w:p>
    <w:p>
      <w:pPr>
        <w:pStyle w:val="150"/>
        <w:spacing w:before="0" w:after="0" w:line="360" w:lineRule="auto"/>
        <w:ind w:firstLine="560"/>
        <w:jc w:val="both"/>
        <w:rPr>
          <w:rFonts w:ascii="Times New Roman" w:eastAsia="Times New Roman" w:hAnsi="Times New Roman" w:cs="Times New Roman"/>
        </w:rPr>
      </w:pPr>
      <w:r>
        <w:rPr>
          <w:rFonts w:ascii="仿宋_GB2312" w:eastAsia="仿宋_GB2312" w:hAnsi="仿宋_GB2312" w:cs="仿宋_GB2312"/>
          <w:sz w:val="28"/>
          <w:szCs w:val="28"/>
        </w:rPr>
        <w:t>为满足提供质保期内</w:t>
      </w:r>
      <w:r>
        <w:rPr>
          <w:rFonts w:ascii="仿宋_GB2312" w:eastAsia="仿宋_GB2312" w:hAnsi="仿宋_GB2312" w:cs="仿宋_GB2312"/>
          <w:sz w:val="28"/>
          <w:szCs w:val="28"/>
        </w:rPr>
        <w:t>7*24小时的技术支持，及时解决随时出现的故障，提供优质售后服务等服务要求，中标供应商应为本项目配置不少于5人的专业项目团队，团队成员除具备良好的沟通能力和团队协作精神外，还需满足以下条件：</w:t>
      </w:r>
    </w:p>
    <w:p>
      <w:pPr>
        <w:pStyle w:val="Heading30"/>
        <w:keepNext w:val="0"/>
        <w:spacing w:before="0" w:after="0" w:line="360" w:lineRule="auto"/>
        <w:rPr>
          <w:rFonts w:ascii="仿宋_GB2312" w:eastAsia="仿宋_GB2312" w:hAnsi="仿宋_GB2312" w:cs="仿宋_GB2312"/>
          <w:b/>
          <w:bCs/>
          <w:sz w:val="28"/>
          <w:szCs w:val="28"/>
        </w:rPr>
      </w:pPr>
      <w:bookmarkStart w:id="31" w:name="_Toc256000027"/>
      <w:r>
        <w:rPr>
          <w:rFonts w:ascii="仿宋_GB2312" w:eastAsia="仿宋_GB2312" w:hAnsi="仿宋_GB2312" w:cs="仿宋_GB2312"/>
          <w:sz w:val="28"/>
          <w:szCs w:val="28"/>
        </w:rPr>
        <w:t>4.1.2优选资质/优选指标</w:t>
      </w:r>
      <w:bookmarkEnd w:id="31"/>
    </w:p>
    <w:tbl>
      <w:tblPr>
        <w:tblStyle w:val="16Table"/>
        <w:tblW w:w="5000" w:type="pct"/>
        <w:tblCellSpacing w:w="0" w:type="dxa"/>
        <w:tblInd w:w="286" w:type="dxa"/>
        <w:tblCellMar>
          <w:top w:w="15" w:type="dxa"/>
          <w:left w:w="15" w:type="dxa"/>
          <w:bottom w:w="15" w:type="dxa"/>
          <w:right w:w="15" w:type="dxa"/>
        </w:tblCellMar>
        <w:tblLook w:val="05E0"/>
      </w:tblPr>
      <w:tblGrid>
        <w:gridCol w:w="349"/>
        <w:gridCol w:w="550"/>
        <w:gridCol w:w="1025"/>
        <w:gridCol w:w="6285"/>
        <w:gridCol w:w="901"/>
      </w:tblGrid>
      <w:tr>
        <w:tblPrEx>
          <w:tblW w:w="5000" w:type="pct"/>
          <w:tblCellSpacing w:w="0" w:type="dxa"/>
          <w:tblInd w:w="286" w:type="dxa"/>
          <w:tblCellMar>
            <w:top w:w="15" w:type="dxa"/>
            <w:left w:w="15" w:type="dxa"/>
            <w:bottom w:w="15" w:type="dxa"/>
            <w:right w:w="15" w:type="dxa"/>
          </w:tblCellMar>
          <w:tblLook w:val="05E0"/>
        </w:tblPrEx>
        <w:trPr>
          <w:tblCellSpacing w:w="0" w:type="dxa"/>
        </w:trPr>
        <w:tc>
          <w:tcPr>
            <w:tcW w:w="510" w:type="pct"/>
            <w:tcBorders>
              <w:top w:val="single" w:sz="8" w:space="0" w:color="000000"/>
              <w:left w:val="single" w:sz="8" w:space="0" w:color="000000"/>
              <w:bottom w:val="single" w:sz="8" w:space="0" w:color="000000"/>
              <w:right w:val="single" w:sz="8" w:space="0" w:color="000000"/>
            </w:tcBorders>
            <w:shd w:val="clear" w:color="auto" w:fill="D3D3D3"/>
            <w:noWrap w:val="0"/>
            <w:tcMar>
              <w:top w:w="42" w:type="dxa"/>
              <w:left w:w="42" w:type="dxa"/>
              <w:bottom w:w="42" w:type="dxa"/>
              <w:right w:w="42"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1"/>
                <w:szCs w:val="21"/>
              </w:rPr>
              <w:t>序号</w:t>
            </w:r>
          </w:p>
        </w:tc>
        <w:tc>
          <w:tcPr>
            <w:tcW w:w="1122" w:type="pct"/>
            <w:tcBorders>
              <w:top w:val="single" w:sz="8" w:space="0" w:color="000000"/>
              <w:bottom w:val="single" w:sz="8" w:space="0" w:color="000000"/>
              <w:right w:val="single" w:sz="8" w:space="0" w:color="000000"/>
            </w:tcBorders>
            <w:shd w:val="clear" w:color="auto" w:fill="D3D3D3"/>
            <w:noWrap w:val="0"/>
            <w:tcMar>
              <w:top w:w="42" w:type="dxa"/>
              <w:left w:w="27" w:type="dxa"/>
              <w:bottom w:w="42" w:type="dxa"/>
              <w:right w:w="42"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1"/>
                <w:szCs w:val="21"/>
              </w:rPr>
              <w:t>人员类别</w:t>
            </w:r>
          </w:p>
        </w:tc>
        <w:tc>
          <w:tcPr>
            <w:tcW w:w="1122" w:type="pct"/>
            <w:tcBorders>
              <w:top w:val="single" w:sz="8" w:space="0" w:color="000000"/>
              <w:bottom w:val="single" w:sz="8" w:space="0" w:color="000000"/>
              <w:right w:val="single" w:sz="8" w:space="0" w:color="000000"/>
            </w:tcBorders>
            <w:shd w:val="clear" w:color="auto" w:fill="D3D3D3"/>
            <w:noWrap w:val="0"/>
            <w:tcMar>
              <w:top w:w="42" w:type="dxa"/>
              <w:left w:w="27" w:type="dxa"/>
              <w:bottom w:w="42" w:type="dxa"/>
              <w:right w:w="42"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1"/>
                <w:szCs w:val="21"/>
              </w:rPr>
              <w:t>人员岗位</w:t>
            </w:r>
          </w:p>
        </w:tc>
        <w:tc>
          <w:tcPr>
            <w:tcW w:w="1122" w:type="pct"/>
            <w:tcBorders>
              <w:top w:val="single" w:sz="8" w:space="0" w:color="000000"/>
              <w:bottom w:val="single" w:sz="8" w:space="0" w:color="000000"/>
              <w:right w:val="single" w:sz="8" w:space="0" w:color="000000"/>
            </w:tcBorders>
            <w:shd w:val="clear" w:color="auto" w:fill="D3D3D3"/>
            <w:noWrap w:val="0"/>
            <w:tcMar>
              <w:top w:w="42" w:type="dxa"/>
              <w:left w:w="27" w:type="dxa"/>
              <w:bottom w:w="42" w:type="dxa"/>
              <w:right w:w="42"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1"/>
                <w:szCs w:val="21"/>
              </w:rPr>
              <w:t>人员要求</w:t>
            </w:r>
          </w:p>
        </w:tc>
        <w:tc>
          <w:tcPr>
            <w:tcW w:w="1122" w:type="pct"/>
            <w:tcBorders>
              <w:top w:val="single" w:sz="8" w:space="0" w:color="000000"/>
              <w:bottom w:val="single" w:sz="8" w:space="0" w:color="000000"/>
              <w:right w:val="single" w:sz="8" w:space="0" w:color="000000"/>
            </w:tcBorders>
            <w:shd w:val="clear" w:color="auto" w:fill="D3D3D3"/>
            <w:noWrap w:val="0"/>
            <w:tcMar>
              <w:top w:w="42" w:type="dxa"/>
              <w:left w:w="27" w:type="dxa"/>
              <w:bottom w:w="42" w:type="dxa"/>
              <w:right w:w="42"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1"/>
                <w:szCs w:val="21"/>
              </w:rPr>
              <w:t>是否作为加分项</w:t>
            </w:r>
          </w:p>
        </w:tc>
      </w:tr>
      <w:tr>
        <w:tblPrEx>
          <w:tblW w:w="5000" w:type="pct"/>
          <w:tblCellSpacing w:w="0" w:type="dxa"/>
          <w:tblInd w:w="286" w:type="dxa"/>
          <w:tblCellMar>
            <w:top w:w="15" w:type="dxa"/>
            <w:left w:w="15" w:type="dxa"/>
            <w:bottom w:w="15" w:type="dxa"/>
            <w:right w:w="15" w:type="dxa"/>
          </w:tblCellMar>
          <w:tblLook w:val="05E0"/>
        </w:tblPrEx>
        <w:trPr>
          <w:tblCellSpacing w:w="0" w:type="dxa"/>
        </w:trPr>
        <w:tc>
          <w:tcPr>
            <w:tcW w:w="510" w:type="pct"/>
            <w:tcBorders>
              <w:left w:val="single" w:sz="8" w:space="0" w:color="000000"/>
              <w:bottom w:val="single" w:sz="8" w:space="0" w:color="000000"/>
              <w:right w:val="single" w:sz="8" w:space="0" w:color="000000"/>
            </w:tcBorders>
            <w:noWrap w:val="0"/>
            <w:tcMar>
              <w:top w:w="27" w:type="dxa"/>
              <w:left w:w="42" w:type="dxa"/>
              <w:bottom w:w="42" w:type="dxa"/>
              <w:right w:w="42"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1</w:t>
            </w:r>
          </w:p>
        </w:tc>
        <w:tc>
          <w:tcPr>
            <w:tcW w:w="1122" w:type="pct"/>
            <w:tcBorders>
              <w:bottom w:val="single" w:sz="8" w:space="0" w:color="000000"/>
              <w:right w:val="single" w:sz="8" w:space="0" w:color="000000"/>
            </w:tcBorders>
            <w:noWrap w:val="0"/>
            <w:tcMar>
              <w:top w:w="27" w:type="dxa"/>
              <w:left w:w="27" w:type="dxa"/>
              <w:bottom w:w="42" w:type="dxa"/>
              <w:right w:w="42" w:type="dxa"/>
            </w:tcMar>
            <w:vAlign w:val="center"/>
            <w:hideMark/>
          </w:tcPr>
          <w:p>
            <w:pPr>
              <w:pStyle w:val="15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管理团队</w:t>
            </w:r>
          </w:p>
        </w:tc>
        <w:tc>
          <w:tcPr>
            <w:tcW w:w="1122" w:type="pct"/>
            <w:tcBorders>
              <w:bottom w:val="single" w:sz="8" w:space="0" w:color="000000"/>
              <w:right w:val="single" w:sz="8" w:space="0" w:color="000000"/>
            </w:tcBorders>
            <w:noWrap w:val="0"/>
            <w:tcMar>
              <w:top w:w="27" w:type="dxa"/>
              <w:left w:w="27" w:type="dxa"/>
              <w:bottom w:w="42" w:type="dxa"/>
              <w:right w:w="42" w:type="dxa"/>
            </w:tcMar>
            <w:vAlign w:val="center"/>
            <w:hideMark/>
          </w:tcPr>
          <w:p>
            <w:pPr>
              <w:pStyle w:val="15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项目经理（1名）</w:t>
            </w:r>
          </w:p>
        </w:tc>
        <w:tc>
          <w:tcPr>
            <w:tcW w:w="1122" w:type="pct"/>
            <w:tcBorders>
              <w:bottom w:val="single" w:sz="8" w:space="0" w:color="000000"/>
              <w:right w:val="single" w:sz="8" w:space="0" w:color="000000"/>
            </w:tcBorders>
            <w:noWrap w:val="0"/>
            <w:tcMar>
              <w:top w:w="27" w:type="dxa"/>
              <w:left w:w="27" w:type="dxa"/>
              <w:bottom w:w="42" w:type="dxa"/>
              <w:right w:w="42" w:type="dxa"/>
            </w:tcMar>
            <w:vAlign w:val="center"/>
            <w:hideMark/>
          </w:tcPr>
          <w:p>
            <w:pPr>
              <w:pStyle w:val="150"/>
              <w:spacing w:after="24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需具备10年及以上类似项目管理工作经验，熟悉项目全流程管理，能够有效协调资源、把控进度、应对风险。</w:t>
            </w:r>
          </w:p>
          <w:p>
            <w:pPr>
              <w:pStyle w:val="150"/>
              <w:spacing w:before="24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投标人需为本项目的项目经理缴纳社保。</w:t>
            </w:r>
          </w:p>
        </w:tc>
        <w:tc>
          <w:tcPr>
            <w:tcW w:w="1122" w:type="pct"/>
            <w:tcBorders>
              <w:bottom w:val="single" w:sz="8" w:space="0" w:color="000000"/>
              <w:right w:val="single" w:sz="8" w:space="0" w:color="000000"/>
            </w:tcBorders>
            <w:noWrap w:val="0"/>
            <w:tcMar>
              <w:top w:w="27" w:type="dxa"/>
              <w:left w:w="27" w:type="dxa"/>
              <w:bottom w:w="42" w:type="dxa"/>
              <w:right w:w="42" w:type="dxa"/>
            </w:tcMar>
            <w:vAlign w:val="center"/>
            <w:hideMark/>
          </w:tcPr>
          <w:p>
            <w:pPr>
              <w:pStyle w:val="15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是</w:t>
            </w:r>
          </w:p>
        </w:tc>
      </w:tr>
      <w:tr>
        <w:tblPrEx>
          <w:tblW w:w="5000" w:type="pct"/>
          <w:tblCellSpacing w:w="0" w:type="dxa"/>
          <w:tblInd w:w="286" w:type="dxa"/>
          <w:tblCellMar>
            <w:top w:w="15" w:type="dxa"/>
            <w:left w:w="15" w:type="dxa"/>
            <w:bottom w:w="15" w:type="dxa"/>
            <w:right w:w="15" w:type="dxa"/>
          </w:tblCellMar>
          <w:tblLook w:val="05E0"/>
        </w:tblPrEx>
        <w:trPr>
          <w:tblCellSpacing w:w="0" w:type="dxa"/>
        </w:trPr>
        <w:tc>
          <w:tcPr>
            <w:tcW w:w="510" w:type="pct"/>
            <w:tcBorders>
              <w:left w:val="single" w:sz="8" w:space="0" w:color="000000"/>
              <w:bottom w:val="single" w:sz="8" w:space="0" w:color="000000"/>
              <w:right w:val="single" w:sz="8" w:space="0" w:color="000000"/>
            </w:tcBorders>
            <w:noWrap w:val="0"/>
            <w:tcMar>
              <w:top w:w="27" w:type="dxa"/>
              <w:left w:w="42" w:type="dxa"/>
              <w:bottom w:w="42" w:type="dxa"/>
              <w:right w:w="42" w:type="dxa"/>
            </w:tcMar>
            <w:vAlign w:val="center"/>
            <w:hideMark/>
          </w:tcPr>
          <w:p>
            <w:pPr>
              <w:pStyle w:val="15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2</w:t>
            </w:r>
          </w:p>
        </w:tc>
        <w:tc>
          <w:tcPr>
            <w:tcW w:w="1122" w:type="pct"/>
            <w:tcBorders>
              <w:bottom w:val="single" w:sz="8" w:space="0" w:color="000000"/>
              <w:right w:val="single" w:sz="8" w:space="0" w:color="000000"/>
            </w:tcBorders>
            <w:noWrap w:val="0"/>
            <w:tcMar>
              <w:top w:w="27" w:type="dxa"/>
              <w:left w:w="27" w:type="dxa"/>
              <w:bottom w:w="42" w:type="dxa"/>
              <w:right w:w="42" w:type="dxa"/>
            </w:tcMar>
            <w:vAlign w:val="center"/>
            <w:hideMark/>
          </w:tcPr>
          <w:p>
            <w:pPr>
              <w:pStyle w:val="15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技术团队</w:t>
            </w:r>
          </w:p>
        </w:tc>
        <w:tc>
          <w:tcPr>
            <w:tcW w:w="1122" w:type="pct"/>
            <w:tcBorders>
              <w:bottom w:val="single" w:sz="8" w:space="0" w:color="000000"/>
              <w:right w:val="single" w:sz="8" w:space="0" w:color="000000"/>
            </w:tcBorders>
            <w:noWrap w:val="0"/>
            <w:tcMar>
              <w:top w:w="27" w:type="dxa"/>
              <w:left w:w="27" w:type="dxa"/>
              <w:bottom w:w="42" w:type="dxa"/>
              <w:right w:w="42" w:type="dxa"/>
            </w:tcMar>
            <w:vAlign w:val="center"/>
            <w:hideMark/>
          </w:tcPr>
          <w:p>
            <w:pPr>
              <w:pStyle w:val="15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工程师（4名）</w:t>
            </w:r>
          </w:p>
        </w:tc>
        <w:tc>
          <w:tcPr>
            <w:tcW w:w="1122" w:type="pct"/>
            <w:tcBorders>
              <w:bottom w:val="single" w:sz="8" w:space="0" w:color="000000"/>
              <w:right w:val="single" w:sz="8" w:space="0" w:color="000000"/>
            </w:tcBorders>
            <w:noWrap w:val="0"/>
            <w:tcMar>
              <w:top w:w="27" w:type="dxa"/>
              <w:left w:w="27" w:type="dxa"/>
              <w:bottom w:w="42" w:type="dxa"/>
              <w:right w:w="42" w:type="dxa"/>
            </w:tcMar>
            <w:vAlign w:val="center"/>
            <w:hideMark/>
          </w:tcPr>
          <w:p>
            <w:pPr>
              <w:pStyle w:val="150"/>
              <w:spacing w:after="24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需具有3年及以上类似项目工作经验，具备深厚的技术功底和解决复杂技术问题的能力，能为项目提供坚实的技术支持。</w:t>
            </w:r>
          </w:p>
          <w:p>
            <w:pPr>
              <w:pStyle w:val="150"/>
              <w:spacing w:before="24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投标人需为本项目的工程师缴纳社保。</w:t>
            </w:r>
          </w:p>
        </w:tc>
        <w:tc>
          <w:tcPr>
            <w:tcW w:w="1122" w:type="pct"/>
            <w:tcBorders>
              <w:bottom w:val="single" w:sz="8" w:space="0" w:color="000000"/>
              <w:right w:val="single" w:sz="8" w:space="0" w:color="000000"/>
            </w:tcBorders>
            <w:noWrap w:val="0"/>
            <w:tcMar>
              <w:top w:w="27" w:type="dxa"/>
              <w:left w:w="27" w:type="dxa"/>
              <w:bottom w:w="42" w:type="dxa"/>
              <w:right w:w="42" w:type="dxa"/>
            </w:tcMar>
            <w:vAlign w:val="center"/>
            <w:hideMark/>
          </w:tcPr>
          <w:p>
            <w:pPr>
              <w:pStyle w:val="15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是</w:t>
            </w:r>
          </w:p>
        </w:tc>
      </w:tr>
    </w:tbl>
    <w:p>
      <w:pPr>
        <w:pStyle w:val="Heading10"/>
        <w:keepNext w:val="0"/>
        <w:spacing w:before="0" w:after="0" w:line="360" w:lineRule="auto"/>
        <w:jc w:val="center"/>
        <w:rPr>
          <w:rFonts w:ascii="仿宋_GB2312" w:eastAsia="仿宋_GB2312" w:hAnsi="仿宋_GB2312" w:cs="仿宋_GB2312"/>
          <w:b/>
          <w:bCs/>
          <w:sz w:val="32"/>
          <w:szCs w:val="32"/>
        </w:rPr>
      </w:pPr>
      <w:bookmarkStart w:id="32" w:name="_Toc256000028"/>
      <w:r>
        <w:rPr>
          <w:rFonts w:ascii="仿宋_GB2312" w:eastAsia="仿宋_GB2312" w:hAnsi="仿宋_GB2312" w:cs="仿宋_GB2312"/>
          <w:kern w:val="36"/>
        </w:rPr>
        <w:t>5管理实施要求</w:t>
      </w:r>
      <w:bookmarkEnd w:id="32"/>
    </w:p>
    <w:p>
      <w:pPr>
        <w:pStyle w:val="150"/>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针对其提供的办税服务厅及党建宣传展示系统多媒体屏幕部署、安装与调试。并于硬件抵达安装现场后的</w:t>
      </w:r>
      <w:r>
        <w:rPr>
          <w:rFonts w:ascii="仿宋_GB2312" w:eastAsia="仿宋_GB2312" w:hAnsi="仿宋_GB2312" w:cs="仿宋_GB2312"/>
          <w:sz w:val="28"/>
          <w:szCs w:val="28"/>
        </w:rPr>
        <w:t>10天内完成安装部署。</w:t>
      </w:r>
    </w:p>
    <w:p>
      <w:pPr>
        <w:pStyle w:val="150"/>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中标供应商要根据我局情况，提供完整管理实施方案、风险管控方案、保密方案、履约验收方案、售后服务方案。</w:t>
      </w:r>
    </w:p>
    <w:p>
      <w:pPr>
        <w:pStyle w:val="150"/>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按照合同提供产品和服务，承诺与本项目相关单位（在用设备和系统集成商、运维商等）进行积极配合，完成软硬件安装、调试、测试工作，完成与我局现有信息化资源的适配及融合。</w:t>
      </w:r>
    </w:p>
    <w:p>
      <w:pPr>
        <w:pStyle w:val="150"/>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在实施过程中要求由专业的系统集成人员进行安装、检测和故障排除。中标供应商必须服从采购人的统一协调，在实施方案设计、设备供货、技术支持、运行维护等方面相互配合。投标人应充分理解本项目的意义和重要性，在投标时应提交本项目的项目管理方案和集成方案，保障本项目在相关设备到货时能顺利实施。</w:t>
      </w:r>
    </w:p>
    <w:p>
      <w:pPr>
        <w:pStyle w:val="150"/>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投标人应根据项目制定合理的产品培训，提交本项目的培训方案，以满足对采购设备和软件的使用和日常维护需求。</w:t>
      </w:r>
    </w:p>
    <w:p>
      <w:pPr>
        <w:pStyle w:val="Heading10"/>
        <w:keepNext w:val="0"/>
        <w:spacing w:before="0" w:after="0" w:line="360" w:lineRule="auto"/>
        <w:jc w:val="center"/>
        <w:rPr>
          <w:rFonts w:ascii="仿宋_GB2312" w:eastAsia="仿宋_GB2312" w:hAnsi="仿宋_GB2312" w:cs="仿宋_GB2312"/>
          <w:b/>
          <w:bCs/>
          <w:sz w:val="32"/>
          <w:szCs w:val="32"/>
        </w:rPr>
      </w:pPr>
      <w:bookmarkStart w:id="33" w:name="_Toc256000029"/>
      <w:r>
        <w:rPr>
          <w:rFonts w:ascii="仿宋_GB2312" w:eastAsia="仿宋_GB2312" w:hAnsi="仿宋_GB2312" w:cs="仿宋_GB2312"/>
          <w:kern w:val="36"/>
        </w:rPr>
        <w:t>6风险管控要求</w:t>
      </w:r>
      <w:bookmarkEnd w:id="33"/>
    </w:p>
    <w:p>
      <w:pPr>
        <w:pStyle w:val="150"/>
        <w:spacing w:before="0" w:after="0" w:line="360" w:lineRule="auto"/>
        <w:ind w:firstLine="480"/>
        <w:jc w:val="both"/>
        <w:textAlignment w:val="baseline"/>
        <w:rPr>
          <w:rFonts w:ascii="Times New Roman" w:eastAsia="Times New Roman" w:hAnsi="Times New Roman" w:cs="Times New Roman"/>
        </w:rPr>
      </w:pPr>
      <w:r>
        <w:rPr>
          <w:rFonts w:ascii="仿宋_GB2312" w:eastAsia="仿宋_GB2312" w:hAnsi="仿宋_GB2312" w:cs="仿宋_GB2312"/>
          <w:sz w:val="28"/>
          <w:szCs w:val="28"/>
        </w:rPr>
        <w:t>投标人应提高安全责任意识，严控产品安全质量；建立清晰的软件供应链安全策略，明确相关的管理目标、工作流程、检查内容、责任部门等；严控上游，尤其重点管控开源代码的使用，确保使用的开源代码符合开源许可协议，形成第三方组件清单和安全分析报告，禁止使用存在高安全风险或已停止维护的第三方组件；严控自主开发代码的质量，采用软件源代码安全分析工具，持续检测和修复软件源代码中的安全缺陷和漏洞；建立完善的产品漏洞响应机制，包括产品漏洞信息的收集、漏洞报告渠道的建立和维护、漏洞补丁的开发和发布、客户端漏洞应急响应和修复支持等。发现网络安全漏洞、缺陷、数据泄露或其他重大网络安全风险，及时向采购人进行报告，不得擅自公开或向第三方提供。</w:t>
      </w:r>
    </w:p>
    <w:p>
      <w:pPr>
        <w:pStyle w:val="Heading10"/>
        <w:keepNext w:val="0"/>
        <w:spacing w:before="0" w:after="0" w:line="360" w:lineRule="auto"/>
        <w:jc w:val="center"/>
        <w:rPr>
          <w:rFonts w:ascii="仿宋_GB2312" w:eastAsia="仿宋_GB2312" w:hAnsi="仿宋_GB2312" w:cs="仿宋_GB2312"/>
          <w:b/>
          <w:bCs/>
          <w:sz w:val="32"/>
          <w:szCs w:val="32"/>
        </w:rPr>
      </w:pPr>
      <w:bookmarkStart w:id="34" w:name="_Toc256000030"/>
      <w:r>
        <w:rPr>
          <w:rFonts w:ascii="仿宋_GB2312" w:eastAsia="仿宋_GB2312" w:hAnsi="仿宋_GB2312" w:cs="仿宋_GB2312"/>
          <w:kern w:val="36"/>
        </w:rPr>
        <w:t>7履约验收要求</w:t>
      </w:r>
      <w:bookmarkEnd w:id="34"/>
    </w:p>
    <w:p>
      <w:pPr>
        <w:pStyle w:val="Heading20"/>
        <w:keepNext w:val="0"/>
        <w:spacing w:before="0" w:after="0" w:line="360" w:lineRule="auto"/>
        <w:rPr>
          <w:rFonts w:ascii="仿宋_GB2312" w:eastAsia="仿宋_GB2312" w:hAnsi="仿宋_GB2312" w:cs="仿宋_GB2312"/>
          <w:b/>
          <w:bCs/>
          <w:sz w:val="28"/>
          <w:szCs w:val="28"/>
        </w:rPr>
      </w:pPr>
      <w:bookmarkStart w:id="35" w:name="_Toc256000031"/>
      <w:r>
        <w:rPr>
          <w:rFonts w:ascii="仿宋_GB2312" w:eastAsia="仿宋_GB2312" w:hAnsi="仿宋_GB2312" w:cs="仿宋_GB2312"/>
          <w:i w:val="0"/>
          <w:iCs w:val="0"/>
        </w:rPr>
        <w:t>7.1总体要求</w:t>
      </w:r>
      <w:bookmarkEnd w:id="35"/>
    </w:p>
    <w:tbl>
      <w:tblPr>
        <w:tblStyle w:val="TableNormal"/>
        <w:tblW w:w="5000" w:type="pct"/>
        <w:tblInd w:w="30" w:type="dxa"/>
        <w:tblCellMar>
          <w:top w:w="15" w:type="dxa"/>
          <w:left w:w="15" w:type="dxa"/>
          <w:bottom w:w="15" w:type="dxa"/>
          <w:right w:w="15" w:type="dxa"/>
        </w:tblCellMar>
      </w:tblPr>
      <w:tblGrid>
        <w:gridCol w:w="390"/>
        <w:gridCol w:w="8680"/>
      </w:tblGrid>
      <w:tr>
        <w:tblPrEx>
          <w:tblW w:w="5000" w:type="pct"/>
          <w:tblInd w:w="30" w:type="dxa"/>
          <w:tblCellMar>
            <w:top w:w="15" w:type="dxa"/>
            <w:left w:w="15" w:type="dxa"/>
            <w:bottom w:w="15" w:type="dxa"/>
            <w:right w:w="15" w:type="dxa"/>
          </w:tblCellMar>
        </w:tblPrEx>
        <w:tc>
          <w:tcPr>
            <w:tcW w:w="25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验收名称</w:t>
            </w:r>
          </w:p>
        </w:tc>
        <w:tc>
          <w:tcPr>
            <w:tcW w:w="25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验收要求</w:t>
            </w:r>
          </w:p>
        </w:tc>
      </w:tr>
      <w:tr>
        <w:tblPrEx>
          <w:tblW w:w="5000" w:type="pct"/>
          <w:tblInd w:w="30" w:type="dxa"/>
          <w:tblCellMar>
            <w:top w:w="15" w:type="dxa"/>
            <w:left w:w="15" w:type="dxa"/>
            <w:bottom w:w="15" w:type="dxa"/>
            <w:right w:w="15" w:type="dxa"/>
          </w:tblCellMar>
        </w:tblPrEx>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第1次验收</w:t>
            </w:r>
          </w:p>
        </w:tc>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根据合同内容对本次所采购的硬件设备的型号、规格、数量核对与验收并出具验收合格书，货物经验收合格后，完成设备调试、部署上线，所有设备稳定运行后完成验收。如发现货物参数规格等与要求不符，采购方有权根据检验结果要求与成交供应商终止合同服务，并提出索赔要求。</w:t>
            </w:r>
          </w:p>
        </w:tc>
      </w:tr>
    </w:tbl>
    <w:p>
      <w:pPr>
        <w:pStyle w:val="Heading20"/>
        <w:keepNext w:val="0"/>
        <w:spacing w:before="0" w:after="0" w:line="360" w:lineRule="auto"/>
        <w:rPr>
          <w:rFonts w:ascii="仿宋_GB2312" w:eastAsia="仿宋_GB2312" w:hAnsi="仿宋_GB2312" w:cs="仿宋_GB2312"/>
          <w:b/>
          <w:bCs/>
          <w:sz w:val="28"/>
          <w:szCs w:val="28"/>
        </w:rPr>
      </w:pPr>
      <w:bookmarkStart w:id="36" w:name="_Toc256000032"/>
      <w:r>
        <w:rPr>
          <w:rFonts w:ascii="仿宋_GB2312" w:eastAsia="仿宋_GB2312" w:hAnsi="仿宋_GB2312" w:cs="仿宋_GB2312"/>
          <w:i w:val="0"/>
          <w:iCs w:val="0"/>
        </w:rPr>
        <w:t>7.2具体要求</w:t>
      </w:r>
      <w:bookmarkEnd w:id="36"/>
    </w:p>
    <w:p>
      <w:pPr>
        <w:pStyle w:val="150"/>
        <w:spacing w:before="0" w:after="0" w:line="360" w:lineRule="auto"/>
        <w:ind w:left="0" w:right="0" w:firstLine="480"/>
        <w:jc w:val="both"/>
        <w:rPr>
          <w:rFonts w:ascii="Times New Roman" w:eastAsia="Times New Roman" w:hAnsi="Times New Roman" w:cs="Times New Roman"/>
        </w:rPr>
      </w:pPr>
      <w:r>
        <w:rPr>
          <w:rFonts w:ascii="仿宋_GB2312" w:eastAsia="仿宋_GB2312" w:hAnsi="仿宋_GB2312" w:cs="仿宋_GB2312"/>
          <w:sz w:val="28"/>
          <w:szCs w:val="28"/>
        </w:rPr>
        <w:t>7.2.1 验收工作由采购人组织实施，由采购人、中标供应商共同完成。中标供应商应配合完成各阶段验收工作，必要时由中标供应商或第三方机构按照验收要求完成测试，提交项目验收方案及测试相关文档，经项目单位确认各项指标达到合同约定后进行项目验收。</w:t>
      </w:r>
    </w:p>
    <w:p>
      <w:pPr>
        <w:pStyle w:val="150"/>
        <w:spacing w:before="0" w:after="0" w:line="360" w:lineRule="auto"/>
        <w:ind w:left="0" w:right="0" w:firstLine="480"/>
        <w:jc w:val="both"/>
        <w:rPr>
          <w:rFonts w:ascii="Times New Roman" w:eastAsia="Times New Roman" w:hAnsi="Times New Roman" w:cs="Times New Roman"/>
        </w:rPr>
      </w:pPr>
      <w:r>
        <w:rPr>
          <w:rFonts w:ascii="仿宋_GB2312" w:eastAsia="仿宋_GB2312" w:hAnsi="仿宋_GB2312" w:cs="仿宋_GB2312"/>
          <w:sz w:val="28"/>
          <w:szCs w:val="28"/>
        </w:rPr>
        <w:t>7.2.2 中标供应商应在项目验收、测试时提供相关测试环境及必要的设备和工具，使用各类支撑工具应保证采购人在测试过程合法免费使用，中标供应商承担由于知识产权等纠纷导致的所有责任。</w:t>
      </w:r>
    </w:p>
    <w:p>
      <w:pPr>
        <w:pStyle w:val="150"/>
        <w:spacing w:before="0" w:after="0" w:line="360" w:lineRule="auto"/>
        <w:ind w:left="0" w:right="0" w:firstLine="480"/>
        <w:jc w:val="both"/>
        <w:rPr>
          <w:rFonts w:ascii="Times New Roman" w:eastAsia="Times New Roman" w:hAnsi="Times New Roman" w:cs="Times New Roman"/>
        </w:rPr>
      </w:pPr>
      <w:r>
        <w:rPr>
          <w:rFonts w:ascii="仿宋_GB2312" w:eastAsia="仿宋_GB2312" w:hAnsi="仿宋_GB2312" w:cs="仿宋_GB2312"/>
          <w:sz w:val="28"/>
          <w:szCs w:val="28"/>
        </w:rPr>
        <w:t>7.2.3 中标供应商提供的各类文档应内容完整、描述清晰、版本最新，各类方案要求实现目标明确、工作措施得力、可操作性强、具有前瞻性。产出物应提供电子和纸质两种介质，保持版本一致。</w:t>
      </w:r>
    </w:p>
    <w:p>
      <w:pPr>
        <w:pStyle w:val="150"/>
        <w:spacing w:before="0" w:after="0" w:line="360" w:lineRule="auto"/>
        <w:ind w:left="0" w:right="0" w:firstLine="480"/>
        <w:jc w:val="both"/>
        <w:rPr>
          <w:rFonts w:ascii="Times New Roman" w:eastAsia="Times New Roman" w:hAnsi="Times New Roman" w:cs="Times New Roman"/>
        </w:rPr>
      </w:pPr>
      <w:r>
        <w:rPr>
          <w:rFonts w:ascii="仿宋_GB2312" w:eastAsia="仿宋_GB2312" w:hAnsi="仿宋_GB2312" w:cs="仿宋_GB2312"/>
          <w:sz w:val="28"/>
          <w:szCs w:val="28"/>
        </w:rPr>
        <w:t>7.2.4 对验收中发现的问题，中标供应商应提出有效解决办法和措施，经采购人确认后实施。</w:t>
      </w:r>
    </w:p>
    <w:p>
      <w:pPr>
        <w:pStyle w:val="Heading10"/>
        <w:keepNext w:val="0"/>
        <w:spacing w:before="0" w:after="0" w:line="360" w:lineRule="auto"/>
        <w:jc w:val="center"/>
        <w:rPr>
          <w:rFonts w:ascii="仿宋_GB2312" w:eastAsia="仿宋_GB2312" w:hAnsi="仿宋_GB2312" w:cs="仿宋_GB2312"/>
          <w:b/>
          <w:bCs/>
          <w:sz w:val="32"/>
          <w:szCs w:val="32"/>
        </w:rPr>
      </w:pPr>
      <w:bookmarkStart w:id="37" w:name="_Toc256000033"/>
      <w:r>
        <w:rPr>
          <w:rFonts w:ascii="仿宋_GB2312" w:eastAsia="仿宋_GB2312" w:hAnsi="仿宋_GB2312" w:cs="仿宋_GB2312"/>
          <w:kern w:val="36"/>
        </w:rPr>
        <w:t>8其他要求</w:t>
      </w:r>
      <w:bookmarkEnd w:id="37"/>
    </w:p>
    <w:p>
      <w:pPr>
        <w:pStyle w:val="Heading20"/>
        <w:keepNext w:val="0"/>
        <w:spacing w:before="0" w:after="0" w:line="360" w:lineRule="auto"/>
        <w:rPr>
          <w:rFonts w:ascii="仿宋_GB2312" w:eastAsia="仿宋_GB2312" w:hAnsi="仿宋_GB2312" w:cs="仿宋_GB2312"/>
          <w:b/>
          <w:bCs/>
          <w:sz w:val="28"/>
          <w:szCs w:val="28"/>
        </w:rPr>
      </w:pPr>
      <w:bookmarkStart w:id="38" w:name="_Toc256000034"/>
      <w:r>
        <w:rPr>
          <w:rFonts w:ascii="仿宋_GB2312" w:eastAsia="仿宋_GB2312" w:hAnsi="仿宋_GB2312" w:cs="仿宋_GB2312"/>
          <w:i w:val="0"/>
          <w:iCs w:val="0"/>
        </w:rPr>
        <w:t>8.1必备要求</w:t>
      </w:r>
      <w:bookmarkEnd w:id="38"/>
    </w:p>
    <w:p>
      <w:pPr>
        <w:pStyle w:val="Heading30"/>
        <w:keepNext w:val="0"/>
        <w:spacing w:before="0" w:after="0" w:line="360" w:lineRule="auto"/>
        <w:rPr>
          <w:rFonts w:ascii="仿宋_GB2312" w:eastAsia="仿宋_GB2312" w:hAnsi="仿宋_GB2312" w:cs="仿宋_GB2312"/>
          <w:b/>
          <w:bCs/>
          <w:sz w:val="28"/>
          <w:szCs w:val="28"/>
        </w:rPr>
      </w:pPr>
      <w:bookmarkStart w:id="39" w:name="_Toc256000035"/>
      <w:r>
        <w:rPr>
          <w:rFonts w:ascii="仿宋_GB2312" w:eastAsia="仿宋_GB2312" w:hAnsi="仿宋_GB2312" w:cs="仿宋_GB2312"/>
          <w:sz w:val="28"/>
          <w:szCs w:val="28"/>
        </w:rPr>
        <w:t>8.1.1通用必备要求</w:t>
      </w:r>
      <w:bookmarkEnd w:id="39"/>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1.本项目中如涉及商品包装和快递包装的，其包装需求标准应不低于《关于印发&lt;商品包装政府采购需求标准（试行）&gt;、&lt;快递包装政府采购需求标准（试行）&gt;的通知》（财办库〔2020〕123 号）规定的包装要求，如有其他包装需求，详见采购文件技术部分相关章节。 </w:t>
      </w:r>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2.本项目中如涉及网络关键设备或网络安全专用产品的，应严格执行国家互联网信息办公室、工业和信息化部、公安部、财政部和国家认证认可监督管理委员会 2023年第 1 号《关于调整网络安全专用产品安全管理有关事项的公告》及国家互联网信息办公室、工业和信息化部、公安部和国家认证认可监督管理委员会 2023 年第 2号《关于调整&lt;网络关键设备和网络安全专用产品目录&gt;的公告》等相关文件要求，所投标（响应）设备或产品至少符合以下条件之一：一是已由具备资格的机构安全认证合格或安全检测符合要求；二是已获得《计算机信息系统安全专用产品销售许可证》，且在有效期内。 </w:t>
      </w:r>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3.本项目中如涉及国家强制性产品认证证书（CCC 认证证书）、电信设备进网许可证、无线电发射设备核准证等市场准入类资质的，应严格执行国家相关法律法规的要求。 </w:t>
      </w:r>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以上相关要求，由供应商在响应时应答，在履约验收中，采购人将按照采购文件、中标/成交供应商响应文件、采购合同等对中标/成交供应商提供的货物和服务进行验收，必要时依法依规开展相应检测、认证。</w:t>
      </w:r>
    </w:p>
    <w:p>
      <w:pPr>
        <w:pStyle w:val="Heading20"/>
        <w:keepNext w:val="0"/>
        <w:spacing w:before="0" w:after="0" w:line="360" w:lineRule="auto"/>
        <w:rPr>
          <w:rFonts w:ascii="仿宋_GB2312" w:eastAsia="仿宋_GB2312" w:hAnsi="仿宋_GB2312" w:cs="仿宋_GB2312"/>
          <w:b/>
          <w:bCs/>
          <w:sz w:val="28"/>
          <w:szCs w:val="28"/>
        </w:rPr>
      </w:pPr>
      <w:bookmarkStart w:id="40" w:name="_Toc256000036"/>
      <w:r>
        <w:rPr>
          <w:rFonts w:ascii="仿宋_GB2312" w:eastAsia="仿宋_GB2312" w:hAnsi="仿宋_GB2312" w:cs="仿宋_GB2312"/>
          <w:i w:val="0"/>
          <w:iCs w:val="0"/>
        </w:rPr>
        <w:t>8.2付款安排建议</w:t>
      </w:r>
      <w:bookmarkEnd w:id="40"/>
    </w:p>
    <w:tbl>
      <w:tblPr>
        <w:tblStyle w:val="TableNormal"/>
        <w:tblW w:w="5000" w:type="pct"/>
        <w:tblInd w:w="30" w:type="dxa"/>
        <w:tblCellMar>
          <w:top w:w="15" w:type="dxa"/>
          <w:left w:w="15" w:type="dxa"/>
          <w:bottom w:w="15" w:type="dxa"/>
          <w:right w:w="15" w:type="dxa"/>
        </w:tblCellMar>
      </w:tblPr>
      <w:tblGrid>
        <w:gridCol w:w="1814"/>
        <w:gridCol w:w="5442"/>
        <w:gridCol w:w="1814"/>
      </w:tblGrid>
      <w:tr>
        <w:tblPrEx>
          <w:tblW w:w="5000" w:type="pct"/>
          <w:tblInd w:w="30" w:type="dxa"/>
          <w:tblCellMar>
            <w:top w:w="15" w:type="dxa"/>
            <w:left w:w="15" w:type="dxa"/>
            <w:bottom w:w="15" w:type="dxa"/>
            <w:right w:w="15" w:type="dxa"/>
          </w:tblCellMar>
        </w:tblPrEx>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付款名称</w:t>
            </w:r>
          </w:p>
        </w:tc>
        <w:tc>
          <w:tcPr>
            <w:tcW w:w="3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付款要求</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付款比例(%)</w:t>
            </w:r>
          </w:p>
        </w:tc>
      </w:tr>
      <w:tr>
        <w:tblPrEx>
          <w:tblW w:w="5000" w:type="pct"/>
          <w:tblInd w:w="30" w:type="dxa"/>
          <w:tblCellMar>
            <w:top w:w="15" w:type="dxa"/>
            <w:left w:w="15" w:type="dxa"/>
            <w:bottom w:w="15" w:type="dxa"/>
            <w:right w:w="15" w:type="dxa"/>
          </w:tblCellMar>
        </w:tblPrEx>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第1次付款</w:t>
            </w:r>
          </w:p>
        </w:tc>
        <w:tc>
          <w:tcPr>
            <w:tcW w:w="22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项目经验收合格10个工作日内由中标供应商出具等额发票后，支付合同款。</w:t>
            </w:r>
          </w:p>
        </w:tc>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100.0</w:t>
            </w:r>
          </w:p>
        </w:tc>
      </w:tr>
    </w:tbl>
    <w:p>
      <w:pPr>
        <w:pStyle w:val="Heading20"/>
        <w:keepNext w:val="0"/>
        <w:spacing w:before="0" w:after="0" w:line="360" w:lineRule="auto"/>
        <w:rPr>
          <w:rFonts w:ascii="仿宋_GB2312" w:eastAsia="仿宋_GB2312" w:hAnsi="仿宋_GB2312" w:cs="仿宋_GB2312"/>
          <w:b/>
          <w:bCs/>
          <w:sz w:val="28"/>
          <w:szCs w:val="28"/>
        </w:rPr>
      </w:pPr>
      <w:bookmarkStart w:id="41" w:name="_Toc256000037"/>
      <w:r>
        <w:rPr>
          <w:rFonts w:ascii="仿宋_GB2312" w:eastAsia="仿宋_GB2312" w:hAnsi="仿宋_GB2312" w:cs="仿宋_GB2312"/>
          <w:i w:val="0"/>
          <w:iCs w:val="0"/>
        </w:rPr>
        <w:t>8.3其他要求</w:t>
      </w:r>
      <w:bookmarkEnd w:id="41"/>
    </w:p>
    <w:p>
      <w:pPr>
        <w:pStyle w:val="Heading30"/>
        <w:keepNext w:val="0"/>
        <w:spacing w:before="0" w:after="0" w:line="360" w:lineRule="auto"/>
        <w:rPr>
          <w:rFonts w:ascii="仿宋_GB2312" w:eastAsia="仿宋_GB2312" w:hAnsi="仿宋_GB2312" w:cs="仿宋_GB2312"/>
          <w:b/>
          <w:bCs/>
          <w:sz w:val="28"/>
          <w:szCs w:val="28"/>
        </w:rPr>
      </w:pPr>
      <w:bookmarkStart w:id="42" w:name="_Toc256000038"/>
      <w:r>
        <w:rPr>
          <w:rFonts w:ascii="仿宋_GB2312" w:eastAsia="仿宋_GB2312" w:hAnsi="仿宋_GB2312" w:cs="仿宋_GB2312"/>
          <w:sz w:val="28"/>
          <w:szCs w:val="28"/>
        </w:rPr>
        <w:t>8.3.1保密要求</w:t>
      </w:r>
      <w:bookmarkEnd w:id="42"/>
    </w:p>
    <w:p>
      <w:pPr>
        <w:pStyle w:val="150"/>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投标人对项目实施过程中所获得数据及文档等保密信息，承担以下保密义务：</w:t>
      </w:r>
    </w:p>
    <w:p>
      <w:pPr>
        <w:pStyle w:val="150"/>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8.3.1.1 投标人应对在合同签订或履行过程中所接触的对方信息，包括但不限于知识产权、技术资料、技术诀窍、内部管理及其他相关信息，负有保密义务，防止不承担同等保密义务的任何第三者知悉及使用。</w:t>
      </w:r>
    </w:p>
    <w:p>
      <w:pPr>
        <w:pStyle w:val="150"/>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8.3.1.2 投标人在使用用户方为其提供的数据、程序、用户名、口令、资料及相关的业务和技术文档，包括方案设计细节、程序文件、数据结构，以及相关业务系统的硬软件、文档、测试和测试产生的数据时，应遵循以下约定:</w:t>
      </w:r>
    </w:p>
    <w:p>
      <w:pPr>
        <w:pStyle w:val="150"/>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应以审慎态度避免泄露、公开或传播用户方的信息；</w:t>
      </w:r>
    </w:p>
    <w:p>
      <w:pPr>
        <w:pStyle w:val="150"/>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未经用户方书面许可，不得对有关信息进行修改、补充、复制；</w:t>
      </w:r>
    </w:p>
    <w:p>
      <w:pPr>
        <w:pStyle w:val="150"/>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未经用户方书面许可，不得将信息以任何方式</w:t>
      </w:r>
      <w:r>
        <w:rPr>
          <w:rFonts w:ascii="仿宋_GB2312" w:eastAsia="仿宋_GB2312" w:hAnsi="仿宋_GB2312" w:cs="仿宋_GB2312"/>
          <w:sz w:val="28"/>
          <w:szCs w:val="28"/>
        </w:rPr>
        <w:t>(如 E-mail)携带出项目服务场所；</w:t>
      </w:r>
    </w:p>
    <w:p>
      <w:pPr>
        <w:pStyle w:val="150"/>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未经用户方书面许可，不得将信息透露给任何其他人；</w:t>
      </w:r>
    </w:p>
    <w:p>
      <w:pPr>
        <w:pStyle w:val="150"/>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用户方以书面形式提出的其他保密措施。</w:t>
      </w:r>
    </w:p>
    <w:p>
      <w:pPr>
        <w:pStyle w:val="150"/>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8.3.1.3 保密期限不受合同有效期的限制，在合同有效期结束后，信息接收方仍应承担保密义务，直至该等信息成为公开信息。</w:t>
      </w:r>
    </w:p>
    <w:p>
      <w:pPr>
        <w:pStyle w:val="150"/>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8.3.1.4 投标人应按要求与委托方签署保密协议，服务人员签订保密承诺书及网络安全承诺书。</w:t>
      </w:r>
    </w:p>
    <w:p>
      <w:pPr>
        <w:pStyle w:val="150"/>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8.3.1.5 投标人如出现泄密行为，泄密方应承担相关的法律责任并承担由此给采购方造成的经济损失。</w:t>
      </w:r>
    </w:p>
    <w:p>
      <w:pPr>
        <w:pStyle w:val="Normal0"/>
        <w:spacing w:before="0" w:after="0" w:line="360" w:lineRule="auto"/>
        <w:jc w:val="left"/>
      </w:pPr>
    </w:p>
    <w:sectPr>
      <w:footerReference w:type="default" r:id="rId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CC"/>
    <w:family w:val="swiss"/>
    <w:pitch w:val="variable"/>
    <w:sig w:usb0="E0002AFF" w:usb1="C0007843" w:usb2="00000009" w:usb3="00000000" w:csb0="000001FF" w:csb1="00000000"/>
  </w:font>
  <w:font w:name="SimHei">
    <w:altName w:val="黑体"/>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FangSong_GB2312">
    <w:altName w:val="FangSong"/>
    <w:panose1 w:val="020B0604020202020204"/>
    <w:charset w:val="00"/>
    <w:family w:val="auto"/>
    <w:pitch w:val="default"/>
    <w:sig w:usb0="00000001" w:usb1="080E0000" w:usb2="00000000" w:usb3="00000000" w:csb0="00040000" w:csb1="00000000"/>
  </w:font>
  <w:font w:name="Cambria">
    <w:panose1 w:val="02040503050406030204"/>
    <w:charset w:val="00"/>
    <w:family w:val="roman"/>
    <w:pitch w:val="variable"/>
    <w:sig w:usb0="E00002FF" w:usb1="400004FF" w:usb2="00000000" w:usb3="00000000" w:csb0="0000019F" w:csb1="00000000"/>
  </w:font>
  <w:font w:name="Microsoft YaHei">
    <w:altName w:val="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AFF" w:usb1="C0007843" w:usb2="00000009" w:usb3="00000000" w:csb0="000001FF" w:csb1="00000000"/>
  </w:font>
  <w:font w:name="长城仿宋">
    <w:altName w:val="Microsoft YaHei"/>
    <w:panose1 w:val="020B0604020202020204"/>
    <w:charset w:val="00"/>
    <w:family w:val="modern"/>
    <w:pitch w:val="default"/>
    <w:sig w:usb0="00000000" w:usb1="00000000" w:usb2="00000010" w:usb3="00000000" w:csb0="00040000"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pPr>
      <w:pStyle w:val="Normal0"/>
      <w:spacing w:before="0" w:after="0" w:line="360" w:lineRule="auto"/>
      <w:jc w:val="center"/>
    </w:pPr>
    <w:r>
      <w:fldChar w:fldCharType="begin"/>
    </w:r>
    <w:r>
      <w:instrText xml:space="preserve"> PAGE </w:instrText>
    </w:r>
    <w:r>
      <w:fldChar w:fldCharType="separate"/>
    </w:r>
    <w:r>
      <w:t>11</w:t>
    </w:r>
    <w:r>
      <w:fldChar w:fldCharType="end"/>
    </w:r>
  </w:p>
</w:ft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abstractNum w:abstractNumId="0">
    <w:nsid w:val="F9FB07A5"/>
    <w:multiLevelType w:val="singleLevel"/>
    <w:tmpl w:val="F9FB07A5"/>
    <w:lvl w:ilvl="0">
      <w:start w:val="1"/>
      <w:numFmt w:val="decimal"/>
      <w:pStyle w:val="ListNumber2"/>
      <w:lvlText w:val="%1."/>
      <w:lvlJc w:val="left"/>
      <w:pPr>
        <w:tabs>
          <w:tab w:val="left" w:pos="780"/>
        </w:tabs>
        <w:ind w:left="780" w:hanging="360"/>
      </w:pPr>
    </w:lvl>
  </w:abstractNum>
  <w:abstractNum w:abstractNumId="1">
    <w:nsid w:val="00000002"/>
    <w:multiLevelType w:val="multilevel"/>
    <w:tmpl w:val="00000002"/>
    <w:lvl w:ilvl="0">
      <w:start w:val="1"/>
      <w:numFmt w:val="decimal"/>
      <w:pStyle w:val="10"/>
      <w:lvlText w:val="%1."/>
      <w:lvlJc w:val="left"/>
      <w:pPr>
        <w:tabs>
          <w:tab w:val="left" w:pos="900"/>
        </w:tabs>
        <w:ind w:left="900" w:hanging="420"/>
      </w:pPr>
      <w:rPr>
        <w:b w:val="0"/>
        <w:i w:val="0"/>
        <w:sz w:val="24"/>
        <w:szCs w:val="24"/>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2">
    <w:nsid w:val="00000003"/>
    <w:multiLevelType w:val="multilevel"/>
    <w:tmpl w:val="00000003"/>
    <w:lvl w:ilvl="0">
      <w:start w:val="1"/>
      <w:numFmt w:val="decimal"/>
      <w:pStyle w:val="ll2"/>
      <w:lvlText w:val="(%1)"/>
      <w:lvlJc w:val="left"/>
      <w:pPr>
        <w:tabs>
          <w:tab w:val="left" w:pos="420"/>
        </w:tabs>
        <w:ind w:left="420" w:hanging="42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3">
    <w:nsid w:val="00000004"/>
    <w:multiLevelType w:val="multilevel"/>
    <w:tmpl w:val="00000004"/>
    <w:lvl w:ilvl="0">
      <w:start w:val="1"/>
      <w:numFmt w:val="decimal"/>
      <w:lvlText w:val="第%1章 "/>
      <w:lvlJc w:val="left"/>
      <w:pPr>
        <w:tabs>
          <w:tab w:val="left" w:pos="2400"/>
        </w:tabs>
        <w:ind w:left="1392" w:hanging="432"/>
      </w:pPr>
      <w:rPr>
        <w:rFonts w:ascii="Times New Roman" w:hAnsi="Times New Roman" w:cs="Times New Roman" w:hint="eastAsia"/>
        <w:i w:val="0"/>
        <w:iCs w:val="0"/>
        <w:caps w:val="0"/>
        <w:smallCaps w:val="0"/>
        <w:outline w:val="0"/>
        <w:shadow w:val="0"/>
        <w:spacing w:val="0"/>
        <w:kern w:val="0"/>
        <w:position w:val="0"/>
        <w:u w:val="none"/>
        <w:lang w:val="en-US"/>
      </w:rPr>
    </w:lvl>
    <w:lvl w:ilvl="1">
      <w:start w:val="1"/>
      <w:numFmt w:val="decimal"/>
      <w:pStyle w:val="Heading2"/>
      <w:lvlText w:val="%1.%2"/>
      <w:lvlJc w:val="left"/>
      <w:pPr>
        <w:tabs>
          <w:tab w:val="left" w:pos="576"/>
        </w:tabs>
        <w:ind w:left="576" w:hanging="576"/>
      </w:pPr>
      <w:rPr>
        <w:rFonts w:hint="eastAsia"/>
      </w:rPr>
    </w:lvl>
    <w:lvl w:ilvl="2">
      <w:start w:val="1"/>
      <w:numFmt w:val="decimal"/>
      <w:lvlText w:val="%1.%2.%3"/>
      <w:lvlJc w:val="left"/>
      <w:pPr>
        <w:tabs>
          <w:tab w:val="left" w:pos="720"/>
        </w:tabs>
        <w:ind w:left="720" w:hanging="720"/>
      </w:pPr>
    </w:lvl>
    <w:lvl w:ilvl="3">
      <w:start w:val="1"/>
      <w:numFmt w:val="decimal"/>
      <w:lvlText w:val="%1.%2.%3.%4"/>
      <w:lvlJc w:val="left"/>
      <w:pPr>
        <w:tabs>
          <w:tab w:val="left" w:pos="964"/>
        </w:tabs>
        <w:ind w:left="964" w:hanging="964"/>
      </w:pPr>
      <w:rPr>
        <w:rFonts w:cs="Times New Roman"/>
        <w:b w:val="0"/>
        <w:bCs w:val="0"/>
        <w:i w:val="0"/>
        <w:iCs w:val="0"/>
        <w:caps w:val="0"/>
        <w:smallCaps w:val="0"/>
        <w:outline w:val="0"/>
        <w:shadow w:val="0"/>
        <w:emboss w:val="0"/>
        <w:imprint w:val="0"/>
        <w:vanish w:val="0"/>
        <w:spacing w:val="0"/>
        <w:position w:val="0"/>
        <w:u w:val="none"/>
        <w:vertAlign w:val="baseline"/>
      </w:rPr>
    </w:lvl>
    <w:lvl w:ilvl="4">
      <w:start w:val="1"/>
      <w:numFmt w:val="decimal"/>
      <w:lvlText w:val="%1.%2.%3.%4.%5"/>
      <w:lvlJc w:val="left"/>
      <w:pPr>
        <w:tabs>
          <w:tab w:val="left" w:pos="1008"/>
        </w:tabs>
        <w:ind w:left="1008" w:hanging="1008"/>
      </w:pPr>
      <w:rPr>
        <w:lang w:eastAsia="zh-CN"/>
      </w:rPr>
    </w:lvl>
    <w:lvl w:ilvl="5">
      <w:start w:val="1"/>
      <w:numFmt w:val="decimal"/>
      <w:lvlText w:val="%1.%2.%3.%4.%5.%6"/>
      <w:lvlJc w:val="left"/>
      <w:pPr>
        <w:tabs>
          <w:tab w:val="left" w:pos="2145"/>
        </w:tabs>
        <w:ind w:left="2145" w:hanging="1152"/>
      </w:pPr>
      <w:rPr>
        <w:color w:val="auto"/>
      </w:rPr>
    </w:lvl>
    <w:lvl w:ilvl="6">
      <w:start w:val="1"/>
      <w:numFmt w:val="decimal"/>
      <w:lvlText w:val="%1.%2.%3.%4.%5.%6.%7"/>
      <w:lvlJc w:val="left"/>
      <w:pPr>
        <w:tabs>
          <w:tab w:val="left" w:pos="1296"/>
        </w:tabs>
        <w:ind w:left="1296" w:hanging="1296"/>
      </w:pPr>
      <w:rPr>
        <w:rFonts w:hint="eastAsia"/>
      </w:rPr>
    </w:lvl>
    <w:lvl w:ilvl="7">
      <w:start w:val="1"/>
      <w:numFmt w:val="decimal"/>
      <w:lvlText w:val="%1.%2.%3.%4.%5.%6.%7.%8"/>
      <w:lvlJc w:val="left"/>
      <w:pPr>
        <w:tabs>
          <w:tab w:val="left" w:pos="1440"/>
        </w:tabs>
        <w:ind w:left="1440" w:hanging="1440"/>
      </w:pPr>
      <w:rPr>
        <w:rFonts w:hint="eastAsia"/>
      </w:rPr>
    </w:lvl>
    <w:lvl w:ilvl="8">
      <w:start w:val="1"/>
      <w:numFmt w:val="decimal"/>
      <w:lvlText w:val="%1.%2.%3.%4.%5.%6.%7.%8.%9"/>
      <w:lvlJc w:val="left"/>
      <w:pPr>
        <w:tabs>
          <w:tab w:val="left" w:pos="1584"/>
        </w:tabs>
        <w:ind w:left="1584" w:hanging="1584"/>
      </w:pPr>
      <w:rPr>
        <w:rFonts w:hint="eastAsia"/>
      </w:rPr>
    </w:lvl>
  </w:abstractNum>
  <w:abstractNum w:abstractNumId="4">
    <w:nsid w:val="3EBB3C91"/>
    <w:multiLevelType w:val="multilevel"/>
    <w:tmpl w:val="3EBB3C91"/>
    <w:lvl w:ilvl="0">
      <w:start w:val="1"/>
      <w:numFmt w:val="chineseCountingThousand"/>
      <w:suff w:val="space"/>
      <w:lvlText w:val="%1. "/>
      <w:lvlJc w:val="left"/>
      <w:pPr>
        <w:ind w:left="907" w:hanging="907"/>
      </w:pPr>
      <w:rPr>
        <w:rFonts w:hint="eastAsia"/>
      </w:rPr>
    </w:lvl>
    <w:lvl w:ilvl="1">
      <w:start w:val="1"/>
      <w:numFmt w:val="decimal"/>
      <w:isLgl/>
      <w:suff w:val="space"/>
      <w:lvlText w:val="%1.%2 "/>
      <w:lvlJc w:val="left"/>
      <w:pPr>
        <w:ind w:left="794" w:hanging="794"/>
      </w:pPr>
    </w:lvl>
    <w:lvl w:ilvl="2">
      <w:start w:val="0"/>
      <w:numFmt w:val="none"/>
      <w:lvlJc w:val="left"/>
      <w:pPr>
        <w:tabs>
          <w:tab w:val="left" w:pos="360"/>
        </w:tabs>
      </w:pPr>
      <w:rPr>
        <w:rFonts w:cs="Times New Roman"/>
      </w:rPr>
    </w:lvl>
    <w:lvl w:ilvl="3">
      <w:start w:val="0"/>
      <w:numFmt w:val="none"/>
      <w:lvlJc w:val="left"/>
      <w:pPr>
        <w:tabs>
          <w:tab w:val="left" w:pos="360"/>
        </w:tabs>
      </w:pPr>
      <w:rPr>
        <w:rFonts w:cs="Times New Roman"/>
      </w:rPr>
    </w:lvl>
    <w:lvl w:ilvl="4">
      <w:start w:val="0"/>
      <w:numFmt w:val="decimal"/>
      <w:pStyle w:val="5"/>
      <w:lvlJc w:val="left"/>
      <w:rPr>
        <w:rFonts w:cs="Times New Roman"/>
      </w:rPr>
    </w:lvl>
    <w:lvl w:ilvl="5">
      <w:start w:val="0"/>
      <w:numFmt w:val="decimal"/>
      <w:lvlJc w:val="left"/>
      <w:rPr>
        <w:rFonts w:cs="Times New Roman"/>
      </w:rPr>
    </w:lvl>
    <w:lvl w:ilvl="6">
      <w:start w:val="0"/>
      <w:numFmt w:val="decimal"/>
      <w:lvlJc w:val="left"/>
      <w:rPr>
        <w:rFonts w:cs="Times New Roman"/>
      </w:rPr>
    </w:lvl>
    <w:lvl w:ilvl="7">
      <w:start w:val="0"/>
      <w:numFmt w:val="decimal"/>
      <w:lvlJc w:val="left"/>
      <w:rPr>
        <w:rFonts w:cs="Times New Roman"/>
      </w:rPr>
    </w:lvl>
    <w:lvl w:ilvl="8">
      <w:start w:val="0"/>
      <w:numFmt w:val="decimal"/>
      <w:lvlJc w:val="left"/>
      <w:rPr>
        <w:rFonts w:cs="Times New Roman"/>
      </w:rPr>
    </w:lvl>
  </w:abstractNum>
  <w:num w:numId="1">
    <w:abstractNumId w:val="3"/>
  </w:num>
  <w:num w:numId="2">
    <w:abstractNumId w:val="0"/>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420"/>
  <w:drawingGridVerticalSpacing w:val="156"/>
  <w:displayHorizontalDrawingGridEvery w:val="0"/>
  <w:displayVerticalDrawingGridEvery w:val="2"/>
  <w:doNotShadeFormData/>
  <w:characterSpacingControl w:val="compressPunctuation"/>
  <w:noLineBreaksAfter w:lang="zh-CN" w:val="([{·‘“〈《「『【〔〖（．［｛￡￥"/>
  <w:noLineBreaksBefore w:lang="zh-CN" w:val="!),.:;?]}¨·ˇˉ―‖’”…∶、。〃々〉》」』】〕〗！＂＇），．：；？］｀｜｝～￠"/>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Setting w:name="differentiateMultirowTableHeaders" w:uri="http://schemas.microsoft.com/office/word" w:val="1"/>
  </w:compat>
  <w:rsids>
    <w:rsidRoot w:val="00172A27"/>
    <w:rsid w:val="83E741E6"/>
    <w:rsid w:val="8AFD5FE4"/>
    <w:rsid w:val="8BB7B7DF"/>
    <w:rsid w:val="8BFFA716"/>
    <w:rsid w:val="8DFF2890"/>
    <w:rsid w:val="8E51E9D7"/>
    <w:rsid w:val="8ED71B7D"/>
    <w:rsid w:val="8FDF8E26"/>
    <w:rsid w:val="8FF7D9C7"/>
    <w:rsid w:val="8FF97BFF"/>
    <w:rsid w:val="8FF9EFD3"/>
    <w:rsid w:val="917B956D"/>
    <w:rsid w:val="95DBDEB5"/>
    <w:rsid w:val="97F66D8C"/>
    <w:rsid w:val="97FB9BDE"/>
    <w:rsid w:val="9BB64845"/>
    <w:rsid w:val="9BF9D04B"/>
    <w:rsid w:val="9C7F564E"/>
    <w:rsid w:val="9D7F0A30"/>
    <w:rsid w:val="9DBF5907"/>
    <w:rsid w:val="9DEB6262"/>
    <w:rsid w:val="9DEF7DD7"/>
    <w:rsid w:val="9DF69233"/>
    <w:rsid w:val="9EBF6D3C"/>
    <w:rsid w:val="9EFFA3C5"/>
    <w:rsid w:val="9F2B6F85"/>
    <w:rsid w:val="9F732433"/>
    <w:rsid w:val="9FDB7462"/>
    <w:rsid w:val="9FF2B3EC"/>
    <w:rsid w:val="9FFDF123"/>
    <w:rsid w:val="9FFE976E"/>
    <w:rsid w:val="9FFFEC1B"/>
    <w:rsid w:val="A2FB5CB6"/>
    <w:rsid w:val="A3DB2F9C"/>
    <w:rsid w:val="A4EB2798"/>
    <w:rsid w:val="A52B2461"/>
    <w:rsid w:val="A5FFE412"/>
    <w:rsid w:val="A6F7F33B"/>
    <w:rsid w:val="A6FE19FF"/>
    <w:rsid w:val="A73A3C54"/>
    <w:rsid w:val="A7EAD8F6"/>
    <w:rsid w:val="A9ED98BF"/>
    <w:rsid w:val="ADF55057"/>
    <w:rsid w:val="AE0F1250"/>
    <w:rsid w:val="AEF4B464"/>
    <w:rsid w:val="AF73836A"/>
    <w:rsid w:val="AFDDDFCB"/>
    <w:rsid w:val="AFDE7843"/>
    <w:rsid w:val="AFED8EAC"/>
    <w:rsid w:val="AFEFEB2D"/>
    <w:rsid w:val="AFF9C10E"/>
    <w:rsid w:val="AFFFFF6D"/>
    <w:rsid w:val="B12FD5A9"/>
    <w:rsid w:val="B1EEEF5E"/>
    <w:rsid w:val="B2CF58B4"/>
    <w:rsid w:val="B37CF7BB"/>
    <w:rsid w:val="B3C8B463"/>
    <w:rsid w:val="B3D31583"/>
    <w:rsid w:val="B3DE7BE4"/>
    <w:rsid w:val="B3E6101E"/>
    <w:rsid w:val="B59F766D"/>
    <w:rsid w:val="B5FD8844"/>
    <w:rsid w:val="B6F7532B"/>
    <w:rsid w:val="B77BF44C"/>
    <w:rsid w:val="B77FBD7A"/>
    <w:rsid w:val="B77FD65D"/>
    <w:rsid w:val="B7B05DC7"/>
    <w:rsid w:val="B7E3A70E"/>
    <w:rsid w:val="B7E75FE0"/>
    <w:rsid w:val="B7EBE5DB"/>
    <w:rsid w:val="B7FFAFBD"/>
    <w:rsid w:val="B8B4BD3F"/>
    <w:rsid w:val="B9755EB2"/>
    <w:rsid w:val="B9F77897"/>
    <w:rsid w:val="BA7FBBF9"/>
    <w:rsid w:val="BB630427"/>
    <w:rsid w:val="BB67B601"/>
    <w:rsid w:val="BB7FEED6"/>
    <w:rsid w:val="BBDF29CA"/>
    <w:rsid w:val="BBE534A2"/>
    <w:rsid w:val="BBF539BA"/>
    <w:rsid w:val="BBF78487"/>
    <w:rsid w:val="BBFD3148"/>
    <w:rsid w:val="BBFDEFC2"/>
    <w:rsid w:val="BBFF98B6"/>
    <w:rsid w:val="BCDF6DAD"/>
    <w:rsid w:val="BCEB686C"/>
    <w:rsid w:val="BD2F654B"/>
    <w:rsid w:val="BD7DEDCC"/>
    <w:rsid w:val="BDBF0CE0"/>
    <w:rsid w:val="BDE7841D"/>
    <w:rsid w:val="BDF3838D"/>
    <w:rsid w:val="BDFCA53E"/>
    <w:rsid w:val="BDFE24E6"/>
    <w:rsid w:val="BEBBAA37"/>
    <w:rsid w:val="BEBF0673"/>
    <w:rsid w:val="BEBF52B3"/>
    <w:rsid w:val="BEDF2E97"/>
    <w:rsid w:val="BEFB5F9F"/>
    <w:rsid w:val="BEFD4CE7"/>
    <w:rsid w:val="BEFF960E"/>
    <w:rsid w:val="BF5696D8"/>
    <w:rsid w:val="BF6B8260"/>
    <w:rsid w:val="BF76C53B"/>
    <w:rsid w:val="BF7D98DD"/>
    <w:rsid w:val="BF7FDE3D"/>
    <w:rsid w:val="BF8CD6BE"/>
    <w:rsid w:val="BFA74CDA"/>
    <w:rsid w:val="BFAE4383"/>
    <w:rsid w:val="BFB65FD4"/>
    <w:rsid w:val="BFBAAB60"/>
    <w:rsid w:val="BFCF0BDA"/>
    <w:rsid w:val="BFCF892E"/>
    <w:rsid w:val="BFDB229D"/>
    <w:rsid w:val="BFDF2BB6"/>
    <w:rsid w:val="BFEE84EE"/>
    <w:rsid w:val="BFFA8FD6"/>
    <w:rsid w:val="BFFAB969"/>
    <w:rsid w:val="BFFADC54"/>
    <w:rsid w:val="BFFD8B84"/>
    <w:rsid w:val="BFFE18D3"/>
    <w:rsid w:val="BFFF501F"/>
    <w:rsid w:val="BFFFA05E"/>
    <w:rsid w:val="BFFFE4E8"/>
    <w:rsid w:val="C37F778E"/>
    <w:rsid w:val="C67D8ACF"/>
    <w:rsid w:val="C6B268CB"/>
    <w:rsid w:val="C6D6C223"/>
    <w:rsid w:val="C7DB265A"/>
    <w:rsid w:val="C7DECF56"/>
    <w:rsid w:val="C9DF8FA8"/>
    <w:rsid w:val="C9F741CB"/>
    <w:rsid w:val="CB7B4F79"/>
    <w:rsid w:val="CD5E95A6"/>
    <w:rsid w:val="CDBDFB92"/>
    <w:rsid w:val="CDC36CF8"/>
    <w:rsid w:val="CF2A265B"/>
    <w:rsid w:val="CF76609D"/>
    <w:rsid w:val="CFAF9C2E"/>
    <w:rsid w:val="CFDD247B"/>
    <w:rsid w:val="CFFD2F65"/>
    <w:rsid w:val="D3B466F7"/>
    <w:rsid w:val="D45F5F59"/>
    <w:rsid w:val="D5BB1759"/>
    <w:rsid w:val="D5BF06CF"/>
    <w:rsid w:val="D60BC8CB"/>
    <w:rsid w:val="D6DE1A44"/>
    <w:rsid w:val="D6EA2E41"/>
    <w:rsid w:val="D7121B13"/>
    <w:rsid w:val="D77E6928"/>
    <w:rsid w:val="D77FEBD0"/>
    <w:rsid w:val="D78F792C"/>
    <w:rsid w:val="D792952B"/>
    <w:rsid w:val="D7B73DBD"/>
    <w:rsid w:val="D7BDA7C7"/>
    <w:rsid w:val="D7DD5E3B"/>
    <w:rsid w:val="D7DF5ED6"/>
    <w:rsid w:val="D7E28AD3"/>
    <w:rsid w:val="D7E552CC"/>
    <w:rsid w:val="D9357834"/>
    <w:rsid w:val="D9FF881C"/>
    <w:rsid w:val="DAB11124"/>
    <w:rsid w:val="DADFDE2A"/>
    <w:rsid w:val="DAF72DE5"/>
    <w:rsid w:val="DAFBB832"/>
    <w:rsid w:val="DB514461"/>
    <w:rsid w:val="DBAF315B"/>
    <w:rsid w:val="DBAF760B"/>
    <w:rsid w:val="DBB904F5"/>
    <w:rsid w:val="DBD7C4EC"/>
    <w:rsid w:val="DBEF2A9C"/>
    <w:rsid w:val="DBEF5A4B"/>
    <w:rsid w:val="DBFF766E"/>
    <w:rsid w:val="DBFF771D"/>
    <w:rsid w:val="DC4777D1"/>
    <w:rsid w:val="DC4F651B"/>
    <w:rsid w:val="DCEFC3D6"/>
    <w:rsid w:val="DD0ED113"/>
    <w:rsid w:val="DD7B7089"/>
    <w:rsid w:val="DD7E9D1F"/>
    <w:rsid w:val="DD92F0E7"/>
    <w:rsid w:val="DDF5FFF3"/>
    <w:rsid w:val="DE6F3681"/>
    <w:rsid w:val="DE769F10"/>
    <w:rsid w:val="DEDE5523"/>
    <w:rsid w:val="DEDF3C42"/>
    <w:rsid w:val="DEFF8533"/>
    <w:rsid w:val="DF0394F1"/>
    <w:rsid w:val="DF07DD7D"/>
    <w:rsid w:val="DF5AF944"/>
    <w:rsid w:val="DF695B5E"/>
    <w:rsid w:val="DF6CAE14"/>
    <w:rsid w:val="DF7F2C36"/>
    <w:rsid w:val="DF9D3BF5"/>
    <w:rsid w:val="DF9F5328"/>
    <w:rsid w:val="DFA79409"/>
    <w:rsid w:val="DFBE9958"/>
    <w:rsid w:val="DFBF89C8"/>
    <w:rsid w:val="DFCD2D11"/>
    <w:rsid w:val="DFDF43D7"/>
    <w:rsid w:val="DFE5F416"/>
    <w:rsid w:val="DFEB4A4F"/>
    <w:rsid w:val="DFED20A2"/>
    <w:rsid w:val="DFF1D4FC"/>
    <w:rsid w:val="DFF583A8"/>
    <w:rsid w:val="DFF7E6EF"/>
    <w:rsid w:val="DFFB2450"/>
    <w:rsid w:val="DFFC0D2D"/>
    <w:rsid w:val="DFFD6EB5"/>
    <w:rsid w:val="DFFDD891"/>
    <w:rsid w:val="DFFF66B3"/>
    <w:rsid w:val="E3CEC2EC"/>
    <w:rsid w:val="E3F73F93"/>
    <w:rsid w:val="E3FF01F6"/>
    <w:rsid w:val="E4271B82"/>
    <w:rsid w:val="E48F14A3"/>
    <w:rsid w:val="E4ED83B3"/>
    <w:rsid w:val="E4FDE3A9"/>
    <w:rsid w:val="E54F4605"/>
    <w:rsid w:val="E5F8B5CC"/>
    <w:rsid w:val="E6FED0CD"/>
    <w:rsid w:val="E6FF3C7B"/>
    <w:rsid w:val="E73D2FA5"/>
    <w:rsid w:val="E73F8B09"/>
    <w:rsid w:val="E76F1EAB"/>
    <w:rsid w:val="E77F8439"/>
    <w:rsid w:val="E7DF9F04"/>
    <w:rsid w:val="E7F2706B"/>
    <w:rsid w:val="E7FDF1CF"/>
    <w:rsid w:val="E8DFFC9A"/>
    <w:rsid w:val="E8FF64BF"/>
    <w:rsid w:val="E9F955D9"/>
    <w:rsid w:val="EA6B44AD"/>
    <w:rsid w:val="EA9F4E4A"/>
    <w:rsid w:val="EADE1719"/>
    <w:rsid w:val="EB576BF5"/>
    <w:rsid w:val="EB732E93"/>
    <w:rsid w:val="EB9B7451"/>
    <w:rsid w:val="EBAD98C1"/>
    <w:rsid w:val="EBFEF0DD"/>
    <w:rsid w:val="EC5F58CD"/>
    <w:rsid w:val="ECB72FC0"/>
    <w:rsid w:val="ECF75331"/>
    <w:rsid w:val="ECF9E152"/>
    <w:rsid w:val="ED7F94D7"/>
    <w:rsid w:val="EDD530BE"/>
    <w:rsid w:val="EDE78887"/>
    <w:rsid w:val="EDE7B14F"/>
    <w:rsid w:val="EDF387D9"/>
    <w:rsid w:val="EDFB8919"/>
    <w:rsid w:val="EDFFC030"/>
    <w:rsid w:val="EDFFE066"/>
    <w:rsid w:val="EE3E3ABA"/>
    <w:rsid w:val="EE5EE4E9"/>
    <w:rsid w:val="EE5FFFEF"/>
    <w:rsid w:val="EE674FB9"/>
    <w:rsid w:val="EEE6E3F2"/>
    <w:rsid w:val="EEE9F615"/>
    <w:rsid w:val="EEEB70FE"/>
    <w:rsid w:val="EEF3B450"/>
    <w:rsid w:val="EEF7D0B3"/>
    <w:rsid w:val="EEFDC233"/>
    <w:rsid w:val="EEFDE6E9"/>
    <w:rsid w:val="EEFE7CAD"/>
    <w:rsid w:val="EF156EC4"/>
    <w:rsid w:val="EF4B3BFF"/>
    <w:rsid w:val="EF6AABDA"/>
    <w:rsid w:val="EF7EF75D"/>
    <w:rsid w:val="EF7F6BFC"/>
    <w:rsid w:val="EF7FD2C5"/>
    <w:rsid w:val="EF9F5705"/>
    <w:rsid w:val="EFC683D2"/>
    <w:rsid w:val="EFCFD8DD"/>
    <w:rsid w:val="EFD9914E"/>
    <w:rsid w:val="EFDFABD0"/>
    <w:rsid w:val="EFE7E391"/>
    <w:rsid w:val="EFEF46D2"/>
    <w:rsid w:val="EFEFB160"/>
    <w:rsid w:val="EFF75619"/>
    <w:rsid w:val="EFFC5801"/>
    <w:rsid w:val="EFFE0A90"/>
    <w:rsid w:val="EFFEB9DE"/>
    <w:rsid w:val="EFFF3CE0"/>
    <w:rsid w:val="EFFF93C9"/>
    <w:rsid w:val="EFFFE146"/>
    <w:rsid w:val="F1F75B52"/>
    <w:rsid w:val="F27EB8D8"/>
    <w:rsid w:val="F27FFC4C"/>
    <w:rsid w:val="F2DD63CF"/>
    <w:rsid w:val="F379922A"/>
    <w:rsid w:val="F3DEEDF4"/>
    <w:rsid w:val="F3FEF0CF"/>
    <w:rsid w:val="F4F7C09B"/>
    <w:rsid w:val="F55D8B06"/>
    <w:rsid w:val="F57F0648"/>
    <w:rsid w:val="F5E79497"/>
    <w:rsid w:val="F5EF4119"/>
    <w:rsid w:val="F5FF85D2"/>
    <w:rsid w:val="F5FFA069"/>
    <w:rsid w:val="F61B1BB3"/>
    <w:rsid w:val="F63BFED3"/>
    <w:rsid w:val="F66ED278"/>
    <w:rsid w:val="F68FECCC"/>
    <w:rsid w:val="F6FE1E51"/>
    <w:rsid w:val="F6FEB40C"/>
    <w:rsid w:val="F73FF092"/>
    <w:rsid w:val="F75E3E1F"/>
    <w:rsid w:val="F75F8222"/>
    <w:rsid w:val="F77F0681"/>
    <w:rsid w:val="F77F21DC"/>
    <w:rsid w:val="F79730AD"/>
    <w:rsid w:val="F79E65E6"/>
    <w:rsid w:val="F7B31CDD"/>
    <w:rsid w:val="F7B592D5"/>
    <w:rsid w:val="F7BD2589"/>
    <w:rsid w:val="F7BF2861"/>
    <w:rsid w:val="F7CFDD6C"/>
    <w:rsid w:val="F7DFD9B0"/>
    <w:rsid w:val="F7EFBC5A"/>
    <w:rsid w:val="F7FAA18D"/>
    <w:rsid w:val="F7FBAF1D"/>
    <w:rsid w:val="F7FE0FF4"/>
    <w:rsid w:val="F7FE9C03"/>
    <w:rsid w:val="F7FF2410"/>
    <w:rsid w:val="F7FFB7F6"/>
    <w:rsid w:val="F7FFE387"/>
    <w:rsid w:val="F7FFE903"/>
    <w:rsid w:val="F87A081D"/>
    <w:rsid w:val="F89D304E"/>
    <w:rsid w:val="F8D346C8"/>
    <w:rsid w:val="F8ED2250"/>
    <w:rsid w:val="F8FF44B6"/>
    <w:rsid w:val="F972001A"/>
    <w:rsid w:val="F97F1117"/>
    <w:rsid w:val="F97F999B"/>
    <w:rsid w:val="F98E4439"/>
    <w:rsid w:val="F99FDA36"/>
    <w:rsid w:val="F9B3F838"/>
    <w:rsid w:val="F9EF0914"/>
    <w:rsid w:val="F9F3EB7D"/>
    <w:rsid w:val="F9FD82E5"/>
    <w:rsid w:val="F9FDC70A"/>
    <w:rsid w:val="FA0EF94D"/>
    <w:rsid w:val="FA4E220D"/>
    <w:rsid w:val="FA982247"/>
    <w:rsid w:val="FABEB44F"/>
    <w:rsid w:val="FACF9AB9"/>
    <w:rsid w:val="FAF51BDB"/>
    <w:rsid w:val="FB77C25E"/>
    <w:rsid w:val="FB9F7AD3"/>
    <w:rsid w:val="FBAEDB19"/>
    <w:rsid w:val="FBD35E07"/>
    <w:rsid w:val="FBDA79DF"/>
    <w:rsid w:val="FBDFC074"/>
    <w:rsid w:val="FBE1AB99"/>
    <w:rsid w:val="FBEBC5D6"/>
    <w:rsid w:val="FBED3E85"/>
    <w:rsid w:val="FBEFFB7A"/>
    <w:rsid w:val="FBF3B8E0"/>
    <w:rsid w:val="FBFB910E"/>
    <w:rsid w:val="FBFC7B99"/>
    <w:rsid w:val="FBFD03A0"/>
    <w:rsid w:val="FBFD4DC7"/>
    <w:rsid w:val="FBFE4C98"/>
    <w:rsid w:val="FBFFCAA3"/>
    <w:rsid w:val="FC6FBC55"/>
    <w:rsid w:val="FC79A0BB"/>
    <w:rsid w:val="FC7F2C93"/>
    <w:rsid w:val="FCDE1A40"/>
    <w:rsid w:val="FCF72825"/>
    <w:rsid w:val="FCF78876"/>
    <w:rsid w:val="FCFB8D43"/>
    <w:rsid w:val="FD1F0DF1"/>
    <w:rsid w:val="FD1F740E"/>
    <w:rsid w:val="FD36F994"/>
    <w:rsid w:val="FD4F7CCC"/>
    <w:rsid w:val="FD59B623"/>
    <w:rsid w:val="FD5BC3A7"/>
    <w:rsid w:val="FD7878B4"/>
    <w:rsid w:val="FD7D2666"/>
    <w:rsid w:val="FD7E1E59"/>
    <w:rsid w:val="FD9533FF"/>
    <w:rsid w:val="FD9B0ED4"/>
    <w:rsid w:val="FDBFE9F3"/>
    <w:rsid w:val="FDCFB870"/>
    <w:rsid w:val="FDD122BB"/>
    <w:rsid w:val="FDDDF9D9"/>
    <w:rsid w:val="FDE58312"/>
    <w:rsid w:val="FDEC8F33"/>
    <w:rsid w:val="FDED4CF7"/>
    <w:rsid w:val="FDF3229F"/>
    <w:rsid w:val="FDF72368"/>
    <w:rsid w:val="FDFDAF82"/>
    <w:rsid w:val="FDFE3B2F"/>
    <w:rsid w:val="FDFEE3DE"/>
    <w:rsid w:val="FDFF00AA"/>
    <w:rsid w:val="FDFF33DF"/>
    <w:rsid w:val="FDFF91F4"/>
    <w:rsid w:val="FE3D643D"/>
    <w:rsid w:val="FE4BEE59"/>
    <w:rsid w:val="FE6F105A"/>
    <w:rsid w:val="FE7A4656"/>
    <w:rsid w:val="FE8DD527"/>
    <w:rsid w:val="FEAB5E58"/>
    <w:rsid w:val="FEB746FA"/>
    <w:rsid w:val="FEBDBBB2"/>
    <w:rsid w:val="FECC4353"/>
    <w:rsid w:val="FECF432C"/>
    <w:rsid w:val="FED01B59"/>
    <w:rsid w:val="FEF3282F"/>
    <w:rsid w:val="FEF59A29"/>
    <w:rsid w:val="FEF717ED"/>
    <w:rsid w:val="FEF7A559"/>
    <w:rsid w:val="FEF7BC32"/>
    <w:rsid w:val="FEFF3C62"/>
    <w:rsid w:val="FF0B5F84"/>
    <w:rsid w:val="FF0CDEB5"/>
    <w:rsid w:val="FF16A798"/>
    <w:rsid w:val="FF361E29"/>
    <w:rsid w:val="FF372CDD"/>
    <w:rsid w:val="FF48A5DE"/>
    <w:rsid w:val="FF4D014D"/>
    <w:rsid w:val="FF6E71E1"/>
    <w:rsid w:val="FF7321C8"/>
    <w:rsid w:val="FF76E2E0"/>
    <w:rsid w:val="FF7D9772"/>
    <w:rsid w:val="FF7E213E"/>
    <w:rsid w:val="FF7E666D"/>
    <w:rsid w:val="FF7ED418"/>
    <w:rsid w:val="FF7F6F12"/>
    <w:rsid w:val="FF8E5A6F"/>
    <w:rsid w:val="FF8FDA20"/>
    <w:rsid w:val="FF9EEFAF"/>
    <w:rsid w:val="FFA78F94"/>
    <w:rsid w:val="FFA7B0A6"/>
    <w:rsid w:val="FFAEFD10"/>
    <w:rsid w:val="FFBDF1C0"/>
    <w:rsid w:val="FFBE005B"/>
    <w:rsid w:val="FFBE3D54"/>
    <w:rsid w:val="FFBF3AB7"/>
    <w:rsid w:val="FFBF41CF"/>
    <w:rsid w:val="FFC734A8"/>
    <w:rsid w:val="FFCBC5AE"/>
    <w:rsid w:val="FFD9A6CE"/>
    <w:rsid w:val="FFDD321B"/>
    <w:rsid w:val="FFDFA1A0"/>
    <w:rsid w:val="FFE142B7"/>
    <w:rsid w:val="FFE5314D"/>
    <w:rsid w:val="FFE70E16"/>
    <w:rsid w:val="FFEAEB6B"/>
    <w:rsid w:val="FFEBB1B4"/>
    <w:rsid w:val="FFECEC2D"/>
    <w:rsid w:val="FFED6F1C"/>
    <w:rsid w:val="FFEEB330"/>
    <w:rsid w:val="FFEEF054"/>
    <w:rsid w:val="FFEF0495"/>
    <w:rsid w:val="FFEF3CF4"/>
    <w:rsid w:val="FFEF4004"/>
    <w:rsid w:val="FFEF7D7E"/>
    <w:rsid w:val="FFEFE1FF"/>
    <w:rsid w:val="FFF34AB2"/>
    <w:rsid w:val="FFF5D327"/>
    <w:rsid w:val="FFF77D2C"/>
    <w:rsid w:val="FFF7FD3B"/>
    <w:rsid w:val="FFFB358F"/>
    <w:rsid w:val="FFFBA1B8"/>
    <w:rsid w:val="FFFBB436"/>
    <w:rsid w:val="FFFC35CB"/>
    <w:rsid w:val="FFFD2880"/>
    <w:rsid w:val="FFFE40A5"/>
    <w:rsid w:val="FFFE79F0"/>
    <w:rsid w:val="FFFF1FA2"/>
    <w:rsid w:val="FFFF3361"/>
    <w:rsid w:val="FFFF5817"/>
    <w:rsid w:val="FFFF6BAE"/>
    <w:rsid w:val="000101A9"/>
    <w:rsid w:val="00027682"/>
    <w:rsid w:val="000468F3"/>
    <w:rsid w:val="00054ECE"/>
    <w:rsid w:val="0007049E"/>
    <w:rsid w:val="000711A2"/>
    <w:rsid w:val="00071425"/>
    <w:rsid w:val="000810D4"/>
    <w:rsid w:val="000C301B"/>
    <w:rsid w:val="000E5BFB"/>
    <w:rsid w:val="000F2CE1"/>
    <w:rsid w:val="000F6B4F"/>
    <w:rsid w:val="00117A70"/>
    <w:rsid w:val="0012242B"/>
    <w:rsid w:val="00145700"/>
    <w:rsid w:val="00152F5C"/>
    <w:rsid w:val="00153423"/>
    <w:rsid w:val="0015788D"/>
    <w:rsid w:val="00172A27"/>
    <w:rsid w:val="00175EB9"/>
    <w:rsid w:val="001A3437"/>
    <w:rsid w:val="001A4CC5"/>
    <w:rsid w:val="001C6544"/>
    <w:rsid w:val="001D0665"/>
    <w:rsid w:val="001F674D"/>
    <w:rsid w:val="00224C41"/>
    <w:rsid w:val="00227D06"/>
    <w:rsid w:val="00236408"/>
    <w:rsid w:val="00253856"/>
    <w:rsid w:val="002540A7"/>
    <w:rsid w:val="00265F11"/>
    <w:rsid w:val="0027302E"/>
    <w:rsid w:val="002A1B53"/>
    <w:rsid w:val="002A2CA1"/>
    <w:rsid w:val="002B47CE"/>
    <w:rsid w:val="002B4B64"/>
    <w:rsid w:val="002F11FD"/>
    <w:rsid w:val="00326A94"/>
    <w:rsid w:val="00327011"/>
    <w:rsid w:val="00327F0A"/>
    <w:rsid w:val="00337D8A"/>
    <w:rsid w:val="00340048"/>
    <w:rsid w:val="0034295B"/>
    <w:rsid w:val="0034483D"/>
    <w:rsid w:val="0034704C"/>
    <w:rsid w:val="003538E8"/>
    <w:rsid w:val="003570ED"/>
    <w:rsid w:val="00381FED"/>
    <w:rsid w:val="00397B25"/>
    <w:rsid w:val="003E12F1"/>
    <w:rsid w:val="003E4B94"/>
    <w:rsid w:val="003F062B"/>
    <w:rsid w:val="003F6D70"/>
    <w:rsid w:val="004027A1"/>
    <w:rsid w:val="00426C16"/>
    <w:rsid w:val="00444459"/>
    <w:rsid w:val="00454AAB"/>
    <w:rsid w:val="00456D20"/>
    <w:rsid w:val="004577DD"/>
    <w:rsid w:val="00464182"/>
    <w:rsid w:val="00481585"/>
    <w:rsid w:val="00491845"/>
    <w:rsid w:val="00493775"/>
    <w:rsid w:val="004C3469"/>
    <w:rsid w:val="004E5295"/>
    <w:rsid w:val="004E7773"/>
    <w:rsid w:val="004F66A1"/>
    <w:rsid w:val="004F69C7"/>
    <w:rsid w:val="005017EA"/>
    <w:rsid w:val="005143FB"/>
    <w:rsid w:val="00523B2F"/>
    <w:rsid w:val="005338BF"/>
    <w:rsid w:val="005370F4"/>
    <w:rsid w:val="005557BF"/>
    <w:rsid w:val="00563AE2"/>
    <w:rsid w:val="00566CDD"/>
    <w:rsid w:val="0059778B"/>
    <w:rsid w:val="005A0A01"/>
    <w:rsid w:val="005B5D6E"/>
    <w:rsid w:val="005E6EC6"/>
    <w:rsid w:val="005F2D4E"/>
    <w:rsid w:val="006135DE"/>
    <w:rsid w:val="00634176"/>
    <w:rsid w:val="00636821"/>
    <w:rsid w:val="00685FD4"/>
    <w:rsid w:val="0069087E"/>
    <w:rsid w:val="00690ED0"/>
    <w:rsid w:val="00694DF9"/>
    <w:rsid w:val="006A0F9C"/>
    <w:rsid w:val="006B76A8"/>
    <w:rsid w:val="006C3D20"/>
    <w:rsid w:val="006C7E50"/>
    <w:rsid w:val="006D5572"/>
    <w:rsid w:val="006D5900"/>
    <w:rsid w:val="006F1B16"/>
    <w:rsid w:val="006F3076"/>
    <w:rsid w:val="0070258B"/>
    <w:rsid w:val="00706715"/>
    <w:rsid w:val="007107C0"/>
    <w:rsid w:val="0071316B"/>
    <w:rsid w:val="00736500"/>
    <w:rsid w:val="0074512F"/>
    <w:rsid w:val="0074538C"/>
    <w:rsid w:val="00764F83"/>
    <w:rsid w:val="00765335"/>
    <w:rsid w:val="00770ADF"/>
    <w:rsid w:val="00782F4E"/>
    <w:rsid w:val="00786DF9"/>
    <w:rsid w:val="00793237"/>
    <w:rsid w:val="0079513B"/>
    <w:rsid w:val="007968D0"/>
    <w:rsid w:val="007A0B90"/>
    <w:rsid w:val="007A421A"/>
    <w:rsid w:val="007A64D5"/>
    <w:rsid w:val="007A7CB5"/>
    <w:rsid w:val="007B6D64"/>
    <w:rsid w:val="007D5FDD"/>
    <w:rsid w:val="007D7FDE"/>
    <w:rsid w:val="008127A1"/>
    <w:rsid w:val="00814056"/>
    <w:rsid w:val="00814144"/>
    <w:rsid w:val="008141E3"/>
    <w:rsid w:val="00835D08"/>
    <w:rsid w:val="00850027"/>
    <w:rsid w:val="00854404"/>
    <w:rsid w:val="00855ACF"/>
    <w:rsid w:val="0086163F"/>
    <w:rsid w:val="00864C19"/>
    <w:rsid w:val="00866BF8"/>
    <w:rsid w:val="00866F2C"/>
    <w:rsid w:val="00881646"/>
    <w:rsid w:val="008834C6"/>
    <w:rsid w:val="008963C6"/>
    <w:rsid w:val="008B74C5"/>
    <w:rsid w:val="008B7AD9"/>
    <w:rsid w:val="008E5EC5"/>
    <w:rsid w:val="008F56AE"/>
    <w:rsid w:val="00902E0E"/>
    <w:rsid w:val="00940ECE"/>
    <w:rsid w:val="0094126B"/>
    <w:rsid w:val="0095098D"/>
    <w:rsid w:val="00963AF9"/>
    <w:rsid w:val="00966F87"/>
    <w:rsid w:val="00974822"/>
    <w:rsid w:val="0098103B"/>
    <w:rsid w:val="0098306B"/>
    <w:rsid w:val="009B772F"/>
    <w:rsid w:val="009C4EB4"/>
    <w:rsid w:val="009E1213"/>
    <w:rsid w:val="009E181F"/>
    <w:rsid w:val="009F6F34"/>
    <w:rsid w:val="009F6F8E"/>
    <w:rsid w:val="00A01F39"/>
    <w:rsid w:val="00A10F6E"/>
    <w:rsid w:val="00A33B31"/>
    <w:rsid w:val="00A35625"/>
    <w:rsid w:val="00A675B8"/>
    <w:rsid w:val="00A77B3E"/>
    <w:rsid w:val="00AB772E"/>
    <w:rsid w:val="00AC733E"/>
    <w:rsid w:val="00AF09DF"/>
    <w:rsid w:val="00B0107C"/>
    <w:rsid w:val="00B027C9"/>
    <w:rsid w:val="00B06277"/>
    <w:rsid w:val="00B11E7E"/>
    <w:rsid w:val="00B21A5A"/>
    <w:rsid w:val="00B2314E"/>
    <w:rsid w:val="00B24B26"/>
    <w:rsid w:val="00B30DE0"/>
    <w:rsid w:val="00B56165"/>
    <w:rsid w:val="00B61E9F"/>
    <w:rsid w:val="00B63DD2"/>
    <w:rsid w:val="00B64632"/>
    <w:rsid w:val="00B74818"/>
    <w:rsid w:val="00B90C59"/>
    <w:rsid w:val="00B93612"/>
    <w:rsid w:val="00BA18D0"/>
    <w:rsid w:val="00BC0EB1"/>
    <w:rsid w:val="00BC4A84"/>
    <w:rsid w:val="00BD3B91"/>
    <w:rsid w:val="00BD6A54"/>
    <w:rsid w:val="00BE26C4"/>
    <w:rsid w:val="00BF3BA2"/>
    <w:rsid w:val="00C03DE2"/>
    <w:rsid w:val="00C3220C"/>
    <w:rsid w:val="00C34363"/>
    <w:rsid w:val="00C56026"/>
    <w:rsid w:val="00C64E7D"/>
    <w:rsid w:val="00C66266"/>
    <w:rsid w:val="00C75C75"/>
    <w:rsid w:val="00C76A0C"/>
    <w:rsid w:val="00C86558"/>
    <w:rsid w:val="00CA48BB"/>
    <w:rsid w:val="00CA4BB1"/>
    <w:rsid w:val="00CA6B80"/>
    <w:rsid w:val="00CB1109"/>
    <w:rsid w:val="00CB78DA"/>
    <w:rsid w:val="00D167FB"/>
    <w:rsid w:val="00D354FF"/>
    <w:rsid w:val="00D47286"/>
    <w:rsid w:val="00D50AA4"/>
    <w:rsid w:val="00D76952"/>
    <w:rsid w:val="00D76CE0"/>
    <w:rsid w:val="00D86EC8"/>
    <w:rsid w:val="00D90A95"/>
    <w:rsid w:val="00DB6DB1"/>
    <w:rsid w:val="00DE351F"/>
    <w:rsid w:val="00DF3D5B"/>
    <w:rsid w:val="00DF7895"/>
    <w:rsid w:val="00E2383C"/>
    <w:rsid w:val="00E3390E"/>
    <w:rsid w:val="00E41A12"/>
    <w:rsid w:val="00E876EE"/>
    <w:rsid w:val="00E94EC3"/>
    <w:rsid w:val="00EA716A"/>
    <w:rsid w:val="00EB2451"/>
    <w:rsid w:val="00EC18B2"/>
    <w:rsid w:val="00ED5CD4"/>
    <w:rsid w:val="00F052A1"/>
    <w:rsid w:val="00F24A51"/>
    <w:rsid w:val="00F452EA"/>
    <w:rsid w:val="00F477FD"/>
    <w:rsid w:val="00F528FC"/>
    <w:rsid w:val="00F55DF6"/>
    <w:rsid w:val="00F64ECA"/>
    <w:rsid w:val="00F6780A"/>
    <w:rsid w:val="00F80829"/>
    <w:rsid w:val="00FA7CDE"/>
    <w:rsid w:val="00FB1D44"/>
    <w:rsid w:val="00FC582C"/>
    <w:rsid w:val="00FD3F0D"/>
    <w:rsid w:val="010C3FA7"/>
    <w:rsid w:val="01322E8E"/>
    <w:rsid w:val="01CF32DE"/>
    <w:rsid w:val="01F706AA"/>
    <w:rsid w:val="028D780A"/>
    <w:rsid w:val="02B253D3"/>
    <w:rsid w:val="02C31846"/>
    <w:rsid w:val="03255047"/>
    <w:rsid w:val="0408683A"/>
    <w:rsid w:val="04196E85"/>
    <w:rsid w:val="04357786"/>
    <w:rsid w:val="048C4A46"/>
    <w:rsid w:val="055D42F5"/>
    <w:rsid w:val="06505614"/>
    <w:rsid w:val="06877CC9"/>
    <w:rsid w:val="06B95302"/>
    <w:rsid w:val="06CA35AE"/>
    <w:rsid w:val="06F7338A"/>
    <w:rsid w:val="072401D0"/>
    <w:rsid w:val="074C6D57"/>
    <w:rsid w:val="07711916"/>
    <w:rsid w:val="079052BE"/>
    <w:rsid w:val="07BF562B"/>
    <w:rsid w:val="07EFA279"/>
    <w:rsid w:val="07F47A42"/>
    <w:rsid w:val="07FF9744"/>
    <w:rsid w:val="084356D6"/>
    <w:rsid w:val="08A6443A"/>
    <w:rsid w:val="08E72401"/>
    <w:rsid w:val="08FB1C4C"/>
    <w:rsid w:val="09C71031"/>
    <w:rsid w:val="09CF2D41"/>
    <w:rsid w:val="0A211753"/>
    <w:rsid w:val="0B0A7CB9"/>
    <w:rsid w:val="0BD4F518"/>
    <w:rsid w:val="0BE79187"/>
    <w:rsid w:val="0BFA9848"/>
    <w:rsid w:val="0C2F1F27"/>
    <w:rsid w:val="0C5C641A"/>
    <w:rsid w:val="0C5C7E64"/>
    <w:rsid w:val="0CE03E87"/>
    <w:rsid w:val="0CE104C0"/>
    <w:rsid w:val="0CF44BCD"/>
    <w:rsid w:val="0DB22FD1"/>
    <w:rsid w:val="0DDF080D"/>
    <w:rsid w:val="0E196E44"/>
    <w:rsid w:val="0E52420A"/>
    <w:rsid w:val="0E576294"/>
    <w:rsid w:val="0E6FBEC9"/>
    <w:rsid w:val="0E73144E"/>
    <w:rsid w:val="0F2D43D6"/>
    <w:rsid w:val="0F626F7D"/>
    <w:rsid w:val="0FBDCFF7"/>
    <w:rsid w:val="0FE84C3B"/>
    <w:rsid w:val="105748B8"/>
    <w:rsid w:val="10D609E3"/>
    <w:rsid w:val="11806702"/>
    <w:rsid w:val="11B819AE"/>
    <w:rsid w:val="123063C6"/>
    <w:rsid w:val="12441BD0"/>
    <w:rsid w:val="12632093"/>
    <w:rsid w:val="12B622B4"/>
    <w:rsid w:val="13020FC6"/>
    <w:rsid w:val="13BFFE24"/>
    <w:rsid w:val="13D576DE"/>
    <w:rsid w:val="13E21002"/>
    <w:rsid w:val="14B434DA"/>
    <w:rsid w:val="14F13770"/>
    <w:rsid w:val="150916C0"/>
    <w:rsid w:val="153F4B5B"/>
    <w:rsid w:val="156A4371"/>
    <w:rsid w:val="15F40433"/>
    <w:rsid w:val="1683537A"/>
    <w:rsid w:val="171E30D0"/>
    <w:rsid w:val="179D0613"/>
    <w:rsid w:val="17C73C8D"/>
    <w:rsid w:val="17E7E543"/>
    <w:rsid w:val="17FF5ED1"/>
    <w:rsid w:val="182F1207"/>
    <w:rsid w:val="18453F4E"/>
    <w:rsid w:val="184D654B"/>
    <w:rsid w:val="186C41B7"/>
    <w:rsid w:val="18845656"/>
    <w:rsid w:val="18B162FF"/>
    <w:rsid w:val="197B14EF"/>
    <w:rsid w:val="199C3918"/>
    <w:rsid w:val="19AE1774"/>
    <w:rsid w:val="19C3292F"/>
    <w:rsid w:val="1A7F4EBE"/>
    <w:rsid w:val="1AD4394C"/>
    <w:rsid w:val="1AEB1932"/>
    <w:rsid w:val="1B402B8C"/>
    <w:rsid w:val="1B637E2F"/>
    <w:rsid w:val="1BA453A0"/>
    <w:rsid w:val="1BBDE9D4"/>
    <w:rsid w:val="1BDF88CD"/>
    <w:rsid w:val="1BEE6D07"/>
    <w:rsid w:val="1BFE2D63"/>
    <w:rsid w:val="1C361086"/>
    <w:rsid w:val="1C654B13"/>
    <w:rsid w:val="1C676888"/>
    <w:rsid w:val="1CDA3F40"/>
    <w:rsid w:val="1DBFA3E0"/>
    <w:rsid w:val="1DEAA37E"/>
    <w:rsid w:val="1DFA7970"/>
    <w:rsid w:val="1DFE8A03"/>
    <w:rsid w:val="1E1C6945"/>
    <w:rsid w:val="1E776AEF"/>
    <w:rsid w:val="1E77CE46"/>
    <w:rsid w:val="1EF9484B"/>
    <w:rsid w:val="1F35607B"/>
    <w:rsid w:val="1F8D7731"/>
    <w:rsid w:val="1FAC22EB"/>
    <w:rsid w:val="1FBB5582"/>
    <w:rsid w:val="1FBF24CD"/>
    <w:rsid w:val="1FBFE7E5"/>
    <w:rsid w:val="1FDAC585"/>
    <w:rsid w:val="1FF685D7"/>
    <w:rsid w:val="20017660"/>
    <w:rsid w:val="200E7E3A"/>
    <w:rsid w:val="20434AA7"/>
    <w:rsid w:val="211A1385"/>
    <w:rsid w:val="2170186C"/>
    <w:rsid w:val="21AC28F2"/>
    <w:rsid w:val="21C56A28"/>
    <w:rsid w:val="220A0B93"/>
    <w:rsid w:val="225D01B4"/>
    <w:rsid w:val="22767546"/>
    <w:rsid w:val="2290760E"/>
    <w:rsid w:val="22C170F8"/>
    <w:rsid w:val="235FF394"/>
    <w:rsid w:val="23C75E0E"/>
    <w:rsid w:val="24657EE0"/>
    <w:rsid w:val="248C0300"/>
    <w:rsid w:val="24B10056"/>
    <w:rsid w:val="24D12D45"/>
    <w:rsid w:val="24F61669"/>
    <w:rsid w:val="2506741C"/>
    <w:rsid w:val="25094E76"/>
    <w:rsid w:val="25907578"/>
    <w:rsid w:val="265202E4"/>
    <w:rsid w:val="26742F04"/>
    <w:rsid w:val="269B60DA"/>
    <w:rsid w:val="271700EA"/>
    <w:rsid w:val="27372C63"/>
    <w:rsid w:val="275C676E"/>
    <w:rsid w:val="277FBDD9"/>
    <w:rsid w:val="278D5651"/>
    <w:rsid w:val="27CB2B9D"/>
    <w:rsid w:val="27CC2DF2"/>
    <w:rsid w:val="27DD8391"/>
    <w:rsid w:val="27F5DCDC"/>
    <w:rsid w:val="27FE2431"/>
    <w:rsid w:val="28655307"/>
    <w:rsid w:val="28E30935"/>
    <w:rsid w:val="292507E6"/>
    <w:rsid w:val="29443257"/>
    <w:rsid w:val="29977098"/>
    <w:rsid w:val="29BE0BBE"/>
    <w:rsid w:val="29BF83D5"/>
    <w:rsid w:val="29CE0B43"/>
    <w:rsid w:val="29D4206D"/>
    <w:rsid w:val="2A901BF0"/>
    <w:rsid w:val="2AAC48AB"/>
    <w:rsid w:val="2AC411DD"/>
    <w:rsid w:val="2AEF5505"/>
    <w:rsid w:val="2B1B7C7C"/>
    <w:rsid w:val="2B204ED2"/>
    <w:rsid w:val="2B7A4DED"/>
    <w:rsid w:val="2B860410"/>
    <w:rsid w:val="2B8E98B9"/>
    <w:rsid w:val="2BBD6D63"/>
    <w:rsid w:val="2BBE0649"/>
    <w:rsid w:val="2BCB1581"/>
    <w:rsid w:val="2BEF3C13"/>
    <w:rsid w:val="2BF3BB84"/>
    <w:rsid w:val="2C157311"/>
    <w:rsid w:val="2C1B0EE8"/>
    <w:rsid w:val="2C447F93"/>
    <w:rsid w:val="2CA74927"/>
    <w:rsid w:val="2CB9A3C7"/>
    <w:rsid w:val="2CFF93C0"/>
    <w:rsid w:val="2D0A0F57"/>
    <w:rsid w:val="2E0916E8"/>
    <w:rsid w:val="2ED7B167"/>
    <w:rsid w:val="2EDE1CD9"/>
    <w:rsid w:val="2EFC2BA8"/>
    <w:rsid w:val="2F73153F"/>
    <w:rsid w:val="2F731FEA"/>
    <w:rsid w:val="2F7E4166"/>
    <w:rsid w:val="2FBF7ABD"/>
    <w:rsid w:val="2FCB04D1"/>
    <w:rsid w:val="2FF4C68C"/>
    <w:rsid w:val="2FF6429B"/>
    <w:rsid w:val="2FFFD555"/>
    <w:rsid w:val="30880B1A"/>
    <w:rsid w:val="309659E4"/>
    <w:rsid w:val="31156A8E"/>
    <w:rsid w:val="318E7BFE"/>
    <w:rsid w:val="31C6224D"/>
    <w:rsid w:val="31C72D0A"/>
    <w:rsid w:val="320115AB"/>
    <w:rsid w:val="321D5534"/>
    <w:rsid w:val="32AE5944"/>
    <w:rsid w:val="32C76F6D"/>
    <w:rsid w:val="33295C1D"/>
    <w:rsid w:val="335C2FB7"/>
    <w:rsid w:val="3397FB7C"/>
    <w:rsid w:val="33B1746F"/>
    <w:rsid w:val="33D06380"/>
    <w:rsid w:val="33F6978F"/>
    <w:rsid w:val="34291D5F"/>
    <w:rsid w:val="34590088"/>
    <w:rsid w:val="3475843F"/>
    <w:rsid w:val="34F42A8A"/>
    <w:rsid w:val="34F97717"/>
    <w:rsid w:val="352E1AEE"/>
    <w:rsid w:val="35303643"/>
    <w:rsid w:val="35A35A3F"/>
    <w:rsid w:val="35C4570A"/>
    <w:rsid w:val="35D5FC96"/>
    <w:rsid w:val="35DA70C1"/>
    <w:rsid w:val="35DD67A3"/>
    <w:rsid w:val="35FF676D"/>
    <w:rsid w:val="36135CBE"/>
    <w:rsid w:val="36340818"/>
    <w:rsid w:val="36625D0C"/>
    <w:rsid w:val="36F75236"/>
    <w:rsid w:val="37470A1B"/>
    <w:rsid w:val="37A27938"/>
    <w:rsid w:val="37B54ADF"/>
    <w:rsid w:val="37DF6A8C"/>
    <w:rsid w:val="37F16680"/>
    <w:rsid w:val="37FB9CD6"/>
    <w:rsid w:val="37FBAB69"/>
    <w:rsid w:val="37FCF9E0"/>
    <w:rsid w:val="386865F3"/>
    <w:rsid w:val="38856E98"/>
    <w:rsid w:val="38AE7374"/>
    <w:rsid w:val="397CE9FA"/>
    <w:rsid w:val="3981356C"/>
    <w:rsid w:val="398FBE59"/>
    <w:rsid w:val="39AE0173"/>
    <w:rsid w:val="39CF9398"/>
    <w:rsid w:val="39E06BB7"/>
    <w:rsid w:val="39FE63DA"/>
    <w:rsid w:val="39FF16A6"/>
    <w:rsid w:val="3A5C1C8F"/>
    <w:rsid w:val="3AEE94BF"/>
    <w:rsid w:val="3AEF1518"/>
    <w:rsid w:val="3AFC5808"/>
    <w:rsid w:val="3AFF354D"/>
    <w:rsid w:val="3B6128AF"/>
    <w:rsid w:val="3B7FD698"/>
    <w:rsid w:val="3BA7155E"/>
    <w:rsid w:val="3BCE2B2E"/>
    <w:rsid w:val="3BDE8904"/>
    <w:rsid w:val="3BE15F28"/>
    <w:rsid w:val="3BEF69F1"/>
    <w:rsid w:val="3BEFF8CF"/>
    <w:rsid w:val="3BF26BA3"/>
    <w:rsid w:val="3BF79200"/>
    <w:rsid w:val="3BFF4957"/>
    <w:rsid w:val="3C063CAC"/>
    <w:rsid w:val="3C1C4055"/>
    <w:rsid w:val="3C52081E"/>
    <w:rsid w:val="3C53C5BC"/>
    <w:rsid w:val="3C8A1A52"/>
    <w:rsid w:val="3C8C2456"/>
    <w:rsid w:val="3CA217BD"/>
    <w:rsid w:val="3CA2779D"/>
    <w:rsid w:val="3CAC57E6"/>
    <w:rsid w:val="3CEB2CD0"/>
    <w:rsid w:val="3CFD645E"/>
    <w:rsid w:val="3D054486"/>
    <w:rsid w:val="3D225D1E"/>
    <w:rsid w:val="3D6C2E0F"/>
    <w:rsid w:val="3D714D63"/>
    <w:rsid w:val="3D8853BD"/>
    <w:rsid w:val="3D9EC0B9"/>
    <w:rsid w:val="3DAC68A9"/>
    <w:rsid w:val="3DCFFF36"/>
    <w:rsid w:val="3DE55C5C"/>
    <w:rsid w:val="3DE79E70"/>
    <w:rsid w:val="3DF64C8C"/>
    <w:rsid w:val="3DF99485"/>
    <w:rsid w:val="3DF9D1C7"/>
    <w:rsid w:val="3DFA2EC2"/>
    <w:rsid w:val="3DFEDA12"/>
    <w:rsid w:val="3E3F64B3"/>
    <w:rsid w:val="3E441781"/>
    <w:rsid w:val="3E4C04DD"/>
    <w:rsid w:val="3E9748C9"/>
    <w:rsid w:val="3EB43CEE"/>
    <w:rsid w:val="3EE13927"/>
    <w:rsid w:val="3EFFC0D2"/>
    <w:rsid w:val="3F13832E"/>
    <w:rsid w:val="3F74DECA"/>
    <w:rsid w:val="3F7F0620"/>
    <w:rsid w:val="3F7F8784"/>
    <w:rsid w:val="3F7FBF7F"/>
    <w:rsid w:val="3F91339B"/>
    <w:rsid w:val="3FEECAA6"/>
    <w:rsid w:val="3FF42639"/>
    <w:rsid w:val="3FF75D61"/>
    <w:rsid w:val="3FF78255"/>
    <w:rsid w:val="3FF960D8"/>
    <w:rsid w:val="3FFB074A"/>
    <w:rsid w:val="40B02E41"/>
    <w:rsid w:val="40B33108"/>
    <w:rsid w:val="40F83A24"/>
    <w:rsid w:val="411A3B51"/>
    <w:rsid w:val="411F26C2"/>
    <w:rsid w:val="41E50E32"/>
    <w:rsid w:val="41FA1742"/>
    <w:rsid w:val="42D107D9"/>
    <w:rsid w:val="42F926FB"/>
    <w:rsid w:val="432C22B1"/>
    <w:rsid w:val="43570C6E"/>
    <w:rsid w:val="43647E43"/>
    <w:rsid w:val="43AF7BBF"/>
    <w:rsid w:val="43C41C76"/>
    <w:rsid w:val="43F961C5"/>
    <w:rsid w:val="4410151C"/>
    <w:rsid w:val="452F3274"/>
    <w:rsid w:val="45844FCE"/>
    <w:rsid w:val="45AE931D"/>
    <w:rsid w:val="45D251E2"/>
    <w:rsid w:val="45DF0453"/>
    <w:rsid w:val="46874D3F"/>
    <w:rsid w:val="46CB39E2"/>
    <w:rsid w:val="46DB781C"/>
    <w:rsid w:val="47A52982"/>
    <w:rsid w:val="47BC2FDD"/>
    <w:rsid w:val="47F76339"/>
    <w:rsid w:val="47FF7ED1"/>
    <w:rsid w:val="483243FA"/>
    <w:rsid w:val="48D16F09"/>
    <w:rsid w:val="493C1E2A"/>
    <w:rsid w:val="49471A9B"/>
    <w:rsid w:val="49B87CAB"/>
    <w:rsid w:val="49D051BB"/>
    <w:rsid w:val="49FA7838"/>
    <w:rsid w:val="4A2F17E4"/>
    <w:rsid w:val="4B476E98"/>
    <w:rsid w:val="4BAE5EE7"/>
    <w:rsid w:val="4BBF65A2"/>
    <w:rsid w:val="4BEBB755"/>
    <w:rsid w:val="4BF39157"/>
    <w:rsid w:val="4BFF044F"/>
    <w:rsid w:val="4C4B6322"/>
    <w:rsid w:val="4CA446A1"/>
    <w:rsid w:val="4D0A437B"/>
    <w:rsid w:val="4D5F122E"/>
    <w:rsid w:val="4D671301"/>
    <w:rsid w:val="4D6C7BBE"/>
    <w:rsid w:val="4D7730E9"/>
    <w:rsid w:val="4D7A24FB"/>
    <w:rsid w:val="4DBB66D0"/>
    <w:rsid w:val="4DBC3976"/>
    <w:rsid w:val="4DDC7C37"/>
    <w:rsid w:val="4DFE5ECB"/>
    <w:rsid w:val="4DFF602E"/>
    <w:rsid w:val="4E021F42"/>
    <w:rsid w:val="4E23723D"/>
    <w:rsid w:val="4E5E23C1"/>
    <w:rsid w:val="4E613699"/>
    <w:rsid w:val="4E8E8560"/>
    <w:rsid w:val="4EAF32A6"/>
    <w:rsid w:val="4F1D1632"/>
    <w:rsid w:val="4F6C7A93"/>
    <w:rsid w:val="4F7EFE6F"/>
    <w:rsid w:val="4F7F3D76"/>
    <w:rsid w:val="4FD32CC0"/>
    <w:rsid w:val="4FD751FD"/>
    <w:rsid w:val="4FDE3C80"/>
    <w:rsid w:val="4FE96F96"/>
    <w:rsid w:val="4FFADD19"/>
    <w:rsid w:val="4FFDFA4D"/>
    <w:rsid w:val="4FFF3772"/>
    <w:rsid w:val="4FFF4671"/>
    <w:rsid w:val="501E4B4D"/>
    <w:rsid w:val="5020372F"/>
    <w:rsid w:val="503A4B3C"/>
    <w:rsid w:val="5046746D"/>
    <w:rsid w:val="5080539A"/>
    <w:rsid w:val="509C224E"/>
    <w:rsid w:val="510500D4"/>
    <w:rsid w:val="51573C03"/>
    <w:rsid w:val="51D8745C"/>
    <w:rsid w:val="520F6E00"/>
    <w:rsid w:val="5227225E"/>
    <w:rsid w:val="52D51C17"/>
    <w:rsid w:val="52DFC284"/>
    <w:rsid w:val="52FC7EA5"/>
    <w:rsid w:val="5318536C"/>
    <w:rsid w:val="535F6931"/>
    <w:rsid w:val="536A73F7"/>
    <w:rsid w:val="537F3341"/>
    <w:rsid w:val="538D4C64"/>
    <w:rsid w:val="53AE463C"/>
    <w:rsid w:val="53AE56BD"/>
    <w:rsid w:val="53F01F45"/>
    <w:rsid w:val="540862D7"/>
    <w:rsid w:val="54130674"/>
    <w:rsid w:val="54156F88"/>
    <w:rsid w:val="54B85071"/>
    <w:rsid w:val="55033D85"/>
    <w:rsid w:val="550E0DC6"/>
    <w:rsid w:val="55571332"/>
    <w:rsid w:val="5557AF97"/>
    <w:rsid w:val="5573F2FD"/>
    <w:rsid w:val="55BB4DE6"/>
    <w:rsid w:val="55BDC8F3"/>
    <w:rsid w:val="55CF7905"/>
    <w:rsid w:val="55D62783"/>
    <w:rsid w:val="55EF1DF6"/>
    <w:rsid w:val="55F91D60"/>
    <w:rsid w:val="563D6FA7"/>
    <w:rsid w:val="566643B6"/>
    <w:rsid w:val="56FD08D9"/>
    <w:rsid w:val="571217ED"/>
    <w:rsid w:val="572110A9"/>
    <w:rsid w:val="573F74FE"/>
    <w:rsid w:val="57586E99"/>
    <w:rsid w:val="577F4FCC"/>
    <w:rsid w:val="57EF86B5"/>
    <w:rsid w:val="57EF870C"/>
    <w:rsid w:val="57F2BCD7"/>
    <w:rsid w:val="57FBC581"/>
    <w:rsid w:val="57FEC794"/>
    <w:rsid w:val="58BD1203"/>
    <w:rsid w:val="58BEE190"/>
    <w:rsid w:val="58EB2FA4"/>
    <w:rsid w:val="58ED7E3F"/>
    <w:rsid w:val="59461922"/>
    <w:rsid w:val="59635AFF"/>
    <w:rsid w:val="59650F4C"/>
    <w:rsid w:val="59763351"/>
    <w:rsid w:val="59D14798"/>
    <w:rsid w:val="59F732A8"/>
    <w:rsid w:val="59FB7F99"/>
    <w:rsid w:val="5A2679B5"/>
    <w:rsid w:val="5A27795C"/>
    <w:rsid w:val="5A506E27"/>
    <w:rsid w:val="5A622C9F"/>
    <w:rsid w:val="5A872B3D"/>
    <w:rsid w:val="5A9C42A7"/>
    <w:rsid w:val="5ABC10CE"/>
    <w:rsid w:val="5AD85ED5"/>
    <w:rsid w:val="5B3754AC"/>
    <w:rsid w:val="5B77BCCC"/>
    <w:rsid w:val="5BBFB84A"/>
    <w:rsid w:val="5BDF6E46"/>
    <w:rsid w:val="5BDF87A3"/>
    <w:rsid w:val="5BFA40A1"/>
    <w:rsid w:val="5BFE3FB4"/>
    <w:rsid w:val="5BFEC130"/>
    <w:rsid w:val="5C75205D"/>
    <w:rsid w:val="5C7F2617"/>
    <w:rsid w:val="5CAF6973"/>
    <w:rsid w:val="5CB7BBFA"/>
    <w:rsid w:val="5CE32510"/>
    <w:rsid w:val="5CFF42F1"/>
    <w:rsid w:val="5D739DEF"/>
    <w:rsid w:val="5D9B5743"/>
    <w:rsid w:val="5DADE61A"/>
    <w:rsid w:val="5DCA7440"/>
    <w:rsid w:val="5DD81EB0"/>
    <w:rsid w:val="5DDFB65A"/>
    <w:rsid w:val="5DF25EA1"/>
    <w:rsid w:val="5DF2DCFE"/>
    <w:rsid w:val="5DFB3ADA"/>
    <w:rsid w:val="5E225D2B"/>
    <w:rsid w:val="5E3907E6"/>
    <w:rsid w:val="5E4C53A9"/>
    <w:rsid w:val="5E4F35CE"/>
    <w:rsid w:val="5E7F4643"/>
    <w:rsid w:val="5EA6B85F"/>
    <w:rsid w:val="5EBF491D"/>
    <w:rsid w:val="5EC63AD0"/>
    <w:rsid w:val="5EC7142D"/>
    <w:rsid w:val="5ED781AB"/>
    <w:rsid w:val="5ED7D437"/>
    <w:rsid w:val="5EDBBEEA"/>
    <w:rsid w:val="5EE71531"/>
    <w:rsid w:val="5F0B1B90"/>
    <w:rsid w:val="5F0F37F9"/>
    <w:rsid w:val="5F1F0156"/>
    <w:rsid w:val="5F3B676F"/>
    <w:rsid w:val="5F3D9862"/>
    <w:rsid w:val="5F5ECCCF"/>
    <w:rsid w:val="5F6F7888"/>
    <w:rsid w:val="5F741735"/>
    <w:rsid w:val="5F77C15B"/>
    <w:rsid w:val="5F7DDA5A"/>
    <w:rsid w:val="5F7E41F8"/>
    <w:rsid w:val="5F7FB8D7"/>
    <w:rsid w:val="5F9F2AF4"/>
    <w:rsid w:val="5FA598A8"/>
    <w:rsid w:val="5FB6C90B"/>
    <w:rsid w:val="5FBF10C9"/>
    <w:rsid w:val="5FBFA8DE"/>
    <w:rsid w:val="5FC72D43"/>
    <w:rsid w:val="5FD48A7F"/>
    <w:rsid w:val="5FDF272A"/>
    <w:rsid w:val="5FE49ED6"/>
    <w:rsid w:val="5FE79582"/>
    <w:rsid w:val="5FF3C4BD"/>
    <w:rsid w:val="5FFB1A71"/>
    <w:rsid w:val="5FFB8C6E"/>
    <w:rsid w:val="5FFE282E"/>
    <w:rsid w:val="5FFED246"/>
    <w:rsid w:val="600121C6"/>
    <w:rsid w:val="600A310B"/>
    <w:rsid w:val="60342AA2"/>
    <w:rsid w:val="605A709E"/>
    <w:rsid w:val="60606B37"/>
    <w:rsid w:val="613C5EC3"/>
    <w:rsid w:val="61757DF5"/>
    <w:rsid w:val="623D2F99"/>
    <w:rsid w:val="62CB057B"/>
    <w:rsid w:val="63DBB834"/>
    <w:rsid w:val="64596240"/>
    <w:rsid w:val="646944FD"/>
    <w:rsid w:val="64783FEC"/>
    <w:rsid w:val="64861737"/>
    <w:rsid w:val="648C5CFB"/>
    <w:rsid w:val="64E240DA"/>
    <w:rsid w:val="64FA4348"/>
    <w:rsid w:val="64FF39D6"/>
    <w:rsid w:val="651340F2"/>
    <w:rsid w:val="654D2483"/>
    <w:rsid w:val="657210B6"/>
    <w:rsid w:val="657E1F08"/>
    <w:rsid w:val="65E850E5"/>
    <w:rsid w:val="65FE312F"/>
    <w:rsid w:val="65FF9331"/>
    <w:rsid w:val="660C0377"/>
    <w:rsid w:val="662B7F26"/>
    <w:rsid w:val="662F6390"/>
    <w:rsid w:val="66771F4E"/>
    <w:rsid w:val="667D4EC7"/>
    <w:rsid w:val="669F651F"/>
    <w:rsid w:val="66A27BCD"/>
    <w:rsid w:val="66DE1220"/>
    <w:rsid w:val="66F9B333"/>
    <w:rsid w:val="6720362F"/>
    <w:rsid w:val="67466BF6"/>
    <w:rsid w:val="675FB1C9"/>
    <w:rsid w:val="677FB307"/>
    <w:rsid w:val="67C764CA"/>
    <w:rsid w:val="67CF6078"/>
    <w:rsid w:val="67F22EE1"/>
    <w:rsid w:val="67F77283"/>
    <w:rsid w:val="67F7EA61"/>
    <w:rsid w:val="67FB012C"/>
    <w:rsid w:val="67FDEBB4"/>
    <w:rsid w:val="67FF1237"/>
    <w:rsid w:val="68014CBD"/>
    <w:rsid w:val="6856019A"/>
    <w:rsid w:val="68626BDA"/>
    <w:rsid w:val="68BF8AEC"/>
    <w:rsid w:val="69C3610A"/>
    <w:rsid w:val="69FF7F75"/>
    <w:rsid w:val="6A352173"/>
    <w:rsid w:val="6A8E4FDE"/>
    <w:rsid w:val="6A9FD300"/>
    <w:rsid w:val="6AA66A8C"/>
    <w:rsid w:val="6AB9F4AD"/>
    <w:rsid w:val="6B0C2C50"/>
    <w:rsid w:val="6B1A0C6D"/>
    <w:rsid w:val="6B566FFB"/>
    <w:rsid w:val="6B593482"/>
    <w:rsid w:val="6B68065B"/>
    <w:rsid w:val="6BB81DF4"/>
    <w:rsid w:val="6BEF4EA0"/>
    <w:rsid w:val="6BFE165B"/>
    <w:rsid w:val="6C177B83"/>
    <w:rsid w:val="6C7F0DE9"/>
    <w:rsid w:val="6C9E1DB3"/>
    <w:rsid w:val="6CA87B16"/>
    <w:rsid w:val="6CB97305"/>
    <w:rsid w:val="6CF62C30"/>
    <w:rsid w:val="6CFBBD14"/>
    <w:rsid w:val="6D5B138D"/>
    <w:rsid w:val="6D736557"/>
    <w:rsid w:val="6D7463D1"/>
    <w:rsid w:val="6DBDE3F4"/>
    <w:rsid w:val="6DD3BE5C"/>
    <w:rsid w:val="6DD769CB"/>
    <w:rsid w:val="6DDE0C73"/>
    <w:rsid w:val="6DDFF55A"/>
    <w:rsid w:val="6DFD7DCB"/>
    <w:rsid w:val="6DFEB86C"/>
    <w:rsid w:val="6DFEF67D"/>
    <w:rsid w:val="6E437D62"/>
    <w:rsid w:val="6E47118D"/>
    <w:rsid w:val="6E58352F"/>
    <w:rsid w:val="6E6E9F58"/>
    <w:rsid w:val="6E7F846C"/>
    <w:rsid w:val="6E9D5F41"/>
    <w:rsid w:val="6EAE2733"/>
    <w:rsid w:val="6ECD4414"/>
    <w:rsid w:val="6EF748B3"/>
    <w:rsid w:val="6EF7F592"/>
    <w:rsid w:val="6EFF5192"/>
    <w:rsid w:val="6F101E5F"/>
    <w:rsid w:val="6F2BFD5F"/>
    <w:rsid w:val="6F3B9CB4"/>
    <w:rsid w:val="6F546DD6"/>
    <w:rsid w:val="6F5FFD67"/>
    <w:rsid w:val="6F77D9A4"/>
    <w:rsid w:val="6F79FA17"/>
    <w:rsid w:val="6F7DADC3"/>
    <w:rsid w:val="6F9237F4"/>
    <w:rsid w:val="6FAB4704"/>
    <w:rsid w:val="6FB7D88C"/>
    <w:rsid w:val="6FBF7179"/>
    <w:rsid w:val="6FC42FE0"/>
    <w:rsid w:val="6FD286C4"/>
    <w:rsid w:val="6FDF1BD1"/>
    <w:rsid w:val="6FE97875"/>
    <w:rsid w:val="6FEF3B06"/>
    <w:rsid w:val="6FFA8A58"/>
    <w:rsid w:val="6FFB3259"/>
    <w:rsid w:val="6FFB9495"/>
    <w:rsid w:val="6FFD8F02"/>
    <w:rsid w:val="6FFF589A"/>
    <w:rsid w:val="6FFFA7A8"/>
    <w:rsid w:val="6FFFADEB"/>
    <w:rsid w:val="700417FA"/>
    <w:rsid w:val="704941AB"/>
    <w:rsid w:val="70705A46"/>
    <w:rsid w:val="707B0806"/>
    <w:rsid w:val="70BE00E9"/>
    <w:rsid w:val="71026A1E"/>
    <w:rsid w:val="717FA606"/>
    <w:rsid w:val="71F24B3E"/>
    <w:rsid w:val="71F3297B"/>
    <w:rsid w:val="72063152"/>
    <w:rsid w:val="727FCB59"/>
    <w:rsid w:val="72B61473"/>
    <w:rsid w:val="72D73356"/>
    <w:rsid w:val="72F268F6"/>
    <w:rsid w:val="72FB753A"/>
    <w:rsid w:val="73324618"/>
    <w:rsid w:val="734C39D0"/>
    <w:rsid w:val="736FF217"/>
    <w:rsid w:val="73922D6F"/>
    <w:rsid w:val="73B39AC5"/>
    <w:rsid w:val="73B60D43"/>
    <w:rsid w:val="73BCD05E"/>
    <w:rsid w:val="73FA5241"/>
    <w:rsid w:val="73FF0AB2"/>
    <w:rsid w:val="73FF66D0"/>
    <w:rsid w:val="741957C2"/>
    <w:rsid w:val="7470361C"/>
    <w:rsid w:val="74BC4A4B"/>
    <w:rsid w:val="74F5A945"/>
    <w:rsid w:val="74F66410"/>
    <w:rsid w:val="757E1149"/>
    <w:rsid w:val="759B7C3F"/>
    <w:rsid w:val="75BCBDE7"/>
    <w:rsid w:val="75D1D076"/>
    <w:rsid w:val="75D8D52D"/>
    <w:rsid w:val="75DF957A"/>
    <w:rsid w:val="75F3CBAB"/>
    <w:rsid w:val="75F66CC9"/>
    <w:rsid w:val="75FF8C55"/>
    <w:rsid w:val="765FBF31"/>
    <w:rsid w:val="768E2916"/>
    <w:rsid w:val="769E716A"/>
    <w:rsid w:val="76C81EB1"/>
    <w:rsid w:val="77245633"/>
    <w:rsid w:val="772F8C49"/>
    <w:rsid w:val="773D42A7"/>
    <w:rsid w:val="775D3490"/>
    <w:rsid w:val="775F893D"/>
    <w:rsid w:val="776F0A63"/>
    <w:rsid w:val="776F1802"/>
    <w:rsid w:val="776FD525"/>
    <w:rsid w:val="777D097E"/>
    <w:rsid w:val="77900B87"/>
    <w:rsid w:val="779301BE"/>
    <w:rsid w:val="77984B58"/>
    <w:rsid w:val="77ABCF51"/>
    <w:rsid w:val="77B622BC"/>
    <w:rsid w:val="77BFC6EB"/>
    <w:rsid w:val="77BFE2CB"/>
    <w:rsid w:val="77DE52B2"/>
    <w:rsid w:val="77DF4994"/>
    <w:rsid w:val="77E7DA5D"/>
    <w:rsid w:val="77F78444"/>
    <w:rsid w:val="77F7F43E"/>
    <w:rsid w:val="77FF84FD"/>
    <w:rsid w:val="78B17334"/>
    <w:rsid w:val="78BF35B7"/>
    <w:rsid w:val="78BFFCAD"/>
    <w:rsid w:val="78EC26A9"/>
    <w:rsid w:val="78F47AA0"/>
    <w:rsid w:val="79537D73"/>
    <w:rsid w:val="796339EC"/>
    <w:rsid w:val="796626C4"/>
    <w:rsid w:val="797314CF"/>
    <w:rsid w:val="79BDAD24"/>
    <w:rsid w:val="79D57C8B"/>
    <w:rsid w:val="79DEFEBC"/>
    <w:rsid w:val="79EDA20A"/>
    <w:rsid w:val="79F700C8"/>
    <w:rsid w:val="7A1D2635"/>
    <w:rsid w:val="7A325BAB"/>
    <w:rsid w:val="7A3F45F3"/>
    <w:rsid w:val="7A461444"/>
    <w:rsid w:val="7A52C7CA"/>
    <w:rsid w:val="7A6F4ADE"/>
    <w:rsid w:val="7A7A3FB1"/>
    <w:rsid w:val="7A7B7626"/>
    <w:rsid w:val="7A7F7AF9"/>
    <w:rsid w:val="7ABFFA84"/>
    <w:rsid w:val="7ACBE27C"/>
    <w:rsid w:val="7B4EDBAB"/>
    <w:rsid w:val="7B571621"/>
    <w:rsid w:val="7B6B478F"/>
    <w:rsid w:val="7B77C213"/>
    <w:rsid w:val="7B7EBBEA"/>
    <w:rsid w:val="7B984663"/>
    <w:rsid w:val="7BB5424A"/>
    <w:rsid w:val="7BB73CDF"/>
    <w:rsid w:val="7BB89036"/>
    <w:rsid w:val="7BBB4E12"/>
    <w:rsid w:val="7BBC1088"/>
    <w:rsid w:val="7BBD17D1"/>
    <w:rsid w:val="7BC519BB"/>
    <w:rsid w:val="7BC7D714"/>
    <w:rsid w:val="7BD0D34C"/>
    <w:rsid w:val="7BD7E33F"/>
    <w:rsid w:val="7BDE8DD2"/>
    <w:rsid w:val="7BEFBEDD"/>
    <w:rsid w:val="7BF38B2A"/>
    <w:rsid w:val="7BF58731"/>
    <w:rsid w:val="7BFBDFEB"/>
    <w:rsid w:val="7BFC8FEF"/>
    <w:rsid w:val="7BFF111C"/>
    <w:rsid w:val="7BFF4FED"/>
    <w:rsid w:val="7BFFCB4E"/>
    <w:rsid w:val="7C216E39"/>
    <w:rsid w:val="7C7B0E18"/>
    <w:rsid w:val="7C9564F3"/>
    <w:rsid w:val="7CBF7C33"/>
    <w:rsid w:val="7CBFBFC5"/>
    <w:rsid w:val="7CD04806"/>
    <w:rsid w:val="7CFEF24E"/>
    <w:rsid w:val="7CFF0BED"/>
    <w:rsid w:val="7D022514"/>
    <w:rsid w:val="7D341CD6"/>
    <w:rsid w:val="7D5F9B1D"/>
    <w:rsid w:val="7D6185B4"/>
    <w:rsid w:val="7D77008D"/>
    <w:rsid w:val="7D790717"/>
    <w:rsid w:val="7D7B4652"/>
    <w:rsid w:val="7D7F6ABB"/>
    <w:rsid w:val="7D8F3ED5"/>
    <w:rsid w:val="7D9A72BC"/>
    <w:rsid w:val="7DB7E982"/>
    <w:rsid w:val="7DBF6FEF"/>
    <w:rsid w:val="7DBF89F1"/>
    <w:rsid w:val="7DCD54C0"/>
    <w:rsid w:val="7DCF8D23"/>
    <w:rsid w:val="7DD7271B"/>
    <w:rsid w:val="7DECE0B0"/>
    <w:rsid w:val="7DF54409"/>
    <w:rsid w:val="7DFAB730"/>
    <w:rsid w:val="7DFBEB08"/>
    <w:rsid w:val="7DFC0962"/>
    <w:rsid w:val="7DFD0A96"/>
    <w:rsid w:val="7DFE5D33"/>
    <w:rsid w:val="7DFEDF41"/>
    <w:rsid w:val="7DFEF71F"/>
    <w:rsid w:val="7DFF08D8"/>
    <w:rsid w:val="7DFF61EB"/>
    <w:rsid w:val="7DFF872E"/>
    <w:rsid w:val="7E3F68C4"/>
    <w:rsid w:val="7E624164"/>
    <w:rsid w:val="7E6F7954"/>
    <w:rsid w:val="7E7D6E6E"/>
    <w:rsid w:val="7E9142BF"/>
    <w:rsid w:val="7EA607EF"/>
    <w:rsid w:val="7EB7EC3B"/>
    <w:rsid w:val="7EBD549C"/>
    <w:rsid w:val="7ECF3098"/>
    <w:rsid w:val="7ECF7365"/>
    <w:rsid w:val="7ED741F6"/>
    <w:rsid w:val="7EDA7E5A"/>
    <w:rsid w:val="7EDB0EDB"/>
    <w:rsid w:val="7EDD8549"/>
    <w:rsid w:val="7EDF3331"/>
    <w:rsid w:val="7EFB2CC6"/>
    <w:rsid w:val="7EFDFAD1"/>
    <w:rsid w:val="7EFF4AEF"/>
    <w:rsid w:val="7EFF8638"/>
    <w:rsid w:val="7EFFA7DA"/>
    <w:rsid w:val="7EFFE719"/>
    <w:rsid w:val="7F3543C4"/>
    <w:rsid w:val="7F3D21E0"/>
    <w:rsid w:val="7F6FDB6F"/>
    <w:rsid w:val="7F7728FA"/>
    <w:rsid w:val="7F775E50"/>
    <w:rsid w:val="7F7B1AD9"/>
    <w:rsid w:val="7F7FA620"/>
    <w:rsid w:val="7F7FD998"/>
    <w:rsid w:val="7F8EB047"/>
    <w:rsid w:val="7F9E0363"/>
    <w:rsid w:val="7FA71501"/>
    <w:rsid w:val="7FA7C79F"/>
    <w:rsid w:val="7FAEB9FE"/>
    <w:rsid w:val="7FB75728"/>
    <w:rsid w:val="7FB7A248"/>
    <w:rsid w:val="7FB9BB9E"/>
    <w:rsid w:val="7FBC0CC7"/>
    <w:rsid w:val="7FC747D0"/>
    <w:rsid w:val="7FCBD10B"/>
    <w:rsid w:val="7FCDF9DA"/>
    <w:rsid w:val="7FD5CB05"/>
    <w:rsid w:val="7FDB7EE6"/>
    <w:rsid w:val="7FDF13AB"/>
    <w:rsid w:val="7FDF732F"/>
    <w:rsid w:val="7FDF8418"/>
    <w:rsid w:val="7FDF9B32"/>
    <w:rsid w:val="7FDFB846"/>
    <w:rsid w:val="7FE15C67"/>
    <w:rsid w:val="7FEC6468"/>
    <w:rsid w:val="7FEE8B33"/>
    <w:rsid w:val="7FEEBF5E"/>
    <w:rsid w:val="7FF4FCB2"/>
    <w:rsid w:val="7FF6133E"/>
    <w:rsid w:val="7FF70147"/>
    <w:rsid w:val="7FF711F0"/>
    <w:rsid w:val="7FF75515"/>
    <w:rsid w:val="7FF76F98"/>
    <w:rsid w:val="7FF7DC1F"/>
    <w:rsid w:val="7FFBE3EB"/>
    <w:rsid w:val="7FFC1B3A"/>
    <w:rsid w:val="7FFDC1B9"/>
    <w:rsid w:val="7FFDC29C"/>
    <w:rsid w:val="7FFEEFFC"/>
    <w:rsid w:val="7FFF0F36"/>
    <w:rsid w:val="7FFF1221"/>
    <w:rsid w:val="7FFF5C8F"/>
    <w:rsid w:val="7FFF92FD"/>
    <w:rsid w:val="7FFFAF90"/>
    <w:rsid w:val="7FFFC32F"/>
    <w:rsid w:val="7FFFF2C5"/>
    <w:rsid w:val="7FFFF62C"/>
  </w:rsids>
  <m:mathPr>
    <m:mathFont m:val="Cambria Math"/>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14:docId w14:val="73E2B2E4"/>
  <w15:docId w15:val="{604533CF-FA73-634D-97FF-B04A73279A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SimSun" w:hAnsi="Times New Roman" w:cs="Times New Roman"/>
        <w:lang w:eastAsia="zh-CN"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qFormat="1"/>
    <w:lsdException w:name="annotation text" w:qFormat="1"/>
    <w:lsdException w:name="header" w:qFormat="1"/>
    <w:lsdException w:name="footer" w:qFormat="1"/>
    <w:lsdException w:name="caption" w:semiHidden="1" w:unhideWhenUsed="1" w:qFormat="1"/>
    <w:lsdException w:name="page number" w:qFormat="1"/>
    <w:lsdException w:name="List Number 2" w:qFormat="1"/>
    <w:lsdException w:name="Title" w:qFormat="1"/>
    <w:lsdException w:name="Default Paragraph Font" w:qFormat="1"/>
    <w:lsdException w:name="Body Text" w:qFormat="1"/>
    <w:lsdException w:name="Body Text Indent" w:qFormat="1"/>
    <w:lsdException w:name="Subtitle" w:qFormat="1"/>
    <w:lsdException w:name="Date" w:qFormat="1"/>
    <w:lsdException w:name="Body Text First Indent" w:qFormat="1"/>
    <w:lsdException w:name="Body Text 2" w:qFormat="1"/>
    <w:lsdException w:name="Body Text 3" w:uiPriority="99" w:unhideWhenUsed="1" w:qFormat="1"/>
    <w:lsdException w:name="Body Text Indent 2" w:qFormat="1"/>
    <w:lsdException w:name="Body Text Indent 3" w:qFormat="1"/>
    <w:lsdException w:name="Hyperlink" w:qFormat="1"/>
    <w:lsdException w:name="FollowedHyperlink" w:qFormat="1"/>
    <w:lsdException w:name="Strong" w:qFormat="1"/>
    <w:lsdException w:name="Emphasis" w:qFormat="1"/>
    <w:lsdException w:name="Document Map" w:qFormat="1"/>
    <w:lsdException w:name="Plain Text" w:qFormat="1"/>
    <w:lsdException w:name="HTML Top of Form" w:semiHidden="1" w:uiPriority="99" w:unhideWhenUsed="1"/>
    <w:lsdException w:name="HTML Bottom of Form" w:semiHidden="1" w:uiPriority="99" w:unhideWhenUsed="1"/>
    <w:lsdException w:name="Normal (Web)" w:qFormat="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atentStyles>
  <w:style w:type="paragraph" w:default="1" w:styleId="Normal">
    <w:name w:val="Normal"/>
    <w:next w:val="BodyText"/>
    <w:qFormat/>
    <w:pPr>
      <w:widowControl w:val="0"/>
      <w:spacing w:after="160" w:line="259" w:lineRule="auto"/>
      <w:jc w:val="both"/>
    </w:pPr>
    <w:rPr>
      <w:kern w:val="2"/>
      <w:sz w:val="21"/>
      <w:szCs w:val="24"/>
      <w:lang w:val="en-US"/>
    </w:rPr>
  </w:style>
  <w:style w:type="paragraph" w:styleId="Heading1">
    <w:name w:val="heading 1"/>
    <w:basedOn w:val="Normal"/>
    <w:next w:val="Normal"/>
    <w:link w:val="Heading1Char"/>
    <w:qFormat/>
    <w:pPr>
      <w:keepNext/>
      <w:keepLines/>
      <w:spacing w:before="340" w:after="330" w:line="576" w:lineRule="auto"/>
      <w:outlineLvl w:val="0"/>
    </w:pPr>
    <w:rPr>
      <w:b/>
      <w:bCs/>
      <w:kern w:val="44"/>
      <w:sz w:val="44"/>
      <w:szCs w:val="44"/>
    </w:rPr>
  </w:style>
  <w:style w:type="paragraph" w:styleId="Heading2">
    <w:name w:val="heading 2"/>
    <w:basedOn w:val="Heading1"/>
    <w:next w:val="Heading3"/>
    <w:qFormat/>
    <w:pPr>
      <w:numPr>
        <w:ilvl w:val="1"/>
        <w:numId w:val="1"/>
      </w:numPr>
      <w:tabs>
        <w:tab w:val="left" w:pos="2400"/>
      </w:tabs>
      <w:spacing w:before="260" w:afterLines="50" w:line="416" w:lineRule="auto"/>
      <w:outlineLvl w:val="1"/>
    </w:pPr>
    <w:rPr>
      <w:rFonts w:ascii="Arial" w:eastAsia="SimHei" w:hAnsi="Arial" w:cs="Calibri"/>
      <w:sz w:val="32"/>
      <w:szCs w:val="32"/>
    </w:rPr>
  </w:style>
  <w:style w:type="paragraph" w:styleId="Heading3">
    <w:name w:val="heading 3"/>
    <w:basedOn w:val="Normal"/>
    <w:next w:val="Normal"/>
    <w:link w:val="Heading3Char"/>
    <w:qFormat/>
    <w:pPr>
      <w:keepNext/>
      <w:keepLines/>
      <w:tabs>
        <w:tab w:val="left" w:pos="0"/>
      </w:tabs>
      <w:spacing w:before="260" w:after="260" w:line="415" w:lineRule="auto"/>
      <w:outlineLvl w:val="2"/>
    </w:pPr>
    <w:rPr>
      <w:b/>
      <w:sz w:val="32"/>
      <w:szCs w:val="32"/>
    </w:rPr>
  </w:style>
  <w:style w:type="paragraph" w:styleId="Heading4">
    <w:name w:val="heading 4"/>
    <w:basedOn w:val="Normal"/>
    <w:next w:val="Normal"/>
    <w:link w:val="Heading4Char"/>
    <w:qFormat/>
    <w:pPr>
      <w:keepNext/>
      <w:autoSpaceDE w:val="0"/>
      <w:autoSpaceDN w:val="0"/>
      <w:adjustRightInd w:val="0"/>
      <w:jc w:val="left"/>
      <w:outlineLvl w:val="3"/>
    </w:pPr>
    <w:rPr>
      <w:rFonts w:ascii="SimSun" w:hAnsi="SimSun"/>
      <w:color w:val="0000FF"/>
      <w:kern w:val="0"/>
      <w:sz w:val="28"/>
      <w:szCs w:val="20"/>
    </w:rPr>
  </w:style>
  <w:style w:type="paragraph" w:styleId="Heading5">
    <w:name w:val="heading 5"/>
    <w:basedOn w:val="Normal"/>
    <w:next w:val="Normal"/>
    <w:link w:val="Heading5Char"/>
    <w:qFormat/>
    <w:pPr>
      <w:keepNext/>
      <w:keepLines/>
      <w:tabs>
        <w:tab w:val="left" w:pos="1008"/>
      </w:tabs>
      <w:spacing w:before="280" w:after="290" w:line="374" w:lineRule="auto"/>
      <w:ind w:left="1008" w:hanging="1008"/>
      <w:outlineLvl w:val="4"/>
    </w:pPr>
    <w:rPr>
      <w:rFonts w:ascii="Verdana" w:hAnsi="Verdana"/>
      <w:b/>
      <w:bCs/>
      <w:sz w:val="28"/>
      <w:szCs w:val="28"/>
    </w:rPr>
  </w:style>
  <w:style w:type="paragraph" w:styleId="Heading6">
    <w:name w:val="heading 6"/>
    <w:basedOn w:val="Normal"/>
    <w:next w:val="Normal"/>
    <w:link w:val="Heading6Char"/>
    <w:qFormat/>
    <w:pPr>
      <w:keepNext/>
      <w:keepLines/>
      <w:tabs>
        <w:tab w:val="left" w:pos="1152"/>
      </w:tabs>
      <w:spacing w:before="240" w:after="64" w:line="319" w:lineRule="auto"/>
      <w:ind w:left="1152" w:hanging="1152"/>
      <w:outlineLvl w:val="5"/>
    </w:pPr>
    <w:rPr>
      <w:rFonts w:ascii="Arial" w:eastAsia="SimHei" w:hAnsi="Arial"/>
      <w:b/>
      <w:bCs/>
      <w:sz w:val="24"/>
    </w:rPr>
  </w:style>
  <w:style w:type="paragraph" w:styleId="Heading7">
    <w:name w:val="heading 7"/>
    <w:basedOn w:val="Normal"/>
    <w:next w:val="Normal"/>
    <w:link w:val="Heading7Char"/>
    <w:qFormat/>
    <w:pPr>
      <w:keepNext/>
      <w:keepLines/>
      <w:tabs>
        <w:tab w:val="left" w:pos="1296"/>
      </w:tabs>
      <w:spacing w:before="240" w:after="64" w:line="319" w:lineRule="auto"/>
      <w:ind w:left="1296" w:hanging="1296"/>
      <w:outlineLvl w:val="6"/>
    </w:pPr>
    <w:rPr>
      <w:b/>
      <w:bCs/>
      <w:sz w:val="24"/>
    </w:rPr>
  </w:style>
  <w:style w:type="paragraph" w:styleId="Heading8">
    <w:name w:val="heading 8"/>
    <w:basedOn w:val="Normal"/>
    <w:next w:val="Normal"/>
    <w:link w:val="Heading8Char"/>
    <w:qFormat/>
    <w:pPr>
      <w:keepNext/>
      <w:keepLines/>
      <w:tabs>
        <w:tab w:val="left" w:pos="1440"/>
      </w:tabs>
      <w:spacing w:before="240" w:after="64" w:line="319" w:lineRule="auto"/>
      <w:ind w:left="1440" w:hanging="1440"/>
      <w:outlineLvl w:val="7"/>
    </w:pPr>
    <w:rPr>
      <w:rFonts w:ascii="Arial" w:eastAsia="SimHei" w:hAnsi="Arial"/>
      <w:sz w:val="24"/>
    </w:rPr>
  </w:style>
  <w:style w:type="paragraph" w:styleId="Heading9">
    <w:name w:val="heading 9"/>
    <w:basedOn w:val="Normal"/>
    <w:next w:val="Normal"/>
    <w:link w:val="Heading9Char"/>
    <w:qFormat/>
    <w:pPr>
      <w:keepNext/>
      <w:keepLines/>
      <w:tabs>
        <w:tab w:val="left" w:pos="1584"/>
      </w:tabs>
      <w:spacing w:before="240" w:after="64" w:line="319" w:lineRule="auto"/>
      <w:ind w:left="1584" w:hanging="1584"/>
      <w:outlineLvl w:val="8"/>
    </w:pPr>
    <w:rPr>
      <w:rFonts w:ascii="Arial" w:eastAsia="SimHei" w:hAnsi="Arial"/>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qFormat/>
    <w:pPr>
      <w:spacing w:after="120"/>
    </w:pPr>
  </w:style>
  <w:style w:type="paragraph" w:styleId="BalloonText">
    <w:name w:val="Balloon Text"/>
    <w:basedOn w:val="Normal"/>
    <w:link w:val="BalloonTextChar"/>
    <w:qFormat/>
    <w:rPr>
      <w:kern w:val="0"/>
      <w:sz w:val="18"/>
      <w:szCs w:val="18"/>
    </w:rPr>
  </w:style>
  <w:style w:type="paragraph" w:styleId="BodyText2">
    <w:name w:val="Body Text 2"/>
    <w:basedOn w:val="Normal"/>
    <w:link w:val="BodyText2Char"/>
    <w:qFormat/>
    <w:rPr>
      <w:rFonts w:ascii="FangSong_GB2312" w:eastAsia="FangSong_GB2312"/>
      <w:kern w:val="0"/>
      <w:sz w:val="28"/>
      <w:szCs w:val="20"/>
    </w:rPr>
  </w:style>
  <w:style w:type="paragraph" w:styleId="BodyText3">
    <w:name w:val="Body Text 3"/>
    <w:basedOn w:val="Normal"/>
    <w:uiPriority w:val="99"/>
    <w:unhideWhenUsed/>
    <w:qFormat/>
    <w:pPr>
      <w:widowControl/>
      <w:kinsoku w:val="0"/>
      <w:autoSpaceDE w:val="0"/>
      <w:autoSpaceDN w:val="0"/>
      <w:adjustRightInd w:val="0"/>
      <w:snapToGrid w:val="0"/>
      <w:spacing w:after="120"/>
      <w:jc w:val="left"/>
      <w:textAlignment w:val="baseline"/>
    </w:pPr>
    <w:rPr>
      <w:rFonts w:ascii="Cambria" w:eastAsia="Microsoft YaHei" w:hAnsi="Cambria" w:cs="Arial"/>
      <w:snapToGrid w:val="0"/>
      <w:color w:val="595959"/>
      <w:kern w:val="20"/>
      <w:sz w:val="16"/>
      <w:szCs w:val="20"/>
      <w:lang w:val="zh-CN" w:eastAsia="en-US"/>
    </w:rPr>
  </w:style>
  <w:style w:type="paragraph" w:styleId="BodyTextFirstIndent">
    <w:name w:val="Body Text First Indent"/>
    <w:basedOn w:val="BodyText"/>
    <w:link w:val="BodyTextFirstIndentChar"/>
    <w:qFormat/>
    <w:pPr>
      <w:ind w:firstLine="420" w:firstLineChars="100"/>
    </w:pPr>
    <w:rPr>
      <w:kern w:val="0"/>
      <w:sz w:val="20"/>
    </w:rPr>
  </w:style>
  <w:style w:type="paragraph" w:styleId="BodyTextIndent">
    <w:name w:val="Body Text Indent"/>
    <w:basedOn w:val="Normal"/>
    <w:link w:val="BodyTextIndentChar"/>
    <w:qFormat/>
    <w:pPr>
      <w:ind w:firstLine="360"/>
    </w:pPr>
    <w:rPr>
      <w:kern w:val="0"/>
      <w:sz w:val="20"/>
      <w:szCs w:val="20"/>
    </w:rPr>
  </w:style>
  <w:style w:type="paragraph" w:styleId="BodyTextIndent2">
    <w:name w:val="Body Text Indent 2"/>
    <w:basedOn w:val="Normal"/>
    <w:link w:val="BodyTextIndent2Char"/>
    <w:qFormat/>
    <w:pPr>
      <w:ind w:firstLine="630"/>
    </w:pPr>
    <w:rPr>
      <w:rFonts w:ascii="SimSun"/>
      <w:kern w:val="0"/>
      <w:sz w:val="28"/>
      <w:szCs w:val="20"/>
    </w:rPr>
  </w:style>
  <w:style w:type="paragraph" w:styleId="BodyTextIndent3">
    <w:name w:val="Body Text Indent 3"/>
    <w:basedOn w:val="Normal"/>
    <w:link w:val="BodyTextIndent3Char"/>
    <w:qFormat/>
    <w:pPr>
      <w:spacing w:line="360" w:lineRule="auto"/>
      <w:ind w:firstLine="480" w:firstLineChars="200"/>
      <w:jc w:val="left"/>
    </w:pPr>
    <w:rPr>
      <w:kern w:val="0"/>
      <w:sz w:val="24"/>
      <w:szCs w:val="20"/>
    </w:rPr>
  </w:style>
  <w:style w:type="paragraph" w:styleId="CommentText">
    <w:name w:val="annotation text"/>
    <w:basedOn w:val="Normal"/>
    <w:qFormat/>
    <w:pPr>
      <w:jc w:val="left"/>
    </w:pPr>
  </w:style>
  <w:style w:type="paragraph" w:styleId="Date">
    <w:name w:val="Date"/>
    <w:basedOn w:val="Normal"/>
    <w:next w:val="Normal"/>
    <w:link w:val="DateChar"/>
    <w:qFormat/>
    <w:pPr>
      <w:ind w:left="100" w:leftChars="2500"/>
    </w:pPr>
    <w:rPr>
      <w:kern w:val="0"/>
      <w:sz w:val="20"/>
    </w:rPr>
  </w:style>
  <w:style w:type="paragraph" w:styleId="DocumentMap">
    <w:name w:val="Document Map"/>
    <w:basedOn w:val="Normal"/>
    <w:link w:val="DocumentMapChar"/>
    <w:qFormat/>
    <w:pPr>
      <w:shd w:val="clear" w:color="auto" w:fill="000080"/>
    </w:pPr>
    <w:rPr>
      <w:kern w:val="0"/>
      <w:sz w:val="20"/>
      <w:shd w:val="clear" w:color="auto" w:fill="000080"/>
    </w:rPr>
  </w:style>
  <w:style w:type="character" w:styleId="FollowedHyperlink">
    <w:name w:val="FollowedHyperlink"/>
    <w:qFormat/>
    <w:rPr>
      <w:rFonts w:ascii="Microsoft YaHei" w:eastAsia="Microsoft YaHei" w:hAnsi="Microsoft YaHei" w:cs="Microsoft YaHei" w:hint="eastAsia"/>
      <w:color w:val="02396F"/>
      <w:u w:val="single"/>
    </w:rPr>
  </w:style>
  <w:style w:type="paragraph" w:styleId="Footer">
    <w:name w:val="footer"/>
    <w:basedOn w:val="Normal"/>
    <w:link w:val="FooterChar"/>
    <w:qFormat/>
    <w:pPr>
      <w:tabs>
        <w:tab w:val="center" w:pos="4140"/>
        <w:tab w:val="right" w:pos="8300"/>
      </w:tabs>
      <w:snapToGrid w:val="0"/>
      <w:spacing w:after="0"/>
      <w:jc w:val="left"/>
    </w:pPr>
    <w:rPr>
      <w:kern w:val="0"/>
      <w:sz w:val="18"/>
    </w:rPr>
  </w:style>
  <w:style w:type="paragraph" w:styleId="Header">
    <w:name w:val="header"/>
    <w:basedOn w:val="Normal"/>
    <w:link w:val="HeaderChar"/>
    <w:qFormat/>
    <w:pPr>
      <w:pBdr>
        <w:bottom w:val="single" w:sz="6" w:space="1" w:color="auto"/>
      </w:pBdr>
      <w:tabs>
        <w:tab w:val="center" w:pos="4153"/>
        <w:tab w:val="right" w:pos="8306"/>
      </w:tabs>
      <w:snapToGrid w:val="0"/>
      <w:jc w:val="center"/>
    </w:pPr>
    <w:rPr>
      <w:kern w:val="0"/>
      <w:sz w:val="18"/>
      <w:szCs w:val="18"/>
    </w:rPr>
  </w:style>
  <w:style w:type="character" w:styleId="Hyperlink">
    <w:name w:val="Hyperlink"/>
    <w:qFormat/>
    <w:rPr>
      <w:rFonts w:ascii="Times New Roman" w:eastAsia="SimSun" w:hAnsi="Times New Roman" w:cs="Times New Roman"/>
      <w:color w:val="0000FF"/>
      <w:u w:val="single"/>
    </w:rPr>
  </w:style>
  <w:style w:type="paragraph" w:styleId="ListNumber2">
    <w:name w:val="List Number 2"/>
    <w:basedOn w:val="Normal"/>
    <w:qFormat/>
    <w:pPr>
      <w:numPr>
        <w:numId w:val="2"/>
      </w:numPr>
    </w:pPr>
  </w:style>
  <w:style w:type="paragraph" w:styleId="NormalWeb">
    <w:name w:val="Normal (Web)"/>
    <w:basedOn w:val="Normal"/>
    <w:qFormat/>
    <w:pPr>
      <w:spacing w:before="100" w:beforeAutospacing="1" w:after="100" w:afterAutospacing="1"/>
      <w:jc w:val="left"/>
    </w:pPr>
    <w:rPr>
      <w:kern w:val="0"/>
      <w:sz w:val="24"/>
    </w:rPr>
  </w:style>
  <w:style w:type="character" w:styleId="PageNumber">
    <w:name w:val="page number"/>
    <w:qFormat/>
    <w:rPr>
      <w:rFonts w:ascii="Times New Roman" w:eastAsia="SimSun" w:hAnsi="Times New Roman" w:cs="Times New Roman"/>
    </w:rPr>
  </w:style>
  <w:style w:type="paragraph" w:styleId="PlainText">
    <w:name w:val="Plain Text"/>
    <w:basedOn w:val="Normal"/>
    <w:link w:val="PlainTextChar"/>
    <w:qFormat/>
    <w:pPr>
      <w:spacing w:after="0"/>
    </w:pPr>
    <w:rPr>
      <w:rFonts w:ascii="SimSun" w:hAnsi="Courier New"/>
      <w:kern w:val="0"/>
      <w:sz w:val="20"/>
      <w:szCs w:val="21"/>
    </w:rPr>
  </w:style>
  <w:style w:type="character" w:styleId="Strong">
    <w:name w:val="Strong"/>
    <w:qFormat/>
    <w:rPr>
      <w:rFonts w:ascii="Times New Roman" w:eastAsia="SimSun" w:hAnsi="Times New Roman" w:cs="Times New Roman"/>
      <w:b/>
    </w:rPr>
  </w:style>
  <w:style w:type="paragraph" w:styleId="Title">
    <w:name w:val="Title"/>
    <w:basedOn w:val="Normal"/>
    <w:link w:val="TitleChar"/>
    <w:qFormat/>
    <w:pPr>
      <w:spacing w:before="240" w:after="60"/>
      <w:jc w:val="center"/>
      <w:outlineLvl w:val="0"/>
    </w:pPr>
    <w:rPr>
      <w:rFonts w:ascii="Cambria" w:hAnsi="Cambria"/>
      <w:b/>
      <w:bCs/>
      <w:kern w:val="0"/>
      <w:sz w:val="32"/>
      <w:szCs w:val="32"/>
    </w:rPr>
  </w:style>
  <w:style w:type="paragraph" w:styleId="TOC1">
    <w:name w:val="toc 1"/>
    <w:basedOn w:val="Normal"/>
    <w:next w:val="Normal"/>
    <w:qFormat/>
    <w:pPr>
      <w:spacing w:before="120" w:after="120"/>
      <w:jc w:val="left"/>
    </w:pPr>
    <w:rPr>
      <w:rFonts w:ascii="仿宋_GB2312" w:eastAsia="仿宋_GB2312" w:hAnsi="仿宋_GB2312" w:cs="仿宋_GB2312"/>
      <w:b w:val="0"/>
      <w:bCs/>
      <w:caps/>
      <w:color w:val="000000"/>
      <w:sz w:val="24"/>
      <w:szCs w:val="20"/>
    </w:rPr>
  </w:style>
  <w:style w:type="character" w:customStyle="1" w:styleId="BodyTextChar">
    <w:name w:val="Body Text Char"/>
    <w:link w:val="BodyText"/>
    <w:qFormat/>
    <w:rPr>
      <w:rFonts w:ascii="Times New Roman" w:eastAsia="SimSun" w:hAnsi="Times New Roman" w:cs="Times New Roman"/>
      <w:kern w:val="2"/>
      <w:sz w:val="21"/>
      <w:szCs w:val="24"/>
      <w:lang w:val="en-US" w:eastAsia="zh-CN" w:bidi="ar-SA"/>
    </w:rPr>
  </w:style>
  <w:style w:type="character" w:customStyle="1" w:styleId="Heading1Char">
    <w:name w:val="Heading 1 Char"/>
    <w:link w:val="Heading1"/>
    <w:qFormat/>
    <w:rPr>
      <w:rFonts w:ascii="Times New Roman" w:eastAsia="SimSun" w:hAnsi="Times New Roman" w:cs="Times New Roman"/>
      <w:b/>
      <w:bCs/>
      <w:kern w:val="44"/>
      <w:sz w:val="44"/>
      <w:szCs w:val="44"/>
      <w:lang w:val="en-US" w:eastAsia="zh-CN" w:bidi="ar-SA"/>
    </w:rPr>
  </w:style>
  <w:style w:type="character" w:customStyle="1" w:styleId="Heading3Char">
    <w:name w:val="Heading 3 Char"/>
    <w:link w:val="Heading3"/>
    <w:qFormat/>
    <w:rPr>
      <w:rFonts w:ascii="Times New Roman" w:eastAsia="SimSun" w:hAnsi="Times New Roman" w:cs="Times New Roman"/>
      <w:b/>
      <w:bCs/>
      <w:kern w:val="2"/>
      <w:sz w:val="32"/>
      <w:szCs w:val="32"/>
      <w:lang w:val="en-US" w:eastAsia="zh-CN" w:bidi="ar-SA"/>
    </w:rPr>
  </w:style>
  <w:style w:type="character" w:customStyle="1" w:styleId="Heading4Char">
    <w:name w:val="Heading 4 Char"/>
    <w:link w:val="Heading4"/>
    <w:qFormat/>
    <w:rPr>
      <w:rFonts w:ascii="SimSun" w:eastAsia="SimSun" w:hAnsi="SimSun" w:cs="Times New Roman"/>
      <w:color w:val="0000FF"/>
      <w:sz w:val="28"/>
      <w:lang w:val="en-US" w:eastAsia="zh-CN" w:bidi="ar-SA"/>
    </w:rPr>
  </w:style>
  <w:style w:type="character" w:customStyle="1" w:styleId="Heading5Char">
    <w:name w:val="Heading 5 Char"/>
    <w:link w:val="Heading5"/>
    <w:qFormat/>
    <w:rPr>
      <w:rFonts w:ascii="Verdana" w:eastAsia="SimSun" w:hAnsi="Verdana" w:cs="Times New Roman"/>
      <w:b/>
      <w:bCs/>
      <w:kern w:val="2"/>
      <w:sz w:val="28"/>
      <w:szCs w:val="28"/>
      <w:lang w:val="en-US" w:eastAsia="zh-CN" w:bidi="ar-SA"/>
    </w:rPr>
  </w:style>
  <w:style w:type="character" w:customStyle="1" w:styleId="Heading6Char">
    <w:name w:val="Heading 6 Char"/>
    <w:link w:val="Heading6"/>
    <w:qFormat/>
    <w:rPr>
      <w:rFonts w:ascii="Arial" w:eastAsia="SimHei" w:hAnsi="Arial" w:cs="Times New Roman"/>
      <w:b/>
      <w:bCs/>
      <w:kern w:val="2"/>
      <w:sz w:val="24"/>
      <w:szCs w:val="24"/>
      <w:lang w:val="en-US" w:eastAsia="zh-CN" w:bidi="ar-SA"/>
    </w:rPr>
  </w:style>
  <w:style w:type="character" w:customStyle="1" w:styleId="Heading7Char">
    <w:name w:val="Heading 7 Char"/>
    <w:link w:val="Heading7"/>
    <w:qFormat/>
    <w:rPr>
      <w:rFonts w:ascii="Times New Roman" w:eastAsia="SimSun" w:hAnsi="Times New Roman" w:cs="Times New Roman"/>
      <w:b/>
      <w:bCs/>
      <w:kern w:val="2"/>
      <w:sz w:val="24"/>
      <w:szCs w:val="24"/>
      <w:lang w:val="en-US" w:eastAsia="zh-CN" w:bidi="ar-SA"/>
    </w:rPr>
  </w:style>
  <w:style w:type="character" w:customStyle="1" w:styleId="Heading8Char">
    <w:name w:val="Heading 8 Char"/>
    <w:link w:val="Heading8"/>
    <w:qFormat/>
    <w:rPr>
      <w:rFonts w:ascii="Arial" w:eastAsia="SimHei" w:hAnsi="Arial" w:cs="Times New Roman"/>
      <w:kern w:val="2"/>
      <w:sz w:val="24"/>
      <w:szCs w:val="24"/>
      <w:lang w:val="en-US" w:eastAsia="zh-CN" w:bidi="ar-SA"/>
    </w:rPr>
  </w:style>
  <w:style w:type="character" w:customStyle="1" w:styleId="Heading9Char">
    <w:name w:val="Heading 9 Char"/>
    <w:link w:val="Heading9"/>
    <w:qFormat/>
    <w:rPr>
      <w:rFonts w:ascii="Arial" w:eastAsia="SimHei" w:hAnsi="Arial" w:cs="Times New Roman"/>
      <w:kern w:val="2"/>
      <w:sz w:val="21"/>
      <w:szCs w:val="21"/>
      <w:lang w:val="en-US" w:eastAsia="zh-CN" w:bidi="ar-SA"/>
    </w:rPr>
  </w:style>
  <w:style w:type="character" w:customStyle="1" w:styleId="DocumentMapChar">
    <w:name w:val="Document Map Char"/>
    <w:link w:val="DocumentMap"/>
    <w:qFormat/>
    <w:rPr>
      <w:rFonts w:ascii="Times New Roman" w:eastAsia="SimSun" w:hAnsi="Times New Roman" w:cs="Times New Roman"/>
      <w:szCs w:val="24"/>
      <w:shd w:val="clear" w:color="auto" w:fill="000080"/>
      <w:lang w:bidi="ar-SA"/>
    </w:rPr>
  </w:style>
  <w:style w:type="character" w:customStyle="1" w:styleId="BodyTextIndentChar">
    <w:name w:val="Body Text Indent Char"/>
    <w:link w:val="BodyTextIndent"/>
    <w:qFormat/>
    <w:rPr>
      <w:rFonts w:ascii="Times New Roman" w:eastAsia="SimSun" w:hAnsi="Times New Roman" w:cs="Times New Roman"/>
      <w:lang w:bidi="ar-SA"/>
    </w:rPr>
  </w:style>
  <w:style w:type="character" w:customStyle="1" w:styleId="PlainTextChar">
    <w:name w:val="Plain Text Char"/>
    <w:link w:val="PlainText"/>
    <w:qFormat/>
    <w:rPr>
      <w:rFonts w:ascii="SimSun" w:eastAsia="SimSun" w:hAnsi="Courier New" w:cs="Times New Roman"/>
      <w:szCs w:val="21"/>
      <w:lang w:bidi="ar-SA"/>
    </w:rPr>
  </w:style>
  <w:style w:type="character" w:customStyle="1" w:styleId="DateChar">
    <w:name w:val="Date Char"/>
    <w:link w:val="Date"/>
    <w:qFormat/>
    <w:rPr>
      <w:rFonts w:ascii="Times New Roman" w:eastAsia="SimSun" w:hAnsi="Times New Roman" w:cs="Times New Roman"/>
      <w:szCs w:val="24"/>
      <w:lang w:bidi="ar-SA"/>
    </w:rPr>
  </w:style>
  <w:style w:type="character" w:customStyle="1" w:styleId="BodyTextIndent2Char">
    <w:name w:val="Body Text Indent 2 Char"/>
    <w:link w:val="BodyTextIndent2"/>
    <w:qFormat/>
    <w:rPr>
      <w:rFonts w:ascii="SimSun" w:eastAsia="SimSun" w:hAnsi="Times New Roman" w:cs="Times New Roman"/>
      <w:sz w:val="28"/>
      <w:lang w:bidi="ar-SA"/>
    </w:rPr>
  </w:style>
  <w:style w:type="character" w:customStyle="1" w:styleId="BalloonTextChar">
    <w:name w:val="Balloon Text Char"/>
    <w:link w:val="BalloonText"/>
    <w:qFormat/>
    <w:rPr>
      <w:rFonts w:ascii="Times New Roman" w:eastAsia="SimSun" w:hAnsi="Times New Roman" w:cs="Times New Roman"/>
      <w:sz w:val="18"/>
      <w:szCs w:val="18"/>
      <w:lang w:bidi="ar-SA"/>
    </w:rPr>
  </w:style>
  <w:style w:type="character" w:customStyle="1" w:styleId="FooterChar">
    <w:name w:val="Footer Char"/>
    <w:link w:val="Footer"/>
    <w:qFormat/>
    <w:rPr>
      <w:rFonts w:ascii="Times New Roman" w:eastAsia="SimSun" w:hAnsi="Times New Roman" w:cs="Times New Roman"/>
      <w:sz w:val="18"/>
      <w:szCs w:val="24"/>
      <w:lang w:bidi="ar-SA"/>
    </w:rPr>
  </w:style>
  <w:style w:type="character" w:customStyle="1" w:styleId="HeaderChar">
    <w:name w:val="Header Char"/>
    <w:link w:val="Header"/>
    <w:qFormat/>
    <w:rPr>
      <w:rFonts w:ascii="Times New Roman" w:eastAsia="SimSun" w:hAnsi="Times New Roman" w:cs="Times New Roman"/>
      <w:sz w:val="18"/>
      <w:szCs w:val="18"/>
      <w:lang w:bidi="ar-SA"/>
    </w:rPr>
  </w:style>
  <w:style w:type="character" w:customStyle="1" w:styleId="BodyTextIndent3Char">
    <w:name w:val="Body Text Indent 3 Char"/>
    <w:link w:val="BodyTextIndent3"/>
    <w:qFormat/>
    <w:rPr>
      <w:rFonts w:ascii="Times New Roman" w:eastAsia="SimSun" w:hAnsi="Times New Roman" w:cs="Times New Roman"/>
      <w:sz w:val="24"/>
      <w:lang w:bidi="ar-SA"/>
    </w:rPr>
  </w:style>
  <w:style w:type="character" w:customStyle="1" w:styleId="BodyText2Char">
    <w:name w:val="Body Text 2 Char"/>
    <w:link w:val="BodyText2"/>
    <w:qFormat/>
    <w:rPr>
      <w:rFonts w:ascii="FangSong_GB2312" w:eastAsia="FangSong_GB2312" w:hAnsi="Times New Roman" w:cs="Times New Roman"/>
      <w:sz w:val="28"/>
      <w:lang w:bidi="ar-SA"/>
    </w:rPr>
  </w:style>
  <w:style w:type="character" w:customStyle="1" w:styleId="TitleChar">
    <w:name w:val="Title Char"/>
    <w:link w:val="Title"/>
    <w:qFormat/>
    <w:rPr>
      <w:rFonts w:ascii="Cambria" w:eastAsia="SimSun" w:hAnsi="Cambria" w:cs="Times New Roman"/>
      <w:b/>
      <w:bCs/>
      <w:sz w:val="32"/>
      <w:szCs w:val="32"/>
      <w:lang w:bidi="ar-SA"/>
    </w:rPr>
  </w:style>
  <w:style w:type="character" w:customStyle="1" w:styleId="BodyTextFirstIndentChar">
    <w:name w:val="Body Text First Indent Char"/>
    <w:link w:val="BodyTextFirstIndent"/>
    <w:qFormat/>
    <w:rPr>
      <w:rFonts w:ascii="Times New Roman" w:eastAsia="SimSun" w:hAnsi="Times New Roman" w:cs="Times New Roman"/>
      <w:szCs w:val="24"/>
      <w:lang w:bidi="ar-SA"/>
    </w:rPr>
  </w:style>
  <w:style w:type="character" w:customStyle="1" w:styleId="gjfg">
    <w:name w:val="gjfg"/>
    <w:basedOn w:val="DefaultParagraphFont"/>
    <w:qFormat/>
  </w:style>
  <w:style w:type="character" w:customStyle="1" w:styleId="cfdate">
    <w:name w:val="cfdate"/>
    <w:qFormat/>
    <w:rPr>
      <w:rFonts w:ascii="Times New Roman" w:eastAsia="SimSun" w:hAnsi="Times New Roman" w:cs="Times New Roman"/>
      <w:color w:val="333333"/>
      <w:sz w:val="12"/>
      <w:szCs w:val="12"/>
    </w:rPr>
  </w:style>
  <w:style w:type="character" w:customStyle="1" w:styleId="Char1">
    <w:name w:val="正文文本 Char1"/>
    <w:qFormat/>
    <w:rPr>
      <w:rFonts w:ascii="Times New Roman" w:eastAsia="SimSun" w:hAnsi="Times New Roman" w:cs="Times New Roman"/>
      <w:szCs w:val="24"/>
    </w:rPr>
  </w:style>
  <w:style w:type="character" w:customStyle="1" w:styleId="redfilenumber">
    <w:name w:val="redfilenumber"/>
    <w:qFormat/>
    <w:rPr>
      <w:rFonts w:ascii="Times New Roman" w:eastAsia="SimSun" w:hAnsi="Times New Roman" w:cs="Times New Roman"/>
      <w:color w:val="BA2636"/>
      <w:sz w:val="12"/>
      <w:szCs w:val="12"/>
    </w:rPr>
  </w:style>
  <w:style w:type="character" w:customStyle="1" w:styleId="ll2CharChar">
    <w:name w:val="ll2 Char Char"/>
    <w:link w:val="ll2"/>
    <w:qFormat/>
    <w:rPr>
      <w:rFonts w:ascii="SimSun" w:eastAsia="Times New Roman" w:hAnsi="SimSun" w:cs="Times New Roman"/>
      <w:bCs/>
      <w:color w:val="000000"/>
      <w:sz w:val="24"/>
      <w:szCs w:val="32"/>
      <w:lang w:val="en-US" w:eastAsia="zh-CN" w:bidi="ar-SA"/>
    </w:rPr>
  </w:style>
  <w:style w:type="paragraph" w:customStyle="1" w:styleId="ll2">
    <w:name w:val="ll2"/>
    <w:link w:val="ll2CharChar"/>
    <w:qFormat/>
    <w:pPr>
      <w:numPr>
        <w:numId w:val="3"/>
      </w:numPr>
      <w:tabs>
        <w:tab w:val="left" w:pos="0"/>
      </w:tabs>
      <w:snapToGrid w:val="0"/>
      <w:spacing w:after="160" w:line="240" w:lineRule="atLeast"/>
      <w:ind w:left="0" w:firstLine="0"/>
    </w:pPr>
    <w:rPr>
      <w:rFonts w:ascii="SimSun" w:eastAsia="Times New Roman" w:hAnsi="SimSun"/>
      <w:bCs/>
      <w:color w:val="000000"/>
      <w:sz w:val="24"/>
      <w:szCs w:val="32"/>
      <w:lang w:val="en-US"/>
    </w:rPr>
  </w:style>
  <w:style w:type="character" w:customStyle="1" w:styleId="StyleBlackChar">
    <w:name w:val="Style .. + 宋体 五号 Black Char"/>
    <w:link w:val="StyleBlack"/>
    <w:qFormat/>
    <w:rPr>
      <w:rFonts w:ascii="SimSun" w:eastAsia="SimSun" w:hAnsi="SimSun" w:cs="Times New Roman"/>
      <w:color w:val="000000"/>
      <w:sz w:val="24"/>
      <w:lang w:bidi="ar-SA"/>
    </w:rPr>
  </w:style>
  <w:style w:type="paragraph" w:customStyle="1" w:styleId="StyleBlack">
    <w:name w:val="Style .. + 宋体 五号 Black"/>
    <w:basedOn w:val="Normal"/>
    <w:link w:val="StyleBlackChar"/>
    <w:qFormat/>
    <w:pPr>
      <w:autoSpaceDE w:val="0"/>
      <w:autoSpaceDN w:val="0"/>
      <w:adjustRightInd w:val="0"/>
      <w:spacing w:line="360" w:lineRule="auto"/>
      <w:jc w:val="left"/>
    </w:pPr>
    <w:rPr>
      <w:rFonts w:ascii="SimSun" w:hAnsi="SimSun"/>
      <w:color w:val="000000"/>
      <w:kern w:val="0"/>
      <w:sz w:val="24"/>
      <w:szCs w:val="20"/>
    </w:rPr>
  </w:style>
  <w:style w:type="character" w:customStyle="1" w:styleId="15">
    <w:name w:val="15"/>
    <w:basedOn w:val="DefaultParagraphFont"/>
    <w:qFormat/>
    <w:rPr>
      <w:rFonts w:ascii="Times New Roman" w:eastAsia="SimSun" w:hAnsi="Times New Roman" w:cs="Times New Roman" w:hint="default"/>
    </w:rPr>
  </w:style>
  <w:style w:type="character" w:customStyle="1" w:styleId="Char">
    <w:name w:val="正文文字 Char"/>
    <w:link w:val="a"/>
    <w:qFormat/>
    <w:rPr>
      <w:rFonts w:ascii="Times New Roman" w:eastAsia="SimSun" w:hAnsi="Times New Roman" w:cs="Times New Roman"/>
      <w:sz w:val="24"/>
      <w:szCs w:val="24"/>
      <w:lang w:bidi="ar-SA"/>
    </w:rPr>
  </w:style>
  <w:style w:type="paragraph" w:customStyle="1" w:styleId="a">
    <w:name w:val="正文文字"/>
    <w:basedOn w:val="Normal"/>
    <w:link w:val="Char"/>
    <w:qFormat/>
    <w:pPr>
      <w:spacing w:before="60" w:after="60" w:line="360" w:lineRule="auto"/>
      <w:ind w:firstLine="200" w:firstLineChars="200"/>
      <w:jc w:val="left"/>
    </w:pPr>
    <w:rPr>
      <w:kern w:val="0"/>
      <w:sz w:val="24"/>
    </w:rPr>
  </w:style>
  <w:style w:type="character" w:customStyle="1" w:styleId="Char0">
    <w:name w:val="文档正文 Char"/>
    <w:link w:val="a0"/>
    <w:qFormat/>
    <w:rPr>
      <w:rFonts w:ascii="长城仿宋" w:eastAsia="SimSun" w:hAnsi="Times New Roman" w:cs="Times New Roman"/>
      <w:sz w:val="24"/>
      <w:lang w:bidi="ar-SA"/>
    </w:rPr>
  </w:style>
  <w:style w:type="paragraph" w:customStyle="1" w:styleId="a0">
    <w:name w:val="文档正文"/>
    <w:basedOn w:val="Normal"/>
    <w:link w:val="Char0"/>
    <w:qFormat/>
    <w:pPr>
      <w:adjustRightInd w:val="0"/>
      <w:spacing w:line="480" w:lineRule="atLeast"/>
      <w:ind w:firstLine="567"/>
    </w:pPr>
    <w:rPr>
      <w:rFonts w:ascii="长城仿宋"/>
      <w:kern w:val="0"/>
      <w:sz w:val="24"/>
      <w:szCs w:val="20"/>
    </w:rPr>
  </w:style>
  <w:style w:type="character" w:customStyle="1" w:styleId="displayarti">
    <w:name w:val="displayarti"/>
    <w:qFormat/>
    <w:rPr>
      <w:rFonts w:ascii="Times New Roman" w:eastAsia="SimSun" w:hAnsi="Times New Roman" w:cs="Times New Roman"/>
      <w:color w:val="FFFFFF"/>
      <w:shd w:val="clear" w:color="auto" w:fill="A00000"/>
    </w:rPr>
  </w:style>
  <w:style w:type="character" w:customStyle="1" w:styleId="redfilefwwh">
    <w:name w:val="redfilefwwh"/>
    <w:qFormat/>
    <w:rPr>
      <w:rFonts w:ascii="Times New Roman" w:eastAsia="SimSun" w:hAnsi="Times New Roman" w:cs="Times New Roman"/>
      <w:color w:val="BA2636"/>
      <w:sz w:val="12"/>
      <w:szCs w:val="12"/>
    </w:rPr>
  </w:style>
  <w:style w:type="character" w:customStyle="1" w:styleId="qxdate">
    <w:name w:val="qxdate"/>
    <w:qFormat/>
    <w:rPr>
      <w:rFonts w:ascii="Times New Roman" w:eastAsia="SimSun" w:hAnsi="Times New Roman" w:cs="Times New Roman"/>
      <w:color w:val="333333"/>
      <w:sz w:val="12"/>
      <w:szCs w:val="12"/>
    </w:rPr>
  </w:style>
  <w:style w:type="paragraph" w:customStyle="1" w:styleId="Style3">
    <w:name w:val="_Style 3"/>
    <w:basedOn w:val="Heading1"/>
    <w:next w:val="Normal"/>
    <w:qFormat/>
    <w:pPr>
      <w:widowControl/>
      <w:tabs>
        <w:tab w:val="left" w:pos="0"/>
      </w:tabs>
      <w:spacing w:before="240" w:line="259" w:lineRule="auto"/>
      <w:jc w:val="left"/>
      <w:outlineLvl w:val="9"/>
    </w:pPr>
    <w:rPr>
      <w:rFonts w:ascii="Calibri Light" w:hAnsi="Calibri Light"/>
      <w:b w:val="0"/>
      <w:color w:val="2E74B5"/>
      <w:sz w:val="32"/>
      <w:szCs w:val="32"/>
    </w:rPr>
  </w:style>
  <w:style w:type="paragraph" w:customStyle="1" w:styleId="a1">
    <w:name w:val="正文（绿盟科技）"/>
    <w:qFormat/>
    <w:pPr>
      <w:spacing w:after="160" w:line="300" w:lineRule="auto"/>
    </w:pPr>
    <w:rPr>
      <w:rFonts w:ascii="Arial" w:hAnsi="Arial" w:cs="SimHei"/>
      <w:sz w:val="21"/>
      <w:szCs w:val="21"/>
      <w:lang w:val="en-US"/>
    </w:rPr>
  </w:style>
  <w:style w:type="paragraph" w:customStyle="1" w:styleId="5">
    <w:name w:val="标题 5（有编号）（绿盟科技）"/>
    <w:basedOn w:val="Normal"/>
    <w:next w:val="a1"/>
    <w:qFormat/>
    <w:pPr>
      <w:keepNext/>
      <w:keepLines/>
      <w:numPr>
        <w:ilvl w:val="4"/>
        <w:numId w:val="4"/>
      </w:numPr>
      <w:spacing w:before="280" w:after="156" w:line="377" w:lineRule="auto"/>
      <w:jc w:val="left"/>
      <w:outlineLvl w:val="4"/>
    </w:pPr>
    <w:rPr>
      <w:rFonts w:ascii="Arial" w:eastAsia="SimHei" w:hAnsi="Arial" w:cs="SimHei"/>
      <w:b/>
      <w:kern w:val="0"/>
      <w:sz w:val="24"/>
      <w:szCs w:val="28"/>
    </w:rPr>
  </w:style>
  <w:style w:type="paragraph" w:customStyle="1" w:styleId="Char2">
    <w:name w:val="Char"/>
    <w:basedOn w:val="Normal"/>
    <w:qFormat/>
    <w:rPr>
      <w:rFonts w:ascii="Tahoma" w:hAnsi="Tahoma"/>
      <w:sz w:val="24"/>
      <w:szCs w:val="20"/>
    </w:rPr>
  </w:style>
  <w:style w:type="paragraph" w:styleId="ListParagraph">
    <w:name w:val="List Paragraph"/>
    <w:basedOn w:val="Normal"/>
    <w:uiPriority w:val="34"/>
    <w:qFormat/>
    <w:pPr>
      <w:ind w:firstLine="420"/>
    </w:pPr>
    <w:rPr>
      <w:kern w:val="0"/>
      <w:szCs w:val="21"/>
    </w:rPr>
  </w:style>
  <w:style w:type="paragraph" w:customStyle="1" w:styleId="a2">
    <w:name w:val="正常"/>
    <w:basedOn w:val="a3"/>
    <w:qFormat/>
    <w:rPr>
      <w:sz w:val="24"/>
    </w:rPr>
  </w:style>
  <w:style w:type="paragraph" w:customStyle="1" w:styleId="a3">
    <w:name w:val="小正常"/>
    <w:basedOn w:val="Normal"/>
    <w:qFormat/>
    <w:rPr>
      <w:sz w:val="20"/>
      <w:szCs w:val="20"/>
    </w:rPr>
  </w:style>
  <w:style w:type="paragraph" w:customStyle="1" w:styleId="26012">
    <w:name w:val="样式 样式 样式 标题 2 + 宋体 五号 非加粗 黑色 + 段前: 6 磅 段后: 0 磅 行距: 单倍行距 + 段前: 12..."/>
    <w:basedOn w:val="Normal"/>
    <w:qFormat/>
    <w:pPr>
      <w:keepNext/>
      <w:keepLines/>
      <w:tabs>
        <w:tab w:val="left" w:pos="1875"/>
      </w:tabs>
      <w:adjustRightInd w:val="0"/>
      <w:spacing w:before="240"/>
      <w:ind w:left="1875" w:hanging="435"/>
      <w:jc w:val="left"/>
      <w:outlineLvl w:val="1"/>
    </w:pPr>
    <w:rPr>
      <w:rFonts w:ascii="SimSun" w:hAnsi="SimSun"/>
      <w:color w:val="000000"/>
      <w:kern w:val="0"/>
      <w:szCs w:val="20"/>
    </w:rPr>
  </w:style>
  <w:style w:type="paragraph" w:customStyle="1" w:styleId="1">
    <w:name w:val="列出段落1"/>
    <w:basedOn w:val="Normal"/>
    <w:qFormat/>
    <w:pPr>
      <w:spacing w:line="360" w:lineRule="auto"/>
      <w:ind w:firstLine="420" w:firstLineChars="200"/>
      <w:jc w:val="left"/>
    </w:pPr>
    <w:rPr>
      <w:rFonts w:ascii="Calibri" w:hAnsi="Calibri"/>
      <w:kern w:val="0"/>
      <w:szCs w:val="22"/>
      <w:lang w:bidi="en-US"/>
    </w:rPr>
  </w:style>
  <w:style w:type="paragraph" w:customStyle="1" w:styleId="10">
    <w:name w:val="样式1"/>
    <w:basedOn w:val="Normal"/>
    <w:qFormat/>
    <w:pPr>
      <w:numPr>
        <w:numId w:val="5"/>
      </w:numPr>
      <w:adjustRightInd w:val="0"/>
    </w:pPr>
    <w:rPr>
      <w:rFonts w:ascii="SimSun" w:hAnsi="SimSun"/>
      <w:kern w:val="0"/>
      <w:szCs w:val="20"/>
    </w:rPr>
  </w:style>
  <w:style w:type="paragraph" w:customStyle="1" w:styleId="CharCharChar">
    <w:name w:val="Char Char Char"/>
    <w:basedOn w:val="Normal"/>
    <w:qFormat/>
    <w:rPr>
      <w:rFonts w:ascii="Tahoma" w:hAnsi="Tahoma"/>
      <w:sz w:val="24"/>
      <w:szCs w:val="20"/>
    </w:rPr>
  </w:style>
  <w:style w:type="paragraph" w:customStyle="1" w:styleId="NormalIndent1">
    <w:name w:val="Normal Indent1"/>
    <w:qFormat/>
    <w:pPr>
      <w:spacing w:after="160" w:afterLines="50" w:line="360" w:lineRule="auto"/>
      <w:ind w:firstLine="420" w:firstLineChars="200"/>
    </w:pPr>
    <w:rPr>
      <w:lang w:val="en-US"/>
    </w:rPr>
  </w:style>
  <w:style w:type="table" w:customStyle="1" w:styleId="TableNormal0">
    <w:name w:val="Table Normal_0"/>
    <w:unhideWhenUsed/>
    <w:qFormat/>
    <w:pPr>
      <w:spacing w:after="160" w:line="259" w:lineRule="auto"/>
    </w:pPr>
    <w:tblPr>
      <w:tblCellMar>
        <w:top w:w="0" w:type="dxa"/>
        <w:left w:w="0" w:type="dxa"/>
        <w:bottom w:w="0" w:type="dxa"/>
        <w:right w:w="0" w:type="dxa"/>
      </w:tblCellMar>
    </w:tblPr>
  </w:style>
  <w:style w:type="paragraph" w:customStyle="1" w:styleId="Normal0">
    <w:name w:val="Normal_0"/>
    <w:qFormat/>
    <w:rPr>
      <w:rFonts w:eastAsia="Times New Roman"/>
      <w:sz w:val="24"/>
      <w:szCs w:val="24"/>
      <w:lang w:val="en-US" w:eastAsia="en-US"/>
    </w:rPr>
  </w:style>
  <w:style w:type="character" w:customStyle="1" w:styleId="Hyperlink0">
    <w:name w:val="Hyperlink_0"/>
    <w:basedOn w:val="DefaultParagraphFont"/>
    <w:rsid w:val="00EF7B96"/>
    <w:rPr>
      <w:color w:val="0000FF"/>
      <w:u w:val="single"/>
    </w:rPr>
  </w:style>
  <w:style w:type="paragraph" w:customStyle="1" w:styleId="TOC10">
    <w:name w:val="TOC 1_0"/>
    <w:basedOn w:val="Normal"/>
    <w:next w:val="Normal0"/>
    <w:autoRedefine/>
    <w:rsid w:val="00805BCE"/>
    <w:pPr>
      <w:widowControl/>
      <w:spacing w:after="0" w:line="240" w:lineRule="auto"/>
      <w:jc w:val="left"/>
    </w:pPr>
    <w:rPr>
      <w:rFonts w:eastAsia="Times New Roman"/>
      <w:kern w:val="0"/>
      <w:sz w:val="24"/>
      <w:lang w:eastAsia="en-US"/>
    </w:rPr>
  </w:style>
  <w:style w:type="paragraph" w:styleId="TOC2">
    <w:name w:val="toc 2"/>
    <w:basedOn w:val="Normal"/>
    <w:next w:val="Normal0"/>
    <w:autoRedefine/>
    <w:rsid w:val="00805BCE"/>
    <w:pPr>
      <w:widowControl/>
      <w:spacing w:after="0" w:line="240" w:lineRule="auto"/>
      <w:ind w:left="240"/>
      <w:jc w:val="left"/>
    </w:pPr>
    <w:rPr>
      <w:rFonts w:ascii="仿宋_GB2312" w:eastAsia="仿宋_GB2312" w:hAnsi="仿宋_GB2312" w:cs="仿宋_GB2312"/>
      <w:b w:val="0"/>
      <w:color w:val="000000"/>
      <w:kern w:val="0"/>
      <w:sz w:val="24"/>
      <w:lang w:eastAsia="en-US"/>
    </w:rPr>
  </w:style>
  <w:style w:type="paragraph" w:styleId="TOC3">
    <w:name w:val="toc 3"/>
    <w:basedOn w:val="Normal"/>
    <w:next w:val="Normal0"/>
    <w:autoRedefine/>
    <w:rsid w:val="00805BCE"/>
    <w:pPr>
      <w:widowControl/>
      <w:spacing w:after="0" w:line="240" w:lineRule="auto"/>
      <w:ind w:left="480"/>
      <w:jc w:val="left"/>
    </w:pPr>
    <w:rPr>
      <w:rFonts w:ascii="仿宋_GB2312" w:eastAsia="仿宋_GB2312" w:hAnsi="仿宋_GB2312" w:cs="仿宋_GB2312"/>
      <w:b w:val="0"/>
      <w:color w:val="000000"/>
      <w:kern w:val="0"/>
      <w:sz w:val="24"/>
      <w:lang w:eastAsia="en-US"/>
    </w:rPr>
  </w:style>
  <w:style w:type="paragraph" w:customStyle="1" w:styleId="Heading10">
    <w:name w:val="Heading 1_0"/>
    <w:basedOn w:val="Normal"/>
    <w:next w:val="Normal0"/>
    <w:qFormat/>
    <w:rsid w:val="00EF7B96"/>
    <w:pPr>
      <w:keepNext/>
      <w:widowControl/>
      <w:spacing w:before="240" w:after="60" w:line="240" w:lineRule="auto"/>
      <w:jc w:val="left"/>
      <w:outlineLvl w:val="0"/>
    </w:pPr>
    <w:rPr>
      <w:rFonts w:ascii="Arial" w:eastAsia="Times New Roman" w:hAnsi="Arial" w:cs="Arial"/>
      <w:b/>
      <w:bCs/>
      <w:kern w:val="32"/>
      <w:sz w:val="32"/>
      <w:szCs w:val="32"/>
      <w:lang w:eastAsia="en-US"/>
    </w:rPr>
  </w:style>
  <w:style w:type="paragraph" w:customStyle="1" w:styleId="Heading20">
    <w:name w:val="Heading 2_0"/>
    <w:basedOn w:val="Normal"/>
    <w:next w:val="Normal0"/>
    <w:qFormat/>
    <w:rsid w:val="00EF7B96"/>
    <w:pPr>
      <w:keepNext/>
      <w:widowControl/>
      <w:spacing w:before="240" w:after="60" w:line="240" w:lineRule="auto"/>
      <w:jc w:val="left"/>
      <w:outlineLvl w:val="1"/>
    </w:pPr>
    <w:rPr>
      <w:rFonts w:ascii="Arial" w:eastAsia="Times New Roman" w:hAnsi="Arial" w:cs="Arial"/>
      <w:b/>
      <w:bCs/>
      <w:i/>
      <w:iCs/>
      <w:kern w:val="0"/>
      <w:sz w:val="28"/>
      <w:szCs w:val="28"/>
      <w:lang w:eastAsia="en-US"/>
    </w:rPr>
  </w:style>
  <w:style w:type="paragraph" w:customStyle="1" w:styleId="Heading30">
    <w:name w:val="Heading 3_0"/>
    <w:basedOn w:val="Normal"/>
    <w:next w:val="Normal0"/>
    <w:qFormat/>
    <w:rsid w:val="00EF7B96"/>
    <w:pPr>
      <w:keepNext/>
      <w:widowControl/>
      <w:spacing w:before="240" w:after="60" w:line="240" w:lineRule="auto"/>
      <w:jc w:val="left"/>
      <w:outlineLvl w:val="2"/>
    </w:pPr>
    <w:rPr>
      <w:rFonts w:ascii="Arial" w:eastAsia="Times New Roman" w:hAnsi="Arial" w:cs="Arial"/>
      <w:b/>
      <w:bCs/>
      <w:kern w:val="0"/>
      <w:sz w:val="26"/>
      <w:szCs w:val="26"/>
      <w:lang w:eastAsia="en-US"/>
    </w:rPr>
  </w:style>
  <w:style w:type="paragraph" w:customStyle="1" w:styleId="150">
    <w:name w:val="15_0"/>
    <w:basedOn w:val="Normal"/>
    <w:pPr>
      <w:widowControl/>
      <w:spacing w:after="0" w:line="240" w:lineRule="auto"/>
      <w:jc w:val="left"/>
    </w:pPr>
    <w:rPr>
      <w:rFonts w:eastAsia="Times New Roman"/>
      <w:kern w:val="0"/>
      <w:sz w:val="24"/>
      <w:lang w:eastAsia="en-US"/>
    </w:rPr>
  </w:style>
  <w:style w:type="paragraph" w:customStyle="1" w:styleId="Heading40">
    <w:name w:val="Heading 4_0"/>
    <w:basedOn w:val="Normal"/>
    <w:next w:val="Normal0"/>
    <w:qFormat/>
    <w:rsid w:val="00EF7B96"/>
    <w:pPr>
      <w:keepNext/>
      <w:widowControl/>
      <w:spacing w:before="240" w:after="60" w:line="240" w:lineRule="auto"/>
      <w:jc w:val="left"/>
      <w:outlineLvl w:val="3"/>
    </w:pPr>
    <w:rPr>
      <w:rFonts w:eastAsia="Times New Roman"/>
      <w:b/>
      <w:bCs/>
      <w:kern w:val="0"/>
      <w:sz w:val="28"/>
      <w:szCs w:val="28"/>
      <w:lang w:eastAsia="en-US"/>
    </w:rPr>
  </w:style>
  <w:style w:type="paragraph" w:customStyle="1" w:styleId="16">
    <w:name w:val="16"/>
    <w:basedOn w:val="Normal"/>
    <w:pPr>
      <w:widowControl/>
      <w:spacing w:after="0" w:line="240" w:lineRule="auto"/>
      <w:jc w:val="left"/>
    </w:pPr>
    <w:rPr>
      <w:rFonts w:eastAsia="Times New Roman"/>
      <w:kern w:val="0"/>
      <w:sz w:val="24"/>
      <w:lang w:eastAsia="en-US"/>
    </w:rPr>
  </w:style>
  <w:style w:type="table" w:customStyle="1" w:styleId="16Table">
    <w:name w:val="16 Table"/>
    <w:basedOn w:val="TableNormal"/>
    <w:rPr>
      <w:rFonts w:eastAsia="Times New Roman"/>
      <w:lang w:val="en-US" w:eastAsia="en-US"/>
    </w:rP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theme" Target="theme/theme1.xml" /><Relationship Id="rId6" Type="http://schemas.openxmlformats.org/officeDocument/2006/relationships/numbering" Target="numbering.xml" /><Relationship Id="rId7" Type="http://schemas.openxmlformats.org/officeDocument/2006/relationships/styles" Target="styles.xml" /></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11</Pages>
  <Words>9</Words>
  <Characters>53</Characters>
  <Application>Microsoft Office Word</Application>
  <DocSecurity>0</DocSecurity>
  <Lines>1</Lines>
  <Paragraphs>1</Paragraphs>
  <ScaleCrop>false</ScaleCrop>
  <Company>China</Company>
  <LinksUpToDate>false</LinksUpToDate>
  <CharactersWithSpaces>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招 标 文 件</dc:title>
  <dc:creator>Administrator</dc:creator>
  <cp:lastModifiedBy>Chaoran Chen</cp:lastModifiedBy>
  <cp:revision>2</cp:revision>
  <cp:lastPrinted>2023-10-01T11:04:00Z</cp:lastPrinted>
  <dcterms:created xsi:type="dcterms:W3CDTF">2020-05-09T07:26:00Z</dcterms:created>
  <dcterms:modified xsi:type="dcterms:W3CDTF">2024-11-05T08:28:00Z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4DC3F9C358FC1FFECED62967607CDEC6_43</vt:lpwstr>
  </property>
  <property fmtid="{D5CDD505-2E9C-101B-9397-08002B2CF9AE}" pid="3" name="KSOProductBuildVer">
    <vt:lpwstr>1033-6.12.1.8902</vt:lpwstr>
  </property>
</Properties>
</file>