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autoSpaceDE w:val="0"/>
        <w:autoSpaceDN w:val="0"/>
        <w:jc w:val="center"/>
        <w:rPr>
          <w:rFonts w:ascii="黑体" w:eastAsia="黑体"/>
          <w:b/>
          <w:color w:val="auto"/>
          <w:sz w:val="52"/>
          <w:highlight w:val="none"/>
        </w:rPr>
      </w:pPr>
    </w:p>
    <w:p>
      <w:pPr>
        <w:topLinePunct/>
        <w:autoSpaceDE w:val="0"/>
        <w:autoSpaceDN w:val="0"/>
        <w:jc w:val="center"/>
        <w:rPr>
          <w:rFonts w:hAnsi="宋体"/>
          <w:b/>
          <w:color w:val="auto"/>
          <w:sz w:val="96"/>
          <w:szCs w:val="96"/>
          <w:highlight w:val="none"/>
        </w:rPr>
      </w:pPr>
      <w:r>
        <w:rPr>
          <w:rFonts w:hint="eastAsia" w:hAnsi="宋体"/>
          <w:b/>
          <w:color w:val="000000"/>
          <w:sz w:val="96"/>
          <w:szCs w:val="96"/>
          <w:highlight w:val="white"/>
        </w:rPr>
        <w:t>招 标 文 件</w:t>
      </w:r>
    </w:p>
    <w:p>
      <w:pPr>
        <w:topLinePunct/>
        <w:autoSpaceDE w:val="0"/>
        <w:autoSpaceDN w:val="0"/>
        <w:spacing w:line="60" w:lineRule="exact"/>
        <w:jc w:val="center"/>
        <w:rPr>
          <w:rFonts w:hAnsi="宋体"/>
          <w:color w:val="auto"/>
          <w:sz w:val="96"/>
          <w:szCs w:val="96"/>
          <w:highlight w:val="none"/>
        </w:rPr>
      </w:pPr>
    </w:p>
    <w:p>
      <w:pPr>
        <w:topLinePunct/>
        <w:autoSpaceDE w:val="0"/>
        <w:autoSpaceDN w:val="0"/>
        <w:snapToGrid w:val="0"/>
        <w:jc w:val="center"/>
        <w:rPr>
          <w:rFonts w:ascii="宋体" w:hAnsi="宋体"/>
          <w:color w:val="auto"/>
          <w:sz w:val="96"/>
          <w:szCs w:val="96"/>
          <w:highlight w:val="none"/>
        </w:rPr>
      </w:pPr>
      <w:r>
        <w:rPr>
          <w:rFonts w:hint="eastAsia" w:hAnsi="宋体"/>
          <w:b/>
          <w:color w:val="000000"/>
          <w:sz w:val="56"/>
          <w:szCs w:val="56"/>
          <w:highlight w:val="white"/>
        </w:rPr>
        <w:t>（商务部分）</w:t>
      </w:r>
    </w:p>
    <w:p>
      <w:pPr>
        <w:topLinePunct/>
        <w:autoSpaceDE w:val="0"/>
        <w:autoSpaceDN w:val="0"/>
        <w:snapToGrid w:val="0"/>
        <w:rPr>
          <w:rFonts w:ascii="宋体" w:hAnsi="宋体"/>
          <w:color w:val="auto"/>
          <w:sz w:val="96"/>
          <w:szCs w:val="96"/>
          <w:highlight w:val="none"/>
        </w:rPr>
      </w:pPr>
    </w:p>
    <w:p>
      <w:pPr>
        <w:topLinePunct/>
        <w:autoSpaceDE w:val="0"/>
        <w:autoSpaceDN w:val="0"/>
        <w:snapToGrid w:val="0"/>
        <w:spacing w:line="360" w:lineRule="auto"/>
        <w:ind w:firstLine="281" w:firstLineChars="100"/>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项目名称：国家税务总局吉林市昌邑区税务局2025年物业管理服务项目</w:t>
      </w:r>
    </w:p>
    <w:p>
      <w:pPr>
        <w:topLinePunct/>
        <w:autoSpaceDE w:val="0"/>
        <w:autoSpaceDN w:val="0"/>
        <w:snapToGrid w:val="0"/>
        <w:spacing w:line="360" w:lineRule="auto"/>
        <w:ind w:firstLine="281" w:firstLineChars="100"/>
        <w:rPr>
          <w:rFonts w:hint="eastAsia" w:ascii="宋体" w:hAnsi="宋体" w:eastAsia="宋体" w:cs="宋体"/>
          <w:b/>
          <w:bCs/>
          <w:sz w:val="28"/>
          <w:szCs w:val="36"/>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hint="eastAsia" w:ascii="宋体" w:hAnsi="宋体" w:eastAsia="宋体" w:cs="宋体"/>
          <w:b/>
          <w:bCs/>
          <w:color w:val="000000"/>
          <w:sz w:val="28"/>
          <w:szCs w:val="36"/>
          <w:highlight w:val="white"/>
        </w:rPr>
        <w:t>JL2025-ZXGK-C0063-B00</w:t>
      </w:r>
    </w:p>
    <w:p>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pPr>
        <w:topLinePunct/>
        <w:autoSpaceDE w:val="0"/>
        <w:autoSpaceDN w:val="0"/>
        <w:spacing w:line="460" w:lineRule="exact"/>
        <w:rPr>
          <w:rFonts w:ascii="黑体" w:eastAsia="黑体"/>
          <w:b/>
          <w:color w:val="auto"/>
          <w:sz w:val="52"/>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ascii="黑体" w:eastAsia="黑体"/>
          <w:color w:val="auto"/>
          <w:sz w:val="36"/>
          <w:szCs w:val="36"/>
          <w:highlight w:val="none"/>
        </w:rPr>
      </w:pPr>
      <w:r>
        <w:rPr>
          <w:rFonts w:hint="eastAsia" w:ascii="黑体" w:eastAsia="黑体"/>
          <w:color w:val="000000"/>
          <w:sz w:val="36"/>
          <w:szCs w:val="36"/>
          <w:highlight w:val="white"/>
        </w:rPr>
        <w:t>国家税务总局吉林市税务局</w:t>
      </w:r>
    </w:p>
    <w:p>
      <w:pPr>
        <w:topLinePunct/>
        <w:autoSpaceDE w:val="0"/>
        <w:autoSpaceDN w:val="0"/>
        <w:spacing w:line="160" w:lineRule="exact"/>
        <w:jc w:val="center"/>
        <w:rPr>
          <w:rFonts w:ascii="黑体" w:eastAsia="黑体"/>
          <w:color w:val="auto"/>
          <w:sz w:val="36"/>
          <w:szCs w:val="36"/>
          <w:highlight w:val="none"/>
        </w:rPr>
      </w:pPr>
    </w:p>
    <w:p>
      <w:pPr>
        <w:widowControl/>
        <w:topLinePunct/>
        <w:autoSpaceDE w:val="0"/>
        <w:autoSpaceDN w:val="0"/>
        <w:jc w:val="center"/>
        <w:rPr>
          <w:rFonts w:ascii="黑体" w:hAnsi="Courier New" w:eastAsia="黑体" w:cs="Courier New"/>
          <w:color w:val="auto"/>
          <w:sz w:val="36"/>
          <w:szCs w:val="36"/>
          <w:highlight w:val="none"/>
        </w:rPr>
      </w:pPr>
      <w:r>
        <w:rPr>
          <w:rFonts w:hint="eastAsia" w:ascii="黑体" w:hAnsi="Courier New" w:eastAsia="黑体" w:cs="Courier New"/>
          <w:color w:val="000000"/>
          <w:sz w:val="36"/>
          <w:szCs w:val="36"/>
          <w:highlight w:val="white"/>
          <w:lang w:val="en-US" w:eastAsia="zh-CN"/>
        </w:rPr>
        <w:t xml:space="preserve"> </w:t>
      </w:r>
      <w:r>
        <w:rPr>
          <w:rFonts w:hint="eastAsia" w:ascii="黑体" w:hAnsi="Courier New" w:eastAsia="黑体" w:cs="Courier New"/>
          <w:color w:val="000000"/>
          <w:sz w:val="36"/>
          <w:szCs w:val="36"/>
          <w:highlight w:val="white"/>
        </w:rPr>
        <w:t>2025年9月</w:t>
      </w:r>
    </w:p>
    <w:p>
      <w:pPr>
        <w:jc w:val="center"/>
        <w:rPr>
          <w:b/>
          <w:color w:val="auto"/>
          <w:sz w:val="44"/>
          <w:szCs w:val="44"/>
          <w:highlight w:val="none"/>
        </w:rPr>
        <w:sectPr>
          <w:footerReference r:id="rId3" w:type="default"/>
          <w:pgSz w:w="11906" w:h="16838"/>
          <w:pgMar w:top="1440" w:right="1800" w:bottom="1440" w:left="1800" w:header="227" w:footer="283" w:gutter="0"/>
          <w:pgNumType w:fmt="decimal" w:start="1"/>
          <w:cols w:space="708" w:num="1"/>
          <w:docGrid w:type="lines" w:linePitch="312" w:charSpace="0"/>
        </w:sectPr>
      </w:pPr>
    </w:p>
    <w:p>
      <w:pPr>
        <w:jc w:val="center"/>
        <w:rPr>
          <w:b/>
          <w:color w:val="auto"/>
          <w:sz w:val="44"/>
          <w:szCs w:val="44"/>
          <w:highlight w:val="none"/>
        </w:rPr>
      </w:pPr>
      <w:r>
        <w:rPr>
          <w:rFonts w:hint="eastAsia"/>
          <w:b/>
          <w:color w:val="000000"/>
          <w:sz w:val="44"/>
          <w:szCs w:val="44"/>
          <w:highlight w:val="white"/>
        </w:rPr>
        <w:t>目　　录</w:t>
      </w:r>
    </w:p>
    <w:p>
      <w:pPr>
        <w:rPr>
          <w:color w:val="auto"/>
          <w:highlight w:val="none"/>
        </w:rPr>
      </w:pPr>
    </w:p>
    <w:p>
      <w:pPr>
        <w:rPr>
          <w:b/>
          <w:color w:val="auto"/>
          <w:highlight w:val="none"/>
        </w:rPr>
      </w:pPr>
    </w:p>
    <w:p>
      <w:pPr>
        <w:pStyle w:val="24"/>
        <w:tabs>
          <w:tab w:val="right" w:leader="dot" w:pos="8800"/>
        </w:tabs>
        <w:rPr>
          <w:rFonts w:asciiTheme="minorHAnsi" w:hAnsiTheme="minorHAnsi"/>
          <w:sz w:val="22"/>
        </w:rPr>
      </w:pPr>
      <w:r>
        <w:rPr>
          <w:b/>
          <w:color w:val="auto"/>
          <w:sz w:val="30"/>
          <w:szCs w:val="30"/>
          <w:highlight w:val="none"/>
        </w:rPr>
        <w:fldChar w:fldCharType="begin"/>
      </w:r>
      <w:r>
        <w:rPr>
          <w:rFonts w:hint="eastAsia"/>
          <w:b/>
          <w:color w:val="000000"/>
          <w:sz w:val="30"/>
          <w:szCs w:val="30"/>
          <w:highlight w:val="white"/>
        </w:rPr>
        <w:instrText xml:space="preserve">TOC \o "1-1" \h \z \u</w:instrText>
      </w:r>
      <w:r>
        <w:rPr>
          <w:b/>
          <w:color w:val="auto"/>
          <w:sz w:val="30"/>
          <w:szCs w:val="30"/>
          <w:highlight w:val="none"/>
        </w:rPr>
        <w:fldChar w:fldCharType="separate"/>
      </w:r>
      <w:r>
        <w:fldChar w:fldCharType="begin"/>
      </w:r>
      <w:r>
        <w:instrText xml:space="preserve"> HYPERLINK \l "_Toc256000000" </w:instrText>
      </w:r>
      <w:r>
        <w:fldChar w:fldCharType="separate"/>
      </w:r>
      <w:r>
        <w:rPr>
          <w:rStyle w:val="35"/>
          <w:rFonts w:hint="eastAsia"/>
          <w:color w:val="000000"/>
          <w:highlight w:val="white"/>
        </w:rPr>
        <w:t>第一章  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"_Toc256000001" </w:instrText>
      </w:r>
      <w:r>
        <w:fldChar w:fldCharType="separate"/>
      </w:r>
      <w:r>
        <w:rPr>
          <w:rStyle w:val="35"/>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6</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"_Toc256000002" </w:instrText>
      </w:r>
      <w:r>
        <w:fldChar w:fldCharType="separate"/>
      </w:r>
      <w:r>
        <w:rPr>
          <w:rStyle w:val="35"/>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19</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"_Toc256000003" </w:instrText>
      </w:r>
      <w:r>
        <w:fldChar w:fldCharType="separate"/>
      </w:r>
      <w:r>
        <w:rPr>
          <w:rStyle w:val="35"/>
          <w:rFonts w:hint="eastAsia"/>
          <w:color w:val="000000"/>
          <w:highlight w:val="white"/>
        </w:rPr>
        <w:t>第四章  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22</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"_Toc256000004" </w:instrText>
      </w:r>
      <w:r>
        <w:fldChar w:fldCharType="separate"/>
      </w:r>
      <w:r>
        <w:rPr>
          <w:rStyle w:val="35"/>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39</w:t>
      </w:r>
      <w:r>
        <w:fldChar w:fldCharType="end"/>
      </w:r>
      <w:r>
        <w:fldChar w:fldCharType="end"/>
      </w:r>
    </w:p>
    <w:p>
      <w:pPr>
        <w:jc w:val="center"/>
        <w:rPr>
          <w:rFonts w:hAnsi="宋体"/>
          <w:b/>
          <w:color w:val="auto"/>
          <w:sz w:val="32"/>
          <w:szCs w:val="32"/>
          <w:highlight w:val="none"/>
        </w:rPr>
      </w:pPr>
      <w:r>
        <w:rPr>
          <w:rFonts w:hAnsi="宋体"/>
          <w:color w:val="auto"/>
          <w:sz w:val="30"/>
          <w:szCs w:val="30"/>
          <w:highlight w:val="none"/>
        </w:rPr>
        <w:fldChar w:fldCharType="end"/>
      </w:r>
    </w:p>
    <w:p>
      <w:pPr>
        <w:ind w:firstLine="643" w:firstLineChars="200"/>
        <w:jc w:val="center"/>
        <w:rPr>
          <w:rFonts w:hAnsi="宋体"/>
          <w:b/>
          <w:color w:val="auto"/>
          <w:sz w:val="32"/>
          <w:szCs w:val="32"/>
          <w:highlight w:val="none"/>
        </w:rPr>
      </w:pPr>
    </w:p>
    <w:p>
      <w:pPr>
        <w:ind w:firstLine="643" w:firstLineChars="200"/>
        <w:jc w:val="center"/>
        <w:rPr>
          <w:rFonts w:hAnsi="宋体"/>
          <w:b/>
          <w:color w:val="auto"/>
          <w:sz w:val="32"/>
          <w:szCs w:val="32"/>
          <w:highlight w:val="none"/>
        </w:rPr>
      </w:pPr>
    </w:p>
    <w:p>
      <w:pPr>
        <w:jc w:val="center"/>
        <w:rPr>
          <w:color w:val="auto"/>
          <w:highlight w:val="none"/>
        </w:rPr>
      </w:pPr>
    </w:p>
    <w:p>
      <w:pPr>
        <w:topLinePunct/>
        <w:autoSpaceDE w:val="0"/>
        <w:autoSpaceDN w:val="0"/>
        <w:rPr>
          <w:rFonts w:ascii="仿宋_GB2312" w:eastAsia="仿宋_GB2312"/>
          <w:b/>
          <w:color w:val="auto"/>
          <w:sz w:val="96"/>
          <w:szCs w:val="96"/>
          <w:highlight w:val="none"/>
        </w:rPr>
      </w:pPr>
    </w:p>
    <w:p>
      <w:pPr>
        <w:pStyle w:val="3"/>
        <w:jc w:val="center"/>
        <w:rPr>
          <w:rFonts w:hint="eastAsia"/>
          <w:color w:val="auto"/>
          <w:sz w:val="36"/>
          <w:szCs w:val="36"/>
          <w:highlight w:val="none"/>
        </w:rPr>
        <w:sectPr>
          <w:footerReference r:id="rId4"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titlePg/>
          <w:docGrid w:type="lines" w:linePitch="312" w:charSpace="0"/>
        </w:sectPr>
      </w:pPr>
    </w:p>
    <w:p>
      <w:pPr>
        <w:pStyle w:val="3"/>
        <w:jc w:val="center"/>
        <w:rPr>
          <w:color w:val="auto"/>
          <w:sz w:val="36"/>
          <w:szCs w:val="36"/>
          <w:highlight w:val="none"/>
        </w:rPr>
      </w:pPr>
      <w:r>
        <w:rPr>
          <w:rFonts w:hint="eastAsia"/>
          <w:color w:val="000000"/>
          <w:sz w:val="36"/>
          <w:szCs w:val="36"/>
          <w:highlight w:val="white"/>
        </w:rPr>
        <w:t>第一章  招标公告</w:t>
      </w:r>
    </w:p>
    <w:p>
      <w:pPr>
        <w:rPr>
          <w:sz w:val="24"/>
        </w:rPr>
      </w:pPr>
    </w:p>
    <w:p>
      <w:pPr>
        <w:pBdr>
          <w:top w:val="single" w:color="auto" w:sz="4" w:space="1"/>
          <w:left w:val="single" w:color="auto" w:sz="4" w:space="4"/>
          <w:bottom w:val="single" w:color="auto" w:sz="4" w:space="1"/>
          <w:right w:val="single" w:color="auto" w:sz="4" w:space="4"/>
        </w:pBdr>
        <w:adjustRightInd w:val="0"/>
        <w:snapToGrid w:val="0"/>
        <w:spacing w:after="0" w:line="360" w:lineRule="auto"/>
        <w:rPr>
          <w:rFonts w:hint="eastAsia" w:ascii="宋体" w:hAnsi="宋体" w:cs="宋体"/>
          <w:sz w:val="24"/>
        </w:rPr>
      </w:pPr>
      <w:r>
        <w:rPr>
          <w:rFonts w:hint="eastAsia" w:ascii="宋体" w:hAnsi="宋体" w:cs="宋体"/>
          <w:color w:val="000000"/>
          <w:sz w:val="24"/>
          <w:highlight w:val="white"/>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rPr>
          <w:sz w:val="24"/>
        </w:rPr>
      </w:pPr>
      <w:r>
        <w:rPr>
          <w:rFonts w:hint="eastAsia" w:ascii="宋体" w:hAnsi="宋体" w:cs="宋体"/>
          <w:color w:val="000000"/>
          <w:sz w:val="24"/>
          <w:highlight w:val="white"/>
        </w:rPr>
        <w:t>国家税务总局吉林市昌邑区税务局2025年物业管理服务项目的潜在投标人应通过</w:t>
      </w:r>
      <w:r>
        <w:rPr>
          <w:rFonts w:hint="eastAsia" w:ascii="宋体" w:hAnsi="宋体" w:cs="宋体"/>
          <w:color w:val="000000"/>
          <w:sz w:val="24"/>
          <w:highlight w:val="white"/>
          <w:u w:val="single"/>
        </w:rPr>
        <w:t>在线下载方式</w:t>
      </w:r>
      <w:r>
        <w:rPr>
          <w:rFonts w:hint="eastAsia" w:ascii="宋体" w:hAnsi="宋体" w:cs="宋体"/>
          <w:color w:val="000000"/>
          <w:sz w:val="24"/>
          <w:highlight w:val="white"/>
        </w:rPr>
        <w:t>获取招标文件，并于2025年10月17日9点00分（</w:t>
      </w:r>
      <w:r>
        <w:rPr>
          <w:rFonts w:hint="eastAsia" w:ascii="宋体" w:hAnsi="宋体" w:cs="宋体"/>
          <w:bCs/>
          <w:color w:val="000000"/>
          <w:sz w:val="24"/>
          <w:highlight w:val="white"/>
        </w:rPr>
        <w:t>北京时间）前递交投标文件</w:t>
      </w:r>
      <w:r>
        <w:rPr>
          <w:rFonts w:hint="eastAsia" w:ascii="宋体" w:hAnsi="宋体" w:cs="宋体"/>
          <w:color w:val="000000"/>
          <w:sz w:val="24"/>
          <w:highlight w:val="white"/>
        </w:rPr>
        <w:t>。</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一、项目基本情况</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项目编号：</w:t>
      </w:r>
      <w:r>
        <w:rPr>
          <w:rFonts w:hint="eastAsia" w:ascii="宋体" w:hAnsi="宋体" w:cs="宋体"/>
          <w:color w:val="000000"/>
          <w:sz w:val="24"/>
          <w:highlight w:val="white"/>
        </w:rPr>
        <w:t>JL2025-ZXGK-C0063-B00</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项目名称：</w:t>
      </w:r>
      <w:r>
        <w:rPr>
          <w:rFonts w:hint="eastAsia" w:ascii="宋体" w:hAnsi="宋体" w:cs="宋体"/>
          <w:color w:val="000000"/>
          <w:sz w:val="24"/>
          <w:highlight w:val="white"/>
        </w:rPr>
        <w:t>国家税务总局吉林市昌邑区税务局2025年物业管理服务项目</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预算金额：</w:t>
      </w:r>
      <w:r>
        <w:rPr>
          <w:rFonts w:hint="eastAsia" w:ascii="宋体" w:hAnsi="宋体" w:cs="宋体"/>
          <w:color w:val="000000"/>
          <w:sz w:val="24"/>
          <w:highlight w:val="white"/>
        </w:rPr>
        <w:t>133.00万元</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最高限价</w:t>
      </w:r>
      <w:r>
        <w:rPr>
          <w:rFonts w:hint="eastAsia" w:ascii="宋体" w:hAnsi="宋体" w:cs="宋体"/>
          <w:color w:val="000000"/>
          <w:sz w:val="24"/>
          <w:highlight w:val="white"/>
        </w:rPr>
        <w:t>：133.00万元</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采购需求：</w:t>
      </w:r>
      <w:r>
        <w:rPr>
          <w:rFonts w:hint="eastAsia" w:ascii="宋体" w:hAnsi="宋体" w:cs="宋体"/>
          <w:color w:val="000000"/>
          <w:sz w:val="24"/>
          <w:highlight w:val="white"/>
        </w:rPr>
        <w:t>提供国家税务总局吉林市昌邑区税务局天津街办公区办公楼（昌邑区天津街6号)、昌邑区税务局吉林大街办公区办公楼（昌邑区吉林大街169号）、桦皮厂分局办公楼（昌邑区桦皮厂镇15-3-15-75地块）、通江所办公楼（昌邑区中兴街03-10号）、站前所办公楼（昌邑区中康路13号）的综合服务、房屋及设备设施维护、共用设施设备管理、公共秩序维护、环境保洁、会议服务、特约服务（餐饮服务、清雪服务、地毯清洗等）、突发事件应急管理、绿色物业以及标准化建设等工作。</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服务期为自项目实施之日起两年，合同一年一签，第二年合同金额以第二年预算批复为准。</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需求部门确认，本项目需求内容不包含已有合同内容；需求内容与项目立项、预算评审（如有）内容一致。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b/>
          <w:bCs/>
          <w:sz w:val="24"/>
        </w:rPr>
      </w:pPr>
      <w:r>
        <w:rPr>
          <w:rFonts w:hint="eastAsia" w:ascii="宋体" w:hAnsi="宋体" w:cs="宋体"/>
          <w:b/>
          <w:bCs/>
          <w:color w:val="000000"/>
          <w:sz w:val="24"/>
          <w:highlight w:val="white"/>
        </w:rPr>
        <w:t>合同履行期限：</w:t>
      </w:r>
      <w:r>
        <w:rPr>
          <w:rFonts w:hint="eastAsia" w:ascii="宋体" w:hAnsi="宋体" w:cs="宋体"/>
          <w:color w:val="000000"/>
          <w:sz w:val="24"/>
          <w:highlight w:val="white"/>
        </w:rPr>
        <w:t>自合同签订之日起至合同全部权利义务履行完毕之日止。</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本项目（是/否）接受联合体投标：</w:t>
      </w:r>
      <w:r>
        <w:rPr>
          <w:rFonts w:hint="eastAsia" w:ascii="宋体" w:hAnsi="宋体" w:cs="宋体"/>
          <w:color w:val="000000"/>
          <w:sz w:val="24"/>
          <w:highlight w:val="white"/>
        </w:rPr>
        <w:t>否</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二、申请人的资格要求</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2.落实政府采购政策需满足的资格要求：根据《政府采购促进中小企业发展管理办法》（财库[2020]46号印发）有关规定，本项目专门面向中小企业采购。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3.本项目的特定资格要求：无。</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三、获取招标文件</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时间：</w:t>
      </w:r>
      <w:r>
        <w:rPr>
          <w:rFonts w:hint="eastAsia" w:ascii="宋体" w:hAnsi="宋体"/>
          <w:color w:val="000000"/>
          <w:sz w:val="24"/>
          <w:highlight w:val="white"/>
        </w:rPr>
        <w:t>2025年9月27日至2025年10月10日每天8:00至20:00（北京时间，法定节假日除外）。</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地点：</w:t>
      </w:r>
      <w:r>
        <w:rPr>
          <w:rFonts w:hint="eastAsia" w:ascii="宋体" w:hAnsi="宋体" w:cs="宋体"/>
          <w:color w:val="000000"/>
          <w:sz w:val="24"/>
          <w:highlight w:val="white"/>
        </w:rPr>
        <w:t>国家税务总局集中采购中心网站（https://swcg.chinatax.gov.cn）</w:t>
      </w:r>
    </w:p>
    <w:p>
      <w:pPr>
        <w:adjustRightInd w:val="0"/>
        <w:snapToGrid w:val="0"/>
        <w:spacing w:before="62" w:beforeLines="20" w:after="62" w:afterLines="20" w:line="360" w:lineRule="auto"/>
        <w:ind w:firstLine="482" w:firstLineChars="200"/>
        <w:rPr>
          <w:rFonts w:hint="eastAsia" w:ascii="宋体" w:hAnsi="宋体"/>
          <w:bCs/>
          <w:sz w:val="24"/>
        </w:rPr>
      </w:pPr>
      <w:r>
        <w:rPr>
          <w:rFonts w:hint="eastAsia" w:ascii="宋体" w:hAnsi="宋体"/>
          <w:b/>
          <w:bCs/>
          <w:color w:val="000000"/>
          <w:sz w:val="24"/>
          <w:highlight w:val="white"/>
        </w:rPr>
        <w:t>方式：</w:t>
      </w:r>
      <w:r>
        <w:rPr>
          <w:rFonts w:hint="eastAsia" w:ascii="宋体" w:hAnsi="宋体"/>
          <w:bCs/>
          <w:color w:val="000000"/>
          <w:sz w:val="24"/>
          <w:highlight w:val="white"/>
        </w:rPr>
        <w:t>在线下载</w:t>
      </w:r>
    </w:p>
    <w:p>
      <w:pPr>
        <w:adjustRightInd w:val="0"/>
        <w:snapToGrid w:val="0"/>
        <w:spacing w:before="62" w:beforeLines="20" w:after="62" w:afterLines="20" w:line="360" w:lineRule="auto"/>
        <w:ind w:firstLine="482" w:firstLineChars="200"/>
        <w:rPr>
          <w:rFonts w:ascii="宋体" w:hAnsi="宋体" w:eastAsia="Times New Roman"/>
          <w:sz w:val="24"/>
        </w:rPr>
      </w:pPr>
      <w:r>
        <w:rPr>
          <w:rFonts w:hint="eastAsia" w:ascii="宋体" w:hAnsi="宋体"/>
          <w:b/>
          <w:bCs/>
          <w:color w:val="000000"/>
          <w:sz w:val="24"/>
          <w:highlight w:val="white"/>
        </w:rPr>
        <w:t>售价：</w:t>
      </w:r>
      <w:r>
        <w:rPr>
          <w:rFonts w:hint="eastAsia" w:ascii="宋体" w:hAnsi="宋体"/>
          <w:color w:val="000000"/>
          <w:sz w:val="24"/>
          <w:highlight w:val="white"/>
        </w:rPr>
        <w:t>0.00</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四、提交投标文件截止时间、开标时间和地点</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时间：</w:t>
      </w:r>
      <w:r>
        <w:rPr>
          <w:rFonts w:hint="eastAsia" w:ascii="宋体" w:hAnsi="宋体" w:cs="宋体"/>
          <w:color w:val="000000"/>
          <w:sz w:val="24"/>
          <w:highlight w:val="white"/>
        </w:rPr>
        <w:t xml:space="preserve"> </w:t>
      </w:r>
      <w:r>
        <w:rPr>
          <w:rFonts w:hint="eastAsia" w:ascii="宋体" w:hAnsi="宋体"/>
          <w:color w:val="000000"/>
          <w:sz w:val="24"/>
          <w:highlight w:val="white"/>
        </w:rPr>
        <w:t>2025年10月17日9点00分（北京时间）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bCs/>
          <w:sz w:val="24"/>
        </w:rPr>
      </w:pPr>
      <w:r>
        <w:rPr>
          <w:rFonts w:hint="eastAsia" w:ascii="宋体" w:hAnsi="宋体"/>
          <w:b/>
          <w:bCs/>
          <w:color w:val="000000"/>
          <w:sz w:val="24"/>
          <w:highlight w:val="white"/>
        </w:rPr>
        <w:t>地点：</w:t>
      </w:r>
      <w:r>
        <w:rPr>
          <w:rFonts w:ascii="宋体" w:hAnsi="宋体"/>
          <w:bCs/>
          <w:color w:val="000000"/>
          <w:sz w:val="24"/>
          <w:highlight w:val="white"/>
        </w:rPr>
        <w:t>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五、公告期限</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自本公告发布之日起5个工作日</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六、其他补充事宜</w:t>
      </w:r>
    </w:p>
    <w:p>
      <w:pPr>
        <w:spacing w:before="48" w:after="48" w:line="360" w:lineRule="auto"/>
        <w:ind w:firstLine="480"/>
        <w:rPr>
          <w:rFonts w:ascii="宋体" w:hAnsi="宋体" w:cs="宋体"/>
        </w:rPr>
      </w:pPr>
      <w:r>
        <w:rPr>
          <w:rFonts w:ascii="宋体" w:hAnsi="宋体" w:eastAsia="宋体" w:cs="宋体"/>
          <w:color w:val="000000"/>
          <w:sz w:val="24"/>
          <w:highlight w:val="white"/>
        </w:rPr>
        <w:t>1.本项目采用国家税务总局政府采购评审管理系统进行招投标，请在投标前详细阅读国家税务总局集中采购中心网站（https://swcg.chinatax.gov.cn）《供应商操作手册》。</w:t>
      </w:r>
    </w:p>
    <w:p>
      <w:pPr>
        <w:spacing w:before="48" w:after="48" w:line="360" w:lineRule="auto"/>
        <w:ind w:firstLine="480"/>
        <w:rPr>
          <w:rFonts w:ascii="宋体" w:hAnsi="宋体" w:cs="宋体"/>
        </w:rPr>
      </w:pPr>
      <w:r>
        <w:rPr>
          <w:rFonts w:ascii="宋体" w:hAnsi="宋体" w:eastAsia="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pPr>
        <w:spacing w:before="48" w:after="48" w:line="360" w:lineRule="auto"/>
        <w:ind w:firstLine="480"/>
        <w:rPr>
          <w:rFonts w:ascii="宋体" w:hAnsi="宋体" w:cs="宋体"/>
        </w:rPr>
      </w:pPr>
      <w:r>
        <w:rPr>
          <w:rFonts w:ascii="宋体" w:hAnsi="宋体" w:eastAsia="宋体" w:cs="宋体"/>
          <w:color w:val="000000"/>
          <w:sz w:val="24"/>
          <w:highlight w:val="white"/>
        </w:rPr>
        <w:t>3.供应商制作投标文件前须提前办理数字证书和电子签章，办理方式和注意事项详见网站《供应商操作手册》。</w:t>
      </w:r>
    </w:p>
    <w:p>
      <w:pPr>
        <w:spacing w:before="48" w:after="48" w:line="360" w:lineRule="auto"/>
        <w:ind w:firstLine="480"/>
        <w:rPr>
          <w:rFonts w:ascii="宋体" w:hAnsi="宋体" w:cs="宋体"/>
        </w:rPr>
      </w:pPr>
      <w:r>
        <w:rPr>
          <w:rFonts w:ascii="宋体" w:hAnsi="宋体" w:eastAsia="宋体" w:cs="宋体"/>
          <w:color w:val="000000"/>
          <w:sz w:val="24"/>
          <w:highlight w:val="white"/>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360" w:lineRule="auto"/>
        <w:ind w:firstLine="480"/>
        <w:rPr>
          <w:rFonts w:ascii="宋体" w:hAnsi="宋体" w:cs="宋体"/>
        </w:rPr>
      </w:pPr>
      <w:r>
        <w:rPr>
          <w:rFonts w:ascii="宋体" w:hAnsi="宋体" w:eastAsia="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pPr>
        <w:spacing w:before="48" w:after="48" w:line="360" w:lineRule="auto"/>
        <w:ind w:firstLine="480"/>
        <w:rPr>
          <w:rFonts w:ascii="宋体" w:hAnsi="宋体" w:cs="宋体"/>
        </w:rPr>
      </w:pPr>
      <w:r>
        <w:rPr>
          <w:rFonts w:ascii="宋体" w:hAnsi="宋体" w:eastAsia="宋体" w:cs="宋体"/>
          <w:color w:val="000000"/>
          <w:sz w:val="24"/>
          <w:highlight w:val="white"/>
        </w:rPr>
        <w:t>6.供应商在投标过程中涉及系统操作的技术问题，可致电系统服务热线：400-6168-636转1。</w:t>
      </w:r>
    </w:p>
    <w:p>
      <w:pPr>
        <w:spacing w:before="48" w:after="48" w:line="360" w:lineRule="auto"/>
        <w:ind w:firstLine="480"/>
        <w:rPr>
          <w:rFonts w:ascii="宋体" w:hAnsi="宋体" w:cs="宋体"/>
        </w:rPr>
      </w:pPr>
    </w:p>
    <w:p>
      <w:pPr>
        <w:pStyle w:val="78"/>
        <w:adjustRightInd w:val="0"/>
        <w:snapToGrid w:val="0"/>
        <w:spacing w:before="62" w:beforeLines="20" w:after="62" w:afterLines="20" w:line="360" w:lineRule="auto"/>
        <w:ind w:firstLine="480" w:firstLineChars="200"/>
        <w:rPr>
          <w:rFonts w:hint="eastAsia" w:ascii="黑体" w:hAnsi="黑体" w:eastAsia="黑体" w:cs="黑体"/>
          <w:szCs w:val="24"/>
        </w:rPr>
      </w:pPr>
      <w:r>
        <w:rPr>
          <w:rFonts w:hint="eastAsia" w:ascii="黑体" w:hAnsi="黑体" w:eastAsia="黑体" w:cs="黑体"/>
          <w:color w:val="000000"/>
          <w:szCs w:val="24"/>
          <w:highlight w:val="white"/>
        </w:rPr>
        <w:t>七、对本次招标提出询问，请按以下方式联系</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1.采购人信息</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名称：国家税务总局吉林市昌邑区税务局</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地址：吉林省吉林市昌邑区天津街6号</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联系方式：0432-65139990</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2.项目联系方式</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olor w:val="000000"/>
          <w:sz w:val="24"/>
          <w:highlight w:val="white"/>
        </w:rPr>
        <w:t>项目联系人：</w:t>
      </w:r>
      <w:r>
        <w:rPr>
          <w:rFonts w:hint="eastAsia" w:ascii="宋体" w:hAnsi="宋体" w:eastAsia="宋体" w:cs="宋体"/>
          <w:color w:val="000000"/>
          <w:sz w:val="24"/>
          <w:szCs w:val="24"/>
          <w:highlight w:val="white"/>
        </w:rPr>
        <w:t>周胜林、陈世应</w:t>
      </w:r>
    </w:p>
    <w:p>
      <w:pPr>
        <w:spacing w:before="48" w:after="48" w:line="360" w:lineRule="auto"/>
        <w:ind w:firstLine="480"/>
        <w:rPr>
          <w:rFonts w:ascii="宋体" w:hAnsi="宋体" w:cs="宋体"/>
        </w:rPr>
      </w:pPr>
      <w:r>
        <w:rPr>
          <w:rFonts w:hint="eastAsia" w:ascii="宋体" w:hAnsi="宋体"/>
          <w:color w:val="000000"/>
          <w:sz w:val="24"/>
          <w:highlight w:val="white"/>
        </w:rPr>
        <w:t>电话：</w:t>
      </w:r>
      <w:r>
        <w:rPr>
          <w:rFonts w:ascii="宋体" w:hAnsi="宋体" w:eastAsia="宋体" w:cs="宋体"/>
          <w:color w:val="000000"/>
          <w:sz w:val="24"/>
          <w:highlight w:val="white"/>
        </w:rPr>
        <w:t>0432--65136099、65136098</w:t>
      </w:r>
    </w:p>
    <w:p>
      <w:pPr>
        <w:spacing w:before="48" w:after="48" w:line="360" w:lineRule="auto"/>
        <w:ind w:firstLine="480"/>
        <w:rPr>
          <w:rFonts w:ascii="宋体" w:hAnsi="宋体" w:cs="宋体"/>
        </w:rPr>
      </w:pPr>
    </w:p>
    <w:p>
      <w:pPr>
        <w:rPr>
          <w:sz w:val="24"/>
        </w:rPr>
      </w:pPr>
    </w:p>
    <w:p>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hint="eastAsia" w:ascii="Times New Roman" w:hAnsi="Times New Roman" w:eastAsia="宋体" w:cs="Times New Roman"/>
          <w:b/>
          <w:bCs/>
          <w:kern w:val="44"/>
          <w:sz w:val="36"/>
          <w:szCs w:val="36"/>
          <w:highlight w:val="none"/>
          <w:lang w:val="en-US" w:eastAsia="zh-CN" w:bidi="ar-SA"/>
        </w:rPr>
      </w:pPr>
      <w:r>
        <w:rPr>
          <w:b/>
          <w:bCs/>
          <w:color w:val="000000"/>
          <w:kern w:val="44"/>
          <w:sz w:val="36"/>
          <w:szCs w:val="36"/>
          <w:highlight w:val="white"/>
        </w:rPr>
        <w:br w:type="page"/>
      </w:r>
      <w:r>
        <w:rPr>
          <w:rStyle w:val="37"/>
          <w:rFonts w:hint="eastAsia"/>
          <w:color w:val="000000"/>
          <w:highlight w:val="white"/>
          <w:lang w:val="en-US" w:eastAsia="zh-CN"/>
        </w:rPr>
        <w:t>第二章　投标人须知</w:t>
      </w:r>
    </w:p>
    <w:p>
      <w:pPr>
        <w:spacing w:after="160" w:line="520" w:lineRule="exact"/>
        <w:jc w:val="center"/>
        <w:rPr>
          <w:rFonts w:ascii="黑体" w:hAnsi="黑体" w:eastAsia="黑体" w:cs="黑体"/>
          <w:sz w:val="28"/>
        </w:rPr>
      </w:pPr>
      <w:r>
        <w:rPr>
          <w:rFonts w:ascii="黑体" w:hAnsi="黑体" w:eastAsia="黑体" w:cs="黑体"/>
          <w:color w:val="000000"/>
          <w:sz w:val="28"/>
          <w:highlight w:val="white"/>
        </w:rPr>
        <w:t>投标人须知前附表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63"/>
        <w:gridCol w:w="612"/>
        <w:gridCol w:w="61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序 号</w:t>
            </w:r>
          </w:p>
        </w:tc>
        <w:tc>
          <w:tcPr>
            <w:tcW w:w="1763" w:type="dxa"/>
            <w:vAlign w:val="center"/>
          </w:tcPr>
          <w:p>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类  别</w:t>
            </w:r>
          </w:p>
        </w:tc>
        <w:tc>
          <w:tcPr>
            <w:tcW w:w="6795" w:type="dxa"/>
            <w:gridSpan w:val="2"/>
            <w:vAlign w:val="center"/>
          </w:tcPr>
          <w:p>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eastAsia="宋体" w:cs="宋体"/>
                <w:b w:val="0"/>
                <w:sz w:val="21"/>
              </w:rPr>
            </w:pPr>
            <w:r>
              <w:rPr>
                <w:rFonts w:ascii="宋体" w:hAnsi="宋体" w:eastAsia="宋体" w:cs="宋体"/>
                <w:b w:val="0"/>
                <w:color w:val="000000"/>
                <w:sz w:val="21"/>
                <w:highlight w:val="white"/>
              </w:rPr>
              <w:t>1</w:t>
            </w:r>
          </w:p>
        </w:tc>
        <w:tc>
          <w:tcPr>
            <w:tcW w:w="1763" w:type="dxa"/>
            <w:vMerge w:val="restart"/>
            <w:vAlign w:val="center"/>
          </w:tcPr>
          <w:p>
            <w:pPr>
              <w:spacing w:before="48" w:after="48" w:line="240" w:lineRule="auto"/>
              <w:jc w:val="center"/>
              <w:rPr>
                <w:rFonts w:ascii="宋体" w:hAnsi="宋体" w:eastAsia="宋体" w:cs="宋体"/>
                <w:b w:val="0"/>
                <w:sz w:val="21"/>
              </w:rPr>
            </w:pPr>
            <w:r>
              <w:rPr>
                <w:rFonts w:ascii="宋体" w:hAnsi="宋体" w:eastAsia="宋体" w:cs="宋体"/>
                <w:b w:val="0"/>
                <w:color w:val="000000"/>
                <w:sz w:val="21"/>
                <w:highlight w:val="white"/>
              </w:rPr>
              <w:t>项目名称、编号及预算</w:t>
            </w: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项目名称：国家税务总局吉林市昌邑区税务局2025年物业管理服务项目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rPr>
            </w:pPr>
          </w:p>
        </w:tc>
        <w:tc>
          <w:tcPr>
            <w:tcW w:w="1763" w:type="dxa"/>
            <w:vMerge w:val="continue"/>
            <w:vAlign w:val="center"/>
          </w:tcPr>
          <w:p>
            <w:pPr>
              <w:spacing w:before="48" w:after="48" w:line="240" w:lineRule="auto"/>
              <w:jc w:val="center"/>
              <w:rPr>
                <w:rFonts w:ascii="宋体" w:hAnsi="宋体" w:eastAsia="宋体" w:cs="宋体"/>
                <w:b w:val="0"/>
                <w:sz w:val="21"/>
              </w:rPr>
            </w:pP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项目编号：JL2025-ZXGK-C0063-B00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rPr>
            </w:pPr>
          </w:p>
        </w:tc>
        <w:tc>
          <w:tcPr>
            <w:tcW w:w="1763" w:type="dxa"/>
            <w:vMerge w:val="continue"/>
            <w:vAlign w:val="center"/>
          </w:tcPr>
          <w:p>
            <w:pPr>
              <w:spacing w:before="48" w:after="48" w:line="240" w:lineRule="auto"/>
              <w:jc w:val="center"/>
              <w:rPr>
                <w:rFonts w:ascii="宋体" w:hAnsi="宋体" w:eastAsia="宋体" w:cs="宋体"/>
                <w:b w:val="0"/>
                <w:sz w:val="21"/>
              </w:rPr>
            </w:pP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项目预算：133.00万元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2</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采购需求</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提供国家税务总局吉林市昌邑区税务局天津街办公区办公楼（昌邑区天津街6号)、昌邑区税务局吉林大街办公区办公楼（昌邑区吉林大街169号）、桦皮厂分局办公楼（昌邑区桦皮厂镇15-3-15-75地块）、通江所办公楼（昌邑区中兴街03-10号）、站前所办公楼（昌邑区中康路13号）的综合服务、房屋及设备设施维护、共用设施设备管理、公共秩序维护、环境保洁、会议服务、特约服务（餐饮服务、清雪服务、地毯清洗等）、突发事件应急管理、绿色物业以及标准化建设等工作。</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服务期为自项目实施之日起两年，合同一年一签，第二年合同金额以第二年预算批复为准。</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需求部门确认，本项目需求内容不包含已有合同内容；需求内容与项目立项、预算评审（如有）内容一致。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3</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项目属性和类别</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color w:val="000000"/>
                <w:sz w:val="21"/>
                <w:highlight w:val="white"/>
              </w:rPr>
              <w:t>项目属性：</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货物</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服务</w:t>
            </w:r>
          </w:p>
          <w:p>
            <w:pPr>
              <w:spacing w:before="48" w:after="48" w:line="240" w:lineRule="auto"/>
              <w:jc w:val="left"/>
              <w:rPr>
                <w:rFonts w:ascii="宋体" w:hAnsi="宋体" w:eastAsia="宋体" w:cs="宋体"/>
                <w:b w:val="0"/>
                <w:color w:val="000000"/>
                <w:sz w:val="21"/>
              </w:rPr>
            </w:pPr>
            <w:r>
              <w:rPr>
                <w:rFonts w:ascii="宋体" w:hAnsi="宋体" w:eastAsia="宋体" w:cs="宋体"/>
                <w:b/>
                <w:color w:val="000000"/>
                <w:sz w:val="21"/>
                <w:highlight w:val="white"/>
              </w:rPr>
              <w:t>项目类别：</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信息化项目</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4</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投标人资格要求</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1.符合国家有关法律规定，在中国境内（指关境内）注册，满足《中华人民共和国政府采购法》第二十二条规定。</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2.落实政府采购政策需满足的资格要求：根据《政府采购促进中小企业发展管理办法》（财库[2020]46号印发）有关规定，本项目专门面向中小企业采购。</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3.本项目的特定资格要求：无。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5</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是否接受联合体投标</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不接受</w:t>
            </w:r>
          </w:p>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6</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采购标的对应的中小企业划分标准所属行业</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物业管理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7</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核心产品</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无</w:t>
            </w:r>
          </w:p>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有</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rPr>
              <w:t>产品名称：</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多家投标人提供的核心产品品牌相同，且通过资格审查、符合性审查的，按一家投标人计算，评审后得分最高的同品牌投标人获得中标人推荐资格，其他同品牌投标人不作为中标候选人。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8</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采购进口产品</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本采购项目拒绝进口产品参加投标</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本采购项目已经财政部审核同意购买进口产品</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9</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信息发布媒体</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中国政府采购网（www.ccgp.gov.cn）</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国家税务总局集中采购中心网站（https://swcg.chinatax.gov.cn）</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国家税务总局吉林市税务局网站（http://jilin.chinatax.gov.cn/）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10</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获取招标文件时间、地点和方式等</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none"/>
              </w:rPr>
              <w:t>2025年9月27日至2025年10月11日每天8:00至20:00（北京时间，法定节假日除外）</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none"/>
              </w:rPr>
              <w:t>国家税务总局集中采购中心网站（https://swcg.chinatax.gov.cn）</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方式：</w:t>
            </w:r>
            <w:r>
              <w:rPr>
                <w:rFonts w:ascii="宋体" w:hAnsi="宋体" w:eastAsia="宋体" w:cs="宋体"/>
                <w:b w:val="0"/>
                <w:color w:val="000000"/>
                <w:sz w:val="21"/>
                <w:highlight w:val="white"/>
                <w:u w:val="none"/>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11</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现场考察</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不组织现场考察</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组织现场考察：</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日（北京时间）</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single"/>
              </w:rPr>
              <w:t>__________</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联系人：</w:t>
            </w:r>
            <w:r>
              <w:rPr>
                <w:rFonts w:ascii="宋体" w:hAnsi="宋体" w:eastAsia="宋体" w:cs="宋体"/>
                <w:b w:val="0"/>
                <w:color w:val="000000"/>
                <w:sz w:val="21"/>
                <w:highlight w:val="white"/>
                <w:u w:val="single"/>
              </w:rPr>
              <w:t>__________</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联系电话：</w:t>
            </w:r>
            <w:r>
              <w:rPr>
                <w:rFonts w:ascii="宋体" w:hAnsi="宋体" w:eastAsia="宋体" w:cs="宋体"/>
                <w:b w:val="0"/>
                <w:color w:val="000000"/>
                <w:sz w:val="21"/>
                <w:highlight w:val="white"/>
                <w:u w:val="single"/>
              </w:rPr>
              <w:t>__________</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12</w:t>
            </w:r>
          </w:p>
        </w:tc>
        <w:tc>
          <w:tcPr>
            <w:tcW w:w="1763" w:type="dxa"/>
            <w:vMerge w:val="restart"/>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投标文件组成</w:t>
            </w:r>
          </w:p>
        </w:tc>
        <w:tc>
          <w:tcPr>
            <w:tcW w:w="612" w:type="dxa"/>
            <w:vMerge w:val="restart"/>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商务部分</w:t>
            </w:r>
          </w:p>
        </w:tc>
        <w:tc>
          <w:tcPr>
            <w:tcW w:w="5822" w:type="dxa"/>
            <w:vAlign w:val="center"/>
          </w:tcPr>
          <w:p>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一、资格证明文件：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1.★法人或者其他组织的营业执照等证明文件（上传扫描件）；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3.★2024年度经会计师事务所审计的财务报告（须上传加盖会计师事务所公章及注册会计师签章的扫描件）；没有经审计的财务报告的，可以提供基本开户银行出具的资信证明（上传扫描件）；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4.★近6个月以来不少于2个月依法缴纳税收（不包括个人所得税）的相关材料，如依法免税或不需要纳税的，则应提供相应证明材料（上传扫描件）；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5.★近6个月以来不少于2个月的依法缴纳社会保障资金的相关材料，如依法不需要缴纳社会保障资金的，则应提供相应证明材料（上传扫描件）；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7.★具备履行合同所必</w:t>
            </w:r>
            <w:r>
              <w:rPr>
                <w:rFonts w:hint="eastAsia" w:ascii="宋体" w:hAnsi="宋体" w:eastAsia="宋体" w:cs="宋体"/>
                <w:b w:val="0"/>
                <w:color w:val="000000"/>
                <w:sz w:val="21"/>
                <w:highlight w:val="white"/>
                <w:u w:val="none"/>
                <w:lang w:val="en-US" w:eastAsia="zh-CN"/>
              </w:rPr>
              <w:t>需</w:t>
            </w:r>
            <w:r>
              <w:rPr>
                <w:rFonts w:ascii="宋体" w:hAnsi="宋体" w:eastAsia="宋体" w:cs="宋体"/>
                <w:b w:val="0"/>
                <w:color w:val="000000"/>
                <w:sz w:val="21"/>
                <w:highlight w:val="white"/>
                <w:u w:val="none"/>
              </w:rPr>
              <w:t>的设备和专业技术能力的证明材料。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12" w:type="dxa"/>
            <w:vMerge w:val="continue"/>
            <w:vAlign w:val="center"/>
          </w:tcPr>
          <w:p>
            <w:pPr>
              <w:spacing w:before="48" w:after="48" w:line="240" w:lineRule="auto"/>
              <w:jc w:val="center"/>
              <w:rPr>
                <w:rFonts w:ascii="宋体" w:hAnsi="宋体" w:eastAsia="宋体" w:cs="宋体"/>
                <w:b w:val="0"/>
                <w:color w:val="000000"/>
                <w:sz w:val="21"/>
                <w:u w:val="none"/>
              </w:rPr>
            </w:pPr>
          </w:p>
        </w:tc>
        <w:tc>
          <w:tcPr>
            <w:tcW w:w="5822" w:type="dxa"/>
            <w:vAlign w:val="center"/>
          </w:tcPr>
          <w:p>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二、报价一览表：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1.投标报价表（开标一览表）。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12" w:type="dxa"/>
            <w:vMerge w:val="continue"/>
            <w:vAlign w:val="center"/>
          </w:tcPr>
          <w:p>
            <w:pPr>
              <w:spacing w:before="48" w:after="48" w:line="240" w:lineRule="auto"/>
              <w:jc w:val="center"/>
              <w:rPr>
                <w:rFonts w:ascii="宋体" w:hAnsi="宋体" w:eastAsia="宋体" w:cs="宋体"/>
                <w:b w:val="0"/>
                <w:color w:val="000000"/>
                <w:sz w:val="21"/>
                <w:u w:val="none"/>
              </w:rPr>
            </w:pPr>
          </w:p>
        </w:tc>
        <w:tc>
          <w:tcPr>
            <w:tcW w:w="5822" w:type="dxa"/>
            <w:vAlign w:val="center"/>
          </w:tcPr>
          <w:p>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三、其他文件及资料：</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2.★投标函（上传加盖公章的扫描件）；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3.★商务条款偏离表；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4.监狱企业证明文件[监狱企业投标的，应提交省级以上监狱管理局、戒毒管理局（含新疆生产建设兵团）出具的证明文件，格式自拟]；</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5.残疾人福利性单位声明函（残疾人福利性单位投标的，应提交此函）；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6.相关资质证书（上传扫描件）；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7.成功案例一览表：提供2022年1月1日以来（以合同签订日期为准），独立承担实施的相类似项目的成功案例，应上传合同扫描件。合同扫描件应能清晰体现合同甲乙双方、合同时间、合同金额、合同主要内容等，并提供对方联系人及联系方式，否则不能获得相应分值；</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8.投标人认为需要提供的其它说明和资料。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12"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技术部分</w:t>
            </w:r>
          </w:p>
        </w:tc>
        <w:tc>
          <w:tcPr>
            <w:tcW w:w="5822" w:type="dxa"/>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1.★技术条款偏离表；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2.★技术力量一览表(投标方根据岗位制定人力资源配置，总人数不得低于28人)；</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3.★投标人为投入本项目的相关人员缴纳社保的证明材料；</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4.技术人员简历表；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5.满足指标要求情况（相关内容在《技术条款偏离表》中予以响应）；</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6.投标人认为需要提供的其它方案、说明和资料。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1.以上带★的文件及资料未提供或提供的无效，则投标无效。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2.要求提供扫描件的，照片、图片等电子文件与扫描件效力相等。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13</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投标有效期</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120天（从提交投标文件的截止之日起计算）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14</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提交投标文件方式、截止时间、开标时间</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提交方式：</w:t>
            </w:r>
            <w:r>
              <w:rPr>
                <w:rFonts w:ascii="宋体" w:hAnsi="宋体" w:eastAsia="宋体" w:cs="宋体"/>
                <w:b w:val="0"/>
                <w:color w:val="000000"/>
                <w:sz w:val="21"/>
                <w:highlight w:val="white"/>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投标截止时间和开标时间：</w:t>
            </w:r>
            <w:r>
              <w:rPr>
                <w:rFonts w:ascii="宋体" w:hAnsi="宋体" w:eastAsia="宋体" w:cs="宋体"/>
                <w:b w:val="0"/>
                <w:color w:val="000000"/>
                <w:sz w:val="21"/>
                <w:highlight w:val="white"/>
                <w:u w:val="none"/>
              </w:rPr>
              <w:t>2025年10月17日9:00（北京时间）</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开标方式：</w:t>
            </w:r>
            <w:r>
              <w:rPr>
                <w:rFonts w:ascii="宋体" w:hAnsi="宋体" w:eastAsia="宋体" w:cs="宋体"/>
                <w:b w:val="0"/>
                <w:color w:val="000000"/>
                <w:sz w:val="21"/>
                <w:highlight w:val="white"/>
                <w:u w:val="none"/>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联系电话：</w:t>
            </w:r>
            <w:r>
              <w:rPr>
                <w:rFonts w:ascii="宋体" w:hAnsi="宋体" w:eastAsia="宋体" w:cs="宋体"/>
                <w:b w:val="0"/>
                <w:color w:val="000000"/>
                <w:sz w:val="21"/>
                <w:highlight w:val="white"/>
                <w:u w:val="none"/>
              </w:rPr>
              <w:t>0432-65136099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15</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投标保证金</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要求提供，数额不得超过采购项目预算金额的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本项目的投标保证金为人民币</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元， 提交方式为银行电汇、金融机构或担保机构出具的保函。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16</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信用记录审查</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本次查询的信用记录仅限于本项目使用，查询结果将留存在采购档案中。</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在上述指定网站不能查询信用信息的投标人，应提供相关证明材料（原件加盖公章）。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17</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促进中小企业发展</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根据《政府采购促进中小企业发展管理办法》（财库〔2020〕46号），鼓励中小企业参加本项目采购活动。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专门面向中小企业采购项目。</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预留份额面向中小企业采购项目。</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非专门面向中小企业采购项目。对小型和微型企业的投标价格给予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xml:space="preserve"> %的扣除，用扣除后的价格参与评审。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18</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支持监狱企业发展</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根据《关于政府采购支持监狱企业发展有关问题的通知》（财库〔2014〕68号），监狱企业视同小型、微型企业，按照投标人须知前附表第17项享受政府采购促进中小企业发展的政府采购政策。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19</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促进残疾人就业</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根据《关于促进残疾人就业政府采购政策的通知》（财库〔2017〕141号），残疾人福利性单位视同小型、微型企业，按照投标人须知前附表第17项享受政府采购促进中小企业发展的政府采购政策。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20</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节能环保要求</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 xml:space="preserve"> 严格执行《财政部 发展改革委 生态环境部 市场监管总局关于调整优化节能产品、环境标志产品政府采购执行机制的通知》（财库〔2019〕9号）。</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（1）*本次投标产品属于政府强制采购产品类别的，须按照要求提供依据国家确定的认证机构出具的、处于有效期之内的节能产品认证证书，否则投标无效；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（2）属于政府优先采购产品类别的，须按照要求提供依据国家确定的认证机构出具的、处于有效期之内的节能产品或环境标志产品认证证书，否则不予认定。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21</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其他法律法规强制性规定或扶持政策</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在履约验收中，采购人将按照采购文件、中标/成交供应商响应文件、采购合同等对中标/成交供应商提供的货物和服务进行验收，必要时依法依规开展相应检测、认证。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22</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评标方法及分值</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本项目采用综合评分法，其中价格分值为20分，其他因素分值为80分，详见招标文件商务部分第三章。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23</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合同类型和定价方式</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本项目签订固定总价合同。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24</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履约保证金</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本采购项目履约保证金为合同金额的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提交方式为银行电汇、金融机构或担保机构出具的保函。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账户信息：</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收款单位：</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银行帐号：</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25</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付款安排</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共安排12次/年付款，第1次付款,自项目实施开始之日起次月，采购人根据考核验收结果，按月支付物业服务费用，甲方支付乙方合同金额8.33%的款项；第2次付款,自项目实施开始之日起第3个月，根据考核验收结果，支付第2个月的物业服务费用，甲方支付乙方合同金额8.33%的款项；第3次付款,自项目实施开始之日起第4个月，根据考核验收结果，支付第3个月的物业服务费用，甲方支付乙方合同金额8.33%的款项；第4次付款,自项目实施开始之日起第5个月，根据考核验收结果，支付第4个月的物业服务费用，甲方支付乙方合同金额8.33%的款项；第5次付款,自项目实施开始之日起第6个月，根据考核验收结果，支付第5个月的物业服务费用，甲方支付乙方合同金额8.33%的款项；第6次付款,自项目实施开始之日起第7个月，根据考核验收结果，支付第6个月的物业服务费用，甲方支付乙方合同金额8.33%的款项；第7次付款,自项目实施开始之日起第8个月，根据考核验收结果，支付第7个月的物业服务费用，甲方支付乙方合同金额8.33%的款项；第8次付款,自项目实施开始之日起第9个月，根据考核验收结果，支付第8个月的物业服务费用，甲方支付乙方合同金额8.33%的款项；第9次付款,自项目实施开始之日起第10个月，根据考核验收结果，支付第9个月的物业服务费用，甲方支付乙方合同金额8.33%的款项；第10次付款,自项目实施开始之日起第11个月，根据考核验收结果，支付第10个月的物业服务费用，甲方支付乙方合同金额8.33%的款项；第11次付款,自项目实施开始之日起第12个月，根据考核验收结果，支付第11个月的物业服务费用，甲方支付乙方合同金额8.33%的款项；第12次付款,自项目实施开始之日起第13个月，根据考核验收结果，支付第12个月的物业服务费用，甲方支付乙方合同金额8.37%的款项。采购人付款前，供应商应出具等额合法有效发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26</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接收质疑的方式、部门、电话和通讯地址</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逾期提交的，采购人有权不予受理。</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联系部门：国家税务总局吉林市税务局财务管理科</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联系电话：0432--65136099、65136098</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通讯地址：国家税务总局吉林市税务局财务管理科（吉林省吉林市丰满区三亚路33号）</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电子邮箱：848801931@qq.com</w:t>
            </w:r>
          </w:p>
        </w:tc>
      </w:tr>
    </w:tbl>
    <w:p>
      <w:pPr>
        <w:spacing w:after="160" w:line="520" w:lineRule="exact"/>
        <w:jc w:val="center"/>
        <w:rPr>
          <w:rFonts w:ascii="黑体" w:hAnsi="黑体" w:eastAsia="黑体" w:cs="黑体"/>
          <w:sz w:val="28"/>
        </w:rPr>
      </w:pPr>
      <w:r>
        <w:rPr>
          <w:color w:val="000000"/>
          <w:sz w:val="32"/>
          <w:szCs w:val="32"/>
          <w:highlight w:val="white"/>
        </w:rPr>
        <w:br w:type="page"/>
      </w:r>
    </w:p>
    <w:p>
      <w:pPr>
        <w:topLinePunct/>
        <w:autoSpaceDE w:val="0"/>
        <w:autoSpaceDN w:val="0"/>
        <w:adjustRightInd w:val="0"/>
        <w:snapToGrid w:val="0"/>
        <w:spacing w:after="0" w:line="360" w:lineRule="auto"/>
        <w:jc w:val="center"/>
        <w:rPr>
          <w:b/>
          <w:color w:val="auto"/>
          <w:sz w:val="32"/>
          <w:szCs w:val="32"/>
        </w:rPr>
      </w:pPr>
      <w:r>
        <w:rPr>
          <w:rFonts w:hint="eastAsia"/>
          <w:b/>
          <w:color w:val="000000"/>
          <w:sz w:val="32"/>
          <w:szCs w:val="32"/>
          <w:highlight w:val="white"/>
        </w:rPr>
        <w:t>一、总则</w:t>
      </w: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000000"/>
          <w:sz w:val="24"/>
          <w:highlight w:val="white"/>
        </w:rPr>
        <w:t>1.预算资金及来源</w:t>
      </w:r>
    </w:p>
    <w:p>
      <w:pPr>
        <w:topLinePunct/>
        <w:autoSpaceDE w:val="0"/>
        <w:autoSpaceDN w:val="0"/>
        <w:adjustRightInd w:val="0"/>
        <w:snapToGrid w:val="0"/>
        <w:spacing w:after="0" w:line="360" w:lineRule="auto"/>
        <w:ind w:left="432"/>
        <w:rPr>
          <w:rFonts w:ascii="宋体" w:hAnsi="宋体" w:cs="宋体"/>
          <w:color w:val="auto"/>
          <w:sz w:val="24"/>
        </w:rPr>
      </w:pPr>
      <w:r>
        <w:rPr>
          <w:rFonts w:hint="eastAsia" w:ascii="宋体" w:hAnsi="宋体" w:cs="宋体"/>
          <w:color w:val="000000"/>
          <w:sz w:val="24"/>
          <w:highlight w:val="white"/>
        </w:rPr>
        <w:t>1.1 本项目已批准立项。</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000000"/>
          <w:sz w:val="24"/>
          <w:highlight w:val="white"/>
        </w:rPr>
        <w:t>1.2 本项目预算资金见</w:t>
      </w:r>
      <w:r>
        <w:rPr>
          <w:rFonts w:hint="eastAsia" w:ascii="宋体" w:hAnsi="宋体" w:cs="宋体"/>
          <w:b/>
          <w:bCs/>
          <w:color w:val="000000"/>
          <w:sz w:val="24"/>
          <w:highlight w:val="white"/>
        </w:rPr>
        <w:t>投标人须知前附表</w:t>
      </w:r>
      <w:r>
        <w:rPr>
          <w:rFonts w:hint="eastAsia" w:ascii="宋体" w:hAnsi="宋体" w:cs="宋体"/>
          <w:color w:val="000000"/>
          <w:sz w:val="24"/>
          <w:highlight w:val="white"/>
        </w:rPr>
        <w:t>，已列入预算。</w:t>
      </w:r>
    </w:p>
    <w:p>
      <w:pPr>
        <w:topLinePunct/>
        <w:autoSpaceDE w:val="0"/>
        <w:autoSpaceDN w:val="0"/>
        <w:adjustRightInd w:val="0"/>
        <w:snapToGrid w:val="0"/>
        <w:spacing w:after="0" w:line="360" w:lineRule="auto"/>
        <w:rPr>
          <w:rFonts w:ascii="宋体" w:hAnsi="宋体" w:cs="宋体"/>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2.合格的产品和服务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 本项目所涉及的</w:t>
      </w:r>
      <w:r>
        <w:rPr>
          <w:rFonts w:hint="eastAsia" w:ascii="宋体" w:hAnsi="宋体" w:cs="宋体"/>
          <w:color w:val="000000"/>
          <w:sz w:val="24"/>
          <w:highlight w:val="white"/>
          <w:lang w:eastAsia="zh-CN"/>
        </w:rPr>
        <w:t>所有产品和</w:t>
      </w:r>
      <w:r>
        <w:rPr>
          <w:rFonts w:hint="eastAsia" w:ascii="宋体" w:hAnsi="宋体" w:cs="宋体"/>
          <w:color w:val="000000"/>
          <w:sz w:val="24"/>
          <w:highlight w:val="white"/>
        </w:rPr>
        <w:t>服务均应来自中国境内（指关境内），合同金额的支付也仅限于这些产品和服务。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 合格的产品和服务即</w:t>
      </w:r>
      <w:r>
        <w:rPr>
          <w:rFonts w:hint="eastAsia" w:ascii="宋体" w:hAnsi="宋体" w:cs="宋体"/>
          <w:b/>
          <w:bCs/>
          <w:color w:val="000000"/>
          <w:sz w:val="24"/>
          <w:highlight w:val="white"/>
        </w:rPr>
        <w:t>采购需求</w:t>
      </w:r>
      <w:r>
        <w:rPr>
          <w:rFonts w:hint="eastAsia" w:ascii="宋体" w:hAnsi="宋体" w:cs="宋体"/>
          <w:color w:val="000000"/>
          <w:sz w:val="24"/>
          <w:highlight w:val="white"/>
        </w:rPr>
        <w:t>见</w:t>
      </w:r>
      <w:r>
        <w:rPr>
          <w:rFonts w:hint="eastAsia" w:ascii="宋体" w:hAnsi="宋体" w:cs="宋体"/>
          <w:b/>
          <w:color w:val="000000"/>
          <w:sz w:val="24"/>
          <w:highlight w:val="white"/>
        </w:rPr>
        <w:t>招标文件（技术部分）。</w:t>
      </w:r>
    </w:p>
    <w:p>
      <w:pPr>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 投标人应保证所提供的产品及服务免受第三方提出侵犯其知识产权（专利权、商标权、工业设计权及使用权）的请求及起诉。</w:t>
      </w:r>
    </w:p>
    <w:p>
      <w:pPr>
        <w:adjustRightInd w:val="0"/>
        <w:snapToGrid w:val="0"/>
        <w:spacing w:after="0" w:line="360" w:lineRule="auto"/>
        <w:ind w:firstLine="472" w:firstLineChars="196"/>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3.合格的投标人</w:t>
      </w:r>
    </w:p>
    <w:p>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hint="eastAsia" w:ascii="宋体" w:hAnsi="宋体" w:cs="宋体"/>
          <w:color w:val="000000"/>
          <w:sz w:val="24"/>
          <w:highlight w:val="white"/>
        </w:rPr>
        <w:t>3.1 投标人的资格要求及本项目的特定资格要求见</w:t>
      </w:r>
      <w:r>
        <w:rPr>
          <w:rFonts w:hint="eastAsia" w:ascii="宋体" w:hAnsi="宋体" w:cs="宋体"/>
          <w:b/>
          <w:color w:val="000000"/>
          <w:sz w:val="24"/>
          <w:highlight w:val="white"/>
        </w:rPr>
        <w:t>投标人须知前附表。</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000000"/>
          <w:sz w:val="24"/>
          <w:highlight w:val="white"/>
        </w:rPr>
        <w:t>3.2 投标人相关要求</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000000"/>
          <w:sz w:val="24"/>
          <w:highlight w:val="white"/>
        </w:rPr>
        <w:t>3.2.1 单位负责人为同一人或者存在直接控股、管理关系的不同供应商，不得参加同一合同项下的政府采购活动。</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000000"/>
          <w:sz w:val="24"/>
          <w:highlight w:val="white"/>
        </w:rPr>
        <w:t>3.2.2 为采购项目提供整体设计、规范编制或者项目管理、监理、检测等服务的供应商，不得再参加该采购项目的其他采购活动。</w:t>
      </w:r>
    </w:p>
    <w:p>
      <w:pPr>
        <w:adjustRightInd w:val="0"/>
        <w:snapToGrid w:val="0"/>
        <w:spacing w:after="0" w:line="360" w:lineRule="auto"/>
        <w:ind w:firstLine="434" w:firstLineChars="180"/>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4.投标费用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4.1 投标人应承担所有与编写、提交投标文件有关的费用，不论招标的结果如何，采购人在任何情况下均无义务和责任承担这些费用。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二、  招标文件</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5.招标文件构成</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第一部分 商务部分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（1）招标公告</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（2）投标人须知</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（3）评标方法及标准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（4）政府采购合同文本</w:t>
      </w:r>
    </w:p>
    <w:p>
      <w:pPr>
        <w:topLinePunct/>
        <w:autoSpaceDE w:val="0"/>
        <w:autoSpaceDN w:val="0"/>
        <w:adjustRightInd w:val="0"/>
        <w:snapToGrid w:val="0"/>
        <w:spacing w:after="0" w:line="360" w:lineRule="auto"/>
        <w:ind w:left="359" w:leftChars="171" w:firstLine="120" w:firstLineChars="50"/>
        <w:rPr>
          <w:rFonts w:hint="eastAsia" w:ascii="宋体" w:hAnsi="宋体" w:eastAsia="宋体" w:cs="宋体"/>
          <w:color w:val="auto"/>
          <w:sz w:val="24"/>
          <w:highlight w:val="none"/>
          <w:lang w:eastAsia="zh-CN"/>
        </w:rPr>
      </w:pPr>
      <w:r>
        <w:rPr>
          <w:rFonts w:hint="eastAsia" w:ascii="宋体" w:hAnsi="宋体" w:cs="宋体"/>
          <w:color w:val="000000"/>
          <w:sz w:val="24"/>
          <w:highlight w:val="white"/>
        </w:rPr>
        <w:t>（5）投标文件格式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第二部分 技术部分</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000000"/>
          <w:sz w:val="24"/>
          <w:highlight w:val="white"/>
        </w:rPr>
        <w:t>6.招标文件询问、澄清或修改</w:t>
      </w:r>
    </w:p>
    <w:p>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hint="eastAsia" w:ascii="宋体" w:hAnsi="宋体" w:cs="宋体"/>
          <w:color w:val="000000"/>
          <w:sz w:val="24"/>
          <w:highlight w:val="white"/>
        </w:rPr>
        <w:t>6.1 投标人对招标文件如有疑问的，可以向采购人提出询问，采购人应当在3个工作日内作出答复</w:t>
      </w:r>
      <w:r>
        <w:rPr>
          <w:rFonts w:hint="eastAsia" w:ascii="宋体" w:hAnsi="宋体" w:cs="宋体"/>
          <w:bCs/>
          <w:color w:val="000000"/>
          <w:sz w:val="24"/>
          <w:highlight w:val="white"/>
        </w:rPr>
        <w:t>，但答复的内容不得涉及商业秘密。</w:t>
      </w:r>
      <w:r>
        <w:rPr>
          <w:rFonts w:hint="eastAsia" w:ascii="宋体" w:hAnsi="宋体" w:cs="宋体"/>
          <w:color w:val="000000"/>
          <w:sz w:val="24"/>
          <w:highlight w:val="white"/>
        </w:rPr>
        <w:t>如有必要，采购人可对招标文件进行澄清或者修改。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6.2 采购人可主动对招标文件进行必要的澄清或者修改，但不得改变采购标的和资格条件。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6.3 澄清或者修改应当在原公告发布媒体上发布更正公告，</w:t>
      </w:r>
      <w:r>
        <w:rPr>
          <w:rFonts w:hint="eastAsia" w:ascii="宋体" w:hAnsi="宋体"/>
          <w:color w:val="000000"/>
          <w:sz w:val="24"/>
          <w:highlight w:val="white"/>
        </w:rPr>
        <w:t>并通过国家税务总局政府采购评审管理系统（以下简称“评审管理系统”）通知所有获取</w:t>
      </w:r>
      <w:r>
        <w:rPr>
          <w:rFonts w:hint="eastAsia" w:ascii="宋体" w:hAnsi="宋体" w:cs="宋体"/>
          <w:color w:val="000000"/>
          <w:sz w:val="24"/>
          <w:highlight w:val="white"/>
        </w:rPr>
        <w:t>招标文件的潜在投标人。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6.4 澄清或者修改的内容可能影响投标文件编制的，采购人应当在投标截止时间至少15日前，</w:t>
      </w:r>
      <w:r>
        <w:rPr>
          <w:rFonts w:hint="eastAsia" w:ascii="宋体" w:hAnsi="宋体"/>
          <w:color w:val="000000"/>
          <w:sz w:val="24"/>
          <w:highlight w:val="white"/>
        </w:rPr>
        <w:t>通过评审管理系统通知</w:t>
      </w:r>
      <w:r>
        <w:rPr>
          <w:rFonts w:hint="eastAsia" w:ascii="宋体" w:hAnsi="宋体" w:cs="宋体"/>
          <w:color w:val="000000"/>
          <w:sz w:val="24"/>
          <w:highlight w:val="white"/>
        </w:rPr>
        <w:t>所有获取招标文件的潜在投标人；不足15日的，采购人应当顺延提交投标文件的截止时间。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6.5 澄清或者修改的内容为招标文件的组成部分。</w:t>
      </w:r>
    </w:p>
    <w:p>
      <w:pPr>
        <w:topLinePunct/>
        <w:autoSpaceDE w:val="0"/>
        <w:autoSpaceDN w:val="0"/>
        <w:adjustRightInd w:val="0"/>
        <w:snapToGrid w:val="0"/>
        <w:spacing w:after="0" w:line="360" w:lineRule="auto"/>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color w:val="auto"/>
          <w:sz w:val="24"/>
        </w:rPr>
      </w:pPr>
      <w:r>
        <w:rPr>
          <w:rFonts w:hint="eastAsia" w:ascii="宋体" w:hAnsi="宋体" w:cs="宋体"/>
          <w:b/>
          <w:bCs/>
          <w:color w:val="000000"/>
          <w:sz w:val="32"/>
          <w:szCs w:val="32"/>
          <w:highlight w:val="white"/>
        </w:rPr>
        <w:t>三、投标文件</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7</w:t>
      </w:r>
      <w:r>
        <w:rPr>
          <w:rFonts w:hint="eastAsia" w:ascii="宋体" w:hAnsi="宋体" w:cs="宋体"/>
          <w:color w:val="000000"/>
          <w:szCs w:val="21"/>
          <w:highlight w:val="white"/>
        </w:rPr>
        <w:t>．</w:t>
      </w:r>
      <w:r>
        <w:rPr>
          <w:rFonts w:hint="eastAsia" w:ascii="宋体" w:hAnsi="宋体" w:cs="宋体"/>
          <w:b/>
          <w:color w:val="000000"/>
          <w:sz w:val="24"/>
          <w:highlight w:val="white"/>
        </w:rPr>
        <w:t>投标文件编制</w:t>
      </w:r>
    </w:p>
    <w:p>
      <w:pPr>
        <w:topLinePunct/>
        <w:autoSpaceDE w:val="0"/>
        <w:autoSpaceDN w:val="0"/>
        <w:adjustRightInd w:val="0"/>
        <w:snapToGrid w:val="0"/>
        <w:spacing w:after="0" w:line="360" w:lineRule="auto"/>
        <w:ind w:firstLine="480" w:firstLineChars="200"/>
        <w:rPr>
          <w:rFonts w:ascii="宋体" w:hAnsi="宋体" w:eastAsia="Times New Roman" w:cs="宋体"/>
          <w:color w:val="auto"/>
          <w:sz w:val="24"/>
        </w:rPr>
      </w:pPr>
      <w:r>
        <w:rPr>
          <w:rFonts w:hint="eastAsia" w:ascii="宋体" w:hAnsi="宋体" w:cs="宋体"/>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7.2 投标文件应使用中文简化字。</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7.4 除在招标文件的要求中另有规定外，投标文件计量单位应使用中华人民共和国法定计量单位。</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8.投标文件的组成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8.1 投标文件包括商务部分和技术部分。</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000000"/>
          <w:sz w:val="24"/>
          <w:highlight w:val="white"/>
        </w:rPr>
        <w:t>8.2 投标文件</w:t>
      </w:r>
      <w:r>
        <w:rPr>
          <w:rFonts w:hint="eastAsia" w:ascii="宋体" w:hAnsi="宋体" w:cs="宋体"/>
          <w:b/>
          <w:bCs/>
          <w:color w:val="000000"/>
          <w:sz w:val="24"/>
          <w:highlight w:val="white"/>
        </w:rPr>
        <w:t>商务部分</w:t>
      </w:r>
      <w:r>
        <w:rPr>
          <w:rFonts w:hint="eastAsia" w:ascii="宋体" w:hAnsi="宋体" w:cs="宋体"/>
          <w:color w:val="000000"/>
          <w:sz w:val="24"/>
          <w:highlight w:val="white"/>
        </w:rPr>
        <w:t>主要包括的文件和资料：</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000000"/>
          <w:sz w:val="24"/>
          <w:highlight w:val="white"/>
        </w:rPr>
        <w:t>8.2.1 资格证明文件，见</w:t>
      </w:r>
      <w:r>
        <w:rPr>
          <w:rFonts w:hint="eastAsia" w:ascii="宋体" w:hAnsi="宋体" w:cs="宋体"/>
          <w:b/>
          <w:color w:val="000000"/>
          <w:sz w:val="24"/>
          <w:highlight w:val="white"/>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8.2.2 其他文件及资料，见</w:t>
      </w:r>
      <w:r>
        <w:rPr>
          <w:rFonts w:hint="eastAsia" w:ascii="宋体" w:hAnsi="宋体" w:cs="宋体"/>
          <w:b/>
          <w:color w:val="000000"/>
          <w:sz w:val="24"/>
          <w:highlight w:val="white"/>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8.3 投标文件</w:t>
      </w:r>
      <w:r>
        <w:rPr>
          <w:rFonts w:hint="eastAsia" w:ascii="宋体" w:hAnsi="宋体" w:cs="宋体"/>
          <w:b/>
          <w:bCs/>
          <w:color w:val="000000"/>
          <w:sz w:val="24"/>
          <w:highlight w:val="white"/>
        </w:rPr>
        <w:t>技术部分</w:t>
      </w:r>
      <w:r>
        <w:rPr>
          <w:rFonts w:hint="eastAsia" w:ascii="宋体" w:hAnsi="宋体" w:cs="宋体"/>
          <w:color w:val="000000"/>
          <w:sz w:val="24"/>
          <w:highlight w:val="white"/>
        </w:rPr>
        <w:t>主要包括的文件及资料，见</w:t>
      </w:r>
      <w:r>
        <w:rPr>
          <w:rFonts w:hint="eastAsia" w:ascii="宋体" w:hAnsi="宋体" w:cs="宋体"/>
          <w:b/>
          <w:color w:val="000000"/>
          <w:sz w:val="24"/>
          <w:highlight w:val="white"/>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8.4 证明资料如标明有效期的，必须在有效期内。</w:t>
      </w:r>
    </w:p>
    <w:p>
      <w:pPr>
        <w:overflowPunct w:val="0"/>
        <w:autoSpaceDE w:val="0"/>
        <w:autoSpaceDN w:val="0"/>
        <w:adjustRightInd w:val="0"/>
        <w:snapToGrid w:val="0"/>
        <w:spacing w:after="0" w:line="360" w:lineRule="auto"/>
        <w:ind w:firstLine="489" w:firstLineChars="203"/>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9.报价要求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9.1 投标应以人民币报价，且必须按照投标工具的流程和提示编制并上传投标报价表。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9.2 本项目不接受任何形式的赠送、“零”报价和折扣报价。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9.3 本项目以投标报价为依据计算价格分。投标报价应包括招标文件中要求投标人承担所有工作内容的全部费用。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9.5 最低报价不能作为中标的保证。</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10.投标文件的签署、盖章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10.1 投标文件</w:t>
      </w:r>
      <w:r>
        <w:rPr>
          <w:rFonts w:hint="eastAsia" w:ascii="宋体" w:hAnsi="宋体"/>
          <w:color w:val="000000"/>
          <w:sz w:val="24"/>
          <w:highlight w:val="white"/>
        </w:rPr>
        <w:t>必须按照招标文件给出文件格式的签署要求进行</w:t>
      </w:r>
      <w:r>
        <w:rPr>
          <w:rFonts w:hint="eastAsia" w:ascii="宋体" w:hAnsi="宋体"/>
          <w:b/>
          <w:color w:val="000000"/>
          <w:sz w:val="24"/>
          <w:highlight w:val="white"/>
        </w:rPr>
        <w:t>电子</w:t>
      </w:r>
      <w:r>
        <w:rPr>
          <w:rFonts w:hint="eastAsia" w:ascii="宋体" w:hAnsi="宋体"/>
          <w:color w:val="000000"/>
          <w:sz w:val="24"/>
          <w:highlight w:val="white"/>
        </w:rPr>
        <w:t>签署。</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10.2 投标人在</w:t>
      </w:r>
      <w:r>
        <w:rPr>
          <w:rFonts w:hint="eastAsia" w:ascii="宋体" w:hAnsi="宋体" w:cs="宋体"/>
          <w:b/>
          <w:bCs/>
          <w:color w:val="000000"/>
          <w:sz w:val="24"/>
          <w:highlight w:val="white"/>
        </w:rPr>
        <w:t>“投标函”“法定代表人授权委托书”</w:t>
      </w:r>
      <w:r>
        <w:rPr>
          <w:rFonts w:hint="eastAsia" w:ascii="宋体" w:hAnsi="宋体" w:cs="宋体"/>
          <w:color w:val="000000"/>
          <w:sz w:val="24"/>
          <w:highlight w:val="white"/>
        </w:rPr>
        <w:t>上应当按格式要求加盖与投标人名称全称一致的标准公章，并</w:t>
      </w:r>
      <w:r>
        <w:rPr>
          <w:rFonts w:hint="eastAsia" w:ascii="宋体" w:hAnsi="宋体" w:cs="宋体"/>
          <w:color w:val="000000"/>
          <w:sz w:val="24"/>
          <w:highlight w:val="white"/>
          <w:lang w:eastAsia="zh-CN"/>
        </w:rPr>
        <w:t>按照招标文件第五章投标文件格式中的相应格式文件要求</w:t>
      </w:r>
      <w:r>
        <w:rPr>
          <w:rFonts w:hint="eastAsia" w:ascii="宋体" w:hAnsi="宋体" w:cs="宋体"/>
          <w:color w:val="000000"/>
          <w:sz w:val="24"/>
          <w:highlight w:val="white"/>
        </w:rPr>
        <w:t>签署全名或加盖名章。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10.3 投标文件中的“盖章”指加盖投标人的“公章”，而非“合同专用章”、“投标专用章”等其他非公章。</w:t>
      </w:r>
    </w:p>
    <w:p>
      <w:pPr>
        <w:topLinePunct/>
        <w:autoSpaceDE w:val="0"/>
        <w:autoSpaceDN w:val="0"/>
        <w:adjustRightInd w:val="0"/>
        <w:snapToGrid w:val="0"/>
        <w:spacing w:after="0" w:line="360" w:lineRule="auto"/>
        <w:ind w:firstLine="489" w:firstLineChars="204"/>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11</w:t>
      </w:r>
      <w:r>
        <w:rPr>
          <w:rFonts w:hint="eastAsia" w:ascii="宋体" w:hAnsi="宋体" w:cs="宋体"/>
          <w:color w:val="000000"/>
          <w:szCs w:val="21"/>
          <w:highlight w:val="white"/>
        </w:rPr>
        <w:t>．</w:t>
      </w:r>
      <w:r>
        <w:rPr>
          <w:rFonts w:hint="eastAsia" w:ascii="宋体" w:hAnsi="宋体" w:cs="宋体"/>
          <w:b/>
          <w:color w:val="000000"/>
          <w:sz w:val="24"/>
          <w:highlight w:val="white"/>
        </w:rPr>
        <w:t>投标有效期</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11.1 投标有效期见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11.2 特殊情况下，在原投标有效期期满之前，采购人可征得投标人同意延长投标有效期。</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四、投标文件递交</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12</w:t>
      </w:r>
      <w:r>
        <w:rPr>
          <w:rFonts w:hint="eastAsia" w:ascii="宋体" w:hAnsi="宋体" w:cs="宋体"/>
          <w:color w:val="000000"/>
          <w:szCs w:val="21"/>
          <w:highlight w:val="white"/>
        </w:rPr>
        <w:t>．</w:t>
      </w:r>
      <w:r>
        <w:rPr>
          <w:rFonts w:hint="eastAsia" w:ascii="宋体" w:hAnsi="宋体" w:cs="宋体"/>
          <w:b/>
          <w:color w:val="000000"/>
          <w:sz w:val="24"/>
          <w:highlight w:val="white"/>
        </w:rPr>
        <w:t>投标文件递交</w:t>
      </w:r>
    </w:p>
    <w:p>
      <w:pPr>
        <w:topLinePunct/>
        <w:autoSpaceDE w:val="0"/>
        <w:autoSpaceDN w:val="0"/>
        <w:adjustRightInd w:val="0"/>
        <w:snapToGrid w:val="0"/>
        <w:spacing w:after="0" w:line="360" w:lineRule="auto"/>
        <w:ind w:firstLine="480" w:firstLineChars="200"/>
        <w:rPr>
          <w:rFonts w:hint="eastAsia" w:ascii="宋体" w:hAnsi="宋体" w:eastAsia="宋体" w:cs="宋体"/>
          <w:color w:val="auto"/>
          <w:sz w:val="24"/>
          <w:lang w:eastAsia="zh-CN"/>
        </w:rPr>
      </w:pPr>
      <w:r>
        <w:rPr>
          <w:rFonts w:hint="eastAsia" w:ascii="宋体" w:hAnsi="宋体" w:cs="宋体"/>
          <w:color w:val="000000"/>
          <w:sz w:val="24"/>
          <w:highlight w:val="white"/>
        </w:rPr>
        <w:t>12.1 投标人应当在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hint="eastAsia" w:ascii="宋体" w:hAnsi="宋体" w:cs="宋体"/>
          <w:color w:val="000000"/>
          <w:sz w:val="24"/>
          <w:highlight w:val="white"/>
          <w:lang w:eastAsia="zh-CN"/>
        </w:rPr>
        <w:t>投标人应充分考虑网络传输时间等因素，合理安排上传时间。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12.2 提交投标文件截止时间后，评审管理系统不提供投标文件上传功能。投标人未完成投标文件上传的，投标将被拒绝。</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　　</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13</w:t>
      </w:r>
      <w:r>
        <w:rPr>
          <w:rFonts w:hint="eastAsia" w:ascii="宋体" w:hAnsi="宋体" w:cs="宋体"/>
          <w:color w:val="000000"/>
          <w:szCs w:val="21"/>
          <w:highlight w:val="white"/>
        </w:rPr>
        <w:t>．</w:t>
      </w:r>
      <w:r>
        <w:rPr>
          <w:rFonts w:hint="eastAsia" w:ascii="宋体" w:hAnsi="宋体" w:cs="宋体"/>
          <w:b/>
          <w:color w:val="000000"/>
          <w:sz w:val="24"/>
          <w:highlight w:val="white"/>
        </w:rPr>
        <w:t>投标文件补充、修改或撤回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13.1 投标人在投标截止时间前，可以登录评审管理系统对所提交的投标文件进行撤回、补充、修改、重新提交</w:t>
      </w:r>
      <w:r>
        <w:rPr>
          <w:rFonts w:hint="eastAsia" w:ascii="宋体" w:hAnsi="宋体"/>
          <w:color w:val="000000"/>
          <w:sz w:val="24"/>
          <w:highlight w:val="white"/>
        </w:rPr>
        <w:t>。</w:t>
      </w:r>
      <w:r>
        <w:rPr>
          <w:rFonts w:hint="eastAsia" w:ascii="宋体" w:hAnsi="宋体" w:cs="宋体"/>
          <w:color w:val="000000"/>
          <w:sz w:val="24"/>
          <w:highlight w:val="white"/>
        </w:rPr>
        <w:t>补充、修改的内容应当按照招标文件要求签署、盖章。</w:t>
      </w:r>
    </w:p>
    <w:p>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000000"/>
          <w:sz w:val="24"/>
          <w:highlight w:val="white"/>
        </w:rPr>
        <w:t>13.2 提交投标文件截止时间后，评审管理系统不</w:t>
      </w:r>
      <w:r>
        <w:rPr>
          <w:rFonts w:hint="eastAsia" w:ascii="宋体" w:hAnsi="宋体" w:cs="宋体"/>
          <w:color w:val="000000"/>
          <w:sz w:val="24"/>
          <w:highlight w:val="white"/>
          <w:lang w:eastAsia="zh-CN"/>
        </w:rPr>
        <w:t>支持</w:t>
      </w:r>
      <w:r>
        <w:rPr>
          <w:rFonts w:hint="eastAsia" w:ascii="宋体" w:hAnsi="宋体" w:cs="宋体"/>
          <w:color w:val="000000"/>
          <w:sz w:val="24"/>
          <w:highlight w:val="white"/>
        </w:rPr>
        <w:t>对已提交的投标文件作任何补充、修改或者撤回。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五、开标与评标</w:t>
      </w:r>
    </w:p>
    <w:p>
      <w:pPr>
        <w:topLinePunct/>
        <w:autoSpaceDE w:val="0"/>
        <w:autoSpaceDN w:val="0"/>
        <w:adjustRightInd w:val="0"/>
        <w:snapToGrid w:val="0"/>
        <w:spacing w:after="0" w:line="360" w:lineRule="auto"/>
        <w:ind w:firstLine="482" w:firstLineChars="200"/>
        <w:rPr>
          <w:rFonts w:ascii="宋体" w:hAnsi="宋体" w:cs="宋体"/>
          <w:color w:val="auto"/>
          <w:sz w:val="24"/>
        </w:rPr>
      </w:pPr>
      <w:r>
        <w:rPr>
          <w:rFonts w:hint="eastAsia" w:ascii="宋体" w:hAnsi="宋体" w:cs="宋体"/>
          <w:b/>
          <w:color w:val="000000"/>
          <w:sz w:val="24"/>
          <w:highlight w:val="white"/>
        </w:rPr>
        <w:t>14</w:t>
      </w:r>
      <w:r>
        <w:rPr>
          <w:rFonts w:hint="eastAsia" w:ascii="宋体" w:hAnsi="宋体" w:cs="宋体"/>
          <w:color w:val="000000"/>
          <w:szCs w:val="21"/>
          <w:highlight w:val="white"/>
        </w:rPr>
        <w:t>．</w:t>
      </w:r>
      <w:r>
        <w:rPr>
          <w:rFonts w:hint="eastAsia" w:ascii="宋体" w:hAnsi="宋体" w:cs="宋体"/>
          <w:b/>
          <w:color w:val="000000"/>
          <w:sz w:val="24"/>
          <w:highlight w:val="white"/>
        </w:rPr>
        <w:t>开标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14.1 采购人将在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规定的时间进行电子开标，采购人将对开标、评标现场活动进行全程录音录像，音像资料作为采购文件一并存档。开标由采购人主持，投标人通过登录评审管理系统进入开标大厅远程参加。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 xml:space="preserve">14.2 </w:t>
      </w:r>
      <w:r>
        <w:rPr>
          <w:rFonts w:hint="eastAsia" w:ascii="宋体" w:hAnsi="宋体"/>
          <w:color w:val="000000"/>
          <w:sz w:val="24"/>
          <w:highlight w:val="white"/>
        </w:rPr>
        <w:t>提交投标文件截止时间后进入解密程序，由采购人对所有完成投递的电子投标文件进行解密。</w:t>
      </w:r>
      <w:r>
        <w:rPr>
          <w:rFonts w:hint="eastAsia" w:ascii="宋体" w:hAnsi="宋体" w:cs="宋体"/>
          <w:color w:val="000000"/>
          <w:sz w:val="24"/>
          <w:highlight w:val="white"/>
        </w:rPr>
        <w:t>投标人不足3家的，不进入解密程序。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14.3 解密完成后，进行电子</w:t>
      </w:r>
      <w:r>
        <w:rPr>
          <w:rFonts w:hint="eastAsia" w:ascii="宋体" w:hAnsi="宋体" w:cs="宋体"/>
          <w:color w:val="000000"/>
          <w:sz w:val="24"/>
          <w:highlight w:val="white"/>
          <w:lang w:eastAsia="zh-CN"/>
        </w:rPr>
        <w:t>开</w:t>
      </w:r>
      <w:r>
        <w:rPr>
          <w:rFonts w:hint="eastAsia" w:ascii="宋体" w:hAnsi="宋体" w:cs="宋体"/>
          <w:color w:val="000000"/>
          <w:sz w:val="24"/>
          <w:highlight w:val="white"/>
        </w:rPr>
        <w:t>标。</w:t>
      </w:r>
      <w:r>
        <w:rPr>
          <w:rFonts w:hint="eastAsia" w:ascii="宋体" w:hAnsi="宋体" w:cs="宋体"/>
          <w:color w:val="000000"/>
          <w:sz w:val="24"/>
          <w:highlight w:val="white"/>
          <w:lang w:eastAsia="zh-CN"/>
        </w:rPr>
        <w:t>开标</w:t>
      </w:r>
      <w:r>
        <w:rPr>
          <w:rFonts w:hint="eastAsia" w:ascii="宋体" w:hAnsi="宋体" w:cs="宋体"/>
          <w:color w:val="000000"/>
          <w:sz w:val="24"/>
          <w:highlight w:val="white"/>
        </w:rPr>
        <w:t>结束后，采购人发起开标结果确认，</w:t>
      </w:r>
      <w:r>
        <w:rPr>
          <w:rFonts w:hint="eastAsia" w:ascii="宋体" w:hAnsi="宋体"/>
          <w:color w:val="000000"/>
          <w:sz w:val="24"/>
          <w:highlight w:val="white"/>
        </w:rPr>
        <w:t>投标人在开标大厅于规定时间内确认开标结果，未</w:t>
      </w:r>
      <w:r>
        <w:rPr>
          <w:rFonts w:hint="eastAsia" w:ascii="宋体" w:hAnsi="宋体"/>
          <w:color w:val="000000"/>
          <w:sz w:val="24"/>
          <w:highlight w:val="white"/>
          <w:lang w:eastAsia="zh-CN"/>
        </w:rPr>
        <w:t>按时</w:t>
      </w:r>
      <w:r>
        <w:rPr>
          <w:rFonts w:hint="eastAsia" w:ascii="宋体" w:hAnsi="宋体"/>
          <w:color w:val="000000"/>
          <w:sz w:val="24"/>
          <w:highlight w:val="white"/>
        </w:rPr>
        <w:t>确认的系统将自动确认。</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14.4 投标人未参加开标的，视同认可开标结果。</w:t>
      </w:r>
    </w:p>
    <w:p>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14.6 未解密或解密失败的</w:t>
      </w:r>
      <w:r>
        <w:rPr>
          <w:rFonts w:hint="eastAsia" w:ascii="宋体" w:hAnsi="宋体" w:cs="宋体"/>
          <w:color w:val="000000"/>
          <w:sz w:val="24"/>
          <w:highlight w:val="white"/>
          <w:lang w:eastAsia="zh-CN"/>
        </w:rPr>
        <w:t>投标文件，</w:t>
      </w:r>
      <w:r>
        <w:rPr>
          <w:rFonts w:hint="eastAsia" w:ascii="宋体" w:hAnsi="宋体" w:cs="宋体"/>
          <w:color w:val="000000"/>
          <w:sz w:val="24"/>
          <w:highlight w:val="white"/>
        </w:rPr>
        <w:t>按无效投标处理。若解密成功的投标人不足3家，不进入后续程序。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15</w:t>
      </w:r>
      <w:r>
        <w:rPr>
          <w:rFonts w:hint="eastAsia" w:ascii="宋体" w:hAnsi="宋体" w:cs="宋体"/>
          <w:color w:val="000000"/>
          <w:szCs w:val="21"/>
          <w:highlight w:val="white"/>
        </w:rPr>
        <w:t>．</w:t>
      </w:r>
      <w:r>
        <w:rPr>
          <w:rFonts w:hint="eastAsia" w:ascii="宋体" w:hAnsi="宋体" w:cs="宋体"/>
          <w:b/>
          <w:color w:val="000000"/>
          <w:sz w:val="24"/>
          <w:highlight w:val="white"/>
        </w:rPr>
        <w:t>投标资格审查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15.1 采购人依法对投标人的资格进行审查，以确定投标人是否具备投标资格。</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15.1.1 审查投标人按照</w:t>
      </w:r>
      <w:r>
        <w:rPr>
          <w:rFonts w:hint="eastAsia" w:ascii="宋体" w:hAnsi="宋体" w:cs="宋体"/>
          <w:color w:val="000000"/>
          <w:sz w:val="24"/>
          <w:highlight w:val="white"/>
          <w:lang w:val="en-US" w:eastAsia="zh-CN"/>
        </w:rPr>
        <w:t>8.2.1</w:t>
      </w:r>
      <w:r>
        <w:rPr>
          <w:rFonts w:hint="eastAsia" w:ascii="宋体" w:hAnsi="宋体" w:cs="宋体"/>
          <w:color w:val="000000"/>
          <w:sz w:val="24"/>
          <w:highlight w:val="white"/>
        </w:rPr>
        <w:t>提交的</w:t>
      </w:r>
      <w:r>
        <w:rPr>
          <w:rFonts w:hint="eastAsia" w:ascii="宋体" w:hAnsi="宋体" w:cs="宋体"/>
          <w:b/>
          <w:color w:val="000000"/>
          <w:sz w:val="24"/>
          <w:highlight w:val="white"/>
        </w:rPr>
        <w:t>“资格证明文件”</w:t>
      </w:r>
      <w:r>
        <w:rPr>
          <w:rFonts w:hint="eastAsia" w:ascii="宋体" w:hAnsi="宋体" w:cs="宋体"/>
          <w:color w:val="000000"/>
          <w:sz w:val="24"/>
          <w:highlight w:val="white"/>
        </w:rPr>
        <w:t>。</w:t>
      </w:r>
    </w:p>
    <w:p>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hint="eastAsia" w:ascii="宋体" w:hAnsi="宋体" w:cs="宋体"/>
          <w:color w:val="000000"/>
          <w:sz w:val="24"/>
          <w:highlight w:val="white"/>
        </w:rPr>
        <w:t>15.1.2 信用记录审查。</w:t>
      </w:r>
      <w:r>
        <w:rPr>
          <w:rFonts w:hint="eastAsia" w:ascii="宋体" w:hAnsi="宋体" w:cs="宋体"/>
          <w:b/>
          <w:bCs/>
          <w:color w:val="000000"/>
          <w:sz w:val="24"/>
          <w:highlight w:val="white"/>
        </w:rPr>
        <w:t>见投标人须知前附表。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15.2 未通过资格审查的投标人，其投标无效。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15.3 合格投标人不足3家的，不得评标。</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16</w:t>
      </w:r>
      <w:r>
        <w:rPr>
          <w:rFonts w:hint="eastAsia" w:ascii="宋体" w:hAnsi="宋体" w:cs="宋体"/>
          <w:color w:val="000000"/>
          <w:szCs w:val="21"/>
          <w:highlight w:val="white"/>
        </w:rPr>
        <w:t>．</w:t>
      </w:r>
      <w:r>
        <w:rPr>
          <w:rFonts w:hint="eastAsia" w:ascii="宋体" w:hAnsi="宋体" w:cs="宋体"/>
          <w:b/>
          <w:color w:val="000000"/>
          <w:sz w:val="24"/>
          <w:highlight w:val="white"/>
        </w:rPr>
        <w:t>评标委员会的组成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16.1 根据有关法律法规规定组建评标委员会，评标委员会由采购人代表和评审专家组成。</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17</w:t>
      </w:r>
      <w:r>
        <w:rPr>
          <w:rFonts w:hint="eastAsia" w:ascii="宋体" w:hAnsi="宋体" w:cs="宋体"/>
          <w:color w:val="000000"/>
          <w:szCs w:val="21"/>
          <w:highlight w:val="white"/>
        </w:rPr>
        <w:t>．</w:t>
      </w:r>
      <w:r>
        <w:rPr>
          <w:rFonts w:hint="eastAsia" w:ascii="宋体" w:hAnsi="宋体" w:cs="宋体"/>
          <w:b/>
          <w:color w:val="000000"/>
          <w:sz w:val="24"/>
          <w:highlight w:val="white"/>
        </w:rPr>
        <w:t>投标符合性审查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17.1 评标委员会对符合资格的投标人的投标文件进行符合性审查，以确定其是否符合招标文件的商务、技术等实质性要求。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17.2 未通过符合性审查的投标人，其投标无效。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17.3 通过符合性审查的投标人不足3家的，应予以废标。</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18</w:t>
      </w:r>
      <w:r>
        <w:rPr>
          <w:rFonts w:hint="eastAsia" w:ascii="宋体" w:hAnsi="宋体" w:cs="宋体"/>
          <w:color w:val="000000"/>
          <w:szCs w:val="21"/>
          <w:highlight w:val="white"/>
        </w:rPr>
        <w:t>．</w:t>
      </w:r>
      <w:r>
        <w:rPr>
          <w:rFonts w:hint="eastAsia" w:ascii="宋体" w:hAnsi="宋体" w:cs="宋体"/>
          <w:b/>
          <w:color w:val="000000"/>
          <w:sz w:val="24"/>
          <w:highlight w:val="white"/>
        </w:rPr>
        <w:t>投标文件的澄清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18.1 对于投标文件中含义不明确、同类问题表述不一致或者有明显文字和计算错误的内容，评标委员会可以书面形式要求投标人作出必要的澄清、说明或者补正。</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18.3 除评标委员会要求投标人做出的澄清、说明或者补正以外，评标委员会不接受投标人的任何询问、说明、更改及文件。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18.4 投标人的澄清必须在规定的时间内提交。</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19</w:t>
      </w:r>
      <w:r>
        <w:rPr>
          <w:rFonts w:hint="eastAsia" w:ascii="宋体" w:hAnsi="宋体" w:cs="宋体"/>
          <w:color w:val="000000"/>
          <w:szCs w:val="21"/>
          <w:highlight w:val="white"/>
        </w:rPr>
        <w:t>．</w:t>
      </w:r>
      <w:r>
        <w:rPr>
          <w:rFonts w:hint="eastAsia" w:ascii="宋体" w:hAnsi="宋体" w:cs="宋体"/>
          <w:b/>
          <w:color w:val="000000"/>
          <w:sz w:val="24"/>
          <w:highlight w:val="white"/>
        </w:rPr>
        <w:t>核价原则</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bCs/>
          <w:color w:val="000000"/>
          <w:sz w:val="24"/>
          <w:highlight w:val="white"/>
        </w:rPr>
        <w:t xml:space="preserve">19.1 </w:t>
      </w:r>
      <w:r>
        <w:rPr>
          <w:rFonts w:hint="eastAsia" w:ascii="宋体" w:hAnsi="宋体" w:cs="宋体"/>
          <w:color w:val="000000"/>
          <w:sz w:val="24"/>
          <w:highlight w:val="white"/>
        </w:rPr>
        <w:t>投标文件报价出现前后不一致的，除招标文件另有规定外，按照下列规定修正：</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（1）投标文件中开标一览表（总报价表）内容与投标文件中相应内容不一致的，以开标一览表（总报价表）为准；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（2）大写金额和小写金额不一致的，以大写金额为准；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（3）单价金额小数点或者百分比有明显错位的，以开标一览表的总价为准，并修改单价；</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（4）总价金额与按单价汇总金额不一致的，以单价金额计算结果为准。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（5）同时出现两种以上不一致的，按照前款规定的顺序修正。修正后的报价按照</w:t>
      </w:r>
      <w:r>
        <w:rPr>
          <w:rFonts w:hint="eastAsia" w:ascii="宋体" w:hAnsi="宋体" w:cs="宋体"/>
          <w:color w:val="000000"/>
          <w:sz w:val="24"/>
          <w:highlight w:val="white"/>
          <w:lang w:val="en-US" w:eastAsia="zh-CN"/>
        </w:rPr>
        <w:t>18.2</w:t>
      </w:r>
      <w:r>
        <w:rPr>
          <w:rFonts w:hint="eastAsia" w:ascii="宋体" w:hAnsi="宋体" w:cs="宋体"/>
          <w:color w:val="000000"/>
          <w:sz w:val="24"/>
          <w:highlight w:val="white"/>
        </w:rPr>
        <w:t>条的规定经投标人确认后产生约束力，投标人不确认的，其投标无效。</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20</w:t>
      </w:r>
      <w:r>
        <w:rPr>
          <w:rFonts w:hint="eastAsia" w:ascii="宋体" w:hAnsi="宋体" w:cs="宋体"/>
          <w:color w:val="000000"/>
          <w:szCs w:val="21"/>
          <w:highlight w:val="white"/>
        </w:rPr>
        <w:t>．</w:t>
      </w:r>
      <w:r>
        <w:rPr>
          <w:rFonts w:hint="eastAsia" w:ascii="宋体" w:hAnsi="宋体" w:cs="宋体"/>
          <w:b/>
          <w:color w:val="000000"/>
          <w:sz w:val="24"/>
          <w:highlight w:val="white"/>
        </w:rPr>
        <w:t>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20.1 投标人及投标文件有下列情况之一的，应当在资格审查时按照投标无效处理：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不具备招标文件中规定的资格要求的；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投标文件组成中“资格证明文件”未提供或无效的；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 未通过信用记录审查或未提供相关证明材料的。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20.2 投标人及投标文件有下列情况之一的，应当在符合性审查时按照投标无效处理：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投标文件组成中除“资格证明文件”外，★条款相关文件及资料未提供或提供无效的;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投标文件未按招标文件要求签署、盖章的；</w:t>
      </w:r>
    </w:p>
    <w:p>
      <w:pPr>
        <w:topLinePunct/>
        <w:autoSpaceDE w:val="0"/>
        <w:autoSpaceDN w:val="0"/>
        <w:adjustRightInd w:val="0"/>
        <w:snapToGrid w:val="0"/>
        <w:spacing w:after="0" w:line="360" w:lineRule="auto"/>
        <w:ind w:firstLine="480" w:firstLineChars="200"/>
        <w:rPr>
          <w:rFonts w:hint="default" w:ascii="宋体" w:hAnsi="宋体" w:eastAsia="宋体" w:cs="宋体"/>
          <w:color w:val="auto"/>
          <w:sz w:val="24"/>
          <w:highlight w:val="none"/>
          <w:lang w:val="en-US" w:eastAsia="zh-CN"/>
        </w:rPr>
      </w:pPr>
      <w:r>
        <w:rPr>
          <w:rFonts w:hint="eastAsia" w:ascii="宋体" w:hAnsi="宋体" w:cs="宋体"/>
          <w:color w:val="000000"/>
          <w:sz w:val="24"/>
          <w:highlight w:val="white"/>
        </w:rPr>
        <w:t>（3） 投标报价超过招标文件中规定的预算金额或者最高限价</w:t>
      </w:r>
      <w:r>
        <w:rPr>
          <w:rFonts w:hint="eastAsia" w:ascii="宋体" w:hAnsi="宋体" w:cs="宋体"/>
          <w:color w:val="000000"/>
          <w:sz w:val="24"/>
          <w:highlight w:val="white"/>
          <w:lang w:eastAsia="zh-CN"/>
        </w:rPr>
        <w:t>（分项预算最高限价，如有）</w:t>
      </w:r>
      <w:r>
        <w:rPr>
          <w:rFonts w:hint="eastAsia" w:ascii="宋体" w:hAnsi="宋体" w:cs="宋体"/>
          <w:color w:val="000000"/>
          <w:sz w:val="24"/>
          <w:highlight w:val="white"/>
        </w:rPr>
        <w:t>的</w:t>
      </w:r>
      <w:r>
        <w:rPr>
          <w:rFonts w:hint="eastAsia" w:ascii="宋体" w:hAnsi="宋体" w:cs="宋体"/>
          <w:b w:val="0"/>
          <w:bCs w:val="0"/>
          <w:color w:val="000000"/>
          <w:sz w:val="24"/>
          <w:highlight w:val="white"/>
          <w:lang w:val="en-US" w:eastAsia="zh-CN"/>
        </w:rPr>
        <w:t>；</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 投标有效期不足的；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（5） 投标文件含有采购人不能接受的附加条件的；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20.3 除20.1及20.2情形外，投标人及投标文件有下列情况之一的，应当按照投标无效处理：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提供虚假投标文件材料的；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投标人串通投标的；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 投标报价明显低于其他通过符合性审查投标人的报价，且不能证明其报价合理性的。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 法律、法规和招标文件规定的其他无效情形。</w:t>
      </w:r>
    </w:p>
    <w:p>
      <w:pPr>
        <w:topLinePunct/>
        <w:autoSpaceDE w:val="0"/>
        <w:autoSpaceDN w:val="0"/>
        <w:adjustRightInd w:val="0"/>
        <w:snapToGrid w:val="0"/>
        <w:spacing w:after="0" w:line="360" w:lineRule="auto"/>
        <w:ind w:firstLine="720" w:firstLineChars="3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21</w:t>
      </w:r>
      <w:r>
        <w:rPr>
          <w:rFonts w:hint="eastAsia" w:ascii="宋体" w:hAnsi="宋体" w:cs="宋体"/>
          <w:color w:val="000000"/>
          <w:szCs w:val="21"/>
          <w:highlight w:val="white"/>
        </w:rPr>
        <w:t>．</w:t>
      </w:r>
      <w:r>
        <w:rPr>
          <w:rFonts w:hint="eastAsia" w:ascii="宋体" w:hAnsi="宋体" w:cs="宋体"/>
          <w:b/>
          <w:color w:val="000000"/>
          <w:sz w:val="24"/>
          <w:highlight w:val="white"/>
        </w:rPr>
        <w:t>比较与评价</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21.1 评标委员会按照招标文件中规定的评标方法和标准，对符合性审查合格的投标文件进行商务和技术评估，综合比较与评价。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21.2 价格分应当采用低价优先法计算。</w:t>
      </w:r>
      <w:r>
        <w:rPr>
          <w:rFonts w:hint="eastAsia" w:ascii="宋体" w:hAnsi="宋体" w:eastAsia="宋体" w:cs="宋体"/>
          <w:color w:val="000000"/>
          <w:kern w:val="2"/>
          <w:sz w:val="24"/>
          <w:szCs w:val="24"/>
          <w:highlight w:val="white"/>
          <w:lang w:val="en-US" w:eastAsia="zh-CN" w:bidi="ar"/>
        </w:rPr>
        <w:t>如果小型、微型企业和监狱企业、残疾人福利性单位的投标报价按照</w:t>
      </w:r>
      <w:r>
        <w:rPr>
          <w:rFonts w:hint="eastAsia" w:ascii="宋体" w:hAnsi="宋体" w:eastAsia="宋体" w:cs="宋体"/>
          <w:b/>
          <w:color w:val="000000"/>
          <w:kern w:val="2"/>
          <w:sz w:val="24"/>
          <w:szCs w:val="24"/>
          <w:highlight w:val="white"/>
          <w:lang w:val="en-US" w:eastAsia="zh-CN" w:bidi="ar"/>
        </w:rPr>
        <w:t>投标人须知前附表</w:t>
      </w:r>
      <w:r>
        <w:rPr>
          <w:rFonts w:hint="eastAsia" w:ascii="宋体" w:hAnsi="宋体" w:eastAsia="宋体" w:cs="宋体"/>
          <w:color w:val="000000"/>
          <w:kern w:val="2"/>
          <w:sz w:val="24"/>
          <w:szCs w:val="24"/>
          <w:highlight w:val="white"/>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21.3 评标委员会各成员独立对每个投标人的投标文件进行评价，并汇总得出每个投标人的评审得分。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hint="eastAsia" w:ascii="宋体" w:hAnsi="宋体" w:cs="宋体"/>
          <w:color w:val="000000"/>
          <w:sz w:val="24"/>
          <w:highlight w:val="white"/>
        </w:rPr>
        <w:t>21.5 评标方法及标准</w:t>
      </w:r>
      <w:r>
        <w:rPr>
          <w:rFonts w:hint="eastAsia" w:ascii="宋体" w:hAnsi="宋体" w:cs="宋体"/>
          <w:b/>
          <w:color w:val="000000"/>
          <w:sz w:val="24"/>
          <w:highlight w:val="white"/>
        </w:rPr>
        <w:t>详见招标文件商务部分第三章。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22</w:t>
      </w:r>
      <w:r>
        <w:rPr>
          <w:rFonts w:hint="eastAsia" w:ascii="宋体" w:hAnsi="宋体" w:cs="宋体"/>
          <w:color w:val="000000"/>
          <w:szCs w:val="21"/>
          <w:highlight w:val="white"/>
        </w:rPr>
        <w:t>．</w:t>
      </w:r>
      <w:r>
        <w:rPr>
          <w:rFonts w:hint="eastAsia" w:ascii="宋体" w:hAnsi="宋体" w:cs="宋体"/>
          <w:b/>
          <w:color w:val="000000"/>
          <w:sz w:val="24"/>
          <w:highlight w:val="white"/>
        </w:rPr>
        <w:t>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22.1 在招标采购中，出现下列情形之一的，应予废标：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（1）符合专业条件的供应商或者对招标文件作实质响应的供应商不足三家的；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（2）出现影响采购公正的违法、违规行为的；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（3）投标人的报价均超过了采购预算，采购人不能支付的；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（4）因重大变故，采购任务取消的。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22.2 废标后，采购人将废标理由通知所有投标人。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六、中标和合同</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23</w:t>
      </w:r>
      <w:r>
        <w:rPr>
          <w:rFonts w:hint="eastAsia" w:ascii="宋体" w:hAnsi="宋体" w:cs="宋体"/>
          <w:color w:val="000000"/>
          <w:szCs w:val="21"/>
          <w:highlight w:val="white"/>
        </w:rPr>
        <w:t>．</w:t>
      </w:r>
      <w:r>
        <w:rPr>
          <w:rFonts w:hint="eastAsia" w:ascii="宋体" w:hAnsi="宋体" w:cs="宋体"/>
          <w:b/>
          <w:color w:val="000000"/>
          <w:sz w:val="24"/>
          <w:highlight w:val="white"/>
        </w:rPr>
        <w:t>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23.1 采购人在评标结束后5个工作日内，按评标报告推荐的中标候选人顺序确定中标人。</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23.2 采购人自中标人确定之日起2个工作日内，在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规定的媒体上公告中标结果，招标文件应随中标结果同时公告（中标、成交结果公告前采购文件已公告的，不再重复公告）。中标公告期限为1个工作日。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23.4 中标通知书发出后，采购人不得违法改变中标结果，中标人无正当理由不得放弃中标。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23.5 中标通知书对采购人和中标人具有同等法律效力。</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24</w:t>
      </w:r>
      <w:r>
        <w:rPr>
          <w:rFonts w:hint="eastAsia" w:ascii="宋体" w:hAnsi="宋体" w:cs="宋体"/>
          <w:color w:val="000000"/>
          <w:szCs w:val="21"/>
          <w:highlight w:val="white"/>
        </w:rPr>
        <w:t>．</w:t>
      </w:r>
      <w:r>
        <w:rPr>
          <w:rFonts w:hint="eastAsia" w:ascii="宋体" w:hAnsi="宋体" w:cs="宋体"/>
          <w:b/>
          <w:color w:val="000000"/>
          <w:sz w:val="24"/>
          <w:highlight w:val="white"/>
        </w:rPr>
        <w:t>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24.1 采购人应当自中标通知书发出之日起30日内，按照招标文件和中标人投标文件的规定，</w:t>
      </w:r>
      <w:r>
        <w:rPr>
          <w:rFonts w:hint="eastAsia" w:ascii="宋体" w:hAnsi="宋体" w:cs="宋体"/>
          <w:color w:val="000000"/>
          <w:sz w:val="24"/>
          <w:highlight w:val="white"/>
          <w:lang w:eastAsia="zh-CN"/>
        </w:rPr>
        <w:t>通过国家税务总局政府采购评审管理系统</w:t>
      </w:r>
      <w:r>
        <w:rPr>
          <w:rFonts w:hint="eastAsia" w:ascii="宋体" w:hAnsi="宋体" w:cs="宋体"/>
          <w:color w:val="000000"/>
          <w:sz w:val="24"/>
          <w:highlight w:val="white"/>
        </w:rPr>
        <w:t>与中标人签订合同。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24.2 所签订的合同不得对招标文件确定的事项和中标人投标文件作实质性修改。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24.3 采购人不得向中标人提出任何不合理的要求作为签订合同的条件。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24.4 中标人拒绝与采购人签订合同的，采购人可以按照评审报告推荐的中标候选人名单排序，确定下一候选人为中标人，也可以重新开展政府采购活动。</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25</w:t>
      </w:r>
      <w:r>
        <w:rPr>
          <w:rFonts w:hint="eastAsia" w:ascii="宋体" w:hAnsi="宋体" w:cs="宋体"/>
          <w:color w:val="000000"/>
          <w:szCs w:val="21"/>
          <w:highlight w:val="white"/>
        </w:rPr>
        <w:t>．</w:t>
      </w:r>
      <w:r>
        <w:rPr>
          <w:rFonts w:hint="eastAsia" w:ascii="宋体" w:hAnsi="宋体" w:cs="宋体"/>
          <w:b/>
          <w:color w:val="000000"/>
          <w:sz w:val="24"/>
          <w:highlight w:val="white"/>
        </w:rPr>
        <w:t>履约保证金</w:t>
      </w:r>
    </w:p>
    <w:p>
      <w:pPr>
        <w:topLinePunct/>
        <w:autoSpaceDE w:val="0"/>
        <w:autoSpaceDN w:val="0"/>
        <w:adjustRightInd w:val="0"/>
        <w:snapToGrid w:val="0"/>
        <w:spacing w:after="0" w:line="360" w:lineRule="auto"/>
        <w:ind w:firstLine="480" w:firstLineChars="200"/>
        <w:rPr>
          <w:rFonts w:ascii="宋体"/>
          <w:color w:val="auto"/>
          <w:sz w:val="24"/>
        </w:rPr>
      </w:pPr>
      <w:r>
        <w:rPr>
          <w:rFonts w:hint="eastAsia" w:ascii="宋体" w:hAnsi="宋体" w:cs="宋体"/>
          <w:color w:val="000000"/>
          <w:sz w:val="24"/>
          <w:highlight w:val="white"/>
        </w:rPr>
        <w:t xml:space="preserve">25.1 </w:t>
      </w:r>
      <w:r>
        <w:rPr>
          <w:rFonts w:hint="eastAsia" w:ascii="宋体" w:hAnsi="宋体" w:cs="宋体"/>
          <w:color w:val="000000"/>
          <w:sz w:val="24"/>
          <w:highlight w:val="white"/>
          <w:lang w:eastAsia="zh-CN"/>
        </w:rPr>
        <w:t>需提交履约保证金的项目，</w:t>
      </w:r>
      <w:r>
        <w:rPr>
          <w:rFonts w:hint="eastAsia" w:ascii="宋体" w:hAnsi="宋体" w:cs="宋体"/>
          <w:color w:val="000000"/>
          <w:sz w:val="24"/>
          <w:highlight w:val="white"/>
        </w:rPr>
        <w:t>中标人应在合同签订之日起30日内，</w:t>
      </w:r>
      <w:r>
        <w:rPr>
          <w:rFonts w:hint="eastAsia" w:ascii="宋体"/>
          <w:color w:val="000000"/>
          <w:sz w:val="24"/>
          <w:highlight w:val="white"/>
        </w:rPr>
        <w:t>按照</w:t>
      </w:r>
      <w:r>
        <w:rPr>
          <w:rFonts w:hint="eastAsia" w:ascii="宋体" w:hAnsi="宋体" w:cs="宋体"/>
          <w:b/>
          <w:color w:val="000000"/>
          <w:sz w:val="24"/>
          <w:highlight w:val="white"/>
        </w:rPr>
        <w:t>投标人须知前附表</w:t>
      </w:r>
      <w:r>
        <w:rPr>
          <w:rFonts w:hint="eastAsia" w:ascii="宋体"/>
          <w:color w:val="000000"/>
          <w:sz w:val="24"/>
          <w:highlight w:val="white"/>
        </w:rPr>
        <w:t>的规定，向采购人提交履约保证金。</w:t>
      </w:r>
    </w:p>
    <w:p>
      <w:pPr>
        <w:pStyle w:val="78"/>
        <w:adjustRightInd w:val="0"/>
        <w:snapToGrid w:val="0"/>
        <w:spacing w:after="0" w:line="360" w:lineRule="auto"/>
        <w:rPr>
          <w:color w:val="auto"/>
        </w:rPr>
      </w:pP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hint="eastAsia" w:ascii="宋体" w:hAnsi="宋体" w:cs="宋体"/>
          <w:b/>
          <w:bCs/>
          <w:color w:val="000000"/>
          <w:sz w:val="32"/>
          <w:szCs w:val="32"/>
          <w:highlight w:val="white"/>
        </w:rPr>
        <w:t>七、询问和质疑</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26. 询问</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000000"/>
          <w:sz w:val="24"/>
          <w:highlight w:val="white"/>
        </w:rPr>
        <w:t>26.1 供应商对政府采购活动事项有疑问的，可以向采购人提出询问，采购人应在3个工作日内作出答复，但答复的内容不得涉及商业秘密。</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27</w:t>
      </w:r>
      <w:r>
        <w:rPr>
          <w:rFonts w:hint="eastAsia" w:ascii="宋体" w:hAnsi="宋体" w:cs="宋体"/>
          <w:color w:val="000000"/>
          <w:szCs w:val="21"/>
          <w:highlight w:val="white"/>
        </w:rPr>
        <w:t>．</w:t>
      </w:r>
      <w:r>
        <w:rPr>
          <w:rFonts w:hint="eastAsia" w:ascii="宋体" w:hAnsi="宋体" w:cs="宋体"/>
          <w:b/>
          <w:color w:val="000000"/>
          <w:sz w:val="24"/>
          <w:highlight w:val="white"/>
        </w:rPr>
        <w:t>质疑</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27.1 供应商认为招标文件、招标过程和中标结果使自己的权益受到损害的，可以在知道或者应知其权益受到损害之日起7个工作日内</w:t>
      </w:r>
      <w:r>
        <w:rPr>
          <w:rFonts w:hint="eastAsia" w:ascii="宋体" w:hAnsi="宋体" w:cs="宋体"/>
          <w:b w:val="0"/>
          <w:bCs/>
          <w:color w:val="000000"/>
          <w:sz w:val="24"/>
          <w:highlight w:val="white"/>
        </w:rPr>
        <w:t>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向采购人提出质疑。联系部门、联系电话、通讯地址、电子邮箱</w:t>
      </w:r>
      <w:r>
        <w:rPr>
          <w:rFonts w:hint="eastAsia" w:ascii="宋体" w:hAnsi="宋体" w:cs="宋体"/>
          <w:b/>
          <w:bCs/>
          <w:color w:val="000000"/>
          <w:sz w:val="24"/>
          <w:highlight w:val="white"/>
        </w:rPr>
        <w:t>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。在法定质疑期内，针对同一采购程序环节的质疑应一次性提出。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27.3 采购人应当在收到供应商的质疑函后7个工作日内，对质疑内容作出答复，并通过评审管理系统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通知质疑供应商和其他有关供应商，但答复内容不得涉及商业秘密。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27.4 质疑供应商对采购人的答复不满意或者采购人未在规定时间内作出答复的，可以在答复期满后15个工作日内按有关规定，向同级人民政府财政部门投诉。</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八、其他</w:t>
      </w:r>
    </w:p>
    <w:p>
      <w:pPr>
        <w:topLinePunct/>
        <w:autoSpaceDE w:val="0"/>
        <w:autoSpaceDN w:val="0"/>
        <w:adjustRightInd w:val="0"/>
        <w:snapToGrid w:val="0"/>
        <w:spacing w:after="0" w:line="360" w:lineRule="auto"/>
        <w:ind w:firstLine="482" w:firstLineChars="20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28</w:t>
      </w:r>
      <w:r>
        <w:rPr>
          <w:rFonts w:hint="eastAsia" w:ascii="宋体" w:hAnsi="宋体" w:cs="宋体"/>
          <w:color w:val="000000"/>
          <w:szCs w:val="21"/>
          <w:highlight w:val="white"/>
        </w:rPr>
        <w:t>．</w:t>
      </w:r>
      <w:r>
        <w:rPr>
          <w:rFonts w:hint="eastAsia" w:ascii="宋体" w:hAnsi="宋体" w:cs="宋体"/>
          <w:b/>
          <w:color w:val="000000"/>
          <w:sz w:val="24"/>
          <w:highlight w:val="white"/>
        </w:rPr>
        <w:t>保密</w:t>
      </w:r>
    </w:p>
    <w:p>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28.2 评标委员会成员和参与评标工作的有关人员对评标情况以及在评标过程中获悉的国家秘密、商业秘密负有保密责任。</w:t>
      </w:r>
    </w:p>
    <w:p>
      <w:pPr>
        <w:topLinePunct/>
        <w:autoSpaceDE w:val="0"/>
        <w:autoSpaceDN w:val="0"/>
        <w:adjustRightInd w:val="0"/>
        <w:snapToGrid w:val="0"/>
        <w:spacing w:after="0" w:line="360" w:lineRule="auto"/>
        <w:rPr>
          <w:rFonts w:ascii="宋体" w:hAnsi="宋体" w:cs="宋体"/>
          <w:b/>
          <w:color w:val="auto"/>
          <w:sz w:val="24"/>
          <w:highlight w:val="none"/>
        </w:rPr>
      </w:pPr>
    </w:p>
    <w:p>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29. 知识产权与规避专利、版权纠纷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eastAsia="zh-CN"/>
        </w:rPr>
        <w:t>2</w:t>
      </w:r>
      <w:r>
        <w:rPr>
          <w:rFonts w:hint="eastAsia" w:ascii="宋体" w:hAnsi="宋体" w:cs="宋体"/>
          <w:color w:val="000000"/>
          <w:sz w:val="24"/>
          <w:highlight w:val="white"/>
          <w:lang w:val="en-US" w:eastAsia="zh-CN"/>
        </w:rPr>
        <w:t>9</w:t>
      </w:r>
      <w:r>
        <w:rPr>
          <w:rFonts w:hint="eastAsia" w:ascii="宋体" w:hAnsi="宋体" w:cs="宋体"/>
          <w:color w:val="000000"/>
          <w:sz w:val="24"/>
          <w:highlight w:val="white"/>
        </w:rPr>
        <w:t>.1 知识产权</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 xml:space="preserve">.1.1 </w:t>
      </w:r>
      <w:r>
        <w:rPr>
          <w:rFonts w:hint="eastAsia" w:ascii="宋体" w:hAnsi="宋体" w:cs="宋体"/>
          <w:color w:val="000000"/>
          <w:sz w:val="24"/>
          <w:highlight w:val="white"/>
          <w:lang w:val="en-US" w:eastAsia="zh-CN"/>
        </w:rPr>
        <w:t>本项目涉及需开发的系统的版权属于采购人所有</w:t>
      </w:r>
      <w:r>
        <w:rPr>
          <w:rFonts w:hint="eastAsia" w:ascii="宋体" w:hAnsi="宋体" w:cs="宋体"/>
          <w:color w:val="000000"/>
          <w:sz w:val="24"/>
          <w:highlight w:val="white"/>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hint="eastAsia" w:ascii="宋体" w:hAnsi="宋体" w:cs="宋体"/>
          <w:color w:val="000000"/>
          <w:sz w:val="24"/>
          <w:highlight w:val="white"/>
        </w:rPr>
        <w:t>。</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 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.2.1 投标人应保证其投标方案中的有关软件、文件、图纸等没有违反有关专利和版权等知识产权的规定。</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.2.2 中标人应保证采购人在中华人民共和国使用本项目成果任何一部分、或接受乙方服务时，免受第三方提出的侵犯其专利权、商标权或工业设计权等知识产权的索赔或起诉。</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000000"/>
          <w:sz w:val="24"/>
          <w:highlight w:val="white"/>
        </w:rPr>
        <w:br w:type="page"/>
      </w:r>
      <w:r>
        <w:rPr>
          <w:rStyle w:val="37"/>
          <w:rFonts w:hint="eastAsia"/>
          <w:color w:val="000000"/>
          <w:highlight w:val="white"/>
          <w:lang w:val="en-US" w:eastAsia="zh-CN"/>
        </w:rPr>
        <w:t>第三章　评标方法及标准</w:t>
      </w:r>
    </w:p>
    <w:p>
      <w:pPr>
        <w:spacing w:line="360" w:lineRule="auto"/>
        <w:rPr>
          <w:rFonts w:ascii="宋体" w:hAnsi="宋体" w:eastAsia="宋体" w:cs="宋体"/>
        </w:rPr>
      </w:pPr>
      <w:r>
        <w:rPr>
          <w:rFonts w:ascii="宋体" w:hAnsi="宋体" w:eastAsia="宋体" w:cs="宋体"/>
          <w:color w:val="000000"/>
          <w:sz w:val="24"/>
          <w:highlight w:val="white"/>
        </w:rPr>
        <w:t xml:space="preserve">    根据财政部《政府采购货物和服务招标投标管理办法》（财政部令第87号）第五十五条规定，本项目采用综合评分法，其中价格分值20分，客观分值60分，主观分值20分。具体评审标准如下：</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1276"/>
        <w:gridCol w:w="1134"/>
        <w:gridCol w:w="1276"/>
        <w:gridCol w:w="3475"/>
        <w:gridCol w:w="1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9" w:type="dxa"/>
            <w:vAlign w:val="center"/>
          </w:tcPr>
          <w:p>
            <w:pPr>
              <w:spacing w:before="48" w:after="48" w:line="240" w:lineRule="auto"/>
              <w:jc w:val="center"/>
            </w:pPr>
            <w:r>
              <w:rPr>
                <w:rFonts w:ascii="宋体" w:hAnsi="宋体" w:eastAsia="宋体" w:cs="宋体"/>
                <w:b/>
                <w:color w:val="000000"/>
                <w:sz w:val="21"/>
                <w:highlight w:val="white"/>
              </w:rPr>
              <w:t>序号</w:t>
            </w:r>
          </w:p>
        </w:tc>
        <w:tc>
          <w:tcPr>
            <w:tcW w:w="1276" w:type="dxa"/>
            <w:vAlign w:val="center"/>
          </w:tcPr>
          <w:p>
            <w:pPr>
              <w:spacing w:before="48" w:after="48" w:line="240" w:lineRule="auto"/>
              <w:jc w:val="center"/>
            </w:pPr>
            <w:r>
              <w:rPr>
                <w:rFonts w:ascii="宋体" w:hAnsi="宋体" w:eastAsia="宋体" w:cs="宋体"/>
                <w:b/>
                <w:color w:val="000000"/>
                <w:sz w:val="21"/>
                <w:highlight w:val="white"/>
              </w:rPr>
              <w:t>类别</w:t>
            </w:r>
          </w:p>
        </w:tc>
        <w:tc>
          <w:tcPr>
            <w:tcW w:w="1134" w:type="dxa"/>
            <w:vAlign w:val="center"/>
          </w:tcPr>
          <w:p>
            <w:pPr>
              <w:spacing w:before="48" w:after="48" w:line="240" w:lineRule="auto"/>
              <w:jc w:val="center"/>
            </w:pPr>
            <w:r>
              <w:rPr>
                <w:rFonts w:ascii="宋体" w:hAnsi="宋体" w:eastAsia="宋体" w:cs="宋体"/>
                <w:b/>
                <w:color w:val="000000"/>
                <w:sz w:val="21"/>
                <w:highlight w:val="white"/>
              </w:rPr>
              <w:t>评审因素</w:t>
            </w:r>
          </w:p>
        </w:tc>
        <w:tc>
          <w:tcPr>
            <w:tcW w:w="1276" w:type="dxa"/>
            <w:vAlign w:val="center"/>
          </w:tcPr>
          <w:p>
            <w:pPr>
              <w:spacing w:before="48" w:after="48" w:line="240" w:lineRule="auto"/>
              <w:jc w:val="center"/>
            </w:pPr>
            <w:r>
              <w:rPr>
                <w:rFonts w:ascii="宋体" w:hAnsi="宋体" w:eastAsia="宋体" w:cs="宋体"/>
                <w:b/>
                <w:color w:val="000000"/>
                <w:sz w:val="21"/>
                <w:highlight w:val="white"/>
              </w:rPr>
              <w:t>主要内容</w:t>
            </w:r>
          </w:p>
        </w:tc>
        <w:tc>
          <w:tcPr>
            <w:tcW w:w="3475" w:type="dxa"/>
            <w:vAlign w:val="center"/>
          </w:tcPr>
          <w:p>
            <w:pPr>
              <w:spacing w:before="48" w:after="48" w:line="240" w:lineRule="auto"/>
              <w:jc w:val="center"/>
            </w:pPr>
            <w:r>
              <w:rPr>
                <w:rFonts w:ascii="宋体" w:hAnsi="宋体" w:eastAsia="宋体" w:cs="宋体"/>
                <w:b/>
                <w:color w:val="000000"/>
                <w:sz w:val="21"/>
                <w:highlight w:val="white"/>
              </w:rPr>
              <w:t>指标要求</w:t>
            </w:r>
          </w:p>
        </w:tc>
        <w:tc>
          <w:tcPr>
            <w:tcW w:w="1196" w:type="dxa"/>
            <w:vAlign w:val="center"/>
          </w:tcPr>
          <w:p>
            <w:pPr>
              <w:spacing w:before="48" w:after="48" w:line="240" w:lineRule="auto"/>
              <w:jc w:val="center"/>
            </w:pPr>
            <w:r>
              <w:rPr>
                <w:rFonts w:ascii="宋体" w:hAnsi="宋体" w:eastAsia="宋体" w:cs="宋体"/>
                <w:b/>
                <w:color w:val="000000"/>
                <w:sz w:val="21"/>
                <w:highlight w:val="white"/>
              </w:rPr>
              <w:t>细项分值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价格分</w:t>
            </w:r>
            <w:r>
              <w:rPr>
                <w:color w:val="000000"/>
                <w:highlight w:val="white"/>
              </w:rPr>
              <w:br w:type="textWrapping"/>
            </w:r>
            <w:r>
              <w:rPr>
                <w:rFonts w:ascii="宋体" w:hAnsi="宋体" w:eastAsia="宋体" w:cs="宋体"/>
                <w:color w:val="000000"/>
                <w:sz w:val="21"/>
                <w:highlight w:val="white"/>
              </w:rPr>
              <w:t>(20分)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报价</w:t>
            </w:r>
          </w:p>
        </w:tc>
        <w:tc>
          <w:tcPr>
            <w:tcW w:w="360" w:type="dxa"/>
            <w:vAlign w:val="center"/>
          </w:tcPr>
          <w:p>
            <w:pPr>
              <w:spacing w:before="48" w:after="48" w:line="240" w:lineRule="auto"/>
              <w:jc w:val="center"/>
            </w:pPr>
            <w:r>
              <w:rPr>
                <w:rFonts w:ascii="宋体" w:hAnsi="宋体" w:eastAsia="宋体" w:cs="宋体"/>
                <w:color w:val="000000"/>
                <w:sz w:val="21"/>
                <w:highlight w:val="white"/>
              </w:rPr>
              <w:t>价格</w:t>
            </w:r>
          </w:p>
        </w:tc>
        <w:tc>
          <w:tcPr>
            <w:tcW w:w="360" w:type="dxa"/>
          </w:tcPr>
          <w:p>
            <w:pPr>
              <w:spacing w:before="48" w:after="48" w:line="240" w:lineRule="auto"/>
            </w:pPr>
            <w:r>
              <w:rPr>
                <w:rFonts w:ascii="宋体" w:hAnsi="宋体" w:eastAsia="宋体" w:cs="宋体"/>
                <w:color w:val="000000"/>
                <w:sz w:val="21"/>
                <w:highlight w:val="white"/>
              </w:rPr>
              <w:t>得分S＝（Pmin/P）×20，其中：Pmin为所有供应商的最低有效报价，P为供应商有效报价。</w:t>
            </w:r>
          </w:p>
        </w:tc>
        <w:tc>
          <w:tcPr>
            <w:tcW w:w="360" w:type="dxa"/>
            <w:vAlign w:val="center"/>
          </w:tcPr>
          <w:p>
            <w:pPr>
              <w:spacing w:before="48" w:after="48" w:line="240" w:lineRule="auto"/>
              <w:jc w:val="center"/>
            </w:pPr>
            <w:r>
              <w:rPr>
                <w:rFonts w:ascii="宋体" w:hAnsi="宋体" w:eastAsia="宋体" w:cs="宋体"/>
                <w:color w:val="000000"/>
                <w:sz w:val="21"/>
                <w:highlight w:val="whit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2</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相关证书和成功案例</w:t>
            </w:r>
          </w:p>
        </w:tc>
        <w:tc>
          <w:tcPr>
            <w:tcW w:w="360" w:type="dxa"/>
            <w:vAlign w:val="center"/>
          </w:tcPr>
          <w:p>
            <w:pPr>
              <w:spacing w:before="48" w:after="48" w:line="240" w:lineRule="auto"/>
              <w:jc w:val="center"/>
            </w:pPr>
            <w:r>
              <w:rPr>
                <w:rFonts w:ascii="宋体" w:hAnsi="宋体" w:eastAsia="宋体" w:cs="宋体"/>
                <w:color w:val="000000"/>
                <w:sz w:val="21"/>
                <w:highlight w:val="white"/>
              </w:rPr>
              <w:t>相关证书（需提供有效期内的资质证书扫描件并加盖公章）</w:t>
            </w:r>
          </w:p>
        </w:tc>
        <w:tc>
          <w:tcPr>
            <w:tcW w:w="360" w:type="dxa"/>
          </w:tcPr>
          <w:p>
            <w:pPr>
              <w:spacing w:before="48" w:after="48" w:line="240" w:lineRule="auto"/>
            </w:pPr>
            <w:r>
              <w:rPr>
                <w:rFonts w:ascii="宋体" w:hAnsi="宋体" w:eastAsia="宋体" w:cs="宋体"/>
                <w:color w:val="000000"/>
                <w:sz w:val="21"/>
                <w:highlight w:val="white"/>
              </w:rPr>
              <w:t>提供ISO 9001:2015质量管理体系认证证书、ISO45001:2018职业健康安全管理体系认证证书、ISO14001:2015环境管理体系认证证书，每提供一个得1分，满分3分；不提供，得0分。</w:t>
            </w:r>
          </w:p>
        </w:tc>
        <w:tc>
          <w:tcPr>
            <w:tcW w:w="360" w:type="dxa"/>
            <w:vAlign w:val="center"/>
          </w:tcPr>
          <w:p>
            <w:pPr>
              <w:spacing w:before="48" w:after="48" w:line="240" w:lineRule="auto"/>
              <w:jc w:val="center"/>
            </w:pPr>
            <w:r>
              <w:rPr>
                <w:rFonts w:ascii="宋体" w:hAnsi="宋体" w:eastAsia="宋体" w:cs="宋体"/>
                <w:color w:val="000000"/>
                <w:sz w:val="21"/>
                <w:highlight w:val="whit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3</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相关证书和成功案例</w:t>
            </w:r>
          </w:p>
        </w:tc>
        <w:tc>
          <w:tcPr>
            <w:tcW w:w="360" w:type="dxa"/>
            <w:vAlign w:val="center"/>
          </w:tcPr>
          <w:p>
            <w:pPr>
              <w:spacing w:before="48" w:after="48" w:line="240" w:lineRule="auto"/>
              <w:jc w:val="center"/>
            </w:pPr>
            <w:r>
              <w:rPr>
                <w:rFonts w:ascii="宋体" w:hAnsi="宋体" w:eastAsia="宋体" w:cs="宋体"/>
                <w:color w:val="000000"/>
                <w:sz w:val="21"/>
                <w:highlight w:val="white"/>
              </w:rPr>
              <w:t>成功案例</w:t>
            </w:r>
          </w:p>
        </w:tc>
        <w:tc>
          <w:tcPr>
            <w:tcW w:w="360" w:type="dxa"/>
          </w:tcPr>
          <w:p>
            <w:pPr>
              <w:spacing w:before="48" w:after="48" w:line="240" w:lineRule="auto"/>
            </w:pPr>
            <w:r>
              <w:rPr>
                <w:rFonts w:ascii="宋体" w:hAnsi="宋体" w:eastAsia="宋体" w:cs="宋体"/>
                <w:color w:val="000000"/>
                <w:sz w:val="21"/>
                <w:highlight w:val="white"/>
              </w:rPr>
              <w:t>提供2022年1月1日以来（以合同签订日期为准）独立承担实施的相类似项目的成功案例。服务同一个单位分年度多次签订的案例按1个计算。（应提供合同关键页扫描件并加盖公章）每提供一个相类似项目的成功案例得1分，满分3分；不提供，得0分。</w:t>
            </w:r>
          </w:p>
        </w:tc>
        <w:tc>
          <w:tcPr>
            <w:tcW w:w="360" w:type="dxa"/>
            <w:vAlign w:val="center"/>
          </w:tcPr>
          <w:p>
            <w:pPr>
              <w:spacing w:before="48" w:after="48" w:line="240" w:lineRule="auto"/>
              <w:jc w:val="center"/>
            </w:pPr>
            <w:r>
              <w:rPr>
                <w:rFonts w:ascii="宋体" w:hAnsi="宋体" w:eastAsia="宋体" w:cs="宋体"/>
                <w:color w:val="000000"/>
                <w:sz w:val="21"/>
                <w:highlight w:val="whit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4</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Align w:val="center"/>
          </w:tcPr>
          <w:p>
            <w:pPr>
              <w:spacing w:before="48" w:after="48" w:line="240" w:lineRule="auto"/>
              <w:jc w:val="center"/>
            </w:pPr>
            <w:r>
              <w:rPr>
                <w:rFonts w:ascii="宋体" w:hAnsi="宋体" w:eastAsia="宋体" w:cs="宋体"/>
                <w:color w:val="000000"/>
                <w:sz w:val="21"/>
                <w:highlight w:val="white"/>
              </w:rPr>
              <w:t>技术力量1</w:t>
            </w:r>
          </w:p>
        </w:tc>
        <w:tc>
          <w:tcPr>
            <w:tcW w:w="360" w:type="dxa"/>
          </w:tcPr>
          <w:p>
            <w:pPr>
              <w:spacing w:before="48" w:after="48" w:line="240" w:lineRule="auto"/>
            </w:pPr>
            <w:r>
              <w:rPr>
                <w:rFonts w:ascii="宋体" w:hAnsi="宋体" w:eastAsia="宋体" w:cs="宋体"/>
                <w:color w:val="000000"/>
                <w:sz w:val="21"/>
                <w:highlight w:val="white"/>
              </w:rPr>
              <w:t>配备项目经理兼会议服务人员，要求：</w:t>
            </w:r>
            <w:r>
              <w:rPr>
                <w:rFonts w:ascii="宋体" w:hAnsi="宋体" w:eastAsia="宋体" w:cs="宋体"/>
                <w:color w:val="000000"/>
                <w:sz w:val="21"/>
                <w:highlight w:val="white"/>
              </w:rPr>
              <w:br w:type="textWrapping"/>
            </w:r>
            <w:r>
              <w:rPr>
                <w:rFonts w:ascii="宋体" w:hAnsi="宋体" w:eastAsia="宋体" w:cs="宋体"/>
                <w:color w:val="000000"/>
                <w:sz w:val="21"/>
                <w:highlight w:val="white"/>
              </w:rPr>
              <w:t>1人；男性年龄：30--55周岁之间，女性年龄：30--50周岁之间；提供投标人为其缴纳的截止开标前12个月内至少6个月（含）的社保证明。满足上述全部要求得6分；不满足得0分。</w:t>
            </w:r>
          </w:p>
        </w:tc>
        <w:tc>
          <w:tcPr>
            <w:tcW w:w="360" w:type="dxa"/>
            <w:vAlign w:val="center"/>
          </w:tcPr>
          <w:p>
            <w:pPr>
              <w:spacing w:before="48" w:after="48" w:line="240" w:lineRule="auto"/>
              <w:jc w:val="center"/>
            </w:pPr>
            <w:r>
              <w:rPr>
                <w:rFonts w:ascii="宋体" w:hAnsi="宋体" w:eastAsia="宋体" w:cs="宋体"/>
                <w:color w:val="000000"/>
                <w:sz w:val="21"/>
                <w:highlight w:val="whit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5</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Align w:val="center"/>
          </w:tcPr>
          <w:p>
            <w:pPr>
              <w:spacing w:before="48" w:after="48" w:line="240" w:lineRule="auto"/>
              <w:jc w:val="center"/>
            </w:pPr>
            <w:r>
              <w:rPr>
                <w:rFonts w:ascii="宋体" w:hAnsi="宋体" w:eastAsia="宋体" w:cs="宋体"/>
                <w:color w:val="000000"/>
                <w:sz w:val="21"/>
                <w:highlight w:val="white"/>
              </w:rPr>
              <w:t>技术力量2</w:t>
            </w:r>
          </w:p>
        </w:tc>
        <w:tc>
          <w:tcPr>
            <w:tcW w:w="360" w:type="dxa"/>
          </w:tcPr>
          <w:p>
            <w:pPr>
              <w:spacing w:before="48" w:after="48" w:line="240" w:lineRule="auto"/>
            </w:pPr>
            <w:r>
              <w:rPr>
                <w:rFonts w:ascii="宋体" w:hAnsi="宋体" w:eastAsia="宋体" w:cs="宋体"/>
                <w:color w:val="000000"/>
                <w:sz w:val="21"/>
                <w:highlight w:val="white"/>
              </w:rPr>
              <w:t>配备办公楼秩序主管（1人）、保洁主管（1人），要求：</w:t>
            </w:r>
            <w:r>
              <w:rPr>
                <w:rFonts w:ascii="宋体" w:hAnsi="宋体" w:eastAsia="宋体" w:cs="宋体"/>
                <w:color w:val="000000"/>
                <w:sz w:val="21"/>
                <w:highlight w:val="white"/>
              </w:rPr>
              <w:br w:type="textWrapping"/>
            </w:r>
            <w:r>
              <w:rPr>
                <w:rFonts w:ascii="宋体" w:hAnsi="宋体" w:eastAsia="宋体" w:cs="宋体"/>
                <w:color w:val="000000"/>
                <w:sz w:val="21"/>
                <w:highlight w:val="white"/>
              </w:rPr>
              <w:t>秩序主管：男性；18--60周岁之间；提供投标人为其缴纳的开标前12个月内至少6个月（含）的社保证明；</w:t>
            </w:r>
            <w:r>
              <w:rPr>
                <w:rFonts w:ascii="宋体" w:hAnsi="宋体" w:eastAsia="宋体" w:cs="宋体"/>
                <w:color w:val="000000"/>
                <w:sz w:val="21"/>
                <w:highlight w:val="white"/>
              </w:rPr>
              <w:br w:type="textWrapping"/>
            </w:r>
            <w:r>
              <w:rPr>
                <w:rFonts w:ascii="宋体" w:hAnsi="宋体" w:eastAsia="宋体" w:cs="宋体"/>
                <w:color w:val="000000"/>
                <w:sz w:val="21"/>
                <w:highlight w:val="white"/>
              </w:rPr>
              <w:t>保洁主管：女性；18--55周岁之间；提供投标人为其缴纳的开标前12个月内至少6个月（含）的社保证明；</w:t>
            </w:r>
            <w:r>
              <w:rPr>
                <w:rFonts w:ascii="宋体" w:hAnsi="宋体" w:eastAsia="宋体" w:cs="宋体"/>
                <w:color w:val="000000"/>
                <w:sz w:val="21"/>
                <w:highlight w:val="white"/>
              </w:rPr>
              <w:br w:type="textWrapping"/>
            </w:r>
            <w:r>
              <w:rPr>
                <w:rFonts w:ascii="宋体" w:hAnsi="宋体" w:eastAsia="宋体" w:cs="宋体"/>
                <w:color w:val="000000"/>
                <w:sz w:val="21"/>
                <w:highlight w:val="white"/>
              </w:rPr>
              <w:t>满足上述全部要求得3分；不满足得0分。</w:t>
            </w:r>
          </w:p>
        </w:tc>
        <w:tc>
          <w:tcPr>
            <w:tcW w:w="360" w:type="dxa"/>
            <w:vAlign w:val="center"/>
          </w:tcPr>
          <w:p>
            <w:pPr>
              <w:spacing w:before="48" w:after="48" w:line="240" w:lineRule="auto"/>
              <w:jc w:val="center"/>
            </w:pPr>
            <w:r>
              <w:rPr>
                <w:rFonts w:ascii="宋体" w:hAnsi="宋体" w:eastAsia="宋体" w:cs="宋体"/>
                <w:color w:val="000000"/>
                <w:sz w:val="21"/>
                <w:highlight w:val="whit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6</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Align w:val="center"/>
          </w:tcPr>
          <w:p>
            <w:pPr>
              <w:spacing w:before="48" w:after="48" w:line="240" w:lineRule="auto"/>
              <w:jc w:val="center"/>
            </w:pPr>
            <w:r>
              <w:rPr>
                <w:rFonts w:ascii="宋体" w:hAnsi="宋体" w:eastAsia="宋体" w:cs="宋体"/>
                <w:color w:val="000000"/>
                <w:sz w:val="21"/>
                <w:highlight w:val="white"/>
              </w:rPr>
              <w:t>技术力量3</w:t>
            </w:r>
          </w:p>
        </w:tc>
        <w:tc>
          <w:tcPr>
            <w:tcW w:w="360" w:type="dxa"/>
          </w:tcPr>
          <w:p>
            <w:pPr>
              <w:spacing w:before="48" w:after="48" w:line="240" w:lineRule="auto"/>
            </w:pPr>
            <w:r>
              <w:rPr>
                <w:rFonts w:ascii="宋体" w:hAnsi="宋体" w:eastAsia="宋体" w:cs="宋体"/>
                <w:color w:val="000000"/>
                <w:sz w:val="21"/>
                <w:highlight w:val="white"/>
              </w:rPr>
              <w:t>配备保洁人员，要求：5人；女性；18--55周岁之间；</w:t>
            </w:r>
            <w:r>
              <w:rPr>
                <w:rFonts w:ascii="宋体" w:hAnsi="宋体" w:eastAsia="宋体" w:cs="宋体"/>
                <w:color w:val="000000"/>
                <w:sz w:val="21"/>
                <w:highlight w:val="white"/>
              </w:rPr>
              <w:br w:type="textWrapping"/>
            </w:r>
            <w:r>
              <w:rPr>
                <w:rFonts w:ascii="宋体" w:hAnsi="宋体" w:eastAsia="宋体" w:cs="宋体"/>
                <w:color w:val="000000"/>
                <w:sz w:val="21"/>
                <w:highlight w:val="white"/>
              </w:rPr>
              <w:t>满足上述全部要求得5分，不满足得0分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7</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Align w:val="center"/>
          </w:tcPr>
          <w:p>
            <w:pPr>
              <w:spacing w:before="48" w:after="48" w:line="240" w:lineRule="auto"/>
              <w:jc w:val="center"/>
            </w:pPr>
            <w:r>
              <w:rPr>
                <w:rFonts w:ascii="宋体" w:hAnsi="宋体" w:eastAsia="宋体" w:cs="宋体"/>
                <w:color w:val="000000"/>
                <w:sz w:val="21"/>
                <w:highlight w:val="white"/>
              </w:rPr>
              <w:t>技术力量4</w:t>
            </w:r>
          </w:p>
        </w:tc>
        <w:tc>
          <w:tcPr>
            <w:tcW w:w="360" w:type="dxa"/>
          </w:tcPr>
          <w:p>
            <w:pPr>
              <w:spacing w:before="48" w:after="48" w:line="240" w:lineRule="auto"/>
            </w:pPr>
            <w:r>
              <w:rPr>
                <w:rFonts w:ascii="宋体" w:hAnsi="宋体" w:eastAsia="宋体" w:cs="宋体"/>
                <w:color w:val="000000"/>
                <w:sz w:val="21"/>
                <w:highlight w:val="white"/>
              </w:rPr>
              <w:t>配备秩序维护人员（保安），要求：5人；男性；18--60周岁之间。</w:t>
            </w:r>
            <w:r>
              <w:rPr>
                <w:rFonts w:ascii="宋体" w:hAnsi="宋体" w:eastAsia="宋体" w:cs="宋体"/>
                <w:color w:val="000000"/>
                <w:sz w:val="21"/>
                <w:highlight w:val="white"/>
              </w:rPr>
              <w:br w:type="textWrapping"/>
            </w:r>
            <w:r>
              <w:rPr>
                <w:rFonts w:ascii="宋体" w:hAnsi="宋体" w:eastAsia="宋体" w:cs="宋体"/>
                <w:color w:val="000000"/>
                <w:sz w:val="21"/>
                <w:highlight w:val="white"/>
              </w:rPr>
              <w:t>满足上述全部要求得10分；不满足得0分。</w:t>
            </w:r>
          </w:p>
        </w:tc>
        <w:tc>
          <w:tcPr>
            <w:tcW w:w="360" w:type="dxa"/>
            <w:vAlign w:val="center"/>
          </w:tcPr>
          <w:p>
            <w:pPr>
              <w:spacing w:before="48" w:after="48" w:line="240" w:lineRule="auto"/>
              <w:jc w:val="center"/>
            </w:pPr>
            <w:r>
              <w:rPr>
                <w:rFonts w:ascii="宋体" w:hAnsi="宋体" w:eastAsia="宋体" w:cs="宋体"/>
                <w:color w:val="000000"/>
                <w:sz w:val="21"/>
                <w:highlight w:val="whit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8</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Align w:val="center"/>
          </w:tcPr>
          <w:p>
            <w:pPr>
              <w:spacing w:before="48" w:after="48" w:line="240" w:lineRule="auto"/>
              <w:jc w:val="center"/>
            </w:pPr>
            <w:r>
              <w:rPr>
                <w:rFonts w:ascii="宋体" w:hAnsi="宋体" w:eastAsia="宋体" w:cs="宋体"/>
                <w:color w:val="000000"/>
                <w:sz w:val="21"/>
                <w:highlight w:val="white"/>
              </w:rPr>
              <w:t>技术力量5</w:t>
            </w:r>
          </w:p>
        </w:tc>
        <w:tc>
          <w:tcPr>
            <w:tcW w:w="360" w:type="dxa"/>
          </w:tcPr>
          <w:p>
            <w:pPr>
              <w:spacing w:before="48" w:after="48" w:line="240" w:lineRule="auto"/>
            </w:pPr>
            <w:r>
              <w:rPr>
                <w:rFonts w:ascii="宋体" w:hAnsi="宋体" w:eastAsia="宋体" w:cs="宋体"/>
                <w:color w:val="000000"/>
                <w:sz w:val="21"/>
                <w:highlight w:val="white"/>
              </w:rPr>
              <w:t>维修人员，要求：1人；男性；18--60周岁之间；</w:t>
            </w:r>
            <w:r>
              <w:rPr>
                <w:rFonts w:ascii="宋体" w:hAnsi="宋体" w:eastAsia="宋体" w:cs="宋体"/>
                <w:color w:val="000000"/>
                <w:sz w:val="21"/>
                <w:highlight w:val="white"/>
              </w:rPr>
              <w:br w:type="textWrapping"/>
            </w:r>
            <w:r>
              <w:rPr>
                <w:rFonts w:ascii="宋体" w:hAnsi="宋体" w:eastAsia="宋体" w:cs="宋体"/>
                <w:color w:val="000000"/>
                <w:sz w:val="21"/>
                <w:highlight w:val="white"/>
              </w:rPr>
              <w:t>满足上述全部要求得4分；不满足得0分。</w:t>
            </w:r>
          </w:p>
        </w:tc>
        <w:tc>
          <w:tcPr>
            <w:tcW w:w="360" w:type="dxa"/>
            <w:vAlign w:val="center"/>
          </w:tcPr>
          <w:p>
            <w:pPr>
              <w:spacing w:before="48" w:after="48" w:line="240" w:lineRule="auto"/>
              <w:jc w:val="center"/>
            </w:pPr>
            <w:r>
              <w:rPr>
                <w:rFonts w:ascii="宋体" w:hAnsi="宋体" w:eastAsia="宋体" w:cs="宋体"/>
                <w:color w:val="000000"/>
                <w:sz w:val="21"/>
                <w:highlight w:val="white"/>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9</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Align w:val="center"/>
          </w:tcPr>
          <w:p>
            <w:pPr>
              <w:spacing w:before="48" w:after="48" w:line="240" w:lineRule="auto"/>
              <w:jc w:val="center"/>
            </w:pPr>
            <w:r>
              <w:rPr>
                <w:rFonts w:ascii="宋体" w:hAnsi="宋体" w:eastAsia="宋体" w:cs="宋体"/>
                <w:color w:val="000000"/>
                <w:sz w:val="21"/>
                <w:highlight w:val="white"/>
              </w:rPr>
              <w:t>技术力量6</w:t>
            </w:r>
          </w:p>
        </w:tc>
        <w:tc>
          <w:tcPr>
            <w:tcW w:w="360" w:type="dxa"/>
          </w:tcPr>
          <w:p>
            <w:pPr>
              <w:spacing w:before="48" w:after="48" w:line="240" w:lineRule="auto"/>
            </w:pPr>
            <w:r>
              <w:rPr>
                <w:rFonts w:ascii="宋体" w:hAnsi="宋体" w:eastAsia="宋体" w:cs="宋体"/>
                <w:color w:val="000000"/>
                <w:sz w:val="21"/>
                <w:highlight w:val="white"/>
              </w:rPr>
              <w:t>配备食堂厨师，要求：2人；男性；年龄：18-58周岁之间；均具有健康证；提供投标人为其缴纳的开标前12个月内至少6个月（含）的社保证明。</w:t>
            </w:r>
            <w:r>
              <w:rPr>
                <w:rFonts w:ascii="宋体" w:hAnsi="宋体" w:eastAsia="宋体" w:cs="宋体"/>
                <w:color w:val="000000"/>
                <w:sz w:val="21"/>
                <w:highlight w:val="white"/>
              </w:rPr>
              <w:br w:type="textWrapping"/>
            </w:r>
            <w:r>
              <w:rPr>
                <w:rFonts w:ascii="宋体" w:hAnsi="宋体" w:eastAsia="宋体" w:cs="宋体"/>
                <w:color w:val="000000"/>
                <w:sz w:val="21"/>
                <w:highlight w:val="white"/>
              </w:rPr>
              <w:t>满足上述全部要求得10分；不满足得0分。</w:t>
            </w:r>
          </w:p>
        </w:tc>
        <w:tc>
          <w:tcPr>
            <w:tcW w:w="360" w:type="dxa"/>
            <w:vAlign w:val="center"/>
          </w:tcPr>
          <w:p>
            <w:pPr>
              <w:spacing w:before="48" w:after="48" w:line="240" w:lineRule="auto"/>
              <w:jc w:val="center"/>
            </w:pPr>
            <w:r>
              <w:rPr>
                <w:rFonts w:ascii="宋体" w:hAnsi="宋体" w:eastAsia="宋体" w:cs="宋体"/>
                <w:color w:val="000000"/>
                <w:sz w:val="21"/>
                <w:highlight w:val="whit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10</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Align w:val="center"/>
          </w:tcPr>
          <w:p>
            <w:pPr>
              <w:spacing w:before="48" w:after="48" w:line="240" w:lineRule="auto"/>
              <w:jc w:val="center"/>
            </w:pPr>
            <w:r>
              <w:rPr>
                <w:rFonts w:ascii="宋体" w:hAnsi="宋体" w:eastAsia="宋体" w:cs="宋体"/>
                <w:color w:val="000000"/>
                <w:sz w:val="21"/>
                <w:highlight w:val="white"/>
              </w:rPr>
              <w:t>技术力量7</w:t>
            </w:r>
          </w:p>
        </w:tc>
        <w:tc>
          <w:tcPr>
            <w:tcW w:w="360" w:type="dxa"/>
          </w:tcPr>
          <w:p>
            <w:pPr>
              <w:spacing w:before="48" w:after="48" w:line="240" w:lineRule="auto"/>
            </w:pPr>
            <w:r>
              <w:rPr>
                <w:rFonts w:ascii="宋体" w:hAnsi="宋体" w:eastAsia="宋体" w:cs="宋体"/>
                <w:color w:val="000000"/>
                <w:sz w:val="21"/>
                <w:highlight w:val="white"/>
              </w:rPr>
              <w:t>配备食堂面点师，要求：2人；女性；年龄18--55周岁之间；均具有健康证；提供投标人为其缴纳的开标前12个月内至少6个月（含）的社保证明；</w:t>
            </w:r>
            <w:r>
              <w:rPr>
                <w:rFonts w:ascii="宋体" w:hAnsi="宋体" w:eastAsia="宋体" w:cs="宋体"/>
                <w:color w:val="000000"/>
                <w:sz w:val="21"/>
                <w:highlight w:val="white"/>
              </w:rPr>
              <w:br w:type="textWrapping"/>
            </w:r>
            <w:r>
              <w:rPr>
                <w:rFonts w:ascii="宋体" w:hAnsi="宋体" w:eastAsia="宋体" w:cs="宋体"/>
                <w:color w:val="000000"/>
                <w:sz w:val="21"/>
                <w:highlight w:val="white"/>
              </w:rPr>
              <w:t>满足上述全部要求得6分；不满足得0分。</w:t>
            </w:r>
          </w:p>
        </w:tc>
        <w:tc>
          <w:tcPr>
            <w:tcW w:w="360" w:type="dxa"/>
            <w:vAlign w:val="center"/>
          </w:tcPr>
          <w:p>
            <w:pPr>
              <w:spacing w:before="48" w:after="48" w:line="240" w:lineRule="auto"/>
              <w:jc w:val="center"/>
            </w:pPr>
            <w:r>
              <w:rPr>
                <w:rFonts w:ascii="宋体" w:hAnsi="宋体" w:eastAsia="宋体" w:cs="宋体"/>
                <w:color w:val="000000"/>
                <w:sz w:val="21"/>
                <w:highlight w:val="whit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11</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Align w:val="center"/>
          </w:tcPr>
          <w:p>
            <w:pPr>
              <w:spacing w:before="48" w:after="48" w:line="240" w:lineRule="auto"/>
              <w:jc w:val="center"/>
            </w:pPr>
            <w:r>
              <w:rPr>
                <w:rFonts w:ascii="宋体" w:hAnsi="宋体" w:eastAsia="宋体" w:cs="宋体"/>
                <w:color w:val="000000"/>
                <w:sz w:val="21"/>
                <w:highlight w:val="white"/>
              </w:rPr>
              <w:t>技术力量8</w:t>
            </w:r>
          </w:p>
        </w:tc>
        <w:tc>
          <w:tcPr>
            <w:tcW w:w="360" w:type="dxa"/>
          </w:tcPr>
          <w:p>
            <w:pPr>
              <w:spacing w:before="48" w:after="48" w:line="240" w:lineRule="auto"/>
            </w:pPr>
            <w:r>
              <w:rPr>
                <w:rFonts w:ascii="宋体" w:hAnsi="宋体" w:eastAsia="宋体" w:cs="宋体"/>
                <w:color w:val="000000"/>
                <w:sz w:val="21"/>
                <w:highlight w:val="white"/>
              </w:rPr>
              <w:t>配备食堂杂工4人、洗碗工2人、后勤保障人员4人，要求：男性年龄18-58周岁之间；女性年龄18--55周岁之间；均具有健康证；</w:t>
            </w:r>
            <w:r>
              <w:rPr>
                <w:rFonts w:ascii="宋体" w:hAnsi="宋体" w:eastAsia="宋体" w:cs="宋体"/>
                <w:color w:val="000000"/>
                <w:sz w:val="21"/>
                <w:highlight w:val="white"/>
              </w:rPr>
              <w:br w:type="textWrapping"/>
            </w:r>
            <w:r>
              <w:rPr>
                <w:rFonts w:ascii="宋体" w:hAnsi="宋体" w:eastAsia="宋体" w:cs="宋体"/>
                <w:color w:val="000000"/>
                <w:sz w:val="21"/>
                <w:highlight w:val="white"/>
              </w:rPr>
              <w:t>满足上述全部要求得10分；不满足得0分。</w:t>
            </w:r>
          </w:p>
        </w:tc>
        <w:tc>
          <w:tcPr>
            <w:tcW w:w="360" w:type="dxa"/>
            <w:vAlign w:val="center"/>
          </w:tcPr>
          <w:p>
            <w:pPr>
              <w:spacing w:before="48" w:after="48" w:line="240" w:lineRule="auto"/>
              <w:jc w:val="center"/>
            </w:pPr>
            <w:r>
              <w:rPr>
                <w:rFonts w:ascii="宋体" w:hAnsi="宋体" w:eastAsia="宋体" w:cs="宋体"/>
                <w:color w:val="000000"/>
                <w:sz w:val="21"/>
                <w:highlight w:val="whit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12</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服务团队稳定性保障措施</w:t>
            </w:r>
          </w:p>
        </w:tc>
        <w:tc>
          <w:tcPr>
            <w:tcW w:w="360" w:type="dxa"/>
          </w:tcPr>
          <w:p>
            <w:pPr>
              <w:spacing w:before="48" w:after="48" w:line="240" w:lineRule="auto"/>
            </w:pPr>
            <w:r>
              <w:rPr>
                <w:rFonts w:ascii="宋体" w:hAnsi="宋体" w:eastAsia="宋体" w:cs="宋体"/>
                <w:color w:val="000000"/>
                <w:sz w:val="21"/>
                <w:highlight w:val="white"/>
              </w:rPr>
              <w:t>根据投标人为本项目制定的服务团队稳定性保障措施进行打分：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1.针对人员调换、流失及团队结构稳定问题，为保证本项目服务人员数量的稳定性及服务质量的稳定性，制定的保障措施完整、详细、可操作性强的，人员更换无缝对接，新进人员完全符合岗位要求的，得5分。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2.针对人员调换、流失及团队结构稳定问题，为保证本项目服务人员数量的稳定性及服务质量的稳定性，制定的保障措施不够完整、详细、人员更换及时，新进人员基本符合岗位要求的得3分。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3.内容不完整或未提供方案的不得分。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13</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服务方案</w:t>
            </w:r>
          </w:p>
        </w:tc>
        <w:tc>
          <w:tcPr>
            <w:tcW w:w="360" w:type="dxa"/>
          </w:tcPr>
          <w:p>
            <w:pPr>
              <w:spacing w:before="48" w:after="48" w:line="240" w:lineRule="auto"/>
            </w:pPr>
            <w:r>
              <w:rPr>
                <w:rFonts w:ascii="宋体" w:hAnsi="宋体" w:eastAsia="宋体" w:cs="宋体"/>
                <w:color w:val="000000"/>
                <w:sz w:val="21"/>
                <w:highlight w:val="white"/>
              </w:rPr>
              <w:t>根据投标人为本项目制定的服务方案质量进行打分。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1.制定的工作实施方案、日常物业服务、人员配置及岗位职责、投诉处理等内容合理、严谨、可操作性强，投诉处理于8小时（含）响应并处理完毕，完全满足项目需求的得5分。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2.制定的工作实施方案、日常物业服务、人员配置及岗位职责、投诉处理内容较为合理、严谨，可操作性较强，投诉处理超过8小时响应并处理完毕，能满足本项目基本需求的，得3分。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3.方案内容不合理或未提供方案不得分。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14</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管理制度</w:t>
            </w:r>
          </w:p>
        </w:tc>
        <w:tc>
          <w:tcPr>
            <w:tcW w:w="360" w:type="dxa"/>
          </w:tcPr>
          <w:p>
            <w:pPr>
              <w:spacing w:before="48" w:after="48" w:line="240" w:lineRule="auto"/>
            </w:pPr>
            <w:r>
              <w:rPr>
                <w:rFonts w:ascii="宋体" w:hAnsi="宋体" w:eastAsia="宋体" w:cs="宋体"/>
                <w:color w:val="000000"/>
                <w:sz w:val="21"/>
                <w:highlight w:val="white"/>
              </w:rPr>
              <w:t>根据投标人为本项目制定的服务管理制度进行打分：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1.制定的日常管理制度、考核制度、保洁质量规范标准、人员培训计划及师资力量、培训场地、且人员培训2次/年以上，物业档案管理等内容完整、详细、可操作性强，得5分。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2.制定的日常管理制度、考核制度、保洁质量规范标准、人员培训计划及师资力量、培训场地、物业档案管理等内容较为完整、详细，可操作性较强，能满足本项目基本需求的，得3分。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3.内容不全、不合理，或未提供方案不得分。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15</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应急处置方案</w:t>
            </w:r>
          </w:p>
        </w:tc>
        <w:tc>
          <w:tcPr>
            <w:tcW w:w="360" w:type="dxa"/>
          </w:tcPr>
          <w:p>
            <w:pPr>
              <w:spacing w:before="48" w:after="48" w:line="240" w:lineRule="auto"/>
            </w:pPr>
            <w:r>
              <w:rPr>
                <w:rFonts w:ascii="宋体" w:hAnsi="宋体" w:eastAsia="宋体" w:cs="宋体"/>
                <w:color w:val="000000"/>
                <w:sz w:val="21"/>
                <w:highlight w:val="white"/>
              </w:rPr>
              <w:t>根据投标人为本项目制定的应急处置方案质量进行打分：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1.提供针对自然灾害、消防、暴力事件、盗窃、突发事件等各种处置方案中组织体系、预警和预防机制、应急响应及处置措施等内容完整、详细、具体、可操作性强的，处置方案和处理措施完全满足采购人需求的得5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2.提供针对自然灾害、消防、暴力事件、盗窃、突发事件等各种处置方案中组织体系、预警和预防机制、应急响应及处置措施等内容较为完整、详细、具体、可操作性较强的，处置方案和处理措施基本满足采购人需求的得3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3.方案内容不完整或未提供方案不得分。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gridSpan w:val="5"/>
          </w:tcPr>
          <w:p>
            <w:pPr>
              <w:spacing w:before="48" w:after="48" w:line="240" w:lineRule="auto"/>
              <w:jc w:val="center"/>
            </w:pPr>
            <w:r>
              <w:rPr>
                <w:rFonts w:ascii="宋体" w:hAnsi="宋体" w:eastAsia="宋体" w:cs="宋体"/>
                <w:color w:val="000000"/>
                <w:sz w:val="21"/>
                <w:highlight w:val="white"/>
              </w:rPr>
              <w:t>合计</w:t>
            </w:r>
          </w:p>
        </w:tc>
        <w:tc>
          <w:tcPr>
            <w:tcW w:w="360" w:type="dxa"/>
          </w:tcPr>
          <w:p>
            <w:pPr>
              <w:spacing w:before="48" w:after="48" w:line="240" w:lineRule="auto"/>
              <w:jc w:val="center"/>
            </w:pPr>
            <w:r>
              <w:rPr>
                <w:rFonts w:ascii="宋体" w:hAnsi="宋体" w:eastAsia="宋体" w:cs="宋体"/>
                <w:color w:val="000000"/>
                <w:sz w:val="21"/>
                <w:highlight w:val="white"/>
              </w:rPr>
              <w:t>100</w:t>
            </w:r>
          </w:p>
        </w:tc>
      </w:tr>
    </w:tbl>
    <w:p>
      <w:pPr>
        <w:spacing w:line="360" w:lineRule="auto"/>
        <w:rPr>
          <w:rFonts w:ascii="宋体" w:hAnsi="宋体" w:eastAsia="宋体" w:cs="宋体"/>
        </w:rPr>
      </w:pPr>
    </w:p>
    <w:p>
      <w:pPr>
        <w:pStyle w:val="3"/>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hint="eastAsia" w:ascii="Times New Roman" w:hAnsi="Times New Roman" w:eastAsia="宋体" w:cs="Times New Roman"/>
          <w:b/>
          <w:bCs/>
          <w:color w:val="auto"/>
          <w:kern w:val="44"/>
          <w:sz w:val="36"/>
          <w:szCs w:val="36"/>
          <w:highlight w:val="none"/>
          <w:lang w:val="en-US" w:eastAsia="zh-CN" w:bidi="ar-SA"/>
        </w:rPr>
      </w:pPr>
      <w:r>
        <w:rPr>
          <w:color w:val="000000"/>
          <w:highlight w:val="white"/>
        </w:rPr>
        <w:br w:type="page"/>
      </w:r>
      <w:r>
        <w:rPr>
          <w:rStyle w:val="37"/>
          <w:rFonts w:hint="eastAsia"/>
          <w:b/>
          <w:bCs/>
          <w:color w:val="000000"/>
          <w:highlight w:val="white"/>
          <w:lang w:val="en-US" w:eastAsia="zh-CN"/>
        </w:rPr>
        <w:t>第四章  政府采购合同文本</w:t>
      </w:r>
    </w:p>
    <w:p>
      <w:pPr>
        <w:widowControl w:val="0"/>
        <w:adjustRightInd w:val="0"/>
        <w:spacing w:after="160" w:line="360" w:lineRule="atLeast"/>
        <w:jc w:val="center"/>
        <w:textAlignment w:val="baseline"/>
        <w:rPr>
          <w:rFonts w:hint="eastAsia" w:ascii="宋体" w:hAnsi="宋体" w:eastAsia="宋体" w:cs="宋体"/>
          <w:b/>
          <w:sz w:val="96"/>
          <w:szCs w:val="96"/>
          <w:lang w:eastAsia="zh-CN"/>
        </w:rPr>
      </w:pPr>
      <w:r>
        <w:rPr>
          <w:rFonts w:hint="eastAsia" w:ascii="宋体" w:hAnsi="Courier New" w:eastAsia="宋体"/>
          <w:b/>
          <w:bCs/>
          <w:color w:val="000000"/>
          <w:kern w:val="44"/>
          <w:sz w:val="36"/>
          <w:szCs w:val="36"/>
          <w:highlight w:val="white"/>
          <w:lang w:eastAsia="zh-CN"/>
        </w:rPr>
        <w:t>政府采购合同文本（服务类）</w:t>
      </w:r>
    </w:p>
    <w:p>
      <w:pPr>
        <w:widowControl w:val="0"/>
        <w:adjustRightInd w:val="0"/>
        <w:spacing w:after="160" w:line="360" w:lineRule="atLeast"/>
        <w:jc w:val="center"/>
        <w:textAlignment w:val="baseline"/>
        <w:rPr>
          <w:rFonts w:hint="eastAsia" w:ascii="宋体" w:hAnsi="宋体" w:eastAsia="宋体" w:cs="宋体"/>
          <w:b/>
          <w:sz w:val="96"/>
          <w:szCs w:val="96"/>
          <w:lang w:eastAsia="zh-CN"/>
        </w:rPr>
      </w:pPr>
    </w:p>
    <w:p>
      <w:pPr>
        <w:widowControl w:val="0"/>
        <w:adjustRightInd w:val="0"/>
        <w:spacing w:after="160" w:line="360" w:lineRule="atLeast"/>
        <w:jc w:val="center"/>
        <w:textAlignment w:val="baseline"/>
        <w:rPr>
          <w:rFonts w:hint="eastAsia" w:ascii="宋体" w:hAnsi="宋体" w:eastAsia="宋体" w:cs="宋体"/>
          <w:b/>
          <w:sz w:val="96"/>
          <w:szCs w:val="96"/>
          <w:lang w:eastAsia="zh-CN"/>
        </w:rPr>
      </w:pPr>
      <w:r>
        <w:rPr>
          <w:rFonts w:hint="eastAsia" w:ascii="宋体" w:hAnsi="宋体" w:eastAsia="宋体" w:cs="宋体"/>
          <w:b/>
          <w:color w:val="000000"/>
          <w:sz w:val="96"/>
          <w:szCs w:val="96"/>
          <w:highlight w:val="white"/>
          <w:lang w:eastAsia="zh-CN"/>
        </w:rPr>
        <w:t>合 同 书</w:t>
      </w:r>
    </w:p>
    <w:p>
      <w:pPr>
        <w:widowControl w:val="0"/>
        <w:adjustRightInd w:val="0"/>
        <w:spacing w:after="160" w:line="360" w:lineRule="atLeast"/>
        <w:jc w:val="center"/>
        <w:textAlignment w:val="baseline"/>
        <w:rPr>
          <w:rFonts w:hint="eastAsia" w:ascii="宋体" w:hAnsi="宋体" w:eastAsia="宋体" w:cs="宋体"/>
          <w:b/>
          <w:sz w:val="96"/>
          <w:szCs w:val="96"/>
          <w:lang w:eastAsia="zh-CN"/>
        </w:rPr>
      </w:pPr>
    </w:p>
    <w:p>
      <w:pPr>
        <w:widowControl w:val="0"/>
        <w:tabs>
          <w:tab w:val="left" w:pos="540"/>
          <w:tab w:val="left" w:pos="1080"/>
          <w:tab w:val="left" w:pos="1440"/>
        </w:tabs>
        <w:snapToGrid w:val="0"/>
        <w:spacing w:after="160" w:line="259" w:lineRule="auto"/>
        <w:jc w:val="center"/>
        <w:rPr>
          <w:rFonts w:hint="eastAsia" w:ascii="宋体" w:hAnsi="宋体" w:eastAsia="宋体" w:cs="宋体"/>
          <w:kern w:val="2"/>
          <w:sz w:val="32"/>
          <w:szCs w:val="32"/>
          <w:lang w:eastAsia="zh-CN"/>
        </w:rPr>
      </w:pPr>
    </w:p>
    <w:p>
      <w:pPr>
        <w:widowControl w:val="0"/>
        <w:tabs>
          <w:tab w:val="left" w:pos="540"/>
          <w:tab w:val="left" w:pos="1080"/>
          <w:tab w:val="left" w:pos="1440"/>
        </w:tabs>
        <w:snapToGrid w:val="0"/>
        <w:spacing w:after="160" w:line="259" w:lineRule="auto"/>
        <w:jc w:val="center"/>
        <w:rPr>
          <w:rFonts w:hint="eastAsia" w:ascii="宋体" w:hAnsi="宋体" w:eastAsia="宋体" w:cs="宋体"/>
          <w:kern w:val="2"/>
          <w:sz w:val="32"/>
          <w:szCs w:val="32"/>
          <w:lang w:eastAsia="zh-CN"/>
        </w:rPr>
      </w:pPr>
    </w:p>
    <w:p>
      <w:pPr>
        <w:widowControl w:val="0"/>
        <w:tabs>
          <w:tab w:val="left" w:pos="2160"/>
        </w:tabs>
        <w:topLinePunct/>
        <w:autoSpaceDE w:val="0"/>
        <w:autoSpaceDN w:val="0"/>
        <w:snapToGrid w:val="0"/>
        <w:spacing w:after="160" w:line="360" w:lineRule="auto"/>
        <w:ind w:left="4053" w:leftChars="400" w:hanging="3213" w:hangingChars="1000"/>
        <w:jc w:val="both"/>
        <w:rPr>
          <w:rFonts w:hint="eastAsia" w:ascii="宋体" w:hAnsi="宋体" w:eastAsia="宋体" w:cs="宋体"/>
          <w:b/>
          <w:kern w:val="2"/>
          <w:sz w:val="32"/>
          <w:szCs w:val="32"/>
          <w:lang w:eastAsia="zh-CN"/>
        </w:rPr>
      </w:pPr>
      <w:r>
        <w:rPr>
          <w:rFonts w:hint="eastAsia" w:ascii="宋体" w:hAnsi="宋体" w:eastAsia="宋体" w:cs="宋体"/>
          <w:b/>
          <w:color w:val="000000"/>
          <w:kern w:val="2"/>
          <w:sz w:val="32"/>
          <w:szCs w:val="32"/>
          <w:highlight w:val="white"/>
          <w:lang w:eastAsia="zh-CN"/>
        </w:rPr>
        <w:t>项目名称：国家税务总局吉林市昌邑区税务局</w:t>
      </w:r>
    </w:p>
    <w:p>
      <w:pPr>
        <w:widowControl w:val="0"/>
        <w:tabs>
          <w:tab w:val="left" w:pos="2160"/>
        </w:tabs>
        <w:topLinePunct/>
        <w:autoSpaceDE w:val="0"/>
        <w:autoSpaceDN w:val="0"/>
        <w:snapToGrid w:val="0"/>
        <w:spacing w:after="160" w:line="360" w:lineRule="auto"/>
        <w:jc w:val="center"/>
        <w:rPr>
          <w:rFonts w:hint="eastAsia" w:ascii="宋体" w:hAnsi="宋体" w:eastAsia="宋体" w:cs="宋体"/>
          <w:b/>
          <w:kern w:val="2"/>
          <w:sz w:val="32"/>
          <w:szCs w:val="32"/>
          <w:lang w:eastAsia="zh-CN"/>
        </w:rPr>
      </w:pPr>
      <w:r>
        <w:rPr>
          <w:rFonts w:hint="eastAsia" w:ascii="宋体" w:hAnsi="宋体" w:eastAsia="宋体" w:cs="宋体"/>
          <w:b/>
          <w:color w:val="000000"/>
          <w:kern w:val="2"/>
          <w:sz w:val="32"/>
          <w:szCs w:val="32"/>
          <w:highlight w:val="white"/>
          <w:lang w:eastAsia="zh-CN"/>
        </w:rPr>
        <w:t>2025年物业管理服务项目</w:t>
      </w:r>
    </w:p>
    <w:p>
      <w:pPr>
        <w:widowControl w:val="0"/>
        <w:tabs>
          <w:tab w:val="left" w:pos="540"/>
          <w:tab w:val="left" w:pos="1080"/>
          <w:tab w:val="left" w:pos="1440"/>
        </w:tabs>
        <w:snapToGrid w:val="0"/>
        <w:spacing w:after="160" w:line="500" w:lineRule="exact"/>
        <w:ind w:left="840" w:leftChars="400"/>
        <w:jc w:val="both"/>
        <w:rPr>
          <w:rFonts w:hint="eastAsia" w:ascii="宋体" w:hAnsi="宋体" w:eastAsia="宋体" w:cs="宋体"/>
          <w:b/>
          <w:kern w:val="2"/>
          <w:sz w:val="32"/>
          <w:szCs w:val="32"/>
          <w:lang w:eastAsia="zh-CN"/>
        </w:rPr>
      </w:pPr>
      <w:r>
        <w:rPr>
          <w:rFonts w:hint="eastAsia" w:ascii="宋体" w:hAnsi="宋体" w:eastAsia="宋体" w:cs="宋体"/>
          <w:b/>
          <w:color w:val="000000"/>
          <w:kern w:val="2"/>
          <w:sz w:val="32"/>
          <w:szCs w:val="32"/>
          <w:highlight w:val="white"/>
          <w:lang w:eastAsia="zh-CN"/>
        </w:rPr>
        <w:t>合同编号：</w:t>
      </w:r>
    </w:p>
    <w:p>
      <w:pPr>
        <w:widowControl w:val="0"/>
        <w:tabs>
          <w:tab w:val="left" w:pos="2160"/>
        </w:tabs>
        <w:topLinePunct/>
        <w:autoSpaceDE w:val="0"/>
        <w:autoSpaceDN w:val="0"/>
        <w:snapToGrid w:val="0"/>
        <w:spacing w:after="160" w:line="360" w:lineRule="auto"/>
        <w:ind w:left="2564" w:leftChars="456" w:hanging="1606" w:hangingChars="500"/>
        <w:jc w:val="both"/>
        <w:rPr>
          <w:rFonts w:hint="eastAsia" w:ascii="宋体" w:hAnsi="宋体" w:eastAsia="宋体" w:cs="宋体"/>
          <w:b/>
          <w:kern w:val="2"/>
          <w:sz w:val="32"/>
          <w:szCs w:val="32"/>
          <w:lang w:eastAsia="zh-CN"/>
        </w:rPr>
      </w:pPr>
    </w:p>
    <w:p>
      <w:pPr>
        <w:widowControl w:val="0"/>
        <w:adjustRightInd w:val="0"/>
        <w:spacing w:after="160" w:line="460" w:lineRule="exact"/>
        <w:jc w:val="center"/>
        <w:textAlignment w:val="baseline"/>
        <w:rPr>
          <w:rFonts w:hint="eastAsia" w:ascii="宋体" w:hAnsi="宋体" w:eastAsia="宋体" w:cs="宋体"/>
          <w:b/>
          <w:sz w:val="52"/>
          <w:szCs w:val="21"/>
          <w:lang w:eastAsia="zh-CN"/>
        </w:rPr>
      </w:pPr>
    </w:p>
    <w:p>
      <w:pPr>
        <w:widowControl w:val="0"/>
        <w:tabs>
          <w:tab w:val="left" w:pos="3045"/>
        </w:tabs>
        <w:adjustRightInd w:val="0"/>
        <w:spacing w:after="160" w:line="460" w:lineRule="exact"/>
        <w:jc w:val="left"/>
        <w:textAlignment w:val="baseline"/>
        <w:rPr>
          <w:rFonts w:hint="eastAsia" w:ascii="宋体" w:hAnsi="宋体" w:eastAsia="宋体" w:cs="宋体"/>
          <w:b/>
          <w:sz w:val="32"/>
          <w:szCs w:val="21"/>
          <w:lang w:eastAsia="zh-CN"/>
        </w:rPr>
      </w:pPr>
      <w:r>
        <w:rPr>
          <w:rFonts w:hint="eastAsia" w:ascii="宋体" w:hAnsi="宋体" w:eastAsia="宋体" w:cs="宋体"/>
          <w:b/>
          <w:color w:val="000000"/>
          <w:sz w:val="32"/>
          <w:szCs w:val="21"/>
          <w:highlight w:val="white"/>
          <w:lang w:eastAsia="zh-CN"/>
        </w:rPr>
        <w:tab/>
      </w:r>
    </w:p>
    <w:p>
      <w:pPr>
        <w:widowControl w:val="0"/>
        <w:tabs>
          <w:tab w:val="left" w:pos="3045"/>
        </w:tabs>
        <w:adjustRightInd w:val="0"/>
        <w:spacing w:after="160" w:line="460" w:lineRule="exact"/>
        <w:jc w:val="left"/>
        <w:textAlignment w:val="baseline"/>
        <w:rPr>
          <w:rFonts w:hint="eastAsia" w:ascii="宋体" w:hAnsi="宋体" w:eastAsia="宋体" w:cs="宋体"/>
          <w:b/>
          <w:sz w:val="32"/>
          <w:szCs w:val="21"/>
          <w:lang w:eastAsia="zh-CN"/>
        </w:rPr>
      </w:pPr>
    </w:p>
    <w:p>
      <w:pPr>
        <w:widowControl w:val="0"/>
        <w:tabs>
          <w:tab w:val="left" w:pos="3045"/>
        </w:tabs>
        <w:adjustRightInd w:val="0"/>
        <w:spacing w:after="160" w:line="460" w:lineRule="exact"/>
        <w:jc w:val="left"/>
        <w:textAlignment w:val="baseline"/>
        <w:rPr>
          <w:rFonts w:hint="eastAsia" w:ascii="宋体" w:hAnsi="宋体" w:eastAsia="宋体" w:cs="宋体"/>
          <w:b/>
          <w:sz w:val="52"/>
          <w:szCs w:val="21"/>
          <w:lang w:eastAsia="zh-CN"/>
        </w:rPr>
      </w:pPr>
    </w:p>
    <w:p>
      <w:pPr>
        <w:widowControl w:val="0"/>
        <w:adjustRightInd w:val="0"/>
        <w:spacing w:after="160" w:line="460" w:lineRule="exact"/>
        <w:jc w:val="both"/>
        <w:textAlignment w:val="baseline"/>
        <w:rPr>
          <w:rFonts w:hint="eastAsia" w:ascii="宋体" w:hAnsi="宋体" w:eastAsia="宋体" w:cs="宋体"/>
          <w:b/>
          <w:sz w:val="52"/>
          <w:szCs w:val="21"/>
          <w:lang w:eastAsia="zh-CN"/>
        </w:rPr>
      </w:pPr>
    </w:p>
    <w:p>
      <w:pPr>
        <w:widowControl w:val="0"/>
        <w:adjustRightInd w:val="0"/>
        <w:spacing w:after="160" w:line="460" w:lineRule="exact"/>
        <w:jc w:val="center"/>
        <w:textAlignment w:val="baseline"/>
        <w:rPr>
          <w:rFonts w:hint="eastAsia" w:ascii="宋体" w:hAnsi="宋体" w:eastAsia="宋体" w:cs="宋体"/>
          <w:b/>
          <w:sz w:val="52"/>
          <w:szCs w:val="21"/>
          <w:lang w:eastAsia="zh-CN"/>
        </w:rPr>
      </w:pPr>
    </w:p>
    <w:p>
      <w:pPr>
        <w:widowControl w:val="0"/>
        <w:spacing w:after="160" w:line="300" w:lineRule="auto"/>
        <w:ind w:firstLine="1521" w:firstLineChars="541"/>
        <w:jc w:val="both"/>
        <w:rPr>
          <w:rFonts w:hint="eastAsia" w:ascii="宋体" w:hAnsi="宋体" w:eastAsia="宋体" w:cs="宋体"/>
          <w:b/>
          <w:bCs/>
          <w:kern w:val="2"/>
          <w:sz w:val="28"/>
          <w:lang w:eastAsia="zh-CN"/>
        </w:rPr>
      </w:pPr>
      <w:r>
        <w:rPr>
          <w:rFonts w:hint="eastAsia" w:ascii="宋体" w:hAnsi="宋体" w:eastAsia="宋体" w:cs="宋体"/>
          <w:b/>
          <w:bCs/>
          <w:color w:val="000000"/>
          <w:kern w:val="2"/>
          <w:sz w:val="28"/>
          <w:highlight w:val="white"/>
          <w:lang w:eastAsia="zh-CN"/>
        </w:rPr>
        <w:t xml:space="preserve">甲    方： </w:t>
      </w:r>
      <w:r>
        <w:rPr>
          <w:rFonts w:hint="eastAsia" w:ascii="宋体" w:hAnsi="宋体" w:eastAsia="宋体" w:cs="宋体"/>
          <w:b/>
          <w:bCs/>
          <w:color w:val="000000"/>
          <w:kern w:val="2"/>
          <w:sz w:val="28"/>
          <w:highlight w:val="white"/>
          <w:u w:val="single"/>
          <w:lang w:eastAsia="zh-CN"/>
        </w:rPr>
        <w:t xml:space="preserve">   国家税务总局吉林市昌邑区税务局                 </w:t>
      </w:r>
    </w:p>
    <w:p>
      <w:pPr>
        <w:widowControl w:val="0"/>
        <w:spacing w:after="160" w:line="300" w:lineRule="auto"/>
        <w:ind w:firstLine="1521" w:firstLineChars="541"/>
        <w:jc w:val="both"/>
        <w:rPr>
          <w:rFonts w:hint="eastAsia" w:ascii="宋体" w:hAnsi="宋体" w:eastAsia="宋体" w:cs="宋体"/>
          <w:b/>
          <w:bCs/>
          <w:kern w:val="2"/>
          <w:sz w:val="28"/>
          <w:u w:val="single"/>
          <w:lang w:eastAsia="zh-CN"/>
        </w:rPr>
      </w:pPr>
      <w:r>
        <w:rPr>
          <w:rFonts w:hint="eastAsia" w:ascii="宋体" w:hAnsi="宋体" w:eastAsia="宋体" w:cs="宋体"/>
          <w:b/>
          <w:bCs/>
          <w:color w:val="000000"/>
          <w:kern w:val="2"/>
          <w:sz w:val="28"/>
          <w:highlight w:val="white"/>
          <w:lang w:eastAsia="zh-CN"/>
        </w:rPr>
        <w:t xml:space="preserve">乙    方： </w:t>
      </w:r>
      <w:r>
        <w:rPr>
          <w:rFonts w:hint="eastAsia" w:ascii="宋体" w:hAnsi="宋体" w:eastAsia="宋体" w:cs="宋体"/>
          <w:b/>
          <w:bCs/>
          <w:color w:val="000000"/>
          <w:kern w:val="2"/>
          <w:sz w:val="28"/>
          <w:highlight w:val="white"/>
          <w:u w:val="single"/>
          <w:lang w:eastAsia="zh-CN"/>
        </w:rPr>
        <w:t xml:space="preserve">                                      </w:t>
      </w:r>
    </w:p>
    <w:p>
      <w:pPr>
        <w:widowControl w:val="0"/>
        <w:spacing w:after="160" w:line="300" w:lineRule="auto"/>
        <w:ind w:firstLine="1521" w:firstLineChars="541"/>
        <w:jc w:val="both"/>
        <w:rPr>
          <w:rFonts w:hint="eastAsia" w:ascii="宋体" w:hAnsi="宋体" w:eastAsia="宋体" w:cs="宋体"/>
          <w:b/>
          <w:bCs/>
          <w:kern w:val="2"/>
          <w:sz w:val="28"/>
          <w:u w:val="single"/>
          <w:lang w:eastAsia="zh-CN"/>
        </w:rPr>
      </w:pPr>
      <w:r>
        <w:rPr>
          <w:rFonts w:hint="eastAsia" w:ascii="宋体" w:hAnsi="宋体" w:eastAsia="宋体" w:cs="宋体"/>
          <w:b/>
          <w:bCs/>
          <w:color w:val="000000"/>
          <w:kern w:val="2"/>
          <w:sz w:val="28"/>
          <w:highlight w:val="white"/>
          <w:lang w:eastAsia="zh-CN"/>
        </w:rPr>
        <w:t xml:space="preserve">日    期： </w:t>
      </w:r>
      <w:r>
        <w:rPr>
          <w:rFonts w:hint="eastAsia" w:ascii="宋体" w:hAnsi="宋体" w:eastAsia="宋体" w:cs="宋体"/>
          <w:b/>
          <w:bCs/>
          <w:color w:val="000000"/>
          <w:kern w:val="2"/>
          <w:sz w:val="28"/>
          <w:highlight w:val="white"/>
          <w:u w:val="single"/>
          <w:lang w:eastAsia="zh-CN"/>
        </w:rPr>
        <w:t xml:space="preserve">        年      月                     </w:t>
      </w:r>
    </w:p>
    <w:p>
      <w:pPr>
        <w:widowControl w:val="0"/>
        <w:spacing w:after="160" w:line="300" w:lineRule="auto"/>
        <w:jc w:val="center"/>
        <w:rPr>
          <w:rFonts w:hint="eastAsia" w:ascii="宋体" w:hAnsi="宋体" w:eastAsia="宋体" w:cs="宋体"/>
          <w:b/>
          <w:kern w:val="2"/>
          <w:sz w:val="28"/>
          <w:lang w:eastAsia="zh-CN"/>
        </w:rPr>
      </w:pPr>
      <w:r>
        <w:rPr>
          <w:rFonts w:ascii="宋体" w:hAnsi="宋体" w:eastAsia="宋体" w:cs="宋体"/>
          <w:b/>
          <w:bCs/>
          <w:color w:val="000000"/>
          <w:kern w:val="2"/>
          <w:sz w:val="28"/>
          <w:highlight w:val="white"/>
          <w:u w:val="single"/>
          <w:lang w:eastAsia="zh-CN"/>
        </w:rPr>
        <w:br w:type="page"/>
      </w:r>
      <w:r>
        <w:rPr>
          <w:rFonts w:hint="eastAsia" w:ascii="宋体" w:hAnsi="宋体" w:eastAsia="宋体" w:cs="宋体"/>
          <w:b/>
          <w:color w:val="000000"/>
          <w:kern w:val="2"/>
          <w:sz w:val="28"/>
          <w:highlight w:val="white"/>
          <w:lang w:eastAsia="zh-CN"/>
        </w:rPr>
        <w:t>合同条款前附表</w:t>
      </w:r>
    </w:p>
    <w:tbl>
      <w:tblPr>
        <w:tblStyle w:val="30"/>
        <w:tblW w:w="8841"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0"/>
        <w:gridCol w:w="544"/>
        <w:gridCol w:w="1376"/>
        <w:gridCol w:w="6388"/>
        <w:gridCol w:w="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554" w:hRule="exac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b/>
                <w:kern w:val="2"/>
                <w:sz w:val="21"/>
                <w:szCs w:val="21"/>
                <w:lang w:eastAsia="zh-CN"/>
              </w:rPr>
            </w:pPr>
            <w:r>
              <w:rPr>
                <w:rFonts w:hint="eastAsia" w:ascii="宋体" w:hAnsi="宋体" w:eastAsia="宋体" w:cs="宋体"/>
                <w:b/>
                <w:color w:val="000000"/>
                <w:kern w:val="2"/>
                <w:sz w:val="21"/>
                <w:szCs w:val="21"/>
                <w:highlight w:val="white"/>
                <w:lang w:eastAsia="zh-CN"/>
              </w:rPr>
              <w:t>序号</w:t>
            </w:r>
          </w:p>
        </w:tc>
        <w:tc>
          <w:tcPr>
            <w:tcW w:w="8308" w:type="dxa"/>
            <w:gridSpan w:val="3"/>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b/>
                <w:kern w:val="2"/>
                <w:sz w:val="21"/>
                <w:szCs w:val="21"/>
                <w:lang w:eastAsia="zh-CN"/>
              </w:rPr>
            </w:pPr>
            <w:r>
              <w:rPr>
                <w:rFonts w:hint="eastAsia" w:ascii="宋体" w:hAnsi="宋体" w:eastAsia="宋体" w:cs="宋体"/>
                <w:b/>
                <w:color w:val="000000"/>
                <w:kern w:val="2"/>
                <w:sz w:val="21"/>
                <w:szCs w:val="21"/>
                <w:highlight w:val="white"/>
                <w:lang w:eastAsia="zh-CN"/>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合同名称</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bCs/>
                <w:kern w:val="2"/>
                <w:sz w:val="21"/>
                <w:szCs w:val="21"/>
                <w:lang w:eastAsia="zh-CN"/>
              </w:rPr>
            </w:pPr>
            <w:r>
              <w:rPr>
                <w:rFonts w:hint="eastAsia" w:ascii="宋体" w:hAnsi="宋体" w:eastAsia="宋体" w:cs="宋体"/>
                <w:bCs/>
                <w:color w:val="000000"/>
                <w:kern w:val="2"/>
                <w:sz w:val="21"/>
                <w:szCs w:val="21"/>
                <w:highlight w:val="white"/>
                <w:lang w:eastAsia="zh-CN"/>
              </w:rPr>
              <w:t>国家税务总局吉林市昌邑区税务局2025年物业管理服务项目合同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2</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合同编号</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2160"/>
              </w:tabs>
              <w:topLinePunct/>
              <w:autoSpaceDE w:val="0"/>
              <w:autoSpaceDN w:val="0"/>
              <w:adjustRightInd w:val="0"/>
              <w:snapToGrid w:val="0"/>
              <w:spacing w:after="160" w:line="259" w:lineRule="auto"/>
              <w:jc w:val="both"/>
              <w:rPr>
                <w:rFonts w:hint="eastAsia" w:ascii="宋体" w:hAnsi="宋体" w:eastAsia="宋体" w:cs="宋体"/>
                <w:bCs/>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3</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合同类型</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2160"/>
              </w:tabs>
              <w:topLinePunct/>
              <w:autoSpaceDE w:val="0"/>
              <w:autoSpaceDN w:val="0"/>
              <w:adjustRightInd w:val="0"/>
              <w:snapToGrid w:val="0"/>
              <w:spacing w:after="160" w:line="259" w:lineRule="auto"/>
              <w:jc w:val="both"/>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专门面向中小企业采购合同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4</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定价方式</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2160"/>
              </w:tabs>
              <w:topLinePunct/>
              <w:autoSpaceDE w:val="0"/>
              <w:autoSpaceDN w:val="0"/>
              <w:adjustRightInd w:val="0"/>
              <w:snapToGrid w:val="0"/>
              <w:spacing w:after="160" w:line="259" w:lineRule="auto"/>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809" w:hRule="exac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5</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项目类别</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2160"/>
              </w:tabs>
              <w:topLinePunct/>
              <w:autoSpaceDE w:val="0"/>
              <w:autoSpaceDN w:val="0"/>
              <w:adjustRightInd w:val="0"/>
              <w:snapToGrid w:val="0"/>
              <w:spacing w:before="100" w:beforeAutospacing="1" w:after="160" w:line="257" w:lineRule="auto"/>
              <w:jc w:val="both"/>
              <w:rPr>
                <w:rFonts w:hint="eastAsia" w:ascii="宋体" w:hAnsi="宋体" w:eastAsia="宋体" w:cs="宋体"/>
                <w:kern w:val="2"/>
                <w:sz w:val="21"/>
                <w:szCs w:val="21"/>
                <w:lang w:eastAsia="zh-CN"/>
              </w:rPr>
            </w:pPr>
            <w:r>
              <w:rPr>
                <w:rFonts w:ascii="Wingdings 2" w:hAnsi="Wingdings 2" w:eastAsia="宋体" w:cs="宋体"/>
                <w:color w:val="000000"/>
                <w:kern w:val="2"/>
                <w:sz w:val="21"/>
                <w:szCs w:val="21"/>
                <w:highlight w:val="white"/>
                <w:lang w:eastAsia="zh-CN" w:bidi="ar"/>
              </w:rPr>
              <w:t>£</w:t>
            </w:r>
            <w:r>
              <w:rPr>
                <w:rFonts w:hint="eastAsia" w:ascii="宋体" w:hAnsi="宋体" w:eastAsia="宋体" w:cs="宋体"/>
                <w:color w:val="000000"/>
                <w:kern w:val="2"/>
                <w:sz w:val="21"/>
                <w:szCs w:val="21"/>
                <w:highlight w:val="white"/>
                <w:lang w:eastAsia="zh-CN" w:bidi="ar"/>
              </w:rPr>
              <w:t xml:space="preserve">信息化项目      </w:t>
            </w:r>
            <w:r>
              <w:rPr>
                <w:rFonts w:ascii="Wingdings 2" w:hAnsi="Wingdings 2" w:eastAsia="宋体" w:cs="宋体"/>
                <w:color w:val="000000"/>
                <w:kern w:val="2"/>
                <w:sz w:val="21"/>
                <w:szCs w:val="21"/>
                <w:highlight w:val="white"/>
                <w:lang w:eastAsia="zh-CN" w:bidi="ar"/>
              </w:rPr>
              <w:sym w:font="Wingdings 2" w:char="F052"/>
            </w:r>
            <w:r>
              <w:rPr>
                <w:rFonts w:hint="eastAsia" w:ascii="Wingdings 2" w:hAnsi="Wingdings 2" w:eastAsia="宋体" w:cs="宋体"/>
                <w:color w:val="000000"/>
                <w:kern w:val="2"/>
                <w:sz w:val="21"/>
                <w:szCs w:val="21"/>
                <w:highlight w:val="white"/>
                <w:lang w:eastAsia="zh-CN" w:bidi="ar"/>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vMerge w:val="restart"/>
            <w:tcBorders>
              <w:top w:val="single" w:color="auto" w:sz="4" w:space="0"/>
              <w:left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6</w:t>
            </w:r>
          </w:p>
        </w:tc>
        <w:tc>
          <w:tcPr>
            <w:tcW w:w="1920" w:type="dxa"/>
            <w:gridSpan w:val="2"/>
            <w:tcBorders>
              <w:top w:val="single" w:color="auto" w:sz="4" w:space="0"/>
              <w:left w:val="single" w:color="auto" w:sz="4" w:space="0"/>
              <w:bottom w:val="single" w:color="auto" w:sz="6" w:space="0"/>
              <w:right w:val="single" w:color="auto" w:sz="6"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甲方名称</w:t>
            </w:r>
          </w:p>
        </w:tc>
        <w:tc>
          <w:tcPr>
            <w:tcW w:w="6388" w:type="dxa"/>
            <w:tcBorders>
              <w:top w:val="single" w:color="auto" w:sz="4" w:space="0"/>
              <w:left w:val="single" w:color="auto" w:sz="6" w:space="0"/>
              <w:bottom w:val="single" w:color="auto" w:sz="6"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bCs/>
                <w:kern w:val="2"/>
                <w:sz w:val="21"/>
                <w:szCs w:val="21"/>
                <w:lang w:eastAsia="zh-CN"/>
              </w:rPr>
            </w:pPr>
            <w:r>
              <w:rPr>
                <w:rFonts w:hint="eastAsia" w:ascii="宋体" w:hAnsi="宋体" w:eastAsia="宋体" w:cs="宋体"/>
                <w:bCs/>
                <w:color w:val="000000"/>
                <w:kern w:val="2"/>
                <w:sz w:val="21"/>
                <w:szCs w:val="21"/>
                <w:highlight w:val="white"/>
                <w:lang w:eastAsia="zh-CN"/>
              </w:rPr>
              <w:t>国家税务总局吉林市昌邑区税务局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1250" w:hRule="exact"/>
        </w:trPr>
        <w:tc>
          <w:tcPr>
            <w:tcW w:w="520" w:type="dxa"/>
            <w:vMerge w:val="continue"/>
            <w:tcBorders>
              <w:left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1920" w:type="dxa"/>
            <w:gridSpan w:val="2"/>
            <w:tcBorders>
              <w:top w:val="single" w:color="auto" w:sz="6" w:space="0"/>
              <w:left w:val="single" w:color="auto" w:sz="4" w:space="0"/>
              <w:bottom w:val="single" w:color="auto" w:sz="6" w:space="0"/>
              <w:right w:val="single" w:color="auto" w:sz="6"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甲方地址</w:t>
            </w:r>
          </w:p>
        </w:tc>
        <w:tc>
          <w:tcPr>
            <w:tcW w:w="6388" w:type="dxa"/>
            <w:tcBorders>
              <w:top w:val="single" w:color="auto" w:sz="6" w:space="0"/>
              <w:left w:val="single" w:color="auto" w:sz="6" w:space="0"/>
              <w:bottom w:val="single" w:color="auto" w:sz="6" w:space="0"/>
              <w:right w:val="single" w:color="auto" w:sz="4" w:space="0"/>
            </w:tcBorders>
            <w:vAlign w:val="center"/>
          </w:tcPr>
          <w:p>
            <w:pPr>
              <w:widowControl/>
              <w:shd w:val="clear" w:color="auto" w:fill="FFFFFF"/>
              <w:adjustRightInd w:val="0"/>
              <w:snapToGrid w:val="0"/>
              <w:spacing w:before="62" w:beforeLines="20" w:after="62" w:afterLines="20" w:line="360" w:lineRule="auto"/>
              <w:jc w:val="left"/>
              <w:rPr>
                <w:rFonts w:hint="eastAsia" w:ascii="Calibri" w:hAnsi="Calibri" w:eastAsia="宋体"/>
                <w:kern w:val="2"/>
                <w:sz w:val="21"/>
                <w:lang w:eastAsia="zh-CN"/>
              </w:rPr>
            </w:pPr>
            <w:r>
              <w:rPr>
                <w:rFonts w:hint="eastAsia" w:ascii="Calibri" w:hAnsi="Calibri" w:eastAsia="宋体"/>
                <w:color w:val="000000"/>
                <w:kern w:val="2"/>
                <w:sz w:val="21"/>
                <w:highlight w:val="white"/>
                <w:lang w:eastAsia="zh-CN"/>
              </w:rPr>
              <w:t>吉林省吉林市昌邑区天津街6号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520" w:type="dxa"/>
            <w:vMerge w:val="continue"/>
            <w:tcBorders>
              <w:left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544" w:type="dxa"/>
            <w:vMerge w:val="restart"/>
            <w:tcBorders>
              <w:top w:val="single" w:color="auto" w:sz="6" w:space="0"/>
              <w:left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甲方相关部门</w:t>
            </w:r>
          </w:p>
        </w:tc>
        <w:tc>
          <w:tcPr>
            <w:tcW w:w="1376" w:type="dxa"/>
            <w:tcBorders>
              <w:top w:val="single" w:color="auto" w:sz="6" w:space="0"/>
              <w:left w:val="single" w:color="auto" w:sz="4" w:space="0"/>
              <w:bottom w:val="single" w:color="auto" w:sz="6" w:space="0"/>
              <w:right w:val="single" w:color="auto" w:sz="6"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甲方采购部门/</w:t>
            </w:r>
            <w:r>
              <w:rPr>
                <w:rFonts w:hint="eastAsia" w:ascii="FangSong_GB2312" w:hAnsi="FangSong_GB2312" w:eastAsia="FangSong_GB2312" w:cs="FangSong_GB2312"/>
                <w:color w:val="000000"/>
                <w:kern w:val="2"/>
                <w:highlight w:val="white"/>
                <w:lang w:eastAsia="zh-CN"/>
              </w:rPr>
              <w:t>甲方验收牵头部门</w:t>
            </w:r>
          </w:p>
        </w:tc>
        <w:tc>
          <w:tcPr>
            <w:tcW w:w="6388" w:type="dxa"/>
            <w:tcBorders>
              <w:top w:val="single" w:color="auto" w:sz="6" w:space="0"/>
              <w:left w:val="single" w:color="auto" w:sz="6" w:space="0"/>
              <w:bottom w:val="single" w:color="auto" w:sz="6" w:space="0"/>
              <w:right w:val="single" w:color="auto" w:sz="4" w:space="0"/>
            </w:tcBorders>
            <w:vAlign w:val="center"/>
          </w:tcPr>
          <w:p>
            <w:pPr>
              <w:widowControl/>
              <w:shd w:val="clear" w:color="auto" w:fill="FFFFFF"/>
              <w:adjustRightInd w:val="0"/>
              <w:snapToGrid w:val="0"/>
              <w:spacing w:before="62" w:beforeLines="20" w:after="62" w:afterLines="20" w:line="360" w:lineRule="auto"/>
              <w:jc w:val="left"/>
              <w:rPr>
                <w:rFonts w:hint="eastAsia" w:ascii="Calibri" w:hAnsi="Calibri" w:eastAsia="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vMerge w:val="continue"/>
            <w:tcBorders>
              <w:left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544" w:type="dxa"/>
            <w:vMerge w:val="continue"/>
            <w:tcBorders>
              <w:left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p>
        </w:tc>
        <w:tc>
          <w:tcPr>
            <w:tcW w:w="1376" w:type="dxa"/>
            <w:tcBorders>
              <w:top w:val="single" w:color="auto" w:sz="6" w:space="0"/>
              <w:left w:val="single" w:color="auto" w:sz="4" w:space="0"/>
              <w:bottom w:val="single" w:color="auto" w:sz="6" w:space="0"/>
              <w:right w:val="single" w:color="auto" w:sz="6"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联系人</w:t>
            </w:r>
          </w:p>
        </w:tc>
        <w:tc>
          <w:tcPr>
            <w:tcW w:w="6388" w:type="dxa"/>
            <w:tcBorders>
              <w:top w:val="single" w:color="auto" w:sz="6" w:space="0"/>
              <w:left w:val="single" w:color="auto" w:sz="6" w:space="0"/>
              <w:bottom w:val="single" w:color="auto" w:sz="6" w:space="0"/>
              <w:right w:val="single" w:color="auto" w:sz="4" w:space="0"/>
            </w:tcBorders>
            <w:vAlign w:val="center"/>
          </w:tcPr>
          <w:p>
            <w:pPr>
              <w:widowControl/>
              <w:shd w:val="clear" w:color="auto" w:fill="FFFFFF"/>
              <w:adjustRightInd w:val="0"/>
              <w:snapToGrid w:val="0"/>
              <w:spacing w:before="62" w:beforeLines="20" w:after="62" w:afterLines="20" w:line="360" w:lineRule="auto"/>
              <w:jc w:val="left"/>
              <w:rPr>
                <w:rFonts w:hint="eastAsia" w:ascii="Calibri" w:hAnsi="Calibri" w:eastAsia="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vMerge w:val="continue"/>
            <w:tcBorders>
              <w:left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544" w:type="dxa"/>
            <w:vMerge w:val="continue"/>
            <w:tcBorders>
              <w:left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p>
        </w:tc>
        <w:tc>
          <w:tcPr>
            <w:tcW w:w="1376" w:type="dxa"/>
            <w:tcBorders>
              <w:top w:val="single" w:color="auto" w:sz="6" w:space="0"/>
              <w:left w:val="single" w:color="auto" w:sz="4" w:space="0"/>
              <w:bottom w:val="single" w:color="auto" w:sz="4" w:space="0"/>
              <w:right w:val="single" w:color="auto" w:sz="6"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联系电话</w:t>
            </w:r>
          </w:p>
        </w:tc>
        <w:tc>
          <w:tcPr>
            <w:tcW w:w="6388" w:type="dxa"/>
            <w:tcBorders>
              <w:top w:val="single" w:color="auto" w:sz="6" w:space="0"/>
              <w:left w:val="single" w:color="auto" w:sz="6" w:space="0"/>
              <w:bottom w:val="single" w:color="auto" w:sz="4" w:space="0"/>
              <w:right w:val="single" w:color="auto" w:sz="4" w:space="0"/>
            </w:tcBorders>
            <w:vAlign w:val="center"/>
          </w:tcPr>
          <w:p>
            <w:pPr>
              <w:widowControl/>
              <w:shd w:val="clear" w:color="auto" w:fill="FFFFFF"/>
              <w:adjustRightInd w:val="0"/>
              <w:snapToGrid w:val="0"/>
              <w:spacing w:before="62" w:beforeLines="20" w:after="62" w:afterLines="20" w:line="360" w:lineRule="auto"/>
              <w:jc w:val="left"/>
              <w:rPr>
                <w:rFonts w:hint="eastAsia" w:ascii="Calibri" w:hAnsi="Calibri" w:eastAsia="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2643" w:hRule="exact"/>
        </w:trPr>
        <w:tc>
          <w:tcPr>
            <w:tcW w:w="520" w:type="dxa"/>
            <w:vMerge w:val="continue"/>
            <w:tcBorders>
              <w:left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544" w:type="dxa"/>
            <w:vMerge w:val="continue"/>
            <w:tcBorders>
              <w:left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p>
        </w:tc>
        <w:tc>
          <w:tcPr>
            <w:tcW w:w="1376" w:type="dxa"/>
            <w:tcBorders>
              <w:top w:val="single" w:color="auto" w:sz="6" w:space="0"/>
              <w:left w:val="single" w:color="auto" w:sz="4" w:space="0"/>
              <w:bottom w:val="single" w:color="auto" w:sz="4" w:space="0"/>
              <w:right w:val="single" w:color="auto" w:sz="6"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18"/>
                <w:szCs w:val="18"/>
                <w:lang w:eastAsia="zh-CN"/>
              </w:rPr>
            </w:pPr>
            <w:r>
              <w:rPr>
                <w:rFonts w:hint="eastAsia" w:ascii="FangSong_GB2312" w:hAnsi="FangSong_GB2312" w:eastAsia="FangSong_GB2312" w:cs="FangSong_GB2312"/>
                <w:color w:val="000000"/>
                <w:kern w:val="2"/>
                <w:highlight w:val="white"/>
                <w:lang w:eastAsia="zh-CN"/>
              </w:rPr>
              <w:t>甲方需求部门/甲方验收牵头部门</w:t>
            </w:r>
          </w:p>
        </w:tc>
        <w:tc>
          <w:tcPr>
            <w:tcW w:w="6388" w:type="dxa"/>
            <w:tcBorders>
              <w:top w:val="single" w:color="auto" w:sz="6" w:space="0"/>
              <w:left w:val="single" w:color="auto" w:sz="6" w:space="0"/>
              <w:bottom w:val="single" w:color="auto" w:sz="4" w:space="0"/>
              <w:right w:val="single" w:color="auto" w:sz="4" w:space="0"/>
            </w:tcBorders>
            <w:vAlign w:val="center"/>
          </w:tcPr>
          <w:p>
            <w:pPr>
              <w:widowControl/>
              <w:shd w:val="clear" w:color="auto" w:fill="FFFFFF"/>
              <w:adjustRightInd w:val="0"/>
              <w:snapToGrid w:val="0"/>
              <w:spacing w:before="62" w:beforeLines="20" w:after="62" w:afterLines="20" w:line="360" w:lineRule="auto"/>
              <w:jc w:val="left"/>
              <w:rPr>
                <w:rFonts w:hint="eastAsia" w:ascii="Calibri" w:hAnsi="Calibri" w:eastAsia="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vMerge w:val="continue"/>
            <w:tcBorders>
              <w:left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544" w:type="dxa"/>
            <w:vMerge w:val="continue"/>
            <w:tcBorders>
              <w:left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p>
        </w:tc>
        <w:tc>
          <w:tcPr>
            <w:tcW w:w="1376" w:type="dxa"/>
            <w:tcBorders>
              <w:top w:val="single" w:color="auto" w:sz="6" w:space="0"/>
              <w:left w:val="single" w:color="auto" w:sz="4" w:space="0"/>
              <w:bottom w:val="single" w:color="auto" w:sz="4" w:space="0"/>
              <w:right w:val="single" w:color="auto" w:sz="6"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联系人</w:t>
            </w:r>
          </w:p>
        </w:tc>
        <w:tc>
          <w:tcPr>
            <w:tcW w:w="6388" w:type="dxa"/>
            <w:tcBorders>
              <w:top w:val="single" w:color="auto" w:sz="6" w:space="0"/>
              <w:left w:val="single" w:color="auto" w:sz="6" w:space="0"/>
              <w:bottom w:val="single" w:color="auto" w:sz="4" w:space="0"/>
              <w:right w:val="single" w:color="auto" w:sz="4" w:space="0"/>
            </w:tcBorders>
            <w:vAlign w:val="center"/>
          </w:tcPr>
          <w:p>
            <w:pPr>
              <w:widowControl/>
              <w:shd w:val="clear" w:color="auto" w:fill="FFFFFF"/>
              <w:adjustRightInd w:val="0"/>
              <w:snapToGrid w:val="0"/>
              <w:spacing w:before="62" w:beforeLines="20" w:after="62" w:afterLines="20" w:line="360" w:lineRule="auto"/>
              <w:jc w:val="left"/>
              <w:rPr>
                <w:rFonts w:hint="eastAsia" w:ascii="Calibri" w:hAnsi="Calibri" w:eastAsia="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vMerge w:val="continue"/>
            <w:tcBorders>
              <w:left w:val="single" w:color="auto" w:sz="4" w:space="0"/>
              <w:bottom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544" w:type="dxa"/>
            <w:vMerge w:val="continue"/>
            <w:tcBorders>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p>
        </w:tc>
        <w:tc>
          <w:tcPr>
            <w:tcW w:w="1376" w:type="dxa"/>
            <w:tcBorders>
              <w:top w:val="single" w:color="auto" w:sz="6" w:space="0"/>
              <w:left w:val="single" w:color="auto" w:sz="4" w:space="0"/>
              <w:bottom w:val="single" w:color="auto" w:sz="4" w:space="0"/>
              <w:right w:val="single" w:color="auto" w:sz="6"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联系电话</w:t>
            </w:r>
          </w:p>
        </w:tc>
        <w:tc>
          <w:tcPr>
            <w:tcW w:w="6388" w:type="dxa"/>
            <w:tcBorders>
              <w:top w:val="single" w:color="auto" w:sz="6" w:space="0"/>
              <w:left w:val="single" w:color="auto" w:sz="6" w:space="0"/>
              <w:bottom w:val="single" w:color="auto" w:sz="4" w:space="0"/>
              <w:right w:val="single" w:color="auto" w:sz="4" w:space="0"/>
            </w:tcBorders>
            <w:vAlign w:val="center"/>
          </w:tcPr>
          <w:p>
            <w:pPr>
              <w:widowControl/>
              <w:shd w:val="clear" w:color="auto" w:fill="FFFFFF"/>
              <w:adjustRightInd w:val="0"/>
              <w:snapToGrid w:val="0"/>
              <w:spacing w:before="62" w:beforeLines="20" w:after="62" w:afterLines="20" w:line="360" w:lineRule="auto"/>
              <w:jc w:val="left"/>
              <w:rPr>
                <w:rFonts w:hint="eastAsia" w:ascii="Calibri" w:hAnsi="Calibri" w:eastAsia="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896" w:hRule="exact"/>
        </w:trPr>
        <w:tc>
          <w:tcPr>
            <w:tcW w:w="520" w:type="dxa"/>
            <w:vMerge w:val="restart"/>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7</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乙方名称</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1145" w:hRule="exact"/>
        </w:trPr>
        <w:tc>
          <w:tcPr>
            <w:tcW w:w="52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乙方企业性质</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 xml:space="preserve">□ 中型企业     □ 小型企业            □ 微型企业    </w:t>
            </w:r>
          </w:p>
          <w:p>
            <w:pPr>
              <w:widowControl w:val="0"/>
              <w:tabs>
                <w:tab w:val="left" w:pos="700"/>
              </w:tabs>
              <w:adjustRightInd w:val="0"/>
              <w:snapToGrid w:val="0"/>
              <w:spacing w:after="160" w:line="259" w:lineRule="auto"/>
              <w:jc w:val="both"/>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 xml:space="preserve">□ 监狱企业     □ 残疾人福利性单位    </w:t>
            </w:r>
            <w:r>
              <w:rPr>
                <w:rFonts w:ascii="Wingdings 2" w:hAnsi="Wingdings 2" w:eastAsia="宋体" w:cs="宋体"/>
                <w:color w:val="000000"/>
                <w:kern w:val="2"/>
                <w:sz w:val="21"/>
                <w:highlight w:val="white"/>
                <w:lang w:eastAsia="zh-CN"/>
              </w:rPr>
              <w:sym w:font="Wingdings 2" w:char="F0A3"/>
            </w:r>
            <w:r>
              <w:rPr>
                <w:rFonts w:hint="eastAsia" w:ascii="宋体" w:hAnsi="宋体" w:eastAsia="宋体" w:cs="宋体"/>
                <w:color w:val="000000"/>
                <w:kern w:val="2"/>
                <w:sz w:val="21"/>
                <w:highlight w:val="white"/>
                <w:lang w:eastAsia="zh-CN"/>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乙方地址</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乙方联系人</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联系电话</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52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160" w:line="259" w:lineRule="auto"/>
              <w:jc w:val="both"/>
              <w:rPr>
                <w:rFonts w:hint="eastAsia" w:ascii="宋体" w:hAnsi="宋体" w:eastAsia="宋体" w:cs="宋体"/>
                <w:kern w:val="2"/>
                <w:sz w:val="21"/>
                <w:szCs w:val="21"/>
                <w:lang w:eastAsia="zh-CN"/>
              </w:rPr>
            </w:pP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传真</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30" w:hRule="atLeas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8</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合同金额</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人民币</w:t>
            </w:r>
            <w:r>
              <w:rPr>
                <w:rFonts w:hint="eastAsia" w:ascii="宋体" w:hAnsi="宋体" w:eastAsia="宋体" w:cs="宋体"/>
                <w:color w:val="000000"/>
                <w:kern w:val="2"/>
                <w:sz w:val="21"/>
                <w:szCs w:val="21"/>
                <w:highlight w:val="white"/>
                <w:u w:val="single"/>
                <w:lang w:eastAsia="zh-CN"/>
              </w:rPr>
              <w:t xml:space="preserve">        </w:t>
            </w:r>
            <w:r>
              <w:rPr>
                <w:rFonts w:hint="eastAsia" w:ascii="宋体" w:hAnsi="宋体" w:eastAsia="宋体" w:cs="宋体"/>
                <w:color w:val="000000"/>
                <w:kern w:val="2"/>
                <w:sz w:val="21"/>
                <w:szCs w:val="21"/>
                <w:highlight w:val="white"/>
                <w:lang w:eastAsia="zh-CN"/>
              </w:rPr>
              <w:t>元整（¥</w:t>
            </w:r>
            <w:r>
              <w:rPr>
                <w:rFonts w:hint="eastAsia" w:ascii="宋体" w:hAnsi="宋体" w:eastAsia="宋体" w:cs="宋体"/>
                <w:color w:val="000000"/>
                <w:kern w:val="2"/>
                <w:sz w:val="21"/>
                <w:szCs w:val="21"/>
                <w:highlight w:val="white"/>
                <w:u w:val="single"/>
                <w:lang w:eastAsia="zh-CN"/>
              </w:rPr>
              <w:t xml:space="preserve">           </w:t>
            </w:r>
            <w:r>
              <w:rPr>
                <w:rFonts w:hint="eastAsia" w:ascii="宋体" w:hAnsi="宋体" w:eastAsia="宋体" w:cs="宋体"/>
                <w:color w:val="000000"/>
                <w:kern w:val="2"/>
                <w:sz w:val="21"/>
                <w:szCs w:val="21"/>
                <w:highlight w:val="whit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1318" w:hRule="atLeas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9</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服务内容</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提供吉林市昌邑区税务局天津街办公区（天津街6号）、吉林市昌邑区税务局吉林大街办公区（吉林大街169号）、吉林市昌邑区税务局桦皮厂分局（桦皮厂镇15-3-15-75）、吉林市昌邑区税务局通江所（中兴街03-10号）、吉林市昌邑区税务局站前所（中康路11号）办公区域综合服务、公共秩序维护、环境保洁、会议服务、特约服务、突发事件应急管理、绿色物业区标准化建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3406" w:hRule="atLeas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10</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合同付款</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tabs>
                <w:tab w:val="left" w:pos="709"/>
                <w:tab w:val="left" w:pos="840"/>
              </w:tabs>
              <w:adjustRightInd w:val="0"/>
              <w:snapToGrid w:val="0"/>
              <w:spacing w:after="160" w:line="259" w:lineRule="auto"/>
              <w:ind w:left="0" w:firstLine="0"/>
              <w:jc w:val="both"/>
              <w:textAlignment w:val="auto"/>
              <w:rPr>
                <w:rFonts w:hint="eastAsia" w:ascii="宋体" w:hAnsi="宋体" w:eastAsia="宋体" w:cs="宋体"/>
                <w:sz w:val="21"/>
                <w:szCs w:val="21"/>
                <w:u w:val="single"/>
                <w:lang w:eastAsia="zh-CN"/>
              </w:rPr>
            </w:pPr>
            <w:r>
              <w:rPr>
                <w:rFonts w:hint="eastAsia" w:ascii="宋体" w:hAnsi="宋体" w:eastAsia="宋体" w:cs="宋体"/>
                <w:color w:val="000000"/>
                <w:sz w:val="21"/>
                <w:szCs w:val="21"/>
                <w:highlight w:val="white"/>
                <w:lang w:eastAsia="zh-CN"/>
              </w:rPr>
              <w:t>合同以人民币结算，付款方式如下：</w:t>
            </w:r>
            <w:r>
              <w:rPr>
                <w:rFonts w:hint="eastAsia" w:ascii="宋体" w:hAnsi="宋体" w:eastAsia="宋体" w:cs="宋体"/>
                <w:color w:val="000000"/>
                <w:sz w:val="21"/>
                <w:szCs w:val="21"/>
                <w:highlight w:val="white"/>
                <w:u w:val="single"/>
                <w:lang w:eastAsia="zh-CN"/>
              </w:rPr>
              <w:t xml:space="preserve">                  </w:t>
            </w:r>
          </w:p>
          <w:p>
            <w:pPr>
              <w:widowControl w:val="0"/>
              <w:numPr>
                <w:ilvl w:val="0"/>
                <w:numId w:val="0"/>
              </w:numPr>
              <w:tabs>
                <w:tab w:val="left" w:pos="709"/>
                <w:tab w:val="left" w:pos="840"/>
              </w:tabs>
              <w:adjustRightInd w:val="0"/>
              <w:snapToGrid w:val="0"/>
              <w:spacing w:after="160" w:line="259" w:lineRule="auto"/>
              <w:ind w:left="0" w:firstLine="0"/>
              <w:jc w:val="both"/>
              <w:textAlignment w:val="auto"/>
              <w:rPr>
                <w:rFonts w:hint="eastAsia" w:ascii="宋体" w:hAnsi="宋体" w:eastAsia="宋体" w:cs="宋体"/>
                <w:sz w:val="21"/>
                <w:szCs w:val="21"/>
                <w:lang w:eastAsia="zh-CN"/>
              </w:rPr>
            </w:pPr>
            <w:r>
              <w:rPr>
                <w:rFonts w:hint="eastAsia" w:ascii="宋体" w:hAnsi="宋体" w:eastAsia="宋体" w:cs="宋体"/>
                <w:color w:val="000000"/>
                <w:sz w:val="21"/>
                <w:szCs w:val="21"/>
                <w:highlight w:val="white"/>
                <w:lang w:eastAsia="zh-CN"/>
              </w:rPr>
              <w:t>第1次付款,自项目实施开始之日起次月，采购人根据考核验收结果，按月支付物业服务费用，甲方支付乙方合同金额8.33%的款项;第2次付款,自项目实施开始之日起第3个月，根据考核验收结果，支付第2个月的物业服务费用，甲方支付乙方合同金额8.33%的款项;第3次付款,自项目实施开始之日起第4个月，根据考核验收结果，支付第3个月的物业服务费用，甲方支付乙方合同金额8.33%的款项;第4次付款,自项目实施开始之日起第5个月，根据考核验收结果，支付第4个月的物业服务费用，甲方支付乙方合同金额8.33%的款项;第5次付款,自项目实施开始之日起第6个月，根据考核验收结果，支付第5个月的物业服务费用，甲方支付乙方合同金额8.33%的款项;第6次付款,自项目实施开始之日起第7个月，根据考核验收结果，支付第6个月的物业服务费用，甲方支付乙方合同金额8.33%的款项;第7次付款,自项目实施开始之日起第8个月，根据考核验收结果，支付第7个月的物业服务费用，甲方支付乙方合同金额8.33%的款项;第8次付款,自项目实施开始之日起第9个月，根据考核验收结果，支付第8个月的物业服务费用，甲方支付乙方合同金额8.33%的款项;第9次付款,自项目实施开始之日起第10个月，根据考核验收结果，支付第9个月的物业服务费用，甲方支付乙方合同金额8.33%的款项;第10次付款,自项目实施开始之日起第11个月，根据考核验收结果，支付第10个月的物业服务费用，甲方支付乙方合同金额8.33%的款项;第11次付款,自项目实施开始之日起第12个月，根据考核验收结果，支付第11个月的物业服务费用，甲方支付乙方合同金额8.33%的款项;第12次付款,自项目实施开始之日起第13个月，根据考核验收结果，支付第12个月的物业服务费用，甲方支付乙方合同金额8.37%的款项。采购人付款前，供应商应出具等额合法有效发票。每次办理付款时，乙方应提供发票、付款申请、付款明细、合同关键页复印件、中标或成交通知书复印件、合同约定的其他资料。涉及验收的，应同时提交</w:t>
            </w:r>
            <w:r>
              <w:rPr>
                <w:rFonts w:hint="eastAsia" w:ascii="宋体" w:hAnsi="宋体" w:eastAsia="宋体" w:cs="宋体"/>
                <w:color w:val="000000"/>
                <w:sz w:val="21"/>
                <w:szCs w:val="21"/>
                <w:highlight w:val="white"/>
                <w:u w:val="single"/>
                <w:lang w:eastAsia="zh-CN"/>
              </w:rPr>
              <w:t xml:space="preserve">      </w:t>
            </w:r>
            <w:r>
              <w:rPr>
                <w:rFonts w:hint="eastAsia" w:ascii="宋体" w:hAnsi="宋体" w:eastAsia="宋体" w:cs="宋体"/>
                <w:color w:val="000000"/>
                <w:sz w:val="21"/>
                <w:szCs w:val="21"/>
                <w:highlight w:val="white"/>
                <w:lang w:eastAsia="zh-CN"/>
              </w:rPr>
              <w:t>出具的验收意见。</w:t>
            </w:r>
          </w:p>
          <w:p>
            <w:pPr>
              <w:widowControl w:val="0"/>
              <w:numPr>
                <w:ilvl w:val="0"/>
                <w:numId w:val="0"/>
              </w:numPr>
              <w:tabs>
                <w:tab w:val="left" w:pos="709"/>
                <w:tab w:val="left" w:pos="840"/>
              </w:tabs>
              <w:adjustRightInd w:val="0"/>
              <w:snapToGrid w:val="0"/>
              <w:spacing w:after="160" w:line="259" w:lineRule="auto"/>
              <w:ind w:left="0" w:firstLine="0"/>
              <w:jc w:val="both"/>
              <w:textAlignment w:val="baseline"/>
              <w:rPr>
                <w:rFonts w:hint="eastAsia" w:ascii="宋体" w:hAnsi="宋体" w:eastAsia="宋体" w:cs="宋体"/>
                <w:sz w:val="21"/>
                <w:szCs w:val="21"/>
                <w:lang w:eastAsia="zh-CN"/>
              </w:rPr>
            </w:pPr>
            <w:r>
              <w:rPr>
                <w:rFonts w:hint="eastAsia" w:ascii="宋体" w:hAnsi="宋体" w:eastAsia="宋体" w:cs="宋体"/>
                <w:color w:val="000000"/>
                <w:sz w:val="21"/>
                <w:szCs w:val="21"/>
                <w:highlight w:val="white"/>
                <w:lang w:eastAsia="zh-CN"/>
              </w:rPr>
              <w:t>甲方在收到发票等合同约定资料后，进行核实。满足合同约定支付条件的，甲方原则上应当自收到发票后10个工作日内将资金支付到合同约定的乙方账户，双方另有争议除外。因乙方怠于开具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w:t>
            </w:r>
          </w:p>
          <w:p>
            <w:pPr>
              <w:widowControl w:val="0"/>
              <w:numPr>
                <w:ilvl w:val="0"/>
                <w:numId w:val="0"/>
              </w:numPr>
              <w:tabs>
                <w:tab w:val="left" w:pos="709"/>
                <w:tab w:val="left" w:pos="840"/>
              </w:tabs>
              <w:adjustRightInd w:val="0"/>
              <w:snapToGrid w:val="0"/>
              <w:spacing w:after="160" w:line="259" w:lineRule="auto"/>
              <w:ind w:left="0" w:firstLine="0"/>
              <w:jc w:val="both"/>
              <w:textAlignment w:val="auto"/>
              <w:rPr>
                <w:rFonts w:hint="eastAsia" w:ascii="宋体" w:hAnsi="宋体" w:eastAsia="宋体" w:cs="宋体"/>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52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700"/>
              </w:tabs>
              <w:adjustRightInd w:val="0"/>
              <w:snapToGrid w:val="0"/>
              <w:spacing w:before="62" w:beforeLines="20" w:after="62" w:afterLines="2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r>
              <w:rPr>
                <w:rFonts w:ascii="宋体" w:hAnsi="宋体" w:eastAsia="宋体" w:cs="宋体"/>
                <w:color w:val="000000"/>
                <w:kern w:val="2"/>
                <w:sz w:val="21"/>
                <w:szCs w:val="21"/>
                <w:highlight w:val="white"/>
                <w:lang w:eastAsia="zh-CN"/>
              </w:rPr>
              <w:t>1</w:t>
            </w:r>
          </w:p>
        </w:tc>
        <w:tc>
          <w:tcPr>
            <w:tcW w:w="1920" w:type="dxa"/>
            <w:gridSpan w:val="2"/>
            <w:tcBorders>
              <w:top w:val="single" w:color="auto" w:sz="4" w:space="0"/>
              <w:left w:val="single" w:color="auto" w:sz="4" w:space="0"/>
              <w:bottom w:val="single" w:color="auto" w:sz="4" w:space="0"/>
              <w:right w:val="single" w:color="auto" w:sz="4" w:space="0"/>
            </w:tcBorders>
            <w:noWrap/>
            <w:vAlign w:val="center"/>
          </w:tcPr>
          <w:p>
            <w:pPr>
              <w:widowControl w:val="0"/>
              <w:tabs>
                <w:tab w:val="left" w:pos="700"/>
              </w:tabs>
              <w:adjustRightInd w:val="0"/>
              <w:snapToGrid w:val="0"/>
              <w:spacing w:before="62" w:beforeLines="20" w:after="62" w:afterLines="2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履约保证金及返还</w:t>
            </w:r>
          </w:p>
        </w:tc>
        <w:tc>
          <w:tcPr>
            <w:tcW w:w="6401" w:type="dxa"/>
            <w:gridSpan w:val="2"/>
            <w:tcBorders>
              <w:top w:val="single" w:color="auto" w:sz="4" w:space="0"/>
              <w:left w:val="single" w:color="auto" w:sz="4" w:space="0"/>
              <w:bottom w:val="single" w:color="auto" w:sz="4" w:space="0"/>
              <w:right w:val="single" w:color="auto" w:sz="4" w:space="0"/>
            </w:tcBorders>
            <w:noWrap/>
            <w:vAlign w:val="center"/>
          </w:tcPr>
          <w:p>
            <w:pPr>
              <w:widowControl w:val="0"/>
              <w:tabs>
                <w:tab w:val="left" w:pos="700"/>
              </w:tabs>
              <w:adjustRightInd w:val="0"/>
              <w:snapToGrid w:val="0"/>
              <w:spacing w:after="160" w:line="260" w:lineRule="auto"/>
              <w:jc w:val="both"/>
              <w:rPr>
                <w:rFonts w:hint="eastAsia" w:ascii="宋体" w:hAnsi="宋体" w:eastAsia="宋体" w:cs="宋体"/>
                <w:kern w:val="2"/>
                <w:sz w:val="21"/>
                <w:szCs w:val="21"/>
                <w:lang w:eastAsia="zh-CN"/>
              </w:rPr>
            </w:pPr>
            <w:r>
              <w:rPr>
                <w:rFonts w:ascii="Wingdings 2" w:hAnsi="Wingdings 2" w:eastAsia="宋体" w:cs="宋体"/>
                <w:color w:val="000000"/>
                <w:kern w:val="2"/>
                <w:sz w:val="21"/>
                <w:szCs w:val="21"/>
                <w:highlight w:val="white"/>
                <w:lang w:eastAsia="zh-CN"/>
              </w:rPr>
              <w:sym w:font="Wingdings 2" w:char="F052"/>
            </w:r>
            <w:r>
              <w:rPr>
                <w:rFonts w:hint="eastAsia" w:ascii="宋体" w:hAnsi="宋体" w:eastAsia="宋体" w:cs="宋体"/>
                <w:color w:val="000000"/>
                <w:kern w:val="2"/>
                <w:sz w:val="21"/>
                <w:szCs w:val="21"/>
                <w:highlight w:val="white"/>
                <w:lang w:eastAsia="zh-CN"/>
              </w:rPr>
              <w:t>本项目不要求提供履约保证金。</w:t>
            </w:r>
          </w:p>
          <w:p>
            <w:pPr>
              <w:widowControl w:val="0"/>
              <w:tabs>
                <w:tab w:val="left" w:pos="700"/>
              </w:tabs>
              <w:adjustRightInd w:val="0"/>
              <w:snapToGrid w:val="0"/>
              <w:spacing w:before="62" w:beforeLines="20" w:after="62" w:afterLines="20" w:line="259" w:lineRule="auto"/>
              <w:jc w:val="both"/>
              <w:rPr>
                <w:rFonts w:hint="eastAsia" w:ascii="宋体" w:hAnsi="宋体" w:eastAsia="宋体" w:cs="宋体"/>
                <w:kern w:val="2"/>
                <w:sz w:val="21"/>
                <w:szCs w:val="21"/>
                <w:lang w:eastAsia="zh-CN"/>
              </w:rPr>
            </w:pPr>
            <w:r>
              <w:rPr>
                <w:rFonts w:ascii="Wingdings 2" w:hAnsi="Wingdings 2" w:eastAsia="宋体" w:cs="宋体"/>
                <w:color w:val="000000"/>
                <w:kern w:val="2"/>
                <w:sz w:val="21"/>
                <w:szCs w:val="21"/>
                <w:highlight w:val="white"/>
                <w:lang w:eastAsia="zh-CN"/>
              </w:rPr>
              <w:sym w:font="Wingdings 2" w:char="F0A3"/>
            </w:r>
            <w:r>
              <w:rPr>
                <w:rFonts w:hint="eastAsia" w:ascii="宋体" w:hAnsi="宋体" w:eastAsia="宋体" w:cs="宋体"/>
                <w:color w:val="000000"/>
                <w:kern w:val="2"/>
                <w:sz w:val="21"/>
                <w:szCs w:val="21"/>
                <w:highlight w:val="white"/>
                <w:lang w:eastAsia="zh-CN"/>
              </w:rPr>
              <w:t>本项目要求提供履约保证金。履约保证金为合同总金额</w:t>
            </w:r>
            <w:r>
              <w:rPr>
                <w:rFonts w:hint="eastAsia" w:ascii="宋体" w:hAnsi="宋体" w:eastAsia="宋体" w:cs="宋体"/>
                <w:color w:val="000000"/>
                <w:kern w:val="2"/>
                <w:sz w:val="21"/>
                <w:highlight w:val="white"/>
                <w:u w:val="single"/>
                <w:lang w:eastAsia="zh-CN"/>
              </w:rPr>
              <w:t xml:space="preserve">   </w:t>
            </w:r>
            <w:r>
              <w:rPr>
                <w:rFonts w:hint="eastAsia" w:ascii="宋体" w:hAnsi="宋体" w:eastAsia="宋体" w:cs="宋体"/>
                <w:color w:val="000000"/>
                <w:kern w:val="2"/>
                <w:sz w:val="21"/>
                <w:szCs w:val="21"/>
                <w:highlight w:val="white"/>
                <w:lang w:eastAsia="zh-CN"/>
              </w:rPr>
              <w:t>%，即</w:t>
            </w:r>
            <w:r>
              <w:rPr>
                <w:rFonts w:hint="eastAsia" w:ascii="宋体" w:hAnsi="宋体" w:eastAsia="宋体" w:cs="宋体"/>
                <w:color w:val="000000"/>
                <w:kern w:val="2"/>
                <w:sz w:val="21"/>
                <w:highlight w:val="white"/>
                <w:lang w:eastAsia="zh-CN"/>
              </w:rPr>
              <w:t>人民币</w:t>
            </w:r>
            <w:r>
              <w:rPr>
                <w:rFonts w:hint="eastAsia" w:ascii="宋体" w:hAnsi="宋体" w:eastAsia="宋体" w:cs="宋体"/>
                <w:color w:val="000000"/>
                <w:kern w:val="2"/>
                <w:sz w:val="21"/>
                <w:highlight w:val="white"/>
                <w:u w:val="single"/>
                <w:lang w:eastAsia="zh-CN"/>
              </w:rPr>
              <w:t xml:space="preserve">        </w:t>
            </w:r>
            <w:r>
              <w:rPr>
                <w:rFonts w:hint="eastAsia" w:ascii="宋体" w:hAnsi="宋体" w:eastAsia="宋体" w:cs="宋体"/>
                <w:color w:val="000000"/>
                <w:kern w:val="2"/>
                <w:sz w:val="21"/>
                <w:highlight w:val="white"/>
                <w:lang w:eastAsia="zh-CN"/>
              </w:rPr>
              <w:t>元整（¥</w:t>
            </w:r>
            <w:r>
              <w:rPr>
                <w:rFonts w:hint="eastAsia" w:ascii="宋体" w:hAnsi="宋体" w:eastAsia="宋体" w:cs="宋体"/>
                <w:color w:val="000000"/>
                <w:kern w:val="2"/>
                <w:sz w:val="21"/>
                <w:highlight w:val="white"/>
                <w:u w:val="single"/>
                <w:lang w:eastAsia="zh-CN"/>
              </w:rPr>
              <w:t xml:space="preserve">    </w:t>
            </w:r>
            <w:r>
              <w:rPr>
                <w:rFonts w:hint="eastAsia" w:ascii="宋体" w:hAnsi="宋体" w:eastAsia="宋体" w:cs="宋体"/>
                <w:color w:val="000000"/>
                <w:kern w:val="2"/>
                <w:sz w:val="21"/>
                <w:highlight w:val="white"/>
                <w:lang w:eastAsia="zh-CN"/>
              </w:rPr>
              <w:t>）</w:t>
            </w:r>
            <w:r>
              <w:rPr>
                <w:rFonts w:hint="eastAsia" w:ascii="宋体" w:hAnsi="宋体" w:eastAsia="宋体" w:cs="宋体"/>
                <w:color w:val="000000"/>
                <w:kern w:val="2"/>
                <w:sz w:val="21"/>
                <w:szCs w:val="21"/>
                <w:highlight w:val="white"/>
                <w:lang w:eastAsia="zh-CN"/>
              </w:rPr>
              <w:t>，乙方应在合同签订之日起30日内提交甲方。提交方式为银行电汇、金融机构或担保机构出具的保函。在合同履行期满，扣除应扣除的款项（如有）且双方无争议后，无息返还。</w:t>
            </w:r>
          </w:p>
          <w:p>
            <w:pPr>
              <w:widowControl w:val="0"/>
              <w:tabs>
                <w:tab w:val="left" w:pos="700"/>
              </w:tabs>
              <w:adjustRightInd w:val="0"/>
              <w:snapToGrid w:val="0"/>
              <w:spacing w:before="62" w:beforeLines="20" w:after="62" w:afterLines="20" w:line="259" w:lineRule="auto"/>
              <w:jc w:val="both"/>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办理返还履约保证金时，乙方应提供履约保证金返还申请（格式另附）、合同关键页复印件、合同约定的其他资料。涉及验收的，应同时提交甲方需求部门</w:t>
            </w:r>
            <w:r>
              <w:rPr>
                <w:rFonts w:hint="eastAsia" w:ascii="Calibri" w:hAnsi="Calibri" w:eastAsia="宋体" w:cs="宋体"/>
                <w:color w:val="000000"/>
                <w:kern w:val="2"/>
                <w:sz w:val="21"/>
                <w:highlight w:val="white"/>
                <w:u w:val="single"/>
                <w:lang w:eastAsia="zh-CN"/>
              </w:rPr>
              <w:t xml:space="preserve">       </w:t>
            </w:r>
            <w:r>
              <w:rPr>
                <w:rFonts w:hint="eastAsia" w:ascii="宋体" w:hAnsi="宋体" w:eastAsia="宋体" w:cs="宋体"/>
                <w:color w:val="000000"/>
                <w:kern w:val="2"/>
                <w:sz w:val="21"/>
                <w:szCs w:val="21"/>
                <w:highlight w:val="white"/>
                <w:lang w:eastAsia="zh-CN"/>
              </w:rPr>
              <w:t>出具的项目终验意见或质量保障期（服务期）满验收意见。</w:t>
            </w:r>
          </w:p>
          <w:p>
            <w:pPr>
              <w:widowControl w:val="0"/>
              <w:tabs>
                <w:tab w:val="left" w:pos="700"/>
              </w:tabs>
              <w:adjustRightInd w:val="0"/>
              <w:snapToGrid w:val="0"/>
              <w:spacing w:before="62" w:beforeLines="20" w:after="62" w:afterLines="20" w:line="259" w:lineRule="auto"/>
              <w:jc w:val="both"/>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满足履约保证金返还条件的，甲方在收到返还相关信息等合同约定资料后，进行核实。对核实结果无异议的，自完成核实之日起30日内，以电汇方式返还履约保证金或退回保函。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71" w:hRule="atLeas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r>
              <w:rPr>
                <w:rFonts w:ascii="宋体" w:hAnsi="宋体" w:eastAsia="宋体" w:cs="宋体"/>
                <w:color w:val="000000"/>
                <w:kern w:val="2"/>
                <w:sz w:val="21"/>
                <w:szCs w:val="21"/>
                <w:highlight w:val="white"/>
                <w:lang w:eastAsia="zh-CN"/>
              </w:rPr>
              <w:t>2</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highlight w:val="white"/>
                <w:lang w:eastAsia="zh-CN"/>
              </w:rPr>
              <w:t>合同履行期限</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43" w:hRule="atLeas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r>
              <w:rPr>
                <w:rFonts w:ascii="宋体" w:hAnsi="宋体" w:eastAsia="宋体" w:cs="宋体"/>
                <w:color w:val="000000"/>
                <w:kern w:val="2"/>
                <w:sz w:val="21"/>
                <w:szCs w:val="21"/>
                <w:highlight w:val="white"/>
                <w:lang w:eastAsia="zh-CN"/>
              </w:rPr>
              <w:t>3</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val="en" w:eastAsia="zh-CN"/>
              </w:rPr>
            </w:pPr>
            <w:r>
              <w:rPr>
                <w:rFonts w:hint="eastAsia" w:ascii="宋体" w:hAnsi="宋体" w:eastAsia="宋体" w:cs="宋体"/>
                <w:color w:val="000000"/>
                <w:kern w:val="2"/>
                <w:sz w:val="21"/>
                <w:highlight w:val="white"/>
                <w:lang w:eastAsia="zh-CN"/>
              </w:rPr>
              <w:t>服务期</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0" w:hRule="atLeas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r>
              <w:rPr>
                <w:rFonts w:ascii="宋体" w:hAnsi="宋体" w:eastAsia="宋体" w:cs="宋体"/>
                <w:color w:val="000000"/>
                <w:kern w:val="2"/>
                <w:sz w:val="21"/>
                <w:szCs w:val="21"/>
                <w:highlight w:val="white"/>
                <w:lang w:eastAsia="zh-CN"/>
              </w:rPr>
              <w:t>4</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合同履约地点</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合同约定地点或甲方指定地点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0" w:hRule="atLeast"/>
        </w:trPr>
        <w:tc>
          <w:tcPr>
            <w:tcW w:w="520"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15</w:t>
            </w:r>
          </w:p>
        </w:tc>
        <w:tc>
          <w:tcPr>
            <w:tcW w:w="1920" w:type="dxa"/>
            <w:gridSpan w:val="2"/>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合同纠纷解决方式</w:t>
            </w:r>
          </w:p>
        </w:tc>
        <w:tc>
          <w:tcPr>
            <w:tcW w:w="6388" w:type="dxa"/>
            <w:tcBorders>
              <w:top w:val="single" w:color="auto" w:sz="4" w:space="0"/>
              <w:left w:val="single" w:color="auto" w:sz="4" w:space="0"/>
              <w:bottom w:val="single" w:color="auto" w:sz="4" w:space="0"/>
              <w:right w:val="single" w:color="auto" w:sz="4" w:space="0"/>
            </w:tcBorders>
            <w:vAlign w:val="center"/>
          </w:tcPr>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双方可协商解决，协调解决不成，则通过以下途径解决纠纷：</w:t>
            </w:r>
          </w:p>
          <w:p>
            <w:pPr>
              <w:widowControl w:val="0"/>
              <w:tabs>
                <w:tab w:val="left" w:pos="700"/>
              </w:tabs>
              <w:adjustRightInd w:val="0"/>
              <w:snapToGrid w:val="0"/>
              <w:spacing w:after="160" w:line="259" w:lineRule="auto"/>
              <w:jc w:val="both"/>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向甲方住所地有管辖权的人民法院提起诉讼。</w:t>
            </w:r>
          </w:p>
        </w:tc>
      </w:tr>
    </w:tbl>
    <w:p>
      <w:pPr>
        <w:widowControl w:val="0"/>
        <w:tabs>
          <w:tab w:val="left" w:pos="700"/>
        </w:tabs>
        <w:topLinePunct/>
        <w:autoSpaceDE w:val="0"/>
        <w:autoSpaceDN w:val="0"/>
        <w:spacing w:after="160" w:line="460" w:lineRule="exact"/>
        <w:jc w:val="both"/>
        <w:rPr>
          <w:rFonts w:hint="eastAsia" w:ascii="宋体" w:hAnsi="宋体" w:eastAsia="宋体" w:cs="宋体"/>
          <w:b/>
          <w:kern w:val="2"/>
          <w:sz w:val="28"/>
          <w:lang w:eastAsia="zh-CN"/>
        </w:rPr>
      </w:pPr>
    </w:p>
    <w:p>
      <w:pPr>
        <w:widowControl w:val="0"/>
        <w:tabs>
          <w:tab w:val="left" w:pos="700"/>
        </w:tabs>
        <w:topLinePunct/>
        <w:autoSpaceDE w:val="0"/>
        <w:autoSpaceDN w:val="0"/>
        <w:spacing w:after="160" w:line="460" w:lineRule="exact"/>
        <w:jc w:val="both"/>
        <w:rPr>
          <w:rFonts w:hint="eastAsia" w:ascii="宋体" w:hAnsi="宋体" w:eastAsia="宋体" w:cs="宋体"/>
          <w:b/>
          <w:kern w:val="2"/>
          <w:sz w:val="28"/>
          <w:lang w:eastAsia="zh-CN"/>
        </w:rPr>
      </w:pPr>
    </w:p>
    <w:p>
      <w:pPr>
        <w:widowControl w:val="0"/>
        <w:tabs>
          <w:tab w:val="left" w:pos="700"/>
        </w:tabs>
        <w:topLinePunct/>
        <w:autoSpaceDE w:val="0"/>
        <w:autoSpaceDN w:val="0"/>
        <w:spacing w:after="160" w:line="460" w:lineRule="exact"/>
        <w:jc w:val="both"/>
        <w:rPr>
          <w:rFonts w:hint="eastAsia" w:ascii="宋体" w:hAnsi="宋体" w:eastAsia="宋体" w:cs="宋体"/>
          <w:b/>
          <w:kern w:val="2"/>
          <w:lang w:eastAsia="zh-CN"/>
        </w:rPr>
      </w:pPr>
      <w:r>
        <w:rPr>
          <w:rFonts w:hint="eastAsia" w:ascii="宋体" w:hAnsi="宋体" w:eastAsia="宋体" w:cs="宋体"/>
          <w:b/>
          <w:color w:val="000000"/>
          <w:kern w:val="2"/>
          <w:sz w:val="28"/>
          <w:highlight w:val="white"/>
          <w:lang w:eastAsia="zh-CN"/>
        </w:rPr>
        <w:br w:type="page"/>
      </w:r>
    </w:p>
    <w:p>
      <w:pPr>
        <w:widowControl w:val="0"/>
        <w:tabs>
          <w:tab w:val="left" w:pos="0"/>
        </w:tabs>
        <w:topLinePunct/>
        <w:autoSpaceDE w:val="0"/>
        <w:autoSpaceDN w:val="0"/>
        <w:snapToGrid w:val="0"/>
        <w:spacing w:after="160" w:line="360" w:lineRule="auto"/>
        <w:jc w:val="center"/>
        <w:outlineLvl w:val="1"/>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 xml:space="preserve">一   合  同 </w:t>
      </w:r>
    </w:p>
    <w:p>
      <w:pPr>
        <w:widowControl w:val="0"/>
        <w:tabs>
          <w:tab w:val="left" w:pos="540"/>
        </w:tabs>
        <w:topLinePunct/>
        <w:autoSpaceDE w:val="0"/>
        <w:autoSpaceDN w:val="0"/>
        <w:snapToGrid w:val="0"/>
        <w:spacing w:after="160" w:line="360" w:lineRule="auto"/>
        <w:jc w:val="both"/>
        <w:rPr>
          <w:rFonts w:hint="eastAsia" w:ascii="宋体" w:hAnsi="宋体" w:eastAsia="宋体" w:cs="宋体"/>
          <w:b/>
          <w:kern w:val="2"/>
          <w:lang w:eastAsia="zh-CN"/>
        </w:rPr>
      </w:pP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国家税务总局吉林市昌邑区税务局（以下简称“甲方”）通过</w:t>
      </w:r>
      <w:r>
        <w:rPr>
          <w:rFonts w:hint="eastAsia" w:ascii="宋体" w:hAnsi="宋体" w:eastAsia="宋体" w:cs="宋体"/>
          <w:color w:val="000000"/>
          <w:kern w:val="2"/>
          <w:highlight w:val="white"/>
          <w:u w:val="single"/>
          <w:lang w:eastAsia="zh-CN"/>
        </w:rPr>
        <w:t>公开招标</w:t>
      </w:r>
      <w:r>
        <w:rPr>
          <w:rFonts w:hint="eastAsia" w:ascii="宋体" w:hAnsi="宋体" w:eastAsia="宋体" w:cs="宋体"/>
          <w:color w:val="000000"/>
          <w:kern w:val="2"/>
          <w:highlight w:val="white"/>
          <w:lang w:eastAsia="zh-CN"/>
        </w:rPr>
        <w:t>采购方式，确定______公司（以下简称“乙方”）为“国家税务总局吉林市昌邑区税务局2025年物业管理服务项目”中标（成交）供应商。甲乙双方同意按照该项目招标（采购）文件约定的内容，签署《   合同书》（合同编号：    ，以下简称“合同”)。</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 合同文件</w:t>
      </w: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本合同所附下列文件是构成本合同不可分割的部分：</w:t>
      </w: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（1）合同通用条款；</w:t>
      </w: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（2）报价表（总报价表和分项报价表）；</w:t>
      </w:r>
    </w:p>
    <w:p>
      <w:pPr>
        <w:widowControl w:val="0"/>
        <w:topLinePunct/>
        <w:autoSpaceDE w:val="0"/>
        <w:autoSpaceDN w:val="0"/>
        <w:adjustRightInd w:val="0"/>
        <w:spacing w:after="160" w:line="460" w:lineRule="exact"/>
        <w:ind w:left="2"/>
        <w:jc w:val="center"/>
        <w:textAlignment w:val="baseline"/>
        <w:rPr>
          <w:rFonts w:hint="eastAsia" w:ascii="宋体" w:hAnsi="宋体" w:eastAsia="宋体" w:cs="宋体"/>
          <w:b/>
          <w:bCs/>
          <w:sz w:val="28"/>
          <w:szCs w:val="28"/>
          <w:lang w:eastAsia="zh-CN"/>
        </w:rPr>
      </w:pPr>
      <w:r>
        <w:rPr>
          <w:rFonts w:hint="eastAsia" w:ascii="宋体" w:hAnsi="宋体" w:eastAsia="宋体" w:cs="宋体"/>
          <w:b/>
          <w:bCs/>
          <w:color w:val="000000"/>
          <w:sz w:val="28"/>
          <w:szCs w:val="28"/>
          <w:highlight w:val="white"/>
          <w:lang w:eastAsia="zh-CN"/>
        </w:rPr>
        <w:t>分项报价表</w:t>
      </w:r>
    </w:p>
    <w:tbl>
      <w:tblPr>
        <w:tblStyle w:val="30"/>
        <w:tblpPr w:leftFromText="180" w:rightFromText="180" w:vertAnchor="text" w:horzAnchor="page" w:tblpX="1837" w:tblpY="243"/>
        <w:tblOverlap w:val="never"/>
        <w:tblW w:w="9242" w:type="dxa"/>
        <w:tblInd w:w="0" w:type="dxa"/>
        <w:tblLayout w:type="fixed"/>
        <w:tblCellMar>
          <w:top w:w="0" w:type="dxa"/>
          <w:left w:w="108" w:type="dxa"/>
          <w:bottom w:w="0" w:type="dxa"/>
          <w:right w:w="108" w:type="dxa"/>
        </w:tblCellMar>
      </w:tblPr>
      <w:tblGrid>
        <w:gridCol w:w="452"/>
        <w:gridCol w:w="1485"/>
        <w:gridCol w:w="1545"/>
        <w:gridCol w:w="735"/>
        <w:gridCol w:w="763"/>
        <w:gridCol w:w="1157"/>
        <w:gridCol w:w="1335"/>
        <w:gridCol w:w="1050"/>
        <w:gridCol w:w="720"/>
      </w:tblGrid>
      <w:tr>
        <w:tblPrEx>
          <w:tblCellMar>
            <w:top w:w="0" w:type="dxa"/>
            <w:left w:w="108" w:type="dxa"/>
            <w:bottom w:w="0" w:type="dxa"/>
            <w:right w:w="108" w:type="dxa"/>
          </w:tblCellMar>
        </w:tblPrEx>
        <w:trPr>
          <w:trHeight w:val="409" w:hRule="atLeast"/>
          <w:tblHeader/>
        </w:trPr>
        <w:tc>
          <w:tcPr>
            <w:tcW w:w="452" w:type="dxa"/>
            <w:tcBorders>
              <w:top w:val="single" w:color="auto" w:sz="4" w:space="0"/>
              <w:left w:val="single" w:color="auto" w:sz="4" w:space="0"/>
              <w:bottom w:val="single" w:color="auto" w:sz="4" w:space="0"/>
              <w:right w:val="single" w:color="auto" w:sz="4" w:space="0"/>
            </w:tcBorders>
            <w:noWrap/>
            <w:vAlign w:val="center"/>
          </w:tcPr>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序号</w:t>
            </w:r>
          </w:p>
        </w:tc>
        <w:tc>
          <w:tcPr>
            <w:tcW w:w="1485" w:type="dxa"/>
            <w:tcBorders>
              <w:top w:val="single" w:color="auto" w:sz="4" w:space="0"/>
              <w:left w:val="nil"/>
              <w:bottom w:val="single" w:color="auto" w:sz="4" w:space="0"/>
              <w:right w:val="single" w:color="auto" w:sz="4" w:space="0"/>
            </w:tcBorders>
            <w:noWrap/>
            <w:vAlign w:val="center"/>
          </w:tcPr>
          <w:p>
            <w:pPr>
              <w:widowControl/>
              <w:spacing w:after="160" w:line="259" w:lineRule="auto"/>
              <w:ind w:left="-84" w:leftChars="-40" w:firstLine="82" w:firstLineChars="39"/>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具体工作名称</w:t>
            </w:r>
          </w:p>
        </w:tc>
        <w:tc>
          <w:tcPr>
            <w:tcW w:w="1545" w:type="dxa"/>
            <w:tcBorders>
              <w:top w:val="single" w:color="auto" w:sz="4" w:space="0"/>
              <w:left w:val="nil"/>
              <w:bottom w:val="single" w:color="auto" w:sz="4" w:space="0"/>
              <w:right w:val="single" w:color="auto" w:sz="4" w:space="0"/>
            </w:tcBorders>
            <w:noWrap/>
            <w:vAlign w:val="center"/>
          </w:tcPr>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工作内容描述</w:t>
            </w:r>
          </w:p>
        </w:tc>
        <w:tc>
          <w:tcPr>
            <w:tcW w:w="735" w:type="dxa"/>
            <w:tcBorders>
              <w:top w:val="single" w:color="auto" w:sz="4" w:space="0"/>
              <w:left w:val="single" w:color="auto" w:sz="4" w:space="0"/>
              <w:bottom w:val="single" w:color="auto" w:sz="4" w:space="0"/>
              <w:right w:val="single" w:color="auto" w:sz="4" w:space="0"/>
            </w:tcBorders>
            <w:noWrap/>
            <w:vAlign w:val="center"/>
          </w:tcPr>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人员级别</w:t>
            </w:r>
          </w:p>
        </w:tc>
        <w:tc>
          <w:tcPr>
            <w:tcW w:w="763" w:type="dxa"/>
            <w:tcBorders>
              <w:top w:val="single" w:color="auto" w:sz="4" w:space="0"/>
              <w:left w:val="single" w:color="auto" w:sz="4" w:space="0"/>
              <w:bottom w:val="single" w:color="auto" w:sz="4" w:space="0"/>
              <w:right w:val="single" w:color="auto" w:sz="4" w:space="0"/>
            </w:tcBorders>
            <w:noWrap/>
            <w:vAlign w:val="center"/>
          </w:tcPr>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人员</w:t>
            </w:r>
          </w:p>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数量</w:t>
            </w:r>
          </w:p>
        </w:tc>
        <w:tc>
          <w:tcPr>
            <w:tcW w:w="1157" w:type="dxa"/>
            <w:tcBorders>
              <w:top w:val="single" w:color="auto" w:sz="4" w:space="0"/>
              <w:left w:val="single" w:color="auto" w:sz="4" w:space="0"/>
              <w:bottom w:val="single" w:color="auto" w:sz="4" w:space="0"/>
              <w:right w:val="single" w:color="auto" w:sz="4" w:space="0"/>
            </w:tcBorders>
            <w:noWrap/>
            <w:vAlign w:val="center"/>
          </w:tcPr>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工作时间（月）</w:t>
            </w:r>
          </w:p>
        </w:tc>
        <w:tc>
          <w:tcPr>
            <w:tcW w:w="1335" w:type="dxa"/>
            <w:tcBorders>
              <w:top w:val="single" w:color="auto" w:sz="4" w:space="0"/>
              <w:left w:val="single" w:color="auto" w:sz="4" w:space="0"/>
              <w:bottom w:val="single" w:color="auto" w:sz="4" w:space="0"/>
              <w:right w:val="single" w:color="auto" w:sz="4" w:space="0"/>
            </w:tcBorders>
            <w:noWrap/>
            <w:vAlign w:val="center"/>
          </w:tcPr>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单价</w:t>
            </w:r>
          </w:p>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（元/人月）</w:t>
            </w:r>
          </w:p>
        </w:tc>
        <w:tc>
          <w:tcPr>
            <w:tcW w:w="1050" w:type="dxa"/>
            <w:tcBorders>
              <w:top w:val="single" w:color="auto" w:sz="4" w:space="0"/>
              <w:left w:val="single" w:color="auto" w:sz="4" w:space="0"/>
              <w:bottom w:val="single" w:color="auto" w:sz="4" w:space="0"/>
              <w:right w:val="single" w:color="auto" w:sz="4" w:space="0"/>
            </w:tcBorders>
            <w:noWrap/>
            <w:vAlign w:val="center"/>
          </w:tcPr>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小计</w:t>
            </w:r>
          </w:p>
          <w:p>
            <w:pPr>
              <w:widowControl/>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（元）</w:t>
            </w:r>
          </w:p>
        </w:tc>
        <w:tc>
          <w:tcPr>
            <w:tcW w:w="720" w:type="dxa"/>
            <w:tcBorders>
              <w:top w:val="single" w:color="auto" w:sz="4" w:space="0"/>
              <w:left w:val="nil"/>
              <w:bottom w:val="single" w:color="auto" w:sz="4" w:space="0"/>
              <w:right w:val="single" w:color="auto" w:sz="4" w:space="0"/>
            </w:tcBorders>
            <w:noWrap/>
            <w:vAlign w:val="center"/>
          </w:tcPr>
          <w:p>
            <w:pPr>
              <w:widowControl w:val="0"/>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备注</w:t>
            </w:r>
          </w:p>
        </w:tc>
      </w:tr>
      <w:tr>
        <w:tblPrEx>
          <w:tblCellMar>
            <w:top w:w="0" w:type="dxa"/>
            <w:left w:w="108" w:type="dxa"/>
            <w:bottom w:w="0" w:type="dxa"/>
            <w:right w:w="108" w:type="dxa"/>
          </w:tblCellMar>
        </w:tblPrEx>
        <w:trPr>
          <w:trHeight w:val="671" w:hRule="atLeast"/>
          <w:tblHeader/>
        </w:trPr>
        <w:tc>
          <w:tcPr>
            <w:tcW w:w="452"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p>
        </w:tc>
        <w:tc>
          <w:tcPr>
            <w:tcW w:w="1485" w:type="dxa"/>
            <w:tcBorders>
              <w:top w:val="single" w:color="auto" w:sz="4" w:space="0"/>
              <w:left w:val="nil"/>
              <w:bottom w:val="single" w:color="auto" w:sz="4" w:space="0"/>
              <w:right w:val="single" w:color="auto" w:sz="4" w:space="0"/>
            </w:tcBorders>
            <w:noWrap/>
            <w:vAlign w:val="center"/>
          </w:tcPr>
          <w:p>
            <w:pPr>
              <w:widowControl w:val="0"/>
              <w:spacing w:after="160" w:line="259" w:lineRule="auto"/>
              <w:jc w:val="center"/>
              <w:rPr>
                <w:rFonts w:hint="eastAsia" w:ascii="宋体" w:hAnsi="宋体" w:eastAsia="宋体" w:cs="宋体"/>
                <w:kern w:val="2"/>
                <w:sz w:val="21"/>
                <w:lang w:eastAsia="zh-CN"/>
              </w:rPr>
            </w:pPr>
          </w:p>
        </w:tc>
        <w:tc>
          <w:tcPr>
            <w:tcW w:w="1545"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6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15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3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05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2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r>
      <w:tr>
        <w:tblPrEx>
          <w:tblCellMar>
            <w:top w:w="0" w:type="dxa"/>
            <w:left w:w="108" w:type="dxa"/>
            <w:bottom w:w="0" w:type="dxa"/>
            <w:right w:w="108" w:type="dxa"/>
          </w:tblCellMar>
        </w:tblPrEx>
        <w:trPr>
          <w:trHeight w:val="671" w:hRule="atLeast"/>
          <w:tblHeader/>
        </w:trPr>
        <w:tc>
          <w:tcPr>
            <w:tcW w:w="452"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2</w:t>
            </w:r>
          </w:p>
        </w:tc>
        <w:tc>
          <w:tcPr>
            <w:tcW w:w="1485" w:type="dxa"/>
            <w:tcBorders>
              <w:top w:val="single" w:color="auto" w:sz="4" w:space="0"/>
              <w:left w:val="nil"/>
              <w:bottom w:val="single" w:color="auto" w:sz="4" w:space="0"/>
              <w:right w:val="single" w:color="auto" w:sz="4" w:space="0"/>
            </w:tcBorders>
            <w:noWrap/>
            <w:vAlign w:val="center"/>
          </w:tcPr>
          <w:p>
            <w:pPr>
              <w:widowControl w:val="0"/>
              <w:spacing w:after="160" w:line="259" w:lineRule="auto"/>
              <w:jc w:val="center"/>
              <w:rPr>
                <w:rFonts w:hint="eastAsia" w:ascii="宋体" w:hAnsi="宋体" w:eastAsia="宋体" w:cs="宋体"/>
                <w:kern w:val="2"/>
                <w:sz w:val="21"/>
                <w:lang w:eastAsia="zh-CN"/>
              </w:rPr>
            </w:pPr>
          </w:p>
        </w:tc>
        <w:tc>
          <w:tcPr>
            <w:tcW w:w="1545"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6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15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3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05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2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r>
      <w:tr>
        <w:tblPrEx>
          <w:tblCellMar>
            <w:top w:w="0" w:type="dxa"/>
            <w:left w:w="108" w:type="dxa"/>
            <w:bottom w:w="0" w:type="dxa"/>
            <w:right w:w="108" w:type="dxa"/>
          </w:tblCellMar>
        </w:tblPrEx>
        <w:trPr>
          <w:trHeight w:val="671" w:hRule="atLeast"/>
          <w:tblHeader/>
        </w:trPr>
        <w:tc>
          <w:tcPr>
            <w:tcW w:w="452"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3</w:t>
            </w:r>
          </w:p>
        </w:tc>
        <w:tc>
          <w:tcPr>
            <w:tcW w:w="1485" w:type="dxa"/>
            <w:tcBorders>
              <w:top w:val="single" w:color="auto" w:sz="4" w:space="0"/>
              <w:left w:val="nil"/>
              <w:bottom w:val="single" w:color="auto" w:sz="4" w:space="0"/>
              <w:right w:val="single" w:color="auto" w:sz="4" w:space="0"/>
            </w:tcBorders>
            <w:noWrap/>
            <w:vAlign w:val="center"/>
          </w:tcPr>
          <w:p>
            <w:pPr>
              <w:widowControl w:val="0"/>
              <w:spacing w:after="160" w:line="259" w:lineRule="auto"/>
              <w:jc w:val="center"/>
              <w:rPr>
                <w:rFonts w:hint="eastAsia" w:ascii="宋体" w:hAnsi="宋体" w:eastAsia="宋体" w:cs="宋体"/>
                <w:kern w:val="2"/>
                <w:sz w:val="21"/>
                <w:lang w:eastAsia="zh-CN"/>
              </w:rPr>
            </w:pPr>
          </w:p>
        </w:tc>
        <w:tc>
          <w:tcPr>
            <w:tcW w:w="1545"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6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15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3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05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2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r>
      <w:tr>
        <w:tblPrEx>
          <w:tblCellMar>
            <w:top w:w="0" w:type="dxa"/>
            <w:left w:w="108" w:type="dxa"/>
            <w:bottom w:w="0" w:type="dxa"/>
            <w:right w:w="108" w:type="dxa"/>
          </w:tblCellMar>
        </w:tblPrEx>
        <w:trPr>
          <w:trHeight w:val="608" w:hRule="atLeast"/>
          <w:tblHeader/>
        </w:trPr>
        <w:tc>
          <w:tcPr>
            <w:tcW w:w="452"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4</w:t>
            </w:r>
          </w:p>
        </w:tc>
        <w:tc>
          <w:tcPr>
            <w:tcW w:w="1485" w:type="dxa"/>
            <w:tcBorders>
              <w:top w:val="nil"/>
              <w:left w:val="nil"/>
              <w:bottom w:val="single" w:color="auto" w:sz="4" w:space="0"/>
              <w:right w:val="single" w:color="auto" w:sz="4" w:space="0"/>
            </w:tcBorders>
            <w:noWrap/>
            <w:vAlign w:val="center"/>
          </w:tcPr>
          <w:p>
            <w:pPr>
              <w:widowControl w:val="0"/>
              <w:spacing w:after="160" w:line="259" w:lineRule="auto"/>
              <w:jc w:val="center"/>
              <w:rPr>
                <w:rFonts w:hint="eastAsia" w:ascii="宋体" w:hAnsi="宋体" w:eastAsia="宋体" w:cs="宋体"/>
                <w:kern w:val="2"/>
                <w:sz w:val="21"/>
                <w:lang w:eastAsia="zh-CN"/>
              </w:rPr>
            </w:pPr>
          </w:p>
        </w:tc>
        <w:tc>
          <w:tcPr>
            <w:tcW w:w="1545" w:type="dxa"/>
            <w:tcBorders>
              <w:top w:val="nil"/>
              <w:left w:val="nil"/>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35"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63"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157"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335"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050"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20"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r>
      <w:tr>
        <w:tblPrEx>
          <w:tblCellMar>
            <w:top w:w="0" w:type="dxa"/>
            <w:left w:w="108" w:type="dxa"/>
            <w:bottom w:w="0" w:type="dxa"/>
            <w:right w:w="108" w:type="dxa"/>
          </w:tblCellMar>
        </w:tblPrEx>
        <w:trPr>
          <w:trHeight w:val="616" w:hRule="atLeast"/>
          <w:tblHeader/>
        </w:trPr>
        <w:tc>
          <w:tcPr>
            <w:tcW w:w="452"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5</w:t>
            </w:r>
          </w:p>
        </w:tc>
        <w:tc>
          <w:tcPr>
            <w:tcW w:w="1485"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545"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6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15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3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05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2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r>
      <w:tr>
        <w:tblPrEx>
          <w:tblCellMar>
            <w:top w:w="0" w:type="dxa"/>
            <w:left w:w="108" w:type="dxa"/>
            <w:bottom w:w="0" w:type="dxa"/>
            <w:right w:w="108" w:type="dxa"/>
          </w:tblCellMar>
        </w:tblPrEx>
        <w:trPr>
          <w:trHeight w:val="610" w:hRule="atLeast"/>
          <w:tblHeader/>
        </w:trPr>
        <w:tc>
          <w:tcPr>
            <w:tcW w:w="452"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w:t>
            </w:r>
          </w:p>
        </w:tc>
        <w:tc>
          <w:tcPr>
            <w:tcW w:w="1485"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545"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6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15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3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105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c>
          <w:tcPr>
            <w:tcW w:w="72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r>
      <w:tr>
        <w:tblPrEx>
          <w:tblCellMar>
            <w:top w:w="0" w:type="dxa"/>
            <w:left w:w="108" w:type="dxa"/>
            <w:bottom w:w="0" w:type="dxa"/>
            <w:right w:w="108" w:type="dxa"/>
          </w:tblCellMar>
        </w:tblPrEx>
        <w:trPr>
          <w:trHeight w:val="610" w:hRule="atLeast"/>
          <w:tblHeader/>
        </w:trPr>
        <w:tc>
          <w:tcPr>
            <w:tcW w:w="4217" w:type="dxa"/>
            <w:gridSpan w:val="4"/>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合    计</w:t>
            </w:r>
          </w:p>
        </w:tc>
        <w:tc>
          <w:tcPr>
            <w:tcW w:w="1920" w:type="dxa"/>
            <w:gridSpan w:val="2"/>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本栏填写上述各项工作量合计数</w:t>
            </w:r>
          </w:p>
        </w:tc>
        <w:tc>
          <w:tcPr>
            <w:tcW w:w="1335"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w w:val="90"/>
                <w:kern w:val="2"/>
                <w:sz w:val="21"/>
                <w:lang w:eastAsia="zh-CN"/>
              </w:rPr>
            </w:pPr>
            <w:r>
              <w:rPr>
                <w:rFonts w:hint="eastAsia" w:ascii="宋体" w:hAnsi="宋体" w:eastAsia="宋体" w:cs="宋体"/>
                <w:color w:val="000000"/>
                <w:w w:val="90"/>
                <w:kern w:val="2"/>
                <w:sz w:val="21"/>
                <w:highlight w:val="white"/>
                <w:lang w:eastAsia="zh-CN"/>
              </w:rPr>
              <w:t>――――--</w:t>
            </w:r>
          </w:p>
        </w:tc>
        <w:tc>
          <w:tcPr>
            <w:tcW w:w="105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本栏填写上述小计数额的合计数</w:t>
            </w:r>
          </w:p>
        </w:tc>
        <w:tc>
          <w:tcPr>
            <w:tcW w:w="72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160" w:line="259" w:lineRule="auto"/>
              <w:jc w:val="center"/>
              <w:rPr>
                <w:rFonts w:hint="eastAsia" w:ascii="宋体" w:hAnsi="宋体" w:eastAsia="宋体" w:cs="宋体"/>
                <w:kern w:val="2"/>
                <w:sz w:val="21"/>
                <w:lang w:eastAsia="zh-CN"/>
              </w:rPr>
            </w:pPr>
          </w:p>
        </w:tc>
      </w:tr>
    </w:tbl>
    <w:p>
      <w:pPr>
        <w:widowControl w:val="0"/>
        <w:topLinePunct/>
        <w:autoSpaceDE w:val="0"/>
        <w:autoSpaceDN w:val="0"/>
        <w:adjustRightInd w:val="0"/>
        <w:snapToGrid w:val="0"/>
        <w:spacing w:after="160" w:line="360" w:lineRule="auto"/>
        <w:jc w:val="left"/>
        <w:rPr>
          <w:rFonts w:ascii="Calibri" w:hAnsi="Calibri" w:eastAsia="宋体"/>
          <w:kern w:val="2"/>
          <w:sz w:val="21"/>
          <w:lang w:eastAsia="zh-CN"/>
        </w:rPr>
      </w:pPr>
      <w:r>
        <w:rPr>
          <w:rFonts w:hint="eastAsia" w:ascii="宋体" w:hAnsi="宋体" w:eastAsia="宋体" w:cs="宋体"/>
          <w:color w:val="000000"/>
          <w:kern w:val="2"/>
          <w:sz w:val="21"/>
          <w:highlight w:val="white"/>
          <w:lang w:eastAsia="zh-CN"/>
        </w:rPr>
        <w:t>特别说明:</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（3）招标（采购）文件（另附）；</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（4）投标（响应）文件（另附）。</w:t>
      </w: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2. 合同范围和条件</w:t>
      </w: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本合同的范围和条件应与上述合同文件的规定相一致。</w:t>
      </w:r>
    </w:p>
    <w:p>
      <w:pPr>
        <w:widowControl w:val="0"/>
        <w:tabs>
          <w:tab w:val="left" w:pos="700"/>
        </w:tabs>
        <w:topLinePunct/>
        <w:autoSpaceDE w:val="0"/>
        <w:autoSpaceDN w:val="0"/>
        <w:snapToGrid w:val="0"/>
        <w:spacing w:after="160" w:line="360" w:lineRule="auto"/>
        <w:ind w:firstLine="411" w:firstLineChars="196"/>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3. 合同金额</w:t>
      </w: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本合同金额为人民币</w:t>
      </w: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元整（¥</w:t>
      </w: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）。本合同项下所有服务的全部成本及费用（包括但不限于税费、人工费等）均已包含于合同价中，甲方不再另行支付其他费用。</w:t>
      </w: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p>
    <w:p>
      <w:pPr>
        <w:widowControl w:val="0"/>
        <w:tabs>
          <w:tab w:val="left" w:pos="700"/>
        </w:tabs>
        <w:topLinePunct/>
        <w:autoSpaceDE w:val="0"/>
        <w:autoSpaceDN w:val="0"/>
        <w:snapToGrid w:val="0"/>
        <w:spacing w:after="160" w:line="360" w:lineRule="auto"/>
        <w:ind w:firstLine="514" w:firstLineChars="245"/>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4.付款条件</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合同以人民币结算，付款方式如下：</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 xml:space="preserve">                                                   </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第1次付款,自项目实施开始之日起次月，采购人根据考核验收结果，按月支付物业服务费用，甲方支付乙方合同金额8.33%的款项;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第2次付款,自项目实施开始之日起第3个月，根据考核验收结果，支付第2个月的物业服务费用，甲方支付乙方合同金额8.33%的款项;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第3次付款,自项目实施开始之日起第4个月，根据考核验收结果，支付第3个月的物业服务费用，甲方支付乙方合同金额8.33%的款项;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第4次付款,自项目实施开始之日起第5个月，根据考核验收结果，支付第4个月的物业服务费用，甲方支付乙方合同金额8.33%的款项;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第5次付款,自项目实施开始之日起第6个月，根据考核验收结果，支付第5个月的物业服务费用，甲方支付乙方合同金额8.33%的款项;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第6次付款,自项目实施开始之日起第7个月，根据考核验收结果，支付第6个月的物业服务费用，甲方支付乙方合同金额8.33%的款项;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第7次付款,自项目实施开始之日起第8个月，根据考核验收结果，支付第7个月的物业服务费用，甲方支付乙方合同金额8.33%的款项;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第8次付款,自项目实施开始之日起第9个月，根据考核验收结果，支付第8个月的物业服务费用，甲方支付乙方合同金额8.33%的款项;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第9次付款,自项目实施开始之日起第10个月，根据考核验收结果，支付第9个月的物业服务费用，甲方支付乙方合同金额8.33%的款项;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第10次付款,自项目实施开始之日起第11个月，根据考核验收结果，支付第10个月的物业服务费用，甲方支付乙方合同金额8.33%的款项;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第11次付款,自项目实施开始之日起第12个月，根据考核验收结果，支付第11个月的物业服务费用，甲方支付乙方合同金额8.33%的款项;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第12次付款,自项目实施开始之日起第13个月，根据考核验收结果，支付第12个月的物业服务费用，甲方支付乙方合同金额8.37%的款项。</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每次办理付款时，乙方应提供发票、付款申请、付款明细、合同关键页复印件、中标或成交通知书复印件、合同约定的其他资料。涉及验收的，应同时提交       出具的验收意见。</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r>
        <w:rPr>
          <w:rFonts w:hint="eastAsia" w:ascii="宋体" w:hAnsi="宋体" w:eastAsia="宋体" w:cs="宋体"/>
          <w:color w:val="000000"/>
          <w:highlight w:val="white"/>
          <w:lang w:eastAsia="zh-CN"/>
        </w:rPr>
        <w:t>甲方在收到发票等合同约定资料后，进行核实。满足合同约定支付条件的，甲方原则上应当自收到发票后10个工作日内将资金支付到合同约定的乙方账户，双方另有争议除外。因乙方怠于开具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w:t>
      </w:r>
    </w:p>
    <w:p>
      <w:pPr>
        <w:widowControl w:val="0"/>
        <w:numPr>
          <w:ilvl w:val="0"/>
          <w:numId w:val="0"/>
        </w:numPr>
        <w:tabs>
          <w:tab w:val="left" w:pos="709"/>
          <w:tab w:val="left" w:pos="840"/>
        </w:tabs>
        <w:adjustRightInd w:val="0"/>
        <w:snapToGrid w:val="0"/>
        <w:spacing w:after="160" w:line="360" w:lineRule="auto"/>
        <w:ind w:left="0" w:firstLine="420" w:firstLineChars="200"/>
        <w:jc w:val="both"/>
        <w:textAlignment w:val="baseline"/>
        <w:rPr>
          <w:rFonts w:hint="eastAsia" w:ascii="宋体" w:hAnsi="宋体" w:eastAsia="宋体" w:cs="宋体"/>
          <w:lang w:eastAsia="zh-CN"/>
        </w:rPr>
      </w:pPr>
    </w:p>
    <w:p>
      <w:pPr>
        <w:widowControl w:val="0"/>
        <w:numPr>
          <w:ilvl w:val="0"/>
          <w:numId w:val="0"/>
        </w:numPr>
        <w:tabs>
          <w:tab w:val="left" w:pos="709"/>
          <w:tab w:val="left" w:pos="840"/>
        </w:tabs>
        <w:adjustRightInd w:val="0"/>
        <w:snapToGrid w:val="0"/>
        <w:spacing w:after="160" w:line="360" w:lineRule="auto"/>
        <w:ind w:left="0" w:firstLine="0"/>
        <w:jc w:val="both"/>
        <w:textAlignment w:val="baseline"/>
        <w:rPr>
          <w:rFonts w:hint="eastAsia" w:ascii="宋体" w:hAnsi="宋体" w:eastAsia="宋体" w:cs="宋体"/>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 xml:space="preserve">5. 甲方和乙方权利与义务 </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（1）根据采购文件、合同约定的服务范围，甲方有权要求乙方制订年度物业服务工作计划以及其他服务方案并进行审核，并有权检查监督乙方物业管理、服务工作的实施情况。</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（2）甲方有权对乙方及其派驻本物业的工作人员的工作进行指导、监督，并对其工作提出批评或建议，乙方应采取相应措施予以整改。</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3）甲方有权要求乙方提供服务人员的相关资料，包括劳动合同、工资发放签领表及为从业人员缴纳的社会保险等相关资料，乙方不能及时提供的，甲方有权停付合同费用，乙方超过【5】个工作日仍不能提供的，甲方有权解除合同，同时甲方不承担因此造成的任何损失。</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（4）乙方根据有关法律、法规及本合同的约定，制订物业管理方案、管理制度，开展物业管理服务活动；不得侵害甲方、物业使用人及他人的合法权益，不得利用提供物业管理服务的便利获取不当利益。</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（5）乙方负责编制年度维修、养护计划和大、中修方案，由甲方审核。</w:t>
      </w:r>
    </w:p>
    <w:p>
      <w:pPr>
        <w:widowControl w:val="0"/>
        <w:topLinePunct/>
        <w:autoSpaceDE w:val="0"/>
        <w:autoSpaceDN w:val="0"/>
        <w:snapToGrid w:val="0"/>
        <w:spacing w:after="160" w:line="360" w:lineRule="auto"/>
        <w:ind w:firstLine="420" w:firstLineChars="200"/>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（6）乙方按国家或行业管理标准规定与本合同的约定，完成本物业的服务工作。</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（7）乙方不得擅自加价或降低服务质量。</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（8）乙方提供用于物业管理的设施、设备、工具等，并有责任保证上述设施、设备、工具等可以正常使用。</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（9）乙方不得将物业管理整体委托给第三方，需将物业服务区域内的专项服务业务委托给专业性服务企业的，需要事先取得甲方书面同意。</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（10）乙方应当接受甲方的监督、检查和管理，不断完善管理服务，定期向甲方报告本合同的履行情况。</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（11）对物业的公用设施乙方不得擅自占用或改变其使用功能，如需在本物业内改、扩建或完善配套项目，需以书面形式报请甲方许可，待有关部门批准后方可实施。</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（12）乙方所派服务人员为乙方员工，应按照国家法律规定与其员工建立劳动合同关系，发生任何劳动纠纷的，乙方应及时按照法律规定处理相关纠纷，不得影响其向甲方提供的服务活动。</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13）乙方派遣到本物业的工作人员，应符合物业所在区域相关规定，证件应齐全，特殊岗位应持证上岗；乙方应为其工作人员办理相关保险手续并进行安全教育，对人员安全负责。如产生问题，甲方不承担任何责任。</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（14）乙方建立、妥善保管和正确使用本物业的管理、维修档案，并负责及时记载有关变更情况。</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（15）乙方开展对本物业的相关部位以及设施设备的年度安全检查工作，发现安全隐患应【2】日内予以整改。</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（16）乙方应当协助做好物业管理区域内的安全防范工作。发生安全事故时，乙方在采取应急措施的同时，应当及时向甲方和有关行政管理部门报告，协助做好救助工作。</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（17）本合同终止后甲乙双方不再续约的，按协商时间移交物业管理权，撤出本物业，协助甲方做好物业服务的交接和善后工作，移交或配合甲方移交管理用房和物业管理的全部档案资料等。</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（18）其他：无</w:t>
      </w:r>
    </w:p>
    <w:p>
      <w:pPr>
        <w:widowControl w:val="0"/>
        <w:topLinePunct/>
        <w:autoSpaceDE w:val="0"/>
        <w:autoSpaceDN w:val="0"/>
        <w:snapToGrid w:val="0"/>
        <w:spacing w:after="160" w:line="360" w:lineRule="auto"/>
        <w:ind w:left="482"/>
        <w:jc w:val="both"/>
        <w:outlineLvl w:val="2"/>
        <w:rPr>
          <w:rFonts w:hint="eastAsia" w:ascii="宋体" w:hAnsi="宋体" w:eastAsia="宋体" w:cs="宋体"/>
          <w:lang w:eastAsia="zh-CN"/>
        </w:rPr>
      </w:pPr>
      <w:r>
        <w:rPr>
          <w:rFonts w:hint="eastAsia" w:ascii="宋体" w:hAnsi="宋体" w:eastAsia="宋体" w:cs="宋体"/>
          <w:color w:val="000000"/>
          <w:highlight w:val="white"/>
          <w:lang w:eastAsia="zh-CN"/>
        </w:rPr>
        <w:t>6.合同签订及生效</w:t>
      </w: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Calibri" w:hAnsi="Calibri" w:eastAsia="宋体" w:cs="宋体"/>
          <w:color w:val="000000"/>
          <w:kern w:val="2"/>
          <w:highlight w:val="white"/>
          <w:lang w:eastAsia="zh-CN"/>
        </w:rPr>
        <w:t>本合同一式__份，甲方持__份，乙方持__份，各份正本均具有同等法律效力。经甲乙双方法定代表人或其授权代表签字且加盖公章（或加盖合同章）后生效。</w:t>
      </w: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u w:val="single"/>
          <w:lang w:eastAsia="zh-CN"/>
        </w:rPr>
      </w:pPr>
      <w:r>
        <w:rPr>
          <w:rFonts w:hint="eastAsia" w:ascii="宋体" w:hAnsi="宋体" w:eastAsia="宋体" w:cs="宋体"/>
          <w:color w:val="000000"/>
          <w:kern w:val="2"/>
          <w:highlight w:val="white"/>
          <w:lang w:eastAsia="zh-CN"/>
        </w:rPr>
        <w:t>合同订立地点：</w:t>
      </w:r>
      <w:r>
        <w:rPr>
          <w:rFonts w:hint="eastAsia" w:ascii="宋体" w:hAnsi="宋体" w:eastAsia="宋体" w:cs="宋体"/>
          <w:color w:val="000000"/>
          <w:kern w:val="2"/>
          <w:highlight w:val="white"/>
          <w:u w:val="single"/>
          <w:lang w:eastAsia="zh-CN"/>
        </w:rPr>
        <w:t xml:space="preserve"> 吉林省吉林市昌邑区天津街6号  </w:t>
      </w:r>
    </w:p>
    <w:p>
      <w:pPr>
        <w:widowControl w:val="0"/>
        <w:tabs>
          <w:tab w:val="left" w:pos="700"/>
        </w:tabs>
        <w:topLinePunct/>
        <w:autoSpaceDE w:val="0"/>
        <w:autoSpaceDN w:val="0"/>
        <w:snapToGrid w:val="0"/>
        <w:spacing w:after="160" w:line="360" w:lineRule="auto"/>
        <w:ind w:firstLine="422" w:firstLineChars="200"/>
        <w:jc w:val="both"/>
        <w:rPr>
          <w:rFonts w:hint="eastAsia" w:ascii="宋体" w:hAnsi="宋体" w:eastAsia="宋体" w:cs="宋体"/>
          <w:b/>
          <w:kern w:val="2"/>
          <w:highlight w:val="yellow"/>
          <w:lang w:eastAsia="zh-CN"/>
        </w:rPr>
      </w:pP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highlight w:val="magenta"/>
          <w:u w:val="single"/>
          <w:lang w:eastAsia="zh-CN"/>
        </w:rPr>
      </w:pP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p>
    <w:p>
      <w:pPr>
        <w:widowControl w:val="0"/>
        <w:tabs>
          <w:tab w:val="left" w:pos="700"/>
        </w:tabs>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p>
    <w:p>
      <w:pPr>
        <w:widowControl w:val="0"/>
        <w:tabs>
          <w:tab w:val="left" w:pos="700"/>
        </w:tabs>
        <w:topLinePunct/>
        <w:autoSpaceDE w:val="0"/>
        <w:autoSpaceDN w:val="0"/>
        <w:snapToGrid w:val="0"/>
        <w:spacing w:after="160" w:line="360" w:lineRule="auto"/>
        <w:jc w:val="both"/>
        <w:rPr>
          <w:rFonts w:hint="eastAsia" w:ascii="宋体" w:hAnsi="宋体" w:eastAsia="宋体" w:cs="宋体"/>
          <w:kern w:val="2"/>
          <w:lang w:eastAsia="zh-CN"/>
        </w:rPr>
      </w:pPr>
    </w:p>
    <w:p>
      <w:pPr>
        <w:widowControl w:val="0"/>
        <w:tabs>
          <w:tab w:val="left" w:pos="700"/>
        </w:tabs>
        <w:topLinePunct/>
        <w:autoSpaceDE w:val="0"/>
        <w:autoSpaceDN w:val="0"/>
        <w:snapToGrid w:val="0"/>
        <w:spacing w:after="160" w:line="360" w:lineRule="auto"/>
        <w:jc w:val="both"/>
        <w:rPr>
          <w:rFonts w:hint="eastAsia" w:ascii="宋体" w:hAnsi="宋体" w:eastAsia="宋体" w:cs="宋体"/>
          <w:kern w:val="2"/>
          <w:lang w:eastAsia="zh-CN"/>
        </w:rPr>
      </w:pPr>
    </w:p>
    <w:p>
      <w:pPr>
        <w:widowControl w:val="0"/>
        <w:tabs>
          <w:tab w:val="left" w:pos="700"/>
        </w:tabs>
        <w:topLinePunct/>
        <w:autoSpaceDE w:val="0"/>
        <w:autoSpaceDN w:val="0"/>
        <w:snapToGrid w:val="0"/>
        <w:spacing w:after="160" w:line="360" w:lineRule="auto"/>
        <w:ind w:left="36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 xml:space="preserve">甲方： </w:t>
      </w:r>
      <w:r>
        <w:rPr>
          <w:rFonts w:hint="eastAsia" w:ascii="FangSong_GB2312" w:hAnsi="FangSong_GB2312" w:eastAsia="FangSong_GB2312" w:cs="FangSong_GB2312"/>
          <w:color w:val="000000"/>
          <w:kern w:val="2"/>
          <w:sz w:val="32"/>
          <w:szCs w:val="32"/>
          <w:highlight w:val="white"/>
          <w:u w:val="single"/>
          <w:lang w:eastAsia="zh-CN"/>
        </w:rPr>
        <w:t xml:space="preserve">                     </w:t>
      </w:r>
      <w:r>
        <w:rPr>
          <w:rFonts w:hint="eastAsia" w:ascii="宋体" w:hAnsi="宋体" w:eastAsia="宋体" w:cs="宋体"/>
          <w:color w:val="000000"/>
          <w:kern w:val="2"/>
          <w:highlight w:val="white"/>
          <w:lang w:eastAsia="zh-CN"/>
        </w:rPr>
        <w:t xml:space="preserve"> </w:t>
      </w:r>
    </w:p>
    <w:p>
      <w:pPr>
        <w:widowControl w:val="0"/>
        <w:tabs>
          <w:tab w:val="left" w:pos="700"/>
        </w:tabs>
        <w:topLinePunct/>
        <w:autoSpaceDE w:val="0"/>
        <w:autoSpaceDN w:val="0"/>
        <w:snapToGrid w:val="0"/>
        <w:spacing w:after="160" w:line="360" w:lineRule="auto"/>
        <w:ind w:left="360"/>
        <w:jc w:val="both"/>
        <w:rPr>
          <w:rFonts w:hint="eastAsia" w:ascii="宋体" w:hAnsi="宋体" w:eastAsia="宋体" w:cs="宋体"/>
          <w:kern w:val="2"/>
          <w:highlight w:val="lightGray"/>
          <w:lang w:eastAsia="zh-CN"/>
        </w:rPr>
      </w:pPr>
      <w:r>
        <w:rPr>
          <w:rFonts w:hint="eastAsia" w:ascii="宋体" w:hAnsi="宋体" w:eastAsia="宋体" w:cs="宋体"/>
          <w:color w:val="000000"/>
          <w:kern w:val="2"/>
          <w:highlight w:val="white"/>
          <w:lang w:eastAsia="zh-CN"/>
        </w:rPr>
        <w:t xml:space="preserve">法定代表人（授权代表人）：              </w:t>
      </w:r>
    </w:p>
    <w:p>
      <w:pPr>
        <w:widowControl w:val="0"/>
        <w:tabs>
          <w:tab w:val="left" w:pos="700"/>
        </w:tabs>
        <w:topLinePunct/>
        <w:autoSpaceDE w:val="0"/>
        <w:autoSpaceDN w:val="0"/>
        <w:snapToGrid w:val="0"/>
        <w:spacing w:after="160" w:line="360" w:lineRule="auto"/>
        <w:ind w:left="360"/>
        <w:jc w:val="both"/>
        <w:rPr>
          <w:rFonts w:hint="eastAsia" w:ascii="宋体" w:hAnsi="宋体" w:eastAsia="宋体" w:cs="宋体"/>
          <w:kern w:val="2"/>
          <w:lang w:eastAsia="zh-CN"/>
        </w:rPr>
      </w:pPr>
    </w:p>
    <w:p>
      <w:pPr>
        <w:widowControl w:val="0"/>
        <w:tabs>
          <w:tab w:val="left" w:pos="700"/>
        </w:tabs>
        <w:topLinePunct/>
        <w:autoSpaceDE w:val="0"/>
        <w:autoSpaceDN w:val="0"/>
        <w:snapToGrid w:val="0"/>
        <w:spacing w:after="160" w:line="360" w:lineRule="auto"/>
        <w:ind w:left="360"/>
        <w:jc w:val="both"/>
        <w:rPr>
          <w:rFonts w:hint="eastAsia" w:ascii="FangSong_GB2312" w:hAnsi="FangSong_GB2312" w:eastAsia="FangSong_GB2312" w:cs="FangSong_GB2312"/>
          <w:kern w:val="2"/>
          <w:sz w:val="32"/>
          <w:szCs w:val="32"/>
          <w:u w:val="single"/>
          <w:lang w:eastAsia="zh-CN"/>
        </w:rPr>
      </w:pPr>
      <w:r>
        <w:rPr>
          <w:rFonts w:hint="eastAsia" w:ascii="宋体" w:hAnsi="宋体" w:eastAsia="宋体" w:cs="宋体"/>
          <w:color w:val="000000"/>
          <w:kern w:val="2"/>
          <w:highlight w:val="white"/>
          <w:lang w:eastAsia="zh-CN"/>
        </w:rPr>
        <w:t>乙方：</w:t>
      </w:r>
      <w:r>
        <w:rPr>
          <w:rFonts w:hint="eastAsia" w:ascii="FangSong_GB2312" w:hAnsi="FangSong_GB2312" w:eastAsia="FangSong_GB2312" w:cs="FangSong_GB2312"/>
          <w:color w:val="000000"/>
          <w:kern w:val="2"/>
          <w:sz w:val="32"/>
          <w:szCs w:val="32"/>
          <w:highlight w:val="white"/>
          <w:u w:val="single"/>
          <w:lang w:eastAsia="zh-CN"/>
        </w:rPr>
        <w:t xml:space="preserve">                      </w:t>
      </w:r>
    </w:p>
    <w:p>
      <w:pPr>
        <w:widowControl w:val="0"/>
        <w:tabs>
          <w:tab w:val="left" w:pos="700"/>
        </w:tabs>
        <w:topLinePunct/>
        <w:autoSpaceDE w:val="0"/>
        <w:autoSpaceDN w:val="0"/>
        <w:snapToGrid w:val="0"/>
        <w:spacing w:after="160" w:line="360" w:lineRule="auto"/>
        <w:ind w:left="360"/>
        <w:jc w:val="both"/>
        <w:rPr>
          <w:rFonts w:hint="eastAsia" w:ascii="宋体" w:hAnsi="宋体" w:eastAsia="宋体" w:cs="宋体"/>
          <w:kern w:val="2"/>
          <w:highlight w:val="lightGray"/>
          <w:lang w:eastAsia="zh-CN"/>
        </w:rPr>
      </w:pPr>
      <w:r>
        <w:rPr>
          <w:rFonts w:hint="eastAsia" w:ascii="宋体" w:hAnsi="宋体" w:eastAsia="宋体" w:cs="宋体"/>
          <w:color w:val="000000"/>
          <w:kern w:val="2"/>
          <w:highlight w:val="white"/>
          <w:lang w:eastAsia="zh-CN"/>
        </w:rPr>
        <w:t>法定代表人（授权代表人）：</w:t>
      </w:r>
    </w:p>
    <w:p>
      <w:pPr>
        <w:widowControl w:val="0"/>
        <w:tabs>
          <w:tab w:val="left" w:pos="700"/>
        </w:tabs>
        <w:topLinePunct/>
        <w:autoSpaceDE w:val="0"/>
        <w:autoSpaceDN w:val="0"/>
        <w:snapToGrid w:val="0"/>
        <w:spacing w:after="160" w:line="360" w:lineRule="auto"/>
        <w:ind w:left="360"/>
        <w:jc w:val="both"/>
        <w:rPr>
          <w:rFonts w:hint="eastAsia" w:ascii="FangSong_GB2312" w:hAnsi="FangSong_GB2312" w:eastAsia="FangSong_GB2312" w:cs="FangSong_GB2312"/>
          <w:kern w:val="2"/>
          <w:sz w:val="32"/>
          <w:szCs w:val="32"/>
          <w:u w:val="single"/>
          <w:lang w:eastAsia="zh-CN"/>
        </w:rPr>
      </w:pPr>
    </w:p>
    <w:p>
      <w:pPr>
        <w:widowControl w:val="0"/>
        <w:tabs>
          <w:tab w:val="left" w:pos="700"/>
        </w:tabs>
        <w:topLinePunct/>
        <w:autoSpaceDE w:val="0"/>
        <w:autoSpaceDN w:val="0"/>
        <w:snapToGrid w:val="0"/>
        <w:spacing w:after="160" w:line="360" w:lineRule="auto"/>
        <w:ind w:left="36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 xml:space="preserve">盖章：                                  </w:t>
      </w:r>
    </w:p>
    <w:p>
      <w:pPr>
        <w:widowControl w:val="0"/>
        <w:tabs>
          <w:tab w:val="left" w:pos="700"/>
        </w:tabs>
        <w:topLinePunct/>
        <w:autoSpaceDE w:val="0"/>
        <w:autoSpaceDN w:val="0"/>
        <w:snapToGrid w:val="0"/>
        <w:spacing w:after="160" w:line="360" w:lineRule="auto"/>
        <w:ind w:left="36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 xml:space="preserve">签署人：                               </w:t>
      </w:r>
    </w:p>
    <w:p>
      <w:pPr>
        <w:widowControl w:val="0"/>
        <w:tabs>
          <w:tab w:val="left" w:pos="700"/>
        </w:tabs>
        <w:topLinePunct/>
        <w:autoSpaceDE w:val="0"/>
        <w:autoSpaceDN w:val="0"/>
        <w:snapToGrid w:val="0"/>
        <w:spacing w:after="160" w:line="360" w:lineRule="auto"/>
        <w:ind w:left="360"/>
        <w:jc w:val="both"/>
        <w:rPr>
          <w:rFonts w:hint="eastAsia" w:ascii="宋体" w:hAnsi="宋体" w:eastAsia="宋体" w:cs="宋体"/>
          <w:b/>
          <w:kern w:val="2"/>
          <w:lang w:eastAsia="zh-CN"/>
        </w:rPr>
      </w:pPr>
      <w:r>
        <w:rPr>
          <w:rFonts w:hint="eastAsia" w:ascii="宋体" w:hAnsi="宋体" w:eastAsia="宋体" w:cs="宋体"/>
          <w:color w:val="000000"/>
          <w:kern w:val="2"/>
          <w:highlight w:val="white"/>
          <w:lang w:eastAsia="zh-CN"/>
        </w:rPr>
        <w:t>日期：    年    月    日</w:t>
      </w:r>
    </w:p>
    <w:p>
      <w:pPr>
        <w:widowControl w:val="0"/>
        <w:topLinePunct/>
        <w:autoSpaceDE w:val="0"/>
        <w:autoSpaceDN w:val="0"/>
        <w:snapToGrid w:val="0"/>
        <w:spacing w:after="160" w:line="360" w:lineRule="auto"/>
        <w:jc w:val="center"/>
        <w:outlineLvl w:val="1"/>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br w:type="page"/>
      </w:r>
      <w:r>
        <w:rPr>
          <w:rFonts w:hint="eastAsia" w:ascii="宋体" w:hAnsi="宋体" w:eastAsia="宋体" w:cs="宋体"/>
          <w:b/>
          <w:color w:val="000000"/>
          <w:kern w:val="2"/>
          <w:highlight w:val="white"/>
          <w:lang w:eastAsia="zh-CN"/>
        </w:rPr>
        <w:t>二   合 同 通 用 条 款</w:t>
      </w: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 定义</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本合同下列术语应解释为：</w:t>
      </w:r>
    </w:p>
    <w:p>
      <w:pPr>
        <w:widowControl w:val="0"/>
        <w:tabs>
          <w:tab w:val="left" w:pos="700"/>
        </w:tabs>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1.1“甲方”是指</w:t>
      </w:r>
      <w:r>
        <w:rPr>
          <w:rFonts w:hint="eastAsia" w:ascii="宋体" w:hAnsi="宋体" w:eastAsia="宋体" w:cs="宋体"/>
          <w:color w:val="000000"/>
          <w:kern w:val="2"/>
          <w:highlight w:val="white"/>
          <w:u w:val="single"/>
          <w:lang w:eastAsia="zh-CN"/>
        </w:rPr>
        <w:t>国家税务总局吉林市昌邑区税务局</w:t>
      </w:r>
      <w:r>
        <w:rPr>
          <w:rFonts w:hint="eastAsia" w:ascii="宋体" w:hAnsi="宋体" w:eastAsia="宋体" w:cs="宋体"/>
          <w:color w:val="000000"/>
          <w:kern w:val="2"/>
          <w:highlight w:val="white"/>
          <w:lang w:eastAsia="zh-CN"/>
        </w:rPr>
        <w:t>。</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1.1.1“甲方采购部门”见“合同条款前附表”第6项“甲方采购部门”。</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1.1.2“甲方需求部门（或验收牵头部门）”见“合同条款前附表”第6项“甲方需求部门（或验收牵头部门）”。</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1.2“乙方”见“合同条款前附表”第7项“乙方名称”。</w:t>
      </w:r>
    </w:p>
    <w:p>
      <w:pPr>
        <w:widowControl w:val="0"/>
        <w:tabs>
          <w:tab w:val="left" w:pos="700"/>
        </w:tabs>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 “合同”系指甲乙双方签订的、合同格式中载明的甲乙双方所达成的协议，包括所有的附件、附录和上述文件所提到的构成合同的所有文件。</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1.4 “天”除非特别指出，“天”均为自然天。</w:t>
      </w:r>
    </w:p>
    <w:p>
      <w:pPr>
        <w:widowControl w:val="0"/>
        <w:topLinePunct/>
        <w:autoSpaceDE w:val="0"/>
        <w:autoSpaceDN w:val="0"/>
        <w:snapToGrid w:val="0"/>
        <w:spacing w:after="160" w:line="360" w:lineRule="auto"/>
        <w:ind w:left="480"/>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2. 标准</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2.1 乙方为甲方交付或提供的服务应符合招标（采购）文件所述的标准，如果没有提及适用标准，则应符合相应的国家标准。这些标准必须是有关机构发布的最新版本的标准。</w:t>
      </w:r>
    </w:p>
    <w:p>
      <w:pPr>
        <w:widowControl w:val="0"/>
        <w:snapToGrid w:val="0"/>
        <w:spacing w:after="160" w:line="360" w:lineRule="auto"/>
        <w:ind w:firstLine="420" w:firstLineChars="200"/>
        <w:jc w:val="both"/>
        <w:rPr>
          <w:rFonts w:hint="eastAsia" w:ascii="宋体" w:hAnsi="宋体" w:eastAsia="宋体" w:cs="宋体"/>
          <w:kern w:val="2"/>
          <w:sz w:val="21"/>
          <w:lang w:eastAsia="zh-CN"/>
        </w:rPr>
      </w:pPr>
      <w:r>
        <w:rPr>
          <w:rFonts w:hint="eastAsia" w:ascii="宋体" w:hAnsi="宋体" w:eastAsia="宋体" w:cs="宋体"/>
          <w:color w:val="000000"/>
          <w:kern w:val="2"/>
          <w:highlight w:val="white"/>
          <w:lang w:eastAsia="zh-CN"/>
        </w:rPr>
        <w:t>2.2 除非技术要求中另有规定，计量单位均采用中华人民共和国法定计量单位。</w:t>
      </w:r>
    </w:p>
    <w:p>
      <w:pPr>
        <w:widowControl w:val="0"/>
        <w:snapToGrid w:val="0"/>
        <w:spacing w:after="160" w:line="360" w:lineRule="auto"/>
        <w:ind w:firstLine="420" w:firstLineChars="200"/>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3. 服务</w:t>
      </w:r>
    </w:p>
    <w:p>
      <w:pPr>
        <w:widowControl w:val="0"/>
        <w:tabs>
          <w:tab w:val="left" w:pos="700"/>
        </w:tabs>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3.1 本项目的“服务”见“合同条款前附表”第9项“服务内容”。具体要求详见采购文件项目采购需求。</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3.2 乙方应保证所提供的服务符合合同规定的技术要求。如不符时，乙方应负全责并在限期内尽快处理解决，由此造成的损失和相关费用由乙方承担，甲方保留解除合同及索赔的权利。</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3.3 乙方应保证通过执行合同中全部方案后，可以取得本合同约定的结果，达到本合同约定的预期目标。对任何情况下出现的问题，应在甲方要求的限定期限内尽快提出解决方案。</w:t>
      </w:r>
    </w:p>
    <w:p>
      <w:pPr>
        <w:widowControl w:val="0"/>
        <w:tabs>
          <w:tab w:val="left" w:pos="0"/>
          <w:tab w:val="left" w:pos="540"/>
        </w:tabs>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3.4 如果乙方提供的服务和解决方案不符合甲方要求，或在规定的时间内没有弥补缺陷，甲方有权采取一切必要的补救措施，由此产生的费用和甲方的损失全部由乙方负责。</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3.5 除合同条款另行规定外，伴随服务的费用已全部含在合同总金额中，不单独进行支付。</w:t>
      </w:r>
    </w:p>
    <w:p>
      <w:pPr>
        <w:widowControl w:val="0"/>
        <w:snapToGrid w:val="0"/>
        <w:spacing w:after="160" w:line="360" w:lineRule="auto"/>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4. 知识产权</w:t>
      </w:r>
    </w:p>
    <w:p>
      <w:pPr>
        <w:widowControl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4.1 乙方应保证所提供的服务免受第三方提出侵犯其知识产权（专利权、商标权、软件著作权、版权等）、所有权、担保物权等事宜的起诉。如果甲方在使用乙方货物或货物的任何一部分过程中，第三方提出货物侵犯其专利权、工业设计权、使用权等知识产权、所有权、担保物权等事宜的，乙方应当修正以避免侵权。如果甲方在使用乙方货物或货物的任何一部分过程中，第三方指控侵犯其专利权、工业设计权、使用权等知识产权、所有权、担保物权等事宜的，乙方应自费为甲方答辩，并支付法院最终判决的甲方应支付第三方的一切费用、赔偿甲方由此遭受的损失。</w:t>
      </w:r>
    </w:p>
    <w:p>
      <w:pPr>
        <w:widowControl w:val="0"/>
        <w:tabs>
          <w:tab w:val="left" w:pos="0"/>
          <w:tab w:val="left" w:pos="540"/>
        </w:tabs>
        <w:topLinePunct/>
        <w:autoSpaceDE w:val="0"/>
        <w:autoSpaceDN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widowControl w:val="0"/>
        <w:tabs>
          <w:tab w:val="left" w:pos="0"/>
          <w:tab w:val="left" w:pos="540"/>
        </w:tabs>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s="宋体"/>
          <w:color w:val="000000"/>
          <w:kern w:val="2"/>
          <w:highlight w:val="white"/>
          <w:lang w:eastAsia="zh-CN"/>
        </w:rPr>
        <w:t>4.3 乙方不得利用</w:t>
      </w:r>
      <w:r>
        <w:rPr>
          <w:rFonts w:hint="eastAsia" w:ascii="宋体" w:hAnsi="宋体" w:eastAsia="宋体" w:cs="宋体"/>
          <w:bCs/>
          <w:color w:val="000000"/>
          <w:kern w:val="2"/>
          <w:highlight w:val="white"/>
          <w:lang w:eastAsia="zh-CN"/>
        </w:rPr>
        <w:t>本项目实施过程中</w:t>
      </w:r>
      <w:r>
        <w:rPr>
          <w:rFonts w:hint="eastAsia" w:ascii="宋体" w:hAnsi="宋体" w:eastAsia="宋体" w:cs="宋体"/>
          <w:color w:val="000000"/>
          <w:kern w:val="2"/>
          <w:highlight w:val="white"/>
          <w:lang w:eastAsia="zh-CN"/>
        </w:rPr>
        <w:t>所产生的成果（包括发明、发现、可运行系统、源代码及相关技术资料、文档等），另行自行开发本合同业务范围内供纳税人缴费人使用的软件或产品，不得利用开发便利变相收费或搭车收费。</w:t>
      </w:r>
    </w:p>
    <w:p>
      <w:pPr>
        <w:widowControl w:val="0"/>
        <w:topLinePunct/>
        <w:autoSpaceDE w:val="0"/>
        <w:autoSpaceDN w:val="0"/>
        <w:snapToGrid w:val="0"/>
        <w:spacing w:after="160" w:line="360" w:lineRule="auto"/>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5. 保密条款</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5.1 甲乙双方应对在本合同签订或履行过程中所接触的对方信息，包括但不限于知识产权、技术资料、技术诀窍、内部管理及其他相关信息，负有保密义务。</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5.2 乙方在使用甲方为乙方及其工作人员提供的全部信息（包括但不限于：数据、程序、用户名、口令、资料及甲方相关的业务和技术文档，包括税收政策、方案设计细节、程序文件、数据结构，以及相关业务系统的软硬件、文档、测试和测试产生的数据等）时，应遵循以下规定：</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 应以审慎态度避免泄漏、公开或传播甲方的信息；</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（2） 在开发过程中对数据的处理方式应事先得到甲方的许可；</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 未经甲方书面许可，不得对有关信息进行修改、补充、复制；</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（4） 未经甲方书面许可，不得将信息以任何方式（如E-mail）携带出甲方场所；</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 xml:space="preserve">（5） 未经甲方书面许可，不得将信息透露给任何其他人； </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（6） 严禁在提交的软件产品中设置远程维护接口和后门程序；</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（7） 不得进行系统软硬件设备的远程维护；</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 甲方以书面形式提出的其他保密措施。</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5.3 保密期限不受合同有效期的限制，在合同有效期结束后，信息接受方仍应承担保密义务，直至该等信息成为公开信息。</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5.4 甲乙双方如出现泄密行为，泄密方应承担相关的法律责任，包括但不限于对由此给对方造成的经济损失进行赔偿。</w:t>
      </w:r>
    </w:p>
    <w:p>
      <w:pPr>
        <w:widowControl w:val="0"/>
        <w:snapToGrid w:val="0"/>
        <w:spacing w:after="160" w:line="360" w:lineRule="auto"/>
        <w:ind w:firstLine="420" w:firstLineChars="200"/>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6.项目管理</w:t>
      </w:r>
    </w:p>
    <w:p>
      <w:pPr>
        <w:widowControl w:val="0"/>
        <w:adjustRightInd w:val="0"/>
        <w:snapToGrid w:val="0"/>
        <w:spacing w:after="160" w:line="360" w:lineRule="auto"/>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 xml:space="preserve">    6.1 乙方应按照甲方项目整编归档内容、整理标准质量、移交时间等档案管理要求，对项目相关文件进行收集、整理、归档并移交。</w:t>
      </w:r>
    </w:p>
    <w:p>
      <w:pPr>
        <w:widowControl w:val="0"/>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6.2 乙方应按甲方要求，配合做好政务信息系统安全检查、评测、审计、工程监理等监督管理工作及</w:t>
      </w:r>
      <w:r>
        <w:rPr>
          <w:rFonts w:ascii="宋体" w:hAnsi="宋体" w:eastAsia="宋体" w:cs="宋体"/>
          <w:color w:val="000000"/>
          <w:kern w:val="2"/>
          <w:highlight w:val="white"/>
          <w:lang w:val="en" w:eastAsia="zh-CN"/>
        </w:rPr>
        <w:t>系统间数据交互和衔接</w:t>
      </w:r>
      <w:r>
        <w:rPr>
          <w:rFonts w:hint="eastAsia" w:ascii="宋体" w:hAnsi="宋体" w:eastAsia="宋体" w:cs="宋体"/>
          <w:color w:val="000000"/>
          <w:kern w:val="2"/>
          <w:highlight w:val="white"/>
          <w:lang w:eastAsia="zh-CN"/>
        </w:rPr>
        <w:t>工作，如实、完整提供政务信息系统建设、运营、维护和政务数据安全管理相关情况，不得拒绝、隐匿、瞒报。</w:t>
      </w:r>
    </w:p>
    <w:p>
      <w:pPr>
        <w:widowControl w:val="0"/>
        <w:snapToGrid w:val="0"/>
        <w:spacing w:after="160" w:line="360" w:lineRule="auto"/>
        <w:ind w:firstLine="420" w:firstLineChars="200"/>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ascii="宋体" w:hAnsi="宋体" w:eastAsia="宋体" w:cs="宋体"/>
          <w:b/>
          <w:color w:val="000000"/>
          <w:kern w:val="2"/>
          <w:highlight w:val="white"/>
          <w:lang w:val="en" w:eastAsia="zh-CN"/>
        </w:rPr>
        <w:t>7</w:t>
      </w:r>
      <w:r>
        <w:rPr>
          <w:rFonts w:hint="eastAsia" w:ascii="宋体" w:hAnsi="宋体" w:eastAsia="宋体" w:cs="宋体"/>
          <w:b/>
          <w:color w:val="000000"/>
          <w:kern w:val="2"/>
          <w:highlight w:val="white"/>
          <w:lang w:eastAsia="zh-CN"/>
        </w:rPr>
        <w:t>. 履约验收</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ascii="宋体" w:hAnsi="宋体" w:eastAsia="宋体" w:cs="宋体"/>
          <w:color w:val="000000"/>
          <w:kern w:val="2"/>
          <w:highlight w:val="white"/>
          <w:lang w:val="en" w:eastAsia="zh-CN"/>
        </w:rPr>
        <w:t>7</w:t>
      </w:r>
      <w:r>
        <w:rPr>
          <w:rFonts w:hint="eastAsia" w:ascii="宋体" w:hAnsi="宋体" w:eastAsia="宋体" w:cs="宋体"/>
          <w:color w:val="000000"/>
          <w:kern w:val="2"/>
          <w:highlight w:val="white"/>
          <w:lang w:eastAsia="zh-CN"/>
        </w:rPr>
        <w:t xml:space="preserve">.1 </w:t>
      </w: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ascii="宋体" w:hAnsi="宋体" w:eastAsia="宋体" w:cs="宋体"/>
          <w:color w:val="000000"/>
          <w:kern w:val="2"/>
          <w:highlight w:val="white"/>
          <w:lang w:val="en" w:eastAsia="zh-CN"/>
        </w:rPr>
        <w:t>7</w:t>
      </w:r>
      <w:r>
        <w:rPr>
          <w:rFonts w:hint="eastAsia" w:ascii="宋体" w:hAnsi="宋体" w:eastAsia="宋体" w:cs="宋体"/>
          <w:color w:val="000000"/>
          <w:kern w:val="2"/>
          <w:highlight w:val="white"/>
          <w:lang w:eastAsia="zh-CN"/>
        </w:rPr>
        <w:t>.2 具体履约验收要求及验收方案详见招标（采购）文件。</w:t>
      </w:r>
    </w:p>
    <w:p>
      <w:pPr>
        <w:widowControl w:val="0"/>
        <w:spacing w:after="120" w:line="259" w:lineRule="auto"/>
        <w:jc w:val="both"/>
        <w:rPr>
          <w:rFonts w:eastAsia="宋体"/>
          <w:kern w:val="2"/>
          <w:sz w:val="21"/>
          <w:lang w:eastAsia="zh-CN"/>
        </w:rPr>
      </w:pPr>
    </w:p>
    <w:p>
      <w:pPr>
        <w:widowControl w:val="0"/>
        <w:numPr>
          <w:ilvl w:val="0"/>
          <w:numId w:val="6"/>
        </w:numPr>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履约保证金（本项目不涉及此条款）</w:t>
      </w:r>
    </w:p>
    <w:p>
      <w:pPr>
        <w:widowControl w:val="0"/>
        <w:topLinePunct/>
        <w:autoSpaceDE w:val="0"/>
        <w:autoSpaceDN w:val="0"/>
        <w:snapToGrid w:val="0"/>
        <w:spacing w:after="160" w:line="360" w:lineRule="auto"/>
        <w:ind w:firstLine="420" w:firstLineChars="200"/>
        <w:jc w:val="both"/>
        <w:outlineLvl w:val="2"/>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8.1 需提交履约保证金的项目，乙方应按照“合同条款前附表”第11项“履约保证金及返还”提交履约保证金。</w:t>
      </w:r>
    </w:p>
    <w:p>
      <w:pPr>
        <w:widowControl w:val="0"/>
        <w:tabs>
          <w:tab w:val="left" w:pos="700"/>
        </w:tabs>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8.2 履约保证金的金额可用于补偿甲方因乙方不能完成其合同义务而蒙受的损失。</w:t>
      </w:r>
    </w:p>
    <w:p>
      <w:pPr>
        <w:widowControl w:val="0"/>
        <w:tabs>
          <w:tab w:val="left" w:pos="700"/>
        </w:tabs>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pPr>
        <w:widowControl w:val="0"/>
        <w:tabs>
          <w:tab w:val="left" w:pos="700"/>
        </w:tabs>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8.4 乙方不履行合同</w:t>
      </w:r>
      <w:bookmarkStart w:id="0" w:name="_GoBack"/>
      <w:bookmarkEnd w:id="0"/>
      <w:r>
        <w:rPr>
          <w:rFonts w:hint="eastAsia" w:ascii="宋体" w:hAnsi="宋体" w:eastAsia="宋体" w:cs="宋体"/>
          <w:color w:val="000000"/>
          <w:kern w:val="2"/>
          <w:highlight w:val="white"/>
          <w:lang w:eastAsia="zh-CN"/>
        </w:rPr>
        <w:t>或者履行合同义务不符合约定使得合同目的不能实现，履约保证金不予退还，并应按合同约定支付违约金、赔偿金等。</w:t>
      </w:r>
    </w:p>
    <w:p>
      <w:pPr>
        <w:widowControl w:val="0"/>
        <w:tabs>
          <w:tab w:val="left" w:pos="700"/>
        </w:tabs>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8.5 履约保证金在合同履行期满后，扣除相应款项（如有）且双方无争议后，凭返还申请等资料一次性无息返还，详见“合同条款前附表”第11项“履约保证金及返还”。</w:t>
      </w:r>
    </w:p>
    <w:p>
      <w:pPr>
        <w:widowControl w:val="0"/>
        <w:topLinePunct/>
        <w:autoSpaceDE w:val="0"/>
        <w:autoSpaceDN w:val="0"/>
        <w:snapToGrid w:val="0"/>
        <w:spacing w:after="160" w:line="360" w:lineRule="auto"/>
        <w:jc w:val="both"/>
        <w:rPr>
          <w:rFonts w:hint="eastAsia" w:ascii="宋体" w:hAnsi="宋体" w:eastAsia="宋体" w:cs="宋体"/>
          <w:b/>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9．履约延误</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9.1 乙方应按照本合同的规定提供服务。</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一切必要合理的费用。</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9.4 除不可抗力和根据合同规定延期取得甲方同意而不收取误期违约金之外，乙方延误工期，将由甲方按合同规定收取误期违约金。</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10 违约责任</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10.1 乙方在合同履行中要按照本合同约定和甲方要求的数量和标准配备人员；如不能履约，甲方可要求乙方限期整改；逾期不整改或整改后仍不符合本合同约定和甲方要求的，甲方有权终止合同并不支付乙方当期任何费用。同时，甲方有权要求乙方支付当期费用的【20】%作为违约金，违约金不足以弥补甲方损失的，乙方应当予以补足。</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10.2 甲方对乙方的服务标准和管理目标进行监督和考核，考核采用百分制，其中:</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    90分(含)以上为优秀，支付当期合同价款；</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    90分以下至80分(含)为良，支付当期95%的合同价款；</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    80分以下为差，支付当期90%的合同价款，一年内中标人有2次为 80分以下的，采购人有权不支付中标人当期任何费用并终止合同。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10.3 乙方因半个月内两天以上(含两天)人员配置不到位或者擅离工作岗位按缺岗计算，采购人有权扣减当季【5】%的物业管理费；</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10.4 标的物业因乙方出现事故过错责任的，乙方除赔偿甲方或第三人损失外，甲方有权要求乙方按照下列标准支付违约金，其计算基数均为当月的物业管理费。一般事故过错的扣罚比例幅度为【5】%；较大事故过错的扣罚比例幅度为【15】%；重大事故过错的扣罚比例幅度为【25】%。</w:t>
      </w:r>
    </w:p>
    <w:p>
      <w:pPr>
        <w:widowControl/>
        <w:spacing w:after="160" w:line="360" w:lineRule="auto"/>
        <w:ind w:firstLine="420" w:firstLineChars="200"/>
        <w:jc w:val="left"/>
        <w:rPr>
          <w:rFonts w:ascii="Calibri" w:hAnsi="Calibri"/>
        </w:rPr>
      </w:pPr>
      <w:r>
        <w:rPr>
          <w:rFonts w:hint="eastAsia" w:ascii="宋体" w:hAnsi="宋体" w:eastAsia="宋体" w:cs="宋体"/>
          <w:bCs/>
          <w:color w:val="000000"/>
          <w:kern w:val="2"/>
          <w:highlight w:val="white"/>
          <w:lang w:eastAsia="zh-CN"/>
        </w:rPr>
        <w:t>事故过错责任。事故过错责任是指因乙方存在管理责任，导致标的物业发生事故造成财产损失或人身损害的。事故过错责任分三个等级:a、一般事故过错责任，指乙方存在管理责任，但没有发生人身损害，仅出现财产损失，且损失金额达人民币【2】万元的情形；b、较大事故过错责任，指乙方存在管理责任，出现人身伤害(低于10级伤残等级鉴定，即没有鉴定法定等级)或财产损失达人民币【5】万元的情形:c、重大事故过错责任，指乙方存在管理责任，出现人身伤害(伤残等级10级以上，含10级)或财产损失达人民币【10】万元的情形。</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10.5 未经甲方书面同意，乙方不得将本合同项下权利义务转让给任何第三方。否则，甲方有权终止合同并不支付乙方当期任何费用。同时，甲方有权要求乙方支付</w:t>
      </w:r>
      <w:r>
        <w:rPr>
          <w:rFonts w:hint="eastAsia" w:ascii="宋体" w:hAnsi="宋体" w:eastAsia="宋体"/>
          <w:color w:val="000000"/>
          <w:kern w:val="2"/>
          <w:highlight w:val="white"/>
          <w:lang w:eastAsia="zh-CN"/>
        </w:rPr>
        <w:t>甲方合同总金额</w:t>
      </w:r>
      <w:r>
        <w:rPr>
          <w:rFonts w:hint="eastAsia" w:ascii="宋体" w:hAnsi="宋体" w:eastAsia="宋体" w:cs="宋体"/>
          <w:bCs/>
          <w:color w:val="000000"/>
          <w:kern w:val="2"/>
          <w:highlight w:val="white"/>
          <w:lang w:eastAsia="zh-CN"/>
        </w:rPr>
        <w:t>【20】%的违约金，违约金不足以弥补甲方损失的，乙方应当予以补足。</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10.6 乙方人员在提供服务过程中有偷窃或故意破坏行为的，甲方有权终止合同并不支付乙方当期任何费用。同时，甲方有权要求乙方支付</w:t>
      </w:r>
      <w:r>
        <w:rPr>
          <w:rFonts w:hint="eastAsia" w:ascii="宋体" w:hAnsi="宋体" w:eastAsia="宋体"/>
          <w:color w:val="000000"/>
          <w:kern w:val="2"/>
          <w:highlight w:val="white"/>
          <w:lang w:eastAsia="zh-CN"/>
        </w:rPr>
        <w:t>合同总金额</w:t>
      </w:r>
      <w:r>
        <w:rPr>
          <w:rFonts w:hint="eastAsia" w:ascii="宋体" w:hAnsi="宋体" w:eastAsia="宋体" w:cs="宋体"/>
          <w:bCs/>
          <w:color w:val="000000"/>
          <w:kern w:val="2"/>
          <w:highlight w:val="white"/>
          <w:lang w:eastAsia="zh-CN"/>
        </w:rPr>
        <w:t>【20】%的违约金，违约金不足以弥补甲方损失的，乙方应当予以补足。</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10.7 乙方违反本合同的约定擅自提高收费标准的，甲方有权终止合同并不支付乙方当期任何费用。同时，甲方有权要求乙方支付</w:t>
      </w:r>
      <w:r>
        <w:rPr>
          <w:rFonts w:hint="eastAsia" w:ascii="宋体" w:hAnsi="宋体" w:eastAsia="宋体"/>
          <w:color w:val="000000"/>
          <w:kern w:val="2"/>
          <w:highlight w:val="white"/>
          <w:lang w:eastAsia="zh-CN"/>
        </w:rPr>
        <w:t>合同总金额</w:t>
      </w:r>
      <w:r>
        <w:rPr>
          <w:rFonts w:hint="eastAsia" w:ascii="宋体" w:hAnsi="宋体" w:eastAsia="宋体" w:cs="宋体"/>
          <w:bCs/>
          <w:color w:val="000000"/>
          <w:kern w:val="2"/>
          <w:highlight w:val="white"/>
          <w:lang w:eastAsia="zh-CN"/>
        </w:rPr>
        <w:t>【20】%的违约金，违约金不足以弥补甲方损失的，乙方应当予以补足。</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10.8 乙方在合同终止后，应当在甲方指定的期限内完成移交物业管理权，如不移交物业管理权，不撤出本物业和移交管理用房及有关档案资料等，每逾期一日应向甲方支付最后服务当月费用的【20】%作为违约金，且需要后续随时配合新物业单位工作。</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10.9 除本合同另有约定外，乙方不履行合同义务或者履行合同义务不符合合同约定的，按每违反一次从应付款项中扣除合同总金额的百分之一（1%）作为违约金；此外，应当承担继续履行、采取补救措施或者赔偿损失等违约责任。</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乙方支付的上述违约金、赔偿金等不足以弥补甲方损失的，应继续承担赔偿责任。本合同约定的损失，包括但不限于：直接损失、调查取证费、诉讼费、律师费等。</w:t>
      </w:r>
    </w:p>
    <w:p>
      <w:pPr>
        <w:widowControl w:val="0"/>
        <w:adjustRightInd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s="宋体"/>
          <w:bCs/>
          <w:color w:val="000000"/>
          <w:kern w:val="2"/>
          <w:highlight w:val="white"/>
          <w:lang w:eastAsia="zh-CN"/>
        </w:rPr>
        <w:t>10.10 乙方没有按照时限要求提供服务，且在甲方指定的延长期限内没有采取补救措施，甲方有权自行采取其他方式进行补救，乙方除按合同第9条</w:t>
      </w:r>
      <w:r>
        <w:rPr>
          <w:rFonts w:hint="eastAsia" w:ascii="宋体" w:hAnsi="宋体" w:eastAsia="宋体"/>
          <w:color w:val="000000"/>
          <w:kern w:val="2"/>
          <w:highlight w:val="white"/>
          <w:lang w:eastAsia="zh-CN"/>
        </w:rPr>
        <w:t>约定向甲方支付误期违约金外，另外甲方所发生的一切费用和甲方损失，甲方有权从应付的乙方的合同款项中扣除，不足扣除的乙方应另行支付。</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10</w:t>
      </w:r>
      <w:r>
        <w:rPr>
          <w:rFonts w:ascii="宋体" w:hAnsi="宋体" w:eastAsia="宋体"/>
          <w:color w:val="000000"/>
          <w:kern w:val="2"/>
          <w:highlight w:val="white"/>
          <w:lang w:eastAsia="zh-CN"/>
        </w:rPr>
        <w:t>.</w:t>
      </w:r>
      <w:r>
        <w:rPr>
          <w:rFonts w:hint="eastAsia" w:ascii="宋体" w:hAnsi="宋体" w:eastAsia="宋体"/>
          <w:color w:val="000000"/>
          <w:kern w:val="2"/>
          <w:highlight w:val="white"/>
          <w:lang w:eastAsia="zh-CN"/>
        </w:rPr>
        <w:t>11</w:t>
      </w:r>
      <w:r>
        <w:rPr>
          <w:rFonts w:ascii="宋体" w:hAnsi="宋体" w:eastAsia="宋体"/>
          <w:color w:val="000000"/>
          <w:kern w:val="2"/>
          <w:highlight w:val="white"/>
          <w:lang w:eastAsia="zh-CN"/>
        </w:rPr>
        <w:t xml:space="preserve"> </w:t>
      </w:r>
      <w:r>
        <w:rPr>
          <w:rFonts w:hint="eastAsia" w:ascii="宋体" w:hAnsi="宋体" w:eastAsia="宋体"/>
          <w:color w:val="000000"/>
          <w:kern w:val="2"/>
          <w:highlight w:val="white"/>
          <w:lang w:eastAsia="zh-CN"/>
        </w:rPr>
        <w:t>除应支付甲方违约金等外，甲方有权根据合同或有关部门出具的检验证书向乙方提出索赔。</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10.12</w:t>
      </w:r>
      <w:r>
        <w:rPr>
          <w:rFonts w:ascii="宋体" w:hAnsi="宋体" w:eastAsia="宋体"/>
          <w:color w:val="000000"/>
          <w:kern w:val="2"/>
          <w:highlight w:val="white"/>
          <w:lang w:eastAsia="zh-CN"/>
        </w:rPr>
        <w:t xml:space="preserve"> </w:t>
      </w:r>
      <w:r>
        <w:rPr>
          <w:rFonts w:hint="eastAsia" w:ascii="宋体" w:hAnsi="宋体" w:eastAsia="宋体"/>
          <w:color w:val="000000"/>
          <w:kern w:val="2"/>
          <w:highlight w:val="white"/>
          <w:lang w:eastAsia="zh-CN"/>
        </w:rPr>
        <w:t>如果乙方对差异负有责任而甲方提出索赔，乙方同意按照下列方式解决索赔事宜：</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如果在甲方发出索赔通知后</w:t>
      </w:r>
      <w:r>
        <w:rPr>
          <w:rFonts w:ascii="宋体" w:hAnsi="宋体" w:eastAsia="宋体"/>
          <w:color w:val="000000"/>
          <w:kern w:val="2"/>
          <w:highlight w:val="white"/>
          <w:lang w:eastAsia="zh-CN"/>
        </w:rPr>
        <w:t>5</w:t>
      </w:r>
      <w:r>
        <w:rPr>
          <w:rFonts w:hint="eastAsia" w:ascii="宋体" w:hAnsi="宋体" w:eastAsia="宋体"/>
          <w:color w:val="000000"/>
          <w:kern w:val="2"/>
          <w:highlight w:val="white"/>
          <w:lang w:eastAsia="zh-CN"/>
        </w:rPr>
        <w:t>个工作日内，乙方未作书面答复，上述索赔应视为已被乙方接受。如乙方未能在甲方发出索赔通知后</w:t>
      </w:r>
      <w:r>
        <w:rPr>
          <w:rFonts w:ascii="宋体" w:hAnsi="宋体" w:eastAsia="宋体"/>
          <w:color w:val="000000"/>
          <w:kern w:val="2"/>
          <w:highlight w:val="white"/>
          <w:lang w:eastAsia="zh-CN"/>
        </w:rPr>
        <w:t>5</w:t>
      </w:r>
      <w:r>
        <w:rPr>
          <w:rFonts w:hint="eastAsia" w:ascii="宋体" w:hAnsi="宋体" w:eastAsia="宋体"/>
          <w:color w:val="000000"/>
          <w:kern w:val="2"/>
          <w:highlight w:val="white"/>
          <w:lang w:eastAsia="zh-CN"/>
        </w:rPr>
        <w:t>个工作日内或甲方同意的延长期限内采取有效措施解决索赔事宜，甲方有权从应付乙方的合同款项中扣除索赔金额。</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s="宋体"/>
          <w:color w:val="000000"/>
          <w:kern w:val="2"/>
          <w:highlight w:val="white"/>
          <w:lang w:eastAsia="zh-CN"/>
        </w:rPr>
        <w:t>10.13 乙方</w:t>
      </w:r>
      <w:r>
        <w:rPr>
          <w:rFonts w:hint="eastAsia" w:ascii="宋体" w:hAnsi="宋体" w:eastAsia="宋体"/>
          <w:color w:val="000000"/>
          <w:kern w:val="2"/>
          <w:highlight w:val="white"/>
          <w:lang w:eastAsia="zh-CN"/>
        </w:rPr>
        <w:t>利用为税务机关提供信息化服务便利向纳税人缴费人搭车收费或变相收费的，以及存在国家税务总局发票电子化改革（金税四期）领导小组办公室认定的失信行为的，自认定之日起3年内，限制其参加税务系统各单位信息化项目政府采购活动。</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s="宋体"/>
          <w:color w:val="000000"/>
          <w:kern w:val="2"/>
          <w:highlight w:val="white"/>
          <w:lang w:eastAsia="zh-CN"/>
        </w:rPr>
        <w:t>10.14 乙方</w:t>
      </w:r>
      <w:r>
        <w:rPr>
          <w:rFonts w:hint="eastAsia" w:ascii="宋体" w:hAnsi="宋体" w:eastAsia="宋体"/>
          <w:color w:val="000000"/>
          <w:kern w:val="2"/>
          <w:highlight w:val="white"/>
          <w:lang w:eastAsia="zh-CN"/>
        </w:rPr>
        <w:t>违反网络安全管理规定并造成不良后果的，攻击或侵入税务信息系统（包括CA等）的，以及存在“围猎”税务人员</w:t>
      </w:r>
      <w:r>
        <w:rPr>
          <w:rFonts w:hint="eastAsia" w:ascii="宋体" w:hAnsi="宋体" w:eastAsia="宋体" w:cs="宋体"/>
          <w:color w:val="000000"/>
          <w:kern w:val="2"/>
          <w:highlight w:val="white"/>
          <w:lang w:eastAsia="zh-CN"/>
        </w:rPr>
        <w:t>（指以获取不正当利益为目的，采取馈赠礼品礼金、邀请娱乐旅游消费、提供便利条件等非正常交往手段“围猎”相关税务人员及亲属）</w:t>
      </w:r>
      <w:r>
        <w:rPr>
          <w:rFonts w:hint="eastAsia" w:ascii="宋体" w:hAnsi="宋体" w:eastAsia="宋体"/>
          <w:color w:val="000000"/>
          <w:kern w:val="2"/>
          <w:highlight w:val="white"/>
          <w:lang w:eastAsia="zh-CN"/>
        </w:rPr>
        <w:t>失信行为的，自认定之日起3年内，限制其参加税务系统各单位政府采购活动。</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s="宋体"/>
          <w:bCs/>
          <w:color w:val="000000"/>
          <w:kern w:val="2"/>
          <w:highlight w:val="white"/>
          <w:lang w:eastAsia="zh-CN"/>
        </w:rPr>
        <w:t xml:space="preserve">10.15 </w:t>
      </w:r>
      <w:r>
        <w:rPr>
          <w:rFonts w:hint="eastAsia" w:ascii="宋体" w:hAnsi="宋体" w:eastAsia="宋体"/>
          <w:color w:val="000000"/>
          <w:kern w:val="2"/>
          <w:highlight w:val="white"/>
          <w:lang w:eastAsia="zh-CN"/>
        </w:rPr>
        <w:t>信息化服务商违反合同约定内容且造成不良后果的，评审过程中被认定以明显低于成本的报价恶意竞标的，另行开发销售合同业务需求范围内软件供纳税人使用的，或者一年内发生2次及以上一般失信行为的，自认定之日起1年内，限制其参加税务系统各单位信息化项目政府采购活动。</w:t>
      </w:r>
    </w:p>
    <w:p>
      <w:pPr>
        <w:widowControl w:val="0"/>
        <w:tabs>
          <w:tab w:val="left" w:pos="0"/>
          <w:tab w:val="left" w:pos="540"/>
        </w:tabs>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 xml:space="preserve">10.16 </w:t>
      </w:r>
      <w:r>
        <w:rPr>
          <w:rFonts w:hint="eastAsia" w:ascii="宋体" w:hAnsi="宋体" w:eastAsia="宋体"/>
          <w:color w:val="000000"/>
          <w:kern w:val="2"/>
          <w:highlight w:val="white"/>
          <w:lang w:eastAsia="zh-CN"/>
        </w:rPr>
        <w:t>信息化服务商存在其他严重失信行为的，自认定之日起1—3年内，限制其参加税务系统各单位相关项目政府采购活动。</w:t>
      </w:r>
    </w:p>
    <w:p>
      <w:pPr>
        <w:widowControl w:val="0"/>
        <w:tabs>
          <w:tab w:val="left" w:pos="0"/>
          <w:tab w:val="left" w:pos="540"/>
        </w:tabs>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bCs/>
          <w:color w:val="000000"/>
          <w:kern w:val="2"/>
          <w:highlight w:val="white"/>
          <w:lang w:eastAsia="zh-CN"/>
        </w:rPr>
        <w:t xml:space="preserve">10.17 </w:t>
      </w:r>
      <w:r>
        <w:rPr>
          <w:rFonts w:hint="eastAsia" w:ascii="宋体" w:hAnsi="宋体" w:eastAsia="宋体" w:cs="宋体"/>
          <w:color w:val="000000"/>
          <w:kern w:val="2"/>
          <w:highlight w:val="white"/>
          <w:lang w:eastAsia="zh-CN"/>
        </w:rPr>
        <w:t>对于影响恶劣的严重违法失信行为，推送财政部纳入政府采购严重违法失信行为记录名单。</w:t>
      </w:r>
    </w:p>
    <w:p>
      <w:pPr>
        <w:widowControl w:val="0"/>
        <w:adjustRightInd w:val="0"/>
        <w:snapToGrid w:val="0"/>
        <w:spacing w:after="16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10.18 对于本协议未约定的、招标（采购）文件（技术部分）中约定的违约处理条款，按招标（采购）文件（技术部分）相关约定执行；对本协议与招标（采购）文件（技术部分）约定不同的违约处理条款，以本协议约定为准。</w:t>
      </w:r>
    </w:p>
    <w:p>
      <w:pPr>
        <w:widowControl w:val="0"/>
        <w:topLinePunct/>
        <w:autoSpaceDE w:val="0"/>
        <w:autoSpaceDN w:val="0"/>
        <w:snapToGrid w:val="0"/>
        <w:spacing w:after="160" w:line="360" w:lineRule="auto"/>
        <w:ind w:firstLine="422" w:firstLineChars="200"/>
        <w:jc w:val="both"/>
        <w:rPr>
          <w:rFonts w:hint="eastAsia" w:ascii="宋体" w:hAnsi="宋体" w:eastAsia="宋体" w:cs="宋体"/>
          <w:b/>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11. 不可抗力及其他</w:t>
      </w:r>
    </w:p>
    <w:p>
      <w:pPr>
        <w:widowControl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11</w:t>
      </w:r>
      <w:r>
        <w:rPr>
          <w:rFonts w:ascii="宋体" w:hAnsi="宋体" w:eastAsia="宋体"/>
          <w:color w:val="000000"/>
          <w:kern w:val="2"/>
          <w:highlight w:val="white"/>
          <w:lang w:eastAsia="zh-CN"/>
        </w:rPr>
        <w:t xml:space="preserve">.1 </w:t>
      </w:r>
      <w:r>
        <w:rPr>
          <w:rFonts w:hint="eastAsia" w:ascii="宋体" w:hAnsi="宋体" w:eastAsia="宋体"/>
          <w:color w:val="000000"/>
          <w:kern w:val="2"/>
          <w:highlight w:val="white"/>
          <w:lang w:eastAsia="zh-CN"/>
        </w:rPr>
        <w:t>如果乙方因不可抗力而导致合同实施延误或不能履行合同义务，不应承担误期赔偿或终止合同的责任。</w:t>
      </w:r>
    </w:p>
    <w:p>
      <w:pPr>
        <w:widowControl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11</w:t>
      </w:r>
      <w:r>
        <w:rPr>
          <w:rFonts w:ascii="宋体" w:hAnsi="宋体" w:eastAsia="宋体"/>
          <w:color w:val="000000"/>
          <w:kern w:val="2"/>
          <w:highlight w:val="white"/>
          <w:lang w:eastAsia="zh-CN"/>
        </w:rPr>
        <w:t>.2</w:t>
      </w:r>
      <w:r>
        <w:rPr>
          <w:rFonts w:hint="eastAsia" w:ascii="宋体" w:hAnsi="宋体" w:eastAsia="宋体"/>
          <w:color w:val="000000"/>
          <w:kern w:val="2"/>
          <w:highlight w:val="white"/>
          <w:lang w:eastAsia="zh-CN"/>
        </w:rPr>
        <w:t xml:space="preserve"> 本条所述的“不可抗力”系指双方不可预见、不可避免、不可克服的客观情况，但不包括双方的违约或疏忽。这些事件包括但不限于：战争、严重火灾、洪水、台风、地震、疫情等。</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olor w:val="000000"/>
          <w:kern w:val="2"/>
          <w:highlight w:val="white"/>
          <w:lang w:eastAsia="zh-CN"/>
        </w:rPr>
        <w:t>11</w:t>
      </w:r>
      <w:r>
        <w:rPr>
          <w:rFonts w:ascii="宋体" w:hAnsi="宋体" w:eastAsia="宋体"/>
          <w:color w:val="000000"/>
          <w:kern w:val="2"/>
          <w:highlight w:val="white"/>
          <w:lang w:eastAsia="zh-CN"/>
        </w:rPr>
        <w:t>.3</w:t>
      </w:r>
      <w:r>
        <w:rPr>
          <w:rFonts w:hint="eastAsia" w:ascii="宋体" w:hAnsi="宋体" w:eastAsia="宋体"/>
          <w:color w:val="000000"/>
          <w:kern w:val="2"/>
          <w:highlight w:val="white"/>
          <w:lang w:eastAsia="zh-CN"/>
        </w:rPr>
        <w:t xml:space="preserve"> 在不可抗力事件发生后，当事方应及时将不可抗力情况通知合同对方，在不可抗力事件结束后</w:t>
      </w:r>
      <w:r>
        <w:rPr>
          <w:rFonts w:ascii="宋体" w:hAnsi="宋体" w:eastAsia="宋体"/>
          <w:color w:val="000000"/>
          <w:kern w:val="2"/>
          <w:highlight w:val="white"/>
          <w:lang w:eastAsia="zh-CN"/>
        </w:rPr>
        <w:t>3</w:t>
      </w:r>
      <w:r>
        <w:rPr>
          <w:rFonts w:hint="eastAsia" w:ascii="宋体" w:hAnsi="宋体" w:eastAsia="宋体"/>
          <w:color w:val="000000"/>
          <w:kern w:val="2"/>
          <w:highlight w:val="white"/>
          <w:lang w:eastAsia="zh-CN"/>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widowControl w:val="0"/>
        <w:snapToGrid w:val="0"/>
        <w:spacing w:after="160" w:line="360" w:lineRule="auto"/>
        <w:ind w:firstLine="420" w:firstLineChars="200"/>
        <w:jc w:val="both"/>
        <w:rPr>
          <w:rFonts w:hint="eastAsia" w:ascii="宋体" w:hAnsi="宋体" w:eastAsia="宋体" w:cs="宋体"/>
          <w:b/>
          <w:kern w:val="2"/>
          <w:lang w:eastAsia="zh-CN"/>
        </w:rPr>
      </w:pPr>
      <w:r>
        <w:rPr>
          <w:rFonts w:hint="eastAsia" w:ascii="宋体" w:hAnsi="宋体" w:eastAsia="宋体" w:cs="宋体"/>
          <w:bCs/>
          <w:color w:val="000000"/>
          <w:kern w:val="2"/>
          <w:highlight w:val="white"/>
          <w:lang w:eastAsia="zh-CN"/>
        </w:rPr>
        <w:t>11.</w:t>
      </w:r>
      <w:r>
        <w:rPr>
          <w:rFonts w:ascii="宋体" w:hAnsi="宋体" w:eastAsia="宋体" w:cs="宋体"/>
          <w:bCs/>
          <w:color w:val="000000"/>
          <w:kern w:val="2"/>
          <w:highlight w:val="white"/>
          <w:lang w:eastAsia="zh-CN"/>
        </w:rPr>
        <w:t>4</w:t>
      </w:r>
      <w:r>
        <w:rPr>
          <w:rFonts w:hint="eastAsia" w:ascii="宋体" w:hAnsi="宋体" w:eastAsia="宋体" w:cs="宋体"/>
          <w:bCs/>
          <w:color w:val="000000"/>
          <w:kern w:val="2"/>
          <w:highlight w:val="white"/>
          <w:lang w:eastAsia="zh-CN"/>
        </w:rPr>
        <w:t xml:space="preserve"> 如因</w:t>
      </w:r>
      <w:r>
        <w:rPr>
          <w:rFonts w:hint="eastAsia" w:ascii="宋体" w:hAnsi="宋体" w:eastAsia="宋体" w:cs="宋体"/>
          <w:color w:val="000000"/>
          <w:kern w:val="2"/>
          <w:highlight w:val="white"/>
          <w:lang w:eastAsia="zh-CN"/>
        </w:rPr>
        <w:t>国家政策变化、技术实施所需的客观环境发生变化、重大技术变化、国家调减预算、</w:t>
      </w:r>
      <w:r>
        <w:rPr>
          <w:rFonts w:hint="eastAsia" w:ascii="宋体" w:hAnsi="宋体" w:eastAsia="宋体"/>
          <w:color w:val="000000"/>
          <w:kern w:val="2"/>
          <w:highlight w:val="white"/>
          <w:lang w:eastAsia="zh-CN"/>
        </w:rPr>
        <w:t>乙方在执行合同的过程中发生对履行合同有直接影响的重大事故或变故、</w:t>
      </w:r>
      <w:r>
        <w:rPr>
          <w:rFonts w:hint="eastAsia" w:ascii="宋体" w:hAnsi="宋体" w:eastAsia="宋体" w:cs="宋体"/>
          <w:color w:val="000000"/>
          <w:kern w:val="2"/>
          <w:highlight w:val="white"/>
          <w:lang w:eastAsia="zh-CN"/>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widowControl w:val="0"/>
        <w:snapToGrid w:val="0"/>
        <w:spacing w:after="160" w:line="360" w:lineRule="auto"/>
        <w:ind w:firstLine="422" w:firstLineChars="200"/>
        <w:jc w:val="both"/>
        <w:rPr>
          <w:rFonts w:hint="eastAsia" w:ascii="宋体" w:hAnsi="宋体" w:eastAsia="宋体" w:cs="宋体"/>
          <w:b/>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12. 争端的解决</w:t>
      </w:r>
    </w:p>
    <w:p>
      <w:pPr>
        <w:widowControl w:val="0"/>
        <w:snapToGrid w:val="0"/>
        <w:spacing w:after="160" w:line="360" w:lineRule="auto"/>
        <w:ind w:firstLine="420" w:firstLineChars="200"/>
        <w:jc w:val="both"/>
        <w:rPr>
          <w:rFonts w:hint="eastAsia" w:ascii="宋体" w:hAnsi="宋体" w:eastAsia="宋体" w:cs="宋体"/>
          <w:bCs/>
          <w:kern w:val="2"/>
          <w:lang w:eastAsia="zh-CN"/>
        </w:rPr>
      </w:pPr>
      <w:r>
        <w:rPr>
          <w:rFonts w:ascii="宋体" w:hAnsi="宋体" w:eastAsia="宋体" w:cs="宋体"/>
          <w:bCs/>
          <w:color w:val="000000"/>
          <w:kern w:val="2"/>
          <w:highlight w:val="white"/>
          <w:lang w:eastAsia="zh-CN"/>
        </w:rPr>
        <w:t>1</w:t>
      </w:r>
      <w:r>
        <w:rPr>
          <w:rFonts w:hint="eastAsia" w:ascii="宋体" w:hAnsi="宋体" w:eastAsia="宋体" w:cs="宋体"/>
          <w:bCs/>
          <w:color w:val="000000"/>
          <w:kern w:val="2"/>
          <w:highlight w:val="white"/>
          <w:lang w:eastAsia="zh-CN"/>
        </w:rPr>
        <w:t>2</w:t>
      </w:r>
      <w:r>
        <w:rPr>
          <w:rFonts w:ascii="宋体" w:hAnsi="宋体" w:eastAsia="宋体" w:cs="宋体"/>
          <w:bCs/>
          <w:color w:val="000000"/>
          <w:kern w:val="2"/>
          <w:highlight w:val="white"/>
          <w:lang w:eastAsia="zh-CN"/>
        </w:rPr>
        <w:t xml:space="preserve">.1 </w:t>
      </w:r>
      <w:r>
        <w:rPr>
          <w:rFonts w:hint="eastAsia" w:ascii="宋体" w:hAnsi="宋体" w:eastAsia="宋体" w:cs="宋体"/>
          <w:bCs/>
          <w:color w:val="000000"/>
          <w:kern w:val="2"/>
          <w:highlight w:val="white"/>
          <w:lang w:eastAsia="zh-CN"/>
        </w:rPr>
        <w:t>甲乙双方可通过友好协商，解决在执行本合同中所发生的或与本合同有关的一切争端。如从协商开始</w:t>
      </w:r>
      <w:r>
        <w:rPr>
          <w:rFonts w:ascii="宋体" w:hAnsi="宋体" w:eastAsia="宋体" w:cs="宋体"/>
          <w:bCs/>
          <w:color w:val="000000"/>
          <w:kern w:val="2"/>
          <w:highlight w:val="white"/>
          <w:lang w:eastAsia="zh-CN"/>
        </w:rPr>
        <w:t>30</w:t>
      </w:r>
      <w:r>
        <w:rPr>
          <w:rFonts w:hint="eastAsia" w:ascii="宋体" w:hAnsi="宋体" w:eastAsia="宋体" w:cs="宋体"/>
          <w:bCs/>
          <w:color w:val="000000"/>
          <w:kern w:val="2"/>
          <w:highlight w:val="white"/>
          <w:lang w:eastAsia="zh-CN"/>
        </w:rPr>
        <w:t>天内仍不能解决，则任意一方可提请诉讼。</w:t>
      </w:r>
    </w:p>
    <w:p>
      <w:pPr>
        <w:widowControl w:val="0"/>
        <w:snapToGrid w:val="0"/>
        <w:spacing w:after="160" w:line="360" w:lineRule="auto"/>
        <w:ind w:firstLine="420" w:firstLineChars="200"/>
        <w:jc w:val="both"/>
        <w:rPr>
          <w:rFonts w:hint="eastAsia" w:ascii="宋体" w:hAnsi="宋体" w:eastAsia="宋体" w:cs="宋体"/>
          <w:bCs/>
          <w:kern w:val="2"/>
          <w:lang w:eastAsia="zh-CN"/>
        </w:rPr>
      </w:pPr>
      <w:r>
        <w:rPr>
          <w:rFonts w:ascii="宋体" w:hAnsi="宋体" w:eastAsia="宋体" w:cs="宋体"/>
          <w:bCs/>
          <w:color w:val="000000"/>
          <w:kern w:val="2"/>
          <w:highlight w:val="white"/>
          <w:lang w:eastAsia="zh-CN"/>
        </w:rPr>
        <w:t>1</w:t>
      </w:r>
      <w:r>
        <w:rPr>
          <w:rFonts w:hint="eastAsia" w:ascii="宋体" w:hAnsi="宋体" w:eastAsia="宋体" w:cs="宋体"/>
          <w:bCs/>
          <w:color w:val="000000"/>
          <w:kern w:val="2"/>
          <w:highlight w:val="white"/>
          <w:lang w:eastAsia="zh-CN"/>
        </w:rPr>
        <w:t>2</w:t>
      </w:r>
      <w:r>
        <w:rPr>
          <w:rFonts w:ascii="宋体" w:hAnsi="宋体" w:eastAsia="宋体" w:cs="宋体"/>
          <w:bCs/>
          <w:color w:val="000000"/>
          <w:kern w:val="2"/>
          <w:highlight w:val="white"/>
          <w:lang w:eastAsia="zh-CN"/>
        </w:rPr>
        <w:t>.2</w:t>
      </w:r>
      <w:r>
        <w:rPr>
          <w:rFonts w:hint="eastAsia" w:ascii="宋体" w:hAnsi="宋体" w:eastAsia="宋体" w:cs="宋体"/>
          <w:bCs/>
          <w:color w:val="000000"/>
          <w:kern w:val="2"/>
          <w:highlight w:val="white"/>
          <w:lang w:eastAsia="zh-CN"/>
        </w:rPr>
        <w:t xml:space="preserve"> 诉讼应由合同任意一方向甲方住所地有管辖权的人民法院提起。</w:t>
      </w:r>
    </w:p>
    <w:p>
      <w:pPr>
        <w:widowControl w:val="0"/>
        <w:snapToGrid w:val="0"/>
        <w:spacing w:after="160" w:line="360" w:lineRule="auto"/>
        <w:ind w:firstLine="420" w:firstLineChars="200"/>
        <w:jc w:val="both"/>
        <w:rPr>
          <w:rFonts w:hint="eastAsia" w:ascii="宋体" w:hAnsi="宋体" w:eastAsia="宋体" w:cs="宋体"/>
          <w:bCs/>
          <w:kern w:val="2"/>
          <w:lang w:eastAsia="zh-CN"/>
        </w:rPr>
      </w:pPr>
      <w:r>
        <w:rPr>
          <w:rFonts w:ascii="宋体" w:hAnsi="宋体" w:eastAsia="宋体" w:cs="宋体"/>
          <w:bCs/>
          <w:color w:val="000000"/>
          <w:kern w:val="2"/>
          <w:highlight w:val="white"/>
          <w:lang w:eastAsia="zh-CN"/>
        </w:rPr>
        <w:t>1</w:t>
      </w:r>
      <w:r>
        <w:rPr>
          <w:rFonts w:hint="eastAsia" w:ascii="宋体" w:hAnsi="宋体" w:eastAsia="宋体" w:cs="宋体"/>
          <w:bCs/>
          <w:color w:val="000000"/>
          <w:kern w:val="2"/>
          <w:highlight w:val="white"/>
          <w:lang w:eastAsia="zh-CN"/>
        </w:rPr>
        <w:t>2</w:t>
      </w:r>
      <w:r>
        <w:rPr>
          <w:rFonts w:ascii="宋体" w:hAnsi="宋体" w:eastAsia="宋体" w:cs="宋体"/>
          <w:bCs/>
          <w:color w:val="000000"/>
          <w:kern w:val="2"/>
          <w:highlight w:val="white"/>
          <w:lang w:eastAsia="zh-CN"/>
        </w:rPr>
        <w:t xml:space="preserve">.3 </w:t>
      </w:r>
      <w:r>
        <w:rPr>
          <w:rFonts w:hint="eastAsia" w:ascii="宋体" w:hAnsi="宋体" w:eastAsia="宋体" w:cs="宋体"/>
          <w:bCs/>
          <w:color w:val="000000"/>
          <w:kern w:val="2"/>
          <w:highlight w:val="white"/>
          <w:lang w:eastAsia="zh-CN"/>
        </w:rPr>
        <w:t>法院判决应为最终裁决，对双方均具有约束力。</w:t>
      </w:r>
    </w:p>
    <w:p>
      <w:pPr>
        <w:widowControl w:val="0"/>
        <w:snapToGrid w:val="0"/>
        <w:spacing w:after="160" w:line="360" w:lineRule="auto"/>
        <w:ind w:firstLine="420" w:firstLineChars="200"/>
        <w:jc w:val="both"/>
        <w:rPr>
          <w:rFonts w:hint="eastAsia" w:ascii="宋体" w:hAnsi="宋体" w:eastAsia="宋体" w:cs="宋体"/>
          <w:bCs/>
          <w:kern w:val="2"/>
          <w:lang w:eastAsia="zh-CN"/>
        </w:rPr>
      </w:pPr>
      <w:r>
        <w:rPr>
          <w:rFonts w:ascii="宋体" w:hAnsi="宋体" w:eastAsia="宋体" w:cs="宋体"/>
          <w:bCs/>
          <w:color w:val="000000"/>
          <w:kern w:val="2"/>
          <w:highlight w:val="white"/>
          <w:lang w:eastAsia="zh-CN"/>
        </w:rPr>
        <w:t>1</w:t>
      </w:r>
      <w:r>
        <w:rPr>
          <w:rFonts w:hint="eastAsia" w:ascii="宋体" w:hAnsi="宋体" w:eastAsia="宋体" w:cs="宋体"/>
          <w:bCs/>
          <w:color w:val="000000"/>
          <w:kern w:val="2"/>
          <w:highlight w:val="white"/>
          <w:lang w:eastAsia="zh-CN"/>
        </w:rPr>
        <w:t>2</w:t>
      </w:r>
      <w:r>
        <w:rPr>
          <w:rFonts w:ascii="宋体" w:hAnsi="宋体" w:eastAsia="宋体" w:cs="宋体"/>
          <w:bCs/>
          <w:color w:val="000000"/>
          <w:kern w:val="2"/>
          <w:highlight w:val="white"/>
          <w:lang w:eastAsia="zh-CN"/>
        </w:rPr>
        <w:t xml:space="preserve">.4 </w:t>
      </w:r>
      <w:r>
        <w:rPr>
          <w:rFonts w:hint="eastAsia" w:ascii="宋体" w:hAnsi="宋体" w:eastAsia="宋体" w:cs="宋体"/>
          <w:bCs/>
          <w:color w:val="000000"/>
          <w:kern w:val="2"/>
          <w:highlight w:val="white"/>
          <w:lang w:eastAsia="zh-CN"/>
        </w:rPr>
        <w:t>诉讼费除司法机关另有裁决外应由败诉方负担。</w:t>
      </w:r>
    </w:p>
    <w:p>
      <w:pPr>
        <w:widowControl w:val="0"/>
        <w:snapToGrid w:val="0"/>
        <w:spacing w:after="160" w:line="360" w:lineRule="auto"/>
        <w:ind w:firstLine="420" w:firstLineChars="200"/>
        <w:jc w:val="both"/>
        <w:rPr>
          <w:rFonts w:hint="eastAsia" w:ascii="宋体" w:hAnsi="宋体" w:eastAsia="宋体" w:cs="宋体"/>
          <w:bCs/>
          <w:kern w:val="2"/>
          <w:lang w:eastAsia="zh-CN"/>
        </w:rPr>
      </w:pPr>
      <w:r>
        <w:rPr>
          <w:rFonts w:ascii="宋体" w:hAnsi="宋体" w:eastAsia="宋体" w:cs="宋体"/>
          <w:bCs/>
          <w:color w:val="000000"/>
          <w:kern w:val="2"/>
          <w:highlight w:val="white"/>
          <w:lang w:eastAsia="zh-CN"/>
        </w:rPr>
        <w:t>1</w:t>
      </w:r>
      <w:r>
        <w:rPr>
          <w:rFonts w:hint="eastAsia" w:ascii="宋体" w:hAnsi="宋体" w:eastAsia="宋体" w:cs="宋体"/>
          <w:bCs/>
          <w:color w:val="000000"/>
          <w:kern w:val="2"/>
          <w:highlight w:val="white"/>
          <w:lang w:eastAsia="zh-CN"/>
        </w:rPr>
        <w:t>2</w:t>
      </w:r>
      <w:r>
        <w:rPr>
          <w:rFonts w:ascii="宋体" w:hAnsi="宋体" w:eastAsia="宋体" w:cs="宋体"/>
          <w:bCs/>
          <w:color w:val="000000"/>
          <w:kern w:val="2"/>
          <w:highlight w:val="white"/>
          <w:lang w:eastAsia="zh-CN"/>
        </w:rPr>
        <w:t xml:space="preserve">.5 </w:t>
      </w:r>
      <w:r>
        <w:rPr>
          <w:rFonts w:hint="eastAsia" w:ascii="宋体" w:hAnsi="宋体" w:eastAsia="宋体" w:cs="宋体"/>
          <w:bCs/>
          <w:color w:val="000000"/>
          <w:kern w:val="2"/>
          <w:highlight w:val="white"/>
          <w:lang w:eastAsia="zh-CN"/>
        </w:rPr>
        <w:t>在争议解决期间，除正在进行诉讼部分外，本合同的其它部分应继续执行。</w:t>
      </w:r>
    </w:p>
    <w:p>
      <w:pPr>
        <w:widowControl w:val="0"/>
        <w:snapToGrid w:val="0"/>
        <w:spacing w:after="160" w:line="360" w:lineRule="auto"/>
        <w:ind w:firstLine="422" w:firstLineChars="200"/>
        <w:jc w:val="both"/>
        <w:rPr>
          <w:rFonts w:hint="eastAsia" w:ascii="宋体" w:hAnsi="宋体" w:eastAsia="宋体" w:cs="宋体"/>
          <w:b/>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13. 违约解除合同</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 xml:space="preserve">.1 </w:t>
      </w:r>
      <w:r>
        <w:rPr>
          <w:rFonts w:hint="eastAsia" w:ascii="宋体" w:hAnsi="宋体" w:eastAsia="宋体"/>
          <w:color w:val="000000"/>
          <w:kern w:val="2"/>
          <w:highlight w:val="white"/>
          <w:lang w:eastAsia="zh-CN"/>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13.1.1 乙方不履行合同义务或者履行合同义务不符合合同约定，累计达2次的；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2 如果乙方未能在合同规定的期限或甲方同意延长的期限内提供货物或服务，迟延累计达20日的；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 因乙方人员自身技术能力、经验不足等问题造成甲方发生重大紧急故障，带来重大影响和损失的；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4 乙方对重大紧急故障没有及时响应，或不能在规定时间内解决处理故障、恢复正常运行的；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5 不能满足本项目技术需求的管理要求和规范，且经2次整改无明显改进的；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13.1.6 在合同服务期内，同一个问题在应用系统在升级完善、运行维护支持服务过程中，出现5次经甲乙双方确认的用户投诉的；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13.1.8 乙方在本项目实施过程中发生违反保密安全、网络安全、物业服务基本要求所规定行为造成不良后果的；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13.1.9 乙方拒不修复或更换有缺陷的、损坏的货物、提高服务质量的；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13.1.10 乙方提供的</w:t>
      </w:r>
      <w:r>
        <w:rPr>
          <w:rFonts w:ascii="宋体" w:hAnsi="宋体" w:eastAsia="宋体" w:cs="宋体"/>
          <w:color w:val="000000"/>
          <w:kern w:val="2"/>
          <w:highlight w:val="white"/>
          <w:lang w:eastAsia="zh-CN"/>
        </w:rPr>
        <w:t>服务</w:t>
      </w:r>
      <w:r>
        <w:rPr>
          <w:rFonts w:hint="eastAsia" w:ascii="宋体" w:hAnsi="宋体" w:eastAsia="宋体" w:cs="宋体"/>
          <w:color w:val="000000"/>
          <w:kern w:val="2"/>
          <w:highlight w:val="white"/>
          <w:lang w:eastAsia="zh-CN"/>
        </w:rPr>
        <w:t>侵犯甲方、第三方知识产权等合法权益的；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13.1.11 乙方</w:t>
      </w:r>
      <w:r>
        <w:rPr>
          <w:rFonts w:ascii="宋体" w:hAnsi="宋体" w:eastAsia="宋体" w:cs="宋体"/>
          <w:color w:val="000000"/>
          <w:kern w:val="2"/>
          <w:highlight w:val="white"/>
          <w:lang w:eastAsia="zh-CN"/>
        </w:rPr>
        <w:t>或乙方人员</w:t>
      </w:r>
      <w:r>
        <w:rPr>
          <w:rFonts w:hint="eastAsia" w:ascii="宋体" w:hAnsi="宋体" w:eastAsia="宋体" w:cs="宋体"/>
          <w:color w:val="000000"/>
          <w:kern w:val="2"/>
          <w:highlight w:val="white"/>
          <w:lang w:eastAsia="zh-CN"/>
        </w:rPr>
        <w:t>造成甲方或第三方人身损害或财产经济损失而拒不赔偿的；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13.1.12 乙方转让其应履行的合同义务，或未经甲方同意采取分包方式履行合同的；</w:t>
      </w:r>
    </w:p>
    <w:p>
      <w:pPr>
        <w:widowControl w:val="0"/>
        <w:topLinePunct/>
        <w:autoSpaceDE w:val="0"/>
        <w:autoSpaceDN w:val="0"/>
        <w:adjustRightInd w:val="0"/>
        <w:snapToGrid w:val="0"/>
        <w:spacing w:after="160" w:line="360" w:lineRule="auto"/>
        <w:ind w:firstLine="420" w:firstLineChars="200"/>
        <w:jc w:val="both"/>
        <w:rPr>
          <w:rFonts w:ascii="Calibri" w:hAnsi="Calibri" w:eastAsia="宋体"/>
          <w:kern w:val="2"/>
          <w:sz w:val="21"/>
          <w:lang w:eastAsia="zh-CN"/>
        </w:rPr>
      </w:pPr>
      <w:r>
        <w:rPr>
          <w:rFonts w:hint="eastAsia" w:ascii="宋体" w:hAnsi="宋体" w:eastAsia="宋体" w:cs="宋体"/>
          <w:color w:val="000000"/>
          <w:kern w:val="2"/>
          <w:highlight w:val="white"/>
          <w:lang w:eastAsia="zh-CN"/>
        </w:rPr>
        <w:t>13.1.13 乙方在本合同履行过程中存在“围猎”</w:t>
      </w:r>
      <w:r>
        <w:rPr>
          <w:rFonts w:ascii="宋体" w:hAnsi="宋体" w:eastAsia="宋体" w:cs="宋体"/>
          <w:color w:val="000000"/>
          <w:kern w:val="2"/>
          <w:highlight w:val="white"/>
          <w:lang w:eastAsia="zh-CN"/>
        </w:rPr>
        <w:t>甲方</w:t>
      </w:r>
      <w:r>
        <w:rPr>
          <w:rFonts w:hint="eastAsia" w:ascii="宋体" w:hAnsi="宋体" w:eastAsia="宋体" w:cs="宋体"/>
          <w:color w:val="000000"/>
          <w:kern w:val="2"/>
          <w:highlight w:val="white"/>
          <w:lang w:eastAsia="zh-CN"/>
        </w:rPr>
        <w:t>税务人员行为的。</w:t>
      </w:r>
    </w:p>
    <w:p>
      <w:pPr>
        <w:widowControl w:val="0"/>
        <w:topLinePunct/>
        <w:autoSpaceDE w:val="0"/>
        <w:autoSpaceDN w:val="0"/>
        <w:adjustRightInd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13.1.14 乙方有其他严重违约行为的。</w:t>
      </w:r>
    </w:p>
    <w:p>
      <w:pPr>
        <w:widowControl w:val="0"/>
        <w:adjustRightInd w:val="0"/>
        <w:snapToGrid w:val="0"/>
        <w:spacing w:after="160" w:line="360" w:lineRule="auto"/>
        <w:ind w:firstLine="441" w:firstLineChars="21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 xml:space="preserve">.2 </w:t>
      </w:r>
      <w:r>
        <w:rPr>
          <w:rFonts w:hint="eastAsia" w:ascii="宋体" w:hAnsi="宋体" w:eastAsia="宋体"/>
          <w:color w:val="000000"/>
          <w:kern w:val="2"/>
          <w:highlight w:val="white"/>
          <w:lang w:eastAsia="zh-CN"/>
        </w:rPr>
        <w:t>如果甲方根据上述第</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条的规定，解除了全部或部分合同，甲方可以适当的条件和方法购买乙方未能提供的货物及服务，乙方应对甲方购买类似货物及服务所超出的费用负责。同时，乙方应继续执行合同中未解除的部分。</w:t>
      </w:r>
    </w:p>
    <w:p>
      <w:pPr>
        <w:widowControl w:val="0"/>
        <w:snapToGrid w:val="0"/>
        <w:spacing w:after="160" w:line="360" w:lineRule="auto"/>
        <w:ind w:firstLine="540"/>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14. 破产终止合同</w:t>
      </w:r>
    </w:p>
    <w:p>
      <w:pPr>
        <w:widowControl w:val="0"/>
        <w:snapToGrid w:val="0"/>
        <w:spacing w:after="16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4</w:t>
      </w:r>
      <w:r>
        <w:rPr>
          <w:rFonts w:ascii="宋体" w:hAnsi="宋体" w:eastAsia="宋体"/>
          <w:color w:val="000000"/>
          <w:kern w:val="2"/>
          <w:highlight w:val="white"/>
          <w:lang w:eastAsia="zh-CN"/>
        </w:rPr>
        <w:t xml:space="preserve">.1 </w:t>
      </w:r>
      <w:r>
        <w:rPr>
          <w:rFonts w:hint="eastAsia" w:ascii="宋体" w:hAnsi="宋体" w:eastAsia="宋体"/>
          <w:color w:val="000000"/>
          <w:kern w:val="2"/>
          <w:highlight w:val="white"/>
          <w:lang w:eastAsia="zh-CN"/>
        </w:rPr>
        <w:t>如果乙方破产或无清偿能力，甲方可在任何时候以书面形式通知乙方终止合同而不给乙方补偿。</w:t>
      </w:r>
    </w:p>
    <w:p>
      <w:pPr>
        <w:widowControl w:val="0"/>
        <w:snapToGrid w:val="0"/>
        <w:spacing w:after="16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14.2 该终止合同将不损害或影响甲方已经采取或将要采取的任何行动或补救措施的权利。</w:t>
      </w:r>
    </w:p>
    <w:p>
      <w:pPr>
        <w:widowControl w:val="0"/>
        <w:topLinePunct/>
        <w:autoSpaceDE w:val="0"/>
        <w:autoSpaceDN w:val="0"/>
        <w:snapToGrid w:val="0"/>
        <w:spacing w:after="160" w:line="360" w:lineRule="auto"/>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15. 合同修改或变更</w:t>
      </w:r>
    </w:p>
    <w:p>
      <w:pPr>
        <w:widowControl w:val="0"/>
        <w:snapToGrid w:val="0"/>
        <w:spacing w:after="160" w:line="360" w:lineRule="auto"/>
        <w:ind w:firstLine="482"/>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15.1 合同如有未尽事宜，须经甲乙双方共同协商，做出补充约定，并签订书面补充合同或变更协议。补充合同或变更协议作为本合同的一部分，与本合同具有同等效力。</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b/>
          <w:kern w:val="2"/>
          <w:lang w:eastAsia="zh-CN"/>
        </w:rPr>
      </w:pPr>
      <w:r>
        <w:rPr>
          <w:rFonts w:hint="eastAsia" w:ascii="宋体" w:hAnsi="宋体" w:eastAsia="宋体" w:cs="宋体"/>
          <w:color w:val="000000"/>
          <w:kern w:val="2"/>
          <w:highlight w:val="white"/>
          <w:lang w:eastAsia="zh-CN"/>
        </w:rPr>
        <w:t>15.2 除了双方签署书面修改或变更协议，并成为本合同不可分割的一部分的情况之外，本合同的条款不得有任何变化或修改。</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15.3 由于甲方项目统一规划等原因导致本项目停止部分服务的，甲方将与乙方协商处理。</w:t>
      </w:r>
    </w:p>
    <w:p>
      <w:pPr>
        <w:widowControl w:val="0"/>
        <w:snapToGrid w:val="0"/>
        <w:spacing w:after="160" w:line="360" w:lineRule="auto"/>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16. 转让和分包</w:t>
      </w:r>
    </w:p>
    <w:p>
      <w:pPr>
        <w:widowControl w:val="0"/>
        <w:snapToGrid w:val="0"/>
        <w:spacing w:after="16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6</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 xml:space="preserve"> 乙方不得部分转让或全部转让其应履行的合同义务。</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olor w:val="000000"/>
          <w:kern w:val="2"/>
          <w:highlight w:val="white"/>
          <w:lang w:eastAsia="zh-CN"/>
        </w:rPr>
        <w:t xml:space="preserve">16.2 </w:t>
      </w:r>
      <w:r>
        <w:rPr>
          <w:rFonts w:hint="eastAsia" w:ascii="宋体" w:hAnsi="宋体" w:eastAsia="宋体" w:cs="宋体"/>
          <w:color w:val="000000"/>
          <w:kern w:val="2"/>
          <w:highlight w:val="white"/>
          <w:lang w:eastAsia="zh-CN"/>
        </w:rPr>
        <w:t>未经甲方同意，乙方不得采取分包方式履行合同。经甲方同意分包履行合同的，乙方就采购项目及分包项目向甲方负责，分包供应商就分包项目承担责任。</w:t>
      </w:r>
    </w:p>
    <w:p>
      <w:pPr>
        <w:widowControl w:val="0"/>
        <w:snapToGrid w:val="0"/>
        <w:spacing w:after="160" w:line="360" w:lineRule="auto"/>
        <w:ind w:firstLine="480"/>
        <w:jc w:val="both"/>
        <w:rPr>
          <w:rFonts w:hint="eastAsia" w:ascii="宋体" w:hAnsi="宋体" w:eastAsia="宋体" w:cs="宋体"/>
          <w:kern w:val="2"/>
          <w:lang w:val="en" w:eastAsia="zh-CN"/>
        </w:rPr>
      </w:pPr>
      <w:r>
        <w:rPr>
          <w:rFonts w:ascii="宋体" w:hAnsi="宋体" w:eastAsia="宋体" w:cs="宋体"/>
          <w:color w:val="000000"/>
          <w:kern w:val="2"/>
          <w:highlight w:val="white"/>
          <w:lang w:val="en" w:eastAsia="zh-CN"/>
        </w:rPr>
        <w:t>1</w:t>
      </w:r>
      <w:r>
        <w:rPr>
          <w:rFonts w:hint="eastAsia" w:ascii="宋体" w:hAnsi="宋体" w:eastAsia="宋体" w:cs="宋体"/>
          <w:color w:val="000000"/>
          <w:kern w:val="2"/>
          <w:highlight w:val="white"/>
          <w:lang w:eastAsia="zh-CN"/>
        </w:rPr>
        <w:t>6</w:t>
      </w:r>
      <w:r>
        <w:rPr>
          <w:rFonts w:ascii="宋体" w:hAnsi="宋体" w:eastAsia="宋体" w:cs="宋体"/>
          <w:color w:val="000000"/>
          <w:kern w:val="2"/>
          <w:highlight w:val="white"/>
          <w:lang w:val="en" w:eastAsia="zh-CN"/>
        </w:rPr>
        <w:t xml:space="preserve">.3 </w:t>
      </w:r>
      <w:r>
        <w:rPr>
          <w:rFonts w:hint="eastAsia" w:ascii="宋体" w:hAnsi="宋体" w:eastAsia="宋体" w:cs="宋体"/>
          <w:color w:val="000000"/>
          <w:kern w:val="2"/>
          <w:highlight w:val="white"/>
          <w:lang w:val="en" w:eastAsia="zh-CN"/>
        </w:rPr>
        <w:t>乙方不得对政务信息系统建设、运营、维护项目的主体和关键部分采取分包方式履行合同。</w:t>
      </w:r>
    </w:p>
    <w:p>
      <w:pPr>
        <w:widowControl w:val="0"/>
        <w:snapToGrid w:val="0"/>
        <w:spacing w:after="160" w:line="360" w:lineRule="auto"/>
        <w:ind w:firstLine="480"/>
        <w:jc w:val="both"/>
        <w:rPr>
          <w:rFonts w:hint="eastAsia" w:ascii="宋体" w:hAnsi="宋体" w:eastAsia="宋体" w:cs="宋体"/>
          <w:kern w:val="2"/>
          <w:lang w:val="en"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17. 合同语言</w:t>
      </w:r>
    </w:p>
    <w:p>
      <w:pPr>
        <w:widowControl w:val="0"/>
        <w:snapToGrid w:val="0"/>
        <w:spacing w:after="160" w:line="360" w:lineRule="auto"/>
        <w:ind w:firstLine="480"/>
        <w:jc w:val="both"/>
        <w:rPr>
          <w:rFonts w:hint="eastAsia" w:ascii="宋体" w:hAnsi="宋体" w:eastAsia="宋体" w:cs="宋体"/>
          <w:kern w:val="2"/>
          <w:lang w:val="en" w:eastAsia="zh-CN"/>
        </w:rPr>
      </w:pPr>
      <w:r>
        <w:rPr>
          <w:rFonts w:ascii="宋体" w:hAnsi="宋体" w:eastAsia="宋体" w:cs="宋体"/>
          <w:color w:val="000000"/>
          <w:kern w:val="2"/>
          <w:highlight w:val="white"/>
          <w:lang w:val="en" w:eastAsia="zh-CN"/>
        </w:rPr>
        <w:t>1</w:t>
      </w:r>
      <w:r>
        <w:rPr>
          <w:rFonts w:hint="eastAsia" w:ascii="宋体" w:hAnsi="宋体" w:eastAsia="宋体" w:cs="宋体"/>
          <w:color w:val="000000"/>
          <w:kern w:val="2"/>
          <w:highlight w:val="white"/>
          <w:lang w:eastAsia="zh-CN"/>
        </w:rPr>
        <w:t>7</w:t>
      </w:r>
      <w:r>
        <w:rPr>
          <w:rFonts w:ascii="宋体" w:hAnsi="宋体" w:eastAsia="宋体" w:cs="宋体"/>
          <w:color w:val="000000"/>
          <w:kern w:val="2"/>
          <w:highlight w:val="white"/>
          <w:lang w:val="en" w:eastAsia="zh-CN"/>
        </w:rPr>
        <w:t xml:space="preserve">.1 </w:t>
      </w:r>
      <w:r>
        <w:rPr>
          <w:rFonts w:hint="eastAsia" w:ascii="宋体" w:hAnsi="宋体" w:eastAsia="宋体" w:cs="宋体"/>
          <w:color w:val="000000"/>
          <w:kern w:val="2"/>
          <w:highlight w:val="white"/>
          <w:lang w:val="en" w:eastAsia="zh-CN"/>
        </w:rPr>
        <w:t>本合同语言为中文。</w:t>
      </w:r>
    </w:p>
    <w:p>
      <w:pPr>
        <w:widowControl w:val="0"/>
        <w:snapToGrid w:val="0"/>
        <w:spacing w:after="160" w:line="360" w:lineRule="auto"/>
        <w:ind w:firstLine="480"/>
        <w:jc w:val="both"/>
        <w:rPr>
          <w:rFonts w:hint="eastAsia" w:ascii="宋体" w:hAnsi="宋体" w:eastAsia="宋体" w:cs="宋体"/>
          <w:kern w:val="2"/>
          <w:lang w:val="en" w:eastAsia="zh-CN"/>
        </w:rPr>
      </w:pPr>
      <w:r>
        <w:rPr>
          <w:rFonts w:ascii="宋体" w:hAnsi="宋体" w:eastAsia="宋体" w:cs="宋体"/>
          <w:color w:val="000000"/>
          <w:kern w:val="2"/>
          <w:highlight w:val="white"/>
          <w:lang w:val="en" w:eastAsia="zh-CN"/>
        </w:rPr>
        <w:t>1</w:t>
      </w:r>
      <w:r>
        <w:rPr>
          <w:rFonts w:hint="eastAsia" w:ascii="宋体" w:hAnsi="宋体" w:eastAsia="宋体" w:cs="宋体"/>
          <w:color w:val="000000"/>
          <w:kern w:val="2"/>
          <w:highlight w:val="white"/>
          <w:lang w:eastAsia="zh-CN"/>
        </w:rPr>
        <w:t>7</w:t>
      </w:r>
      <w:r>
        <w:rPr>
          <w:rFonts w:ascii="宋体" w:hAnsi="宋体" w:eastAsia="宋体" w:cs="宋体"/>
          <w:color w:val="000000"/>
          <w:kern w:val="2"/>
          <w:highlight w:val="white"/>
          <w:lang w:val="en" w:eastAsia="zh-CN"/>
        </w:rPr>
        <w:t xml:space="preserve">.2 </w:t>
      </w:r>
      <w:r>
        <w:rPr>
          <w:rFonts w:hint="eastAsia" w:ascii="宋体" w:hAnsi="宋体" w:eastAsia="宋体" w:cs="宋体"/>
          <w:color w:val="000000"/>
          <w:kern w:val="2"/>
          <w:highlight w:val="white"/>
          <w:lang w:val="en" w:eastAsia="zh-CN"/>
        </w:rPr>
        <w:t>双方交换的与合同有关的信件和其他文件应用合同语言书写。</w:t>
      </w:r>
    </w:p>
    <w:p>
      <w:pPr>
        <w:widowControl w:val="0"/>
        <w:snapToGrid w:val="0"/>
        <w:spacing w:after="160" w:line="360" w:lineRule="auto"/>
        <w:ind w:firstLine="420" w:firstLineChars="200"/>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18. 适用法律</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18.1 本合同按照中华人民共和国现行法律进行解释。</w:t>
      </w:r>
    </w:p>
    <w:p>
      <w:pPr>
        <w:widowControl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18.2 本合同的履行、违约责任和解决争议的方法等适用《中华人民共和国民法典（合同编）》。</w:t>
      </w:r>
    </w:p>
    <w:p>
      <w:pPr>
        <w:widowControl w:val="0"/>
        <w:snapToGrid w:val="0"/>
        <w:spacing w:after="160" w:line="360" w:lineRule="auto"/>
        <w:ind w:firstLine="482"/>
        <w:jc w:val="both"/>
        <w:rPr>
          <w:rFonts w:hint="eastAsia" w:ascii="宋体" w:hAnsi="宋体" w:eastAsia="宋体" w:cs="宋体"/>
          <w:kern w:val="2"/>
          <w:lang w:eastAsia="zh-CN"/>
        </w:rPr>
      </w:pPr>
    </w:p>
    <w:p>
      <w:pPr>
        <w:widowControl w:val="0"/>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19. 税费</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19.1 乙方应依法缴纳的合同货物及服务相关税费，均已包含于合同总金额中，甲方不再另行支付。</w:t>
      </w:r>
    </w:p>
    <w:p>
      <w:pPr>
        <w:widowControl w:val="0"/>
        <w:tabs>
          <w:tab w:val="left" w:pos="700"/>
        </w:tabs>
        <w:snapToGrid w:val="0"/>
        <w:spacing w:after="160" w:line="360" w:lineRule="auto"/>
        <w:jc w:val="both"/>
        <w:rPr>
          <w:rFonts w:hint="eastAsia" w:ascii="宋体" w:hAnsi="宋体" w:eastAsia="宋体" w:cs="宋体"/>
          <w:b/>
          <w:kern w:val="2"/>
          <w:lang w:eastAsia="zh-CN"/>
        </w:rPr>
      </w:pPr>
    </w:p>
    <w:p>
      <w:pPr>
        <w:widowControl w:val="0"/>
        <w:numPr>
          <w:ilvl w:val="0"/>
          <w:numId w:val="7"/>
        </w:numPr>
        <w:topLinePunct/>
        <w:autoSpaceDE w:val="0"/>
        <w:autoSpaceDN w:val="0"/>
        <w:snapToGrid w:val="0"/>
        <w:spacing w:after="160" w:line="360" w:lineRule="auto"/>
        <w:ind w:left="482"/>
        <w:jc w:val="both"/>
        <w:outlineLvl w:val="2"/>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合同生效</w:t>
      </w:r>
    </w:p>
    <w:p>
      <w:pPr>
        <w:widowControl w:val="0"/>
        <w:topLinePunct/>
        <w:autoSpaceDE w:val="0"/>
        <w:autoSpaceDN w:val="0"/>
        <w:snapToGrid w:val="0"/>
        <w:spacing w:after="16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20.1本合同经甲乙双方法定代表人或其授权代表签字加盖公章（或加盖合同章）后生效。</w:t>
      </w:r>
    </w:p>
    <w:p>
      <w:pPr>
        <w:widowControl w:val="0"/>
        <w:topLinePunct/>
        <w:autoSpaceDE w:val="0"/>
        <w:autoSpaceDN w:val="0"/>
        <w:adjustRightInd w:val="0"/>
        <w:snapToGrid w:val="0"/>
        <w:spacing w:after="160" w:line="360" w:lineRule="auto"/>
        <w:ind w:firstLine="422" w:firstLineChars="200"/>
        <w:jc w:val="left"/>
        <w:rPr>
          <w:rFonts w:hint="eastAsia" w:ascii="宋体" w:hAnsi="宋体" w:eastAsia="宋体" w:cs="宋体"/>
          <w:b/>
          <w:kern w:val="2"/>
          <w:sz w:val="21"/>
          <w:lang w:eastAsia="zh-CN"/>
        </w:rPr>
      </w:pPr>
      <w:r>
        <w:rPr>
          <w:rFonts w:hint="eastAsia" w:ascii="宋体" w:hAnsi="宋体" w:eastAsia="宋体" w:cs="宋体"/>
          <w:b/>
          <w:color w:val="000000"/>
          <w:kern w:val="2"/>
          <w:highlight w:val="white"/>
          <w:lang w:eastAsia="zh-CN"/>
        </w:rPr>
        <w:t>21. 通知送达</w:t>
      </w:r>
    </w:p>
    <w:p>
      <w:pPr>
        <w:widowControl w:val="0"/>
        <w:snapToGrid w:val="0"/>
        <w:spacing w:after="160" w:line="360" w:lineRule="auto"/>
        <w:ind w:firstLine="420" w:firstLineChars="200"/>
        <w:jc w:val="left"/>
        <w:rPr>
          <w:rFonts w:hint="eastAsia" w:ascii="宋体" w:hAnsi="宋体" w:eastAsia="宋体" w:cs="宋体"/>
          <w:kern w:val="2"/>
          <w:sz w:val="21"/>
          <w:lang w:eastAsia="zh-CN"/>
        </w:rPr>
      </w:pPr>
      <w:r>
        <w:rPr>
          <w:rFonts w:hint="eastAsia" w:ascii="宋体" w:hAnsi="宋体" w:eastAsia="宋体" w:cs="宋体"/>
          <w:color w:val="000000"/>
          <w:kern w:val="2"/>
          <w:highlight w:val="white"/>
          <w:lang w:eastAsia="zh-CN"/>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widowControl w:val="0"/>
        <w:snapToGrid w:val="0"/>
        <w:spacing w:after="160" w:line="360" w:lineRule="auto"/>
        <w:ind w:firstLine="420" w:firstLineChars="200"/>
        <w:jc w:val="left"/>
        <w:rPr>
          <w:rFonts w:hint="eastAsia" w:ascii="宋体" w:hAnsi="宋体" w:eastAsia="宋体" w:cs="宋体"/>
          <w:kern w:val="2"/>
          <w:sz w:val="21"/>
          <w:lang w:eastAsia="zh-CN"/>
        </w:rPr>
      </w:pPr>
      <w:r>
        <w:rPr>
          <w:rFonts w:hint="eastAsia" w:ascii="宋体" w:hAnsi="宋体" w:eastAsia="宋体" w:cs="宋体"/>
          <w:color w:val="000000"/>
          <w:kern w:val="2"/>
          <w:highlight w:val="white"/>
          <w:lang w:eastAsia="zh-CN"/>
        </w:rPr>
        <w:t>21.2任何一方变更地址、联系人、联系电话或电子邮箱的，应当及时向另一方通知变更事项，未及时通知的，另一方按原信息送达的通知视为有效送达。</w:t>
      </w:r>
    </w:p>
    <w:p>
      <w:pPr>
        <w:widowControl w:val="0"/>
        <w:snapToGrid w:val="0"/>
        <w:spacing w:after="160" w:line="360" w:lineRule="auto"/>
        <w:ind w:firstLine="420" w:firstLineChars="200"/>
        <w:jc w:val="left"/>
        <w:rPr>
          <w:rFonts w:hint="eastAsia" w:ascii="宋体" w:hAnsi="宋体" w:eastAsia="宋体" w:cs="宋体"/>
          <w:kern w:val="2"/>
          <w:sz w:val="21"/>
          <w:lang w:eastAsia="zh-CN"/>
        </w:rPr>
      </w:pPr>
      <w:r>
        <w:rPr>
          <w:rFonts w:hint="eastAsia" w:ascii="宋体" w:hAnsi="宋体" w:eastAsia="宋体" w:cs="宋体"/>
          <w:color w:val="000000"/>
          <w:kern w:val="2"/>
          <w:highlight w:val="white"/>
          <w:lang w:eastAsia="zh-CN"/>
        </w:rPr>
        <w:t>21.3通知与送达信息如下：</w:t>
      </w:r>
    </w:p>
    <w:p>
      <w:pPr>
        <w:widowControl w:val="0"/>
        <w:snapToGrid w:val="0"/>
        <w:spacing w:after="160" w:line="360" w:lineRule="auto"/>
        <w:ind w:firstLine="420" w:firstLineChars="200"/>
        <w:jc w:val="left"/>
        <w:rPr>
          <w:rFonts w:hint="eastAsia" w:ascii="宋体" w:hAnsi="宋体" w:eastAsia="宋体" w:cs="宋体"/>
          <w:kern w:val="2"/>
          <w:sz w:val="21"/>
          <w:lang w:eastAsia="zh-CN"/>
        </w:rPr>
      </w:pPr>
      <w:r>
        <w:rPr>
          <w:rFonts w:hint="eastAsia" w:ascii="宋体" w:hAnsi="宋体" w:eastAsia="宋体" w:cs="宋体"/>
          <w:color w:val="000000"/>
          <w:kern w:val="2"/>
          <w:highlight w:val="white"/>
          <w:lang w:eastAsia="zh-CN"/>
        </w:rPr>
        <w:t>甲方的收件地址为：                。</w:t>
      </w:r>
    </w:p>
    <w:p>
      <w:pPr>
        <w:widowControl w:val="0"/>
        <w:snapToGrid w:val="0"/>
        <w:spacing w:after="160" w:line="360" w:lineRule="auto"/>
        <w:ind w:firstLine="420" w:firstLineChars="200"/>
        <w:jc w:val="left"/>
        <w:rPr>
          <w:rFonts w:hint="eastAsia" w:ascii="宋体" w:hAnsi="宋体" w:eastAsia="宋体" w:cs="宋体"/>
          <w:kern w:val="2"/>
          <w:sz w:val="21"/>
          <w:lang w:eastAsia="zh-CN"/>
        </w:rPr>
      </w:pPr>
      <w:r>
        <w:rPr>
          <w:rFonts w:hint="eastAsia" w:ascii="宋体" w:hAnsi="宋体" w:eastAsia="宋体" w:cs="宋体"/>
          <w:color w:val="000000"/>
          <w:kern w:val="2"/>
          <w:highlight w:val="white"/>
          <w:lang w:eastAsia="zh-CN"/>
        </w:rPr>
        <w:t>联系人：      ；联系电话：  ；电子邮箱：              。</w:t>
      </w:r>
    </w:p>
    <w:p>
      <w:pPr>
        <w:widowControl w:val="0"/>
        <w:snapToGrid w:val="0"/>
        <w:spacing w:after="160" w:line="360" w:lineRule="auto"/>
        <w:ind w:firstLine="420" w:firstLineChars="200"/>
        <w:jc w:val="left"/>
        <w:rPr>
          <w:rFonts w:hint="eastAsia" w:ascii="宋体" w:hAnsi="宋体" w:eastAsia="宋体" w:cs="宋体"/>
          <w:kern w:val="2"/>
          <w:sz w:val="21"/>
          <w:lang w:eastAsia="zh-CN"/>
        </w:rPr>
      </w:pPr>
      <w:r>
        <w:rPr>
          <w:rFonts w:hint="eastAsia" w:ascii="宋体" w:hAnsi="宋体" w:eastAsia="宋体" w:cs="宋体"/>
          <w:bCs/>
          <w:color w:val="000000"/>
          <w:kern w:val="2"/>
          <w:highlight w:val="white"/>
          <w:lang w:eastAsia="zh-CN"/>
        </w:rPr>
        <w:t>乙方</w:t>
      </w:r>
      <w:r>
        <w:rPr>
          <w:rFonts w:hint="eastAsia" w:ascii="宋体" w:hAnsi="宋体" w:eastAsia="宋体" w:cs="宋体"/>
          <w:color w:val="000000"/>
          <w:kern w:val="2"/>
          <w:highlight w:val="white"/>
          <w:lang w:eastAsia="zh-CN"/>
        </w:rPr>
        <w:t>的收件地址为：                。</w:t>
      </w:r>
    </w:p>
    <w:p>
      <w:pPr>
        <w:widowControl w:val="0"/>
        <w:snapToGrid w:val="0"/>
        <w:spacing w:after="160" w:line="360" w:lineRule="auto"/>
        <w:ind w:firstLine="420" w:firstLineChars="200"/>
        <w:jc w:val="left"/>
        <w:rPr>
          <w:rFonts w:hint="eastAsia" w:ascii="宋体" w:hAnsi="宋体" w:eastAsia="宋体" w:cs="宋体"/>
          <w:kern w:val="2"/>
          <w:sz w:val="21"/>
          <w:lang w:eastAsia="zh-CN"/>
        </w:rPr>
      </w:pPr>
      <w:r>
        <w:rPr>
          <w:rFonts w:hint="eastAsia" w:ascii="宋体" w:hAnsi="宋体" w:eastAsia="宋体" w:cs="宋体"/>
          <w:color w:val="000000"/>
          <w:kern w:val="2"/>
          <w:highlight w:val="white"/>
          <w:lang w:eastAsia="zh-CN"/>
        </w:rPr>
        <w:t>联系人：      ；联系电话：  ；电子邮箱：              。</w:t>
      </w:r>
    </w:p>
    <w:p>
      <w:pPr>
        <w:widowControl w:val="0"/>
        <w:adjustRightInd w:val="0"/>
        <w:spacing w:after="160" w:line="360" w:lineRule="atLeast"/>
        <w:jc w:val="center"/>
        <w:textAlignment w:val="baseline"/>
        <w:rPr>
          <w:rFonts w:hint="eastAsia" w:ascii="宋体" w:hAnsi="宋体" w:eastAsia="宋体" w:cs="宋体"/>
          <w:b/>
          <w:sz w:val="96"/>
          <w:szCs w:val="96"/>
          <w:lang w:eastAsia="zh-CN"/>
        </w:rPr>
      </w:pPr>
    </w:p>
    <w:p>
      <w:pPr>
        <w:rPr>
          <w:rStyle w:val="37"/>
          <w:rFonts w:hint="eastAsia"/>
          <w:highlight w:val="none"/>
          <w:lang w:val="en-US" w:eastAsia="zh-CN"/>
        </w:rPr>
      </w:pPr>
      <w:r>
        <w:rPr>
          <w:rStyle w:val="37"/>
          <w:rFonts w:hint="eastAsia"/>
          <w:color w:val="000000"/>
          <w:highlight w:val="white"/>
          <w:lang w:val="en-US" w:eastAsia="zh-CN"/>
        </w:rPr>
        <w:br w:type="page"/>
      </w:r>
    </w:p>
    <w:p>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hint="eastAsia" w:ascii="Times New Roman" w:hAnsi="Times New Roman" w:eastAsia="宋体" w:cs="Times New Roman"/>
          <w:b/>
          <w:bCs/>
          <w:color w:val="auto"/>
          <w:kern w:val="44"/>
          <w:sz w:val="36"/>
          <w:szCs w:val="36"/>
          <w:highlight w:val="none"/>
          <w:lang w:val="en-US" w:eastAsia="zh-CN" w:bidi="ar-SA"/>
        </w:rPr>
      </w:pPr>
      <w:r>
        <w:rPr>
          <w:rStyle w:val="37"/>
          <w:rFonts w:hint="eastAsia"/>
          <w:color w:val="000000"/>
          <w:highlight w:val="white"/>
          <w:lang w:val="en-US" w:eastAsia="zh-CN"/>
        </w:rPr>
        <w:t>第五章　投标文件格式</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投标人必须按下列文本格式，如实提供具有法律效力的资格证明文件</w:t>
      </w:r>
      <w:r>
        <w:rPr>
          <w:rFonts w:hint="eastAsia" w:ascii="宋体" w:hAnsi="宋体" w:cs="宋体"/>
          <w:strike w:val="0"/>
          <w:dstrike w:val="0"/>
          <w:color w:val="000000"/>
          <w:sz w:val="24"/>
          <w:highlight w:val="white"/>
          <w:lang w:eastAsia="zh-CN"/>
        </w:rPr>
        <w:t>和真实有效的其他文件资料</w:t>
      </w:r>
      <w:r>
        <w:rPr>
          <w:rFonts w:hint="eastAsia" w:ascii="宋体" w:hAnsi="宋体" w:cs="宋体"/>
          <w:color w:val="000000"/>
          <w:sz w:val="24"/>
          <w:highlight w:val="white"/>
        </w:rPr>
        <w:t>，任何不按下列文本格式提供或有实质性变更将由投标人承担风险。</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1.投标人应严格按照本章规定填写和提交全部格式文件以及其他有关资料，混乱的编排导致</w:t>
      </w:r>
      <w:r>
        <w:rPr>
          <w:rFonts w:hint="eastAsia" w:ascii="宋体" w:hAnsi="宋体" w:cs="宋体"/>
          <w:color w:val="000000"/>
          <w:sz w:val="24"/>
          <w:highlight w:val="white"/>
          <w:lang w:eastAsia="zh-CN"/>
        </w:rPr>
        <w:t>投标</w:t>
      </w:r>
      <w:r>
        <w:rPr>
          <w:rFonts w:hint="eastAsia" w:ascii="宋体" w:hAnsi="宋体" w:cs="宋体"/>
          <w:color w:val="000000"/>
          <w:sz w:val="24"/>
          <w:highlight w:val="white"/>
        </w:rPr>
        <w:t>文件被误读</w:t>
      </w:r>
      <w:r>
        <w:rPr>
          <w:rFonts w:hint="eastAsia" w:ascii="宋体" w:hAnsi="宋体" w:cs="宋体"/>
          <w:strike w:val="0"/>
          <w:dstrike w:val="0"/>
          <w:color w:val="000000"/>
          <w:sz w:val="24"/>
          <w:highlight w:val="white"/>
        </w:rPr>
        <w:t>或查找不到</w:t>
      </w:r>
      <w:r>
        <w:rPr>
          <w:rFonts w:hint="eastAsia" w:ascii="宋体" w:hAnsi="宋体" w:cs="宋体"/>
          <w:color w:val="000000"/>
          <w:sz w:val="24"/>
          <w:highlight w:val="white"/>
        </w:rPr>
        <w:t>，后果由投标人承担。</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2.所附表格中要求回答的全部问题和信息都必须正面回答。</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3.资格声明文件的签字人应保证全部声明和问题的回答是真实的和准确的。</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4.评标委员会将应用投标人提交的资料并根据自己的判断，决定投标人履行合同的合格性及能力。</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5.全部文件应按投标人须知中规定的语言提交。</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6.以下格式文件为要求填写内容的固定格式，投标人不得擅自修改格式，其他未提供格式的文件和资料由</w:t>
      </w:r>
      <w:r>
        <w:rPr>
          <w:rFonts w:hint="eastAsia" w:ascii="宋体" w:hAnsi="宋体" w:cs="宋体"/>
          <w:color w:val="000000"/>
          <w:sz w:val="24"/>
          <w:highlight w:val="white"/>
          <w:lang w:eastAsia="zh-CN"/>
        </w:rPr>
        <w:t>投标人</w:t>
      </w:r>
      <w:r>
        <w:rPr>
          <w:rFonts w:hint="eastAsia" w:ascii="宋体" w:hAnsi="宋体" w:cs="宋体"/>
          <w:color w:val="000000"/>
          <w:sz w:val="24"/>
          <w:highlight w:val="white"/>
        </w:rPr>
        <w:t>自行设计编制格式填写。</w:t>
      </w:r>
    </w:p>
    <w:p>
      <w:pPr>
        <w:adjustRightInd w:val="0"/>
        <w:snapToGrid w:val="0"/>
        <w:spacing w:before="62" w:beforeLines="20" w:after="4" w:line="360" w:lineRule="auto"/>
        <w:ind w:firstLine="422" w:firstLineChars="200"/>
        <w:jc w:val="center"/>
        <w:rPr>
          <w:b/>
          <w:bCs/>
          <w:color w:val="auto"/>
          <w:highlight w:val="none"/>
        </w:rPr>
      </w:pPr>
    </w:p>
    <w:p>
      <w:pPr>
        <w:ind w:firstLine="422" w:firstLineChars="200"/>
        <w:jc w:val="center"/>
        <w:rPr>
          <w:b/>
          <w:bCs/>
          <w:color w:val="auto"/>
          <w:highlight w:val="none"/>
        </w:rPr>
      </w:pPr>
    </w:p>
    <w:p>
      <w:pPr>
        <w:ind w:firstLine="422" w:firstLineChars="200"/>
        <w:jc w:val="center"/>
        <w:rPr>
          <w:b/>
          <w:bCs/>
          <w:color w:val="auto"/>
          <w:highlight w:val="none"/>
        </w:rPr>
      </w:pPr>
    </w:p>
    <w:p>
      <w:pPr>
        <w:rPr>
          <w:b/>
          <w:bCs/>
          <w:color w:val="auto"/>
          <w:highlight w:val="none"/>
        </w:rPr>
      </w:pPr>
    </w:p>
    <w:p>
      <w:pPr>
        <w:adjustRightInd w:val="0"/>
        <w:snapToGrid w:val="0"/>
        <w:spacing w:after="0" w:line="360" w:lineRule="auto"/>
        <w:jc w:val="both"/>
        <w:rPr>
          <w:rFonts w:hint="eastAsia"/>
          <w:b/>
          <w:bCs/>
          <w:color w:val="auto"/>
          <w:highlight w:val="none"/>
        </w:rPr>
      </w:pPr>
      <w:r>
        <w:rPr>
          <w:rFonts w:hint="eastAsia"/>
          <w:b/>
          <w:bCs/>
          <w:color w:val="000000"/>
          <w:highlight w:val="whit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000000"/>
          <w:sz w:val="36"/>
          <w:szCs w:val="36"/>
          <w:highlight w:val="white"/>
        </w:rPr>
        <w:t>投标文件商务部分文件格式</w:t>
      </w:r>
    </w:p>
    <w:p>
      <w:pPr>
        <w:widowControl/>
        <w:autoSpaceDE w:val="0"/>
        <w:jc w:val="center"/>
        <w:rPr>
          <w:rFonts w:ascii="宋体" w:hAnsi="宋体"/>
          <w:b/>
          <w:bCs/>
          <w:sz w:val="36"/>
          <w:szCs w:val="36"/>
        </w:rPr>
      </w:pPr>
      <w:r>
        <w:rPr>
          <w:rFonts w:hint="eastAsia" w:ascii="宋体" w:hAnsi="宋体"/>
          <w:b/>
          <w:bCs/>
          <w:color w:val="000000"/>
          <w:sz w:val="36"/>
          <w:szCs w:val="36"/>
          <w:highlight w:val="white"/>
        </w:rPr>
        <w:t>格式1 中小企业声明函（货物）</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采购活动，提供的货物全部由符合政策要求的中小企业制造。相关企业（含联合体中的中小企业、签订分包意向协议的中小企业）的具体情况如下：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1. </w:t>
      </w:r>
      <w:r>
        <w:rPr>
          <w:rFonts w:hint="eastAsia" w:hAnsi="宋体"/>
          <w:i/>
          <w:iCs/>
          <w:color w:val="000000"/>
          <w:sz w:val="24"/>
          <w:szCs w:val="24"/>
          <w:highlight w:val="white"/>
          <w:u w:val="single"/>
        </w:rPr>
        <w:t xml:space="preserve">（标的名称）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2. </w:t>
      </w:r>
      <w:r>
        <w:rPr>
          <w:rFonts w:hint="eastAsia" w:hAnsi="宋体"/>
          <w:i/>
          <w:iCs/>
          <w:color w:val="000000"/>
          <w:sz w:val="24"/>
          <w:szCs w:val="24"/>
          <w:highlight w:val="white"/>
          <w:u w:val="single"/>
        </w:rPr>
        <w:t>（标的名称）</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w:t>
      </w:r>
    </w:p>
    <w:p>
      <w:pPr>
        <w:widowControl/>
        <w:autoSpaceDE w:val="0"/>
        <w:spacing w:after="0" w:line="360" w:lineRule="auto"/>
        <w:ind w:firstLine="480" w:firstLineChars="200"/>
        <w:jc w:val="left"/>
        <w:rPr>
          <w:rFonts w:ascii="宋体" w:hAnsi="宋体"/>
        </w:rPr>
      </w:pPr>
      <w:r>
        <w:rPr>
          <w:rFonts w:hint="eastAsia" w:ascii="宋体" w:hAnsi="宋体"/>
          <w:color w:val="000000"/>
          <w:kern w:val="0"/>
          <w:sz w:val="24"/>
          <w:highlight w:val="white"/>
        </w:rPr>
        <w:t>以上企业，不属于大企业的分支机构，不存在控股股东为大企业的情形，也不存在与大企业的负责人为同一人的情形。</w:t>
      </w:r>
    </w:p>
    <w:p>
      <w:pPr>
        <w:widowControl/>
        <w:autoSpaceDE w:val="0"/>
        <w:spacing w:after="0" w:line="360" w:lineRule="auto"/>
        <w:ind w:firstLine="480" w:firstLineChars="200"/>
        <w:jc w:val="left"/>
        <w:rPr>
          <w:rFonts w:ascii="宋体" w:hAnsi="宋体"/>
        </w:rPr>
      </w:pPr>
      <w:r>
        <w:rPr>
          <w:rFonts w:hint="eastAsia" w:ascii="宋体" w:hAnsi="宋体"/>
          <w:color w:val="000000"/>
          <w:kern w:val="0"/>
          <w:sz w:val="24"/>
          <w:highlight w:val="white"/>
        </w:rPr>
        <w:t xml:space="preserve">本企业对上述声明内容的真实性负责。如有虚假，将依法承担相应责任。 </w:t>
      </w:r>
    </w:p>
    <w:p>
      <w:pPr>
        <w:widowControl/>
        <w:autoSpaceDE w:val="0"/>
        <w:spacing w:after="0" w:line="360" w:lineRule="auto"/>
        <w:ind w:firstLine="1920" w:firstLineChars="800"/>
        <w:jc w:val="left"/>
        <w:rPr>
          <w:rFonts w:ascii="宋体" w:hAnsi="宋体"/>
          <w:kern w:val="0"/>
        </w:rPr>
      </w:pPr>
      <w:r>
        <w:rPr>
          <w:rFonts w:hint="eastAsia" w:ascii="宋体" w:hAnsi="宋体"/>
          <w:color w:val="000000"/>
          <w:kern w:val="0"/>
          <w:sz w:val="24"/>
          <w:highlight w:val="white"/>
        </w:rPr>
        <w:t xml:space="preserve"> </w:t>
      </w:r>
    </w:p>
    <w:p>
      <w:pPr>
        <w:widowControl/>
        <w:autoSpaceDE w:val="0"/>
        <w:spacing w:after="0" w:line="360" w:lineRule="auto"/>
        <w:ind w:firstLine="4560" w:firstLineChars="1900"/>
        <w:jc w:val="left"/>
        <w:rPr>
          <w:rFonts w:ascii="宋体" w:hAnsi="宋体"/>
        </w:rPr>
      </w:pPr>
      <w:r>
        <w:rPr>
          <w:rFonts w:hint="eastAsia" w:ascii="宋体" w:hAnsi="宋体"/>
          <w:color w:val="000000"/>
          <w:kern w:val="0"/>
          <w:sz w:val="24"/>
          <w:highlight w:val="white"/>
        </w:rPr>
        <w:t xml:space="preserve">企业名称（电子签章）： </w:t>
      </w:r>
    </w:p>
    <w:p>
      <w:pPr>
        <w:widowControl/>
        <w:autoSpaceDE w:val="0"/>
        <w:spacing w:after="0" w:line="360" w:lineRule="auto"/>
        <w:ind w:firstLine="4560" w:firstLineChars="1900"/>
        <w:jc w:val="left"/>
        <w:rPr>
          <w:rFonts w:ascii="宋体" w:hAnsi="宋体"/>
          <w:kern w:val="0"/>
        </w:rPr>
      </w:pPr>
      <w:r>
        <w:rPr>
          <w:rFonts w:hint="eastAsia" w:ascii="宋体" w:hAnsi="宋体"/>
          <w:color w:val="000000"/>
          <w:kern w:val="0"/>
          <w:sz w:val="24"/>
          <w:highlight w:val="white"/>
        </w:rPr>
        <w:t>日 期：</w:t>
      </w:r>
    </w:p>
    <w:p>
      <w:pPr>
        <w:widowControl/>
        <w:autoSpaceDE w:val="0"/>
        <w:ind w:firstLine="3120" w:firstLineChars="1300"/>
        <w:rPr>
          <w:rFonts w:ascii="宋体" w:hAnsi="宋体"/>
        </w:rPr>
      </w:pPr>
      <w:r>
        <w:rPr>
          <w:rFonts w:hint="eastAsia" w:ascii="宋体" w:hAnsi="宋体"/>
          <w:color w:val="000000"/>
          <w:kern w:val="0"/>
          <w:sz w:val="24"/>
          <w:highlight w:val="white"/>
        </w:rPr>
        <w:t xml:space="preserve"> </w:t>
      </w:r>
    </w:p>
    <w:p>
      <w:pPr>
        <w:widowControl/>
        <w:autoSpaceDE w:val="0"/>
        <w:rPr>
          <w:szCs w:val="21"/>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pPr>
        <w:widowControl/>
        <w:autoSpaceDE w:val="0"/>
        <w:jc w:val="left"/>
      </w:pPr>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pPr>
        <w:widowControl/>
        <w:autoSpaceDE w:val="0"/>
        <w:ind w:firstLine="540" w:firstLineChars="300"/>
        <w:jc w:val="left"/>
        <w:rPr>
          <w:rFonts w:ascii="宋体" w:hAnsi="宋体"/>
          <w:kern w:val="0"/>
          <w:sz w:val="18"/>
          <w:szCs w:val="18"/>
        </w:rPr>
      </w:pPr>
      <w:r>
        <w:rPr>
          <w:rFonts w:hint="eastAsia" w:ascii="宋体" w:hAnsi="宋体"/>
          <w:color w:val="000000"/>
          <w:kern w:val="0"/>
          <w:sz w:val="18"/>
          <w:szCs w:val="18"/>
          <w:highlight w:val="white"/>
        </w:rPr>
        <w:t xml:space="preserve"> </w:t>
      </w:r>
    </w:p>
    <w:p>
      <w:pPr>
        <w:widowControl/>
        <w:autoSpaceDE w:val="0"/>
        <w:ind w:firstLine="540" w:firstLineChars="300"/>
        <w:jc w:val="left"/>
        <w:rPr>
          <w:rFonts w:ascii="宋体" w:hAnsi="宋体"/>
          <w:kern w:val="0"/>
          <w:sz w:val="18"/>
          <w:szCs w:val="18"/>
        </w:rPr>
      </w:pPr>
      <w:r>
        <w:rPr>
          <w:rFonts w:hint="eastAsia" w:ascii="宋体" w:hAnsi="宋体"/>
          <w:color w:val="000000"/>
          <w:kern w:val="0"/>
          <w:sz w:val="18"/>
          <w:szCs w:val="18"/>
          <w:highlight w:val="white"/>
        </w:rPr>
        <w:t xml:space="preserve"> </w:t>
      </w:r>
    </w:p>
    <w:p>
      <w:pPr>
        <w:rPr>
          <w:rFonts w:ascii="宋体" w:hAnsi="宋体"/>
          <w:b/>
          <w:bCs/>
          <w:sz w:val="36"/>
          <w:szCs w:val="36"/>
        </w:rPr>
      </w:pPr>
      <w:r>
        <w:rPr>
          <w:rFonts w:hint="eastAsia" w:ascii="宋体" w:hAnsi="宋体"/>
          <w:b/>
          <w:bCs/>
          <w:color w:val="000000"/>
          <w:sz w:val="36"/>
          <w:szCs w:val="36"/>
          <w:highlight w:val="white"/>
        </w:rPr>
        <w:br w:type="page"/>
      </w:r>
    </w:p>
    <w:p>
      <w:pPr>
        <w:snapToGrid w:val="0"/>
        <w:spacing w:after="0" w:line="360" w:lineRule="auto"/>
        <w:jc w:val="center"/>
        <w:rPr>
          <w:rFonts w:ascii="宋体" w:hAnsi="宋体"/>
          <w:b/>
          <w:bCs/>
          <w:sz w:val="36"/>
          <w:szCs w:val="36"/>
        </w:rPr>
      </w:pPr>
      <w:r>
        <w:rPr>
          <w:rFonts w:hint="eastAsia" w:ascii="宋体" w:hAnsi="宋体"/>
          <w:b/>
          <w:bCs/>
          <w:color w:val="000000"/>
          <w:sz w:val="36"/>
          <w:szCs w:val="36"/>
          <w:highlight w:val="white"/>
        </w:rPr>
        <w:t>中小企业声明函（服务）</w:t>
      </w:r>
    </w:p>
    <w:p>
      <w:pPr>
        <w:widowControl/>
        <w:autoSpaceDE w:val="0"/>
        <w:spacing w:after="0" w:line="360" w:lineRule="auto"/>
        <w:ind w:firstLine="480" w:firstLineChars="200"/>
        <w:jc w:val="left"/>
        <w:rPr>
          <w:rFonts w:ascii="宋体" w:hAnsi="宋体"/>
          <w:kern w:val="0"/>
        </w:rPr>
      </w:pPr>
      <w:r>
        <w:rPr>
          <w:rFonts w:hint="eastAsia" w:ascii="宋体" w:hAnsi="宋体"/>
          <w:color w:val="000000"/>
          <w:kern w:val="0"/>
          <w:sz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采购活动，服务全部由符合政策要求的中小企业承接。相关企业（含联合体中的中小企业、签订分包意向协议的中小企业）的具体情况如下：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1.</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2.</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以上企业，不属于大企业的分支机构，不存在控股股东为大企业的情形，也不存在与大企业的负责人为同一人的情形。</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本企业对上述声明内容的真实性负责。如有虚假，将依法承担相应责任。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pStyle w:val="18"/>
        <w:snapToGrid w:val="0"/>
        <w:spacing w:line="360" w:lineRule="auto"/>
        <w:ind w:firstLine="4560" w:firstLineChars="1900"/>
        <w:rPr>
          <w:rFonts w:hAnsi="宋体"/>
          <w:sz w:val="24"/>
          <w:szCs w:val="24"/>
        </w:rPr>
      </w:pPr>
      <w:r>
        <w:rPr>
          <w:rFonts w:hint="eastAsia" w:hAnsi="宋体"/>
          <w:color w:val="000000"/>
          <w:sz w:val="24"/>
          <w:szCs w:val="24"/>
          <w:highlight w:val="white"/>
        </w:rPr>
        <w:t xml:space="preserve">企业名称（电子签章）： </w:t>
      </w:r>
    </w:p>
    <w:p>
      <w:pPr>
        <w:pStyle w:val="18"/>
        <w:snapToGrid w:val="0"/>
        <w:spacing w:line="360" w:lineRule="auto"/>
        <w:ind w:firstLine="4560" w:firstLineChars="1900"/>
        <w:rPr>
          <w:rFonts w:hAnsi="宋体"/>
          <w:sz w:val="24"/>
          <w:szCs w:val="24"/>
        </w:rPr>
      </w:pPr>
      <w:r>
        <w:rPr>
          <w:rFonts w:hint="eastAsia" w:hAnsi="宋体"/>
          <w:color w:val="000000"/>
          <w:sz w:val="24"/>
          <w:szCs w:val="24"/>
          <w:highlight w:val="white"/>
        </w:rPr>
        <w:t>日 期：</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widowControl/>
        <w:autoSpaceDE w:val="0"/>
        <w:rPr>
          <w:szCs w:val="21"/>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pPr>
        <w:widowControl/>
        <w:autoSpaceDE w:val="0"/>
        <w:jc w:val="left"/>
      </w:pPr>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pPr>
        <w:snapToGrid w:val="0"/>
        <w:spacing w:after="0" w:line="360" w:lineRule="auto"/>
        <w:jc w:val="center"/>
        <w:rPr>
          <w:rFonts w:ascii="宋体" w:hAnsi="宋体" w:cs="宋体"/>
          <w:b/>
          <w:bCs/>
          <w:sz w:val="36"/>
          <w:szCs w:val="36"/>
        </w:rPr>
      </w:pPr>
      <w:r>
        <w:rPr>
          <w:color w:val="000000"/>
          <w:highlight w:val="white"/>
        </w:rPr>
        <w:br w:type="page"/>
      </w:r>
      <w:r>
        <w:rPr>
          <w:rFonts w:hint="eastAsia" w:ascii="宋体" w:hAnsi="宋体" w:cs="宋体"/>
          <w:b/>
          <w:bCs/>
          <w:color w:val="000000"/>
          <w:sz w:val="36"/>
          <w:szCs w:val="36"/>
          <w:highlight w:val="white"/>
        </w:rPr>
        <w:t>格式2 参加本次政府采购活动前三年内在经营活动中</w:t>
      </w:r>
    </w:p>
    <w:p>
      <w:pPr>
        <w:snapToGrid w:val="0"/>
        <w:spacing w:after="0" w:line="360" w:lineRule="auto"/>
        <w:jc w:val="center"/>
        <w:rPr>
          <w:rFonts w:ascii="宋体" w:hAnsi="宋体" w:cs="宋体"/>
          <w:b/>
          <w:bCs/>
          <w:sz w:val="36"/>
          <w:szCs w:val="36"/>
        </w:rPr>
      </w:pPr>
      <w:r>
        <w:rPr>
          <w:rFonts w:hint="eastAsia" w:ascii="宋体" w:hAnsi="宋体" w:cs="宋体"/>
          <w:b/>
          <w:bCs/>
          <w:color w:val="000000"/>
          <w:sz w:val="36"/>
          <w:szCs w:val="36"/>
          <w:highlight w:val="white"/>
        </w:rPr>
        <w:t>没有重大违法记录的书面声明</w:t>
      </w:r>
    </w:p>
    <w:p>
      <w:pPr>
        <w:pStyle w:val="18"/>
        <w:topLinePunct/>
        <w:autoSpaceDE w:val="0"/>
        <w:autoSpaceDN w:val="0"/>
        <w:snapToGrid w:val="0"/>
        <w:spacing w:line="360" w:lineRule="auto"/>
        <w:jc w:val="center"/>
        <w:rPr>
          <w:rFonts w:hAnsi="宋体" w:cs="宋体"/>
          <w:b/>
          <w:w w:val="150"/>
          <w:sz w:val="24"/>
        </w:rPr>
      </w:pPr>
    </w:p>
    <w:p>
      <w:pPr>
        <w:pStyle w:val="18"/>
        <w:snapToGrid w:val="0"/>
        <w:spacing w:line="360" w:lineRule="auto"/>
        <w:rPr>
          <w:rFonts w:hAnsi="宋体" w:cs="宋体"/>
          <w:sz w:val="24"/>
          <w:szCs w:val="24"/>
        </w:rPr>
      </w:pPr>
      <w:r>
        <w:rPr>
          <w:rFonts w:hint="eastAsia" w:hAnsi="宋体" w:cs="宋体"/>
          <w:color w:val="000000"/>
          <w:sz w:val="24"/>
          <w:szCs w:val="24"/>
          <w:highlight w:val="white"/>
        </w:rPr>
        <w:t>致________（采购人）：</w:t>
      </w:r>
    </w:p>
    <w:p>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我单位在参加本次采购活动前三年内在经营活动中没有《政府采购法》第二十二条第一款第（五）项所称重大违法记录，包括：</w:t>
      </w:r>
    </w:p>
    <w:p>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我单位未因经营活动中的违法行为受到刑事处罚或者责令停产停业、吊销许可证或者执照、较大数额罚款等行政处罚。</w:t>
      </w:r>
    </w:p>
    <w:p>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特此声明！</w:t>
      </w: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cs="MingLiU_HKSCS"/>
        </w:rPr>
      </w:pPr>
    </w:p>
    <w:p>
      <w:pPr>
        <w:snapToGrid w:val="0"/>
        <w:spacing w:after="0" w:line="360" w:lineRule="auto"/>
        <w:ind w:firstLine="4080" w:firstLineChars="1700"/>
        <w:rPr>
          <w:rFonts w:hAnsi="宋体" w:cs="宋体"/>
        </w:rPr>
      </w:pPr>
      <w:r>
        <w:rPr>
          <w:rFonts w:hint="eastAsia" w:hAnsi="宋体" w:cs="宋体"/>
          <w:color w:val="000000"/>
          <w:sz w:val="24"/>
          <w:highlight w:val="white"/>
        </w:rPr>
        <w:t>单位名称（电子签章</w:t>
      </w:r>
      <w:r>
        <w:rPr>
          <w:rFonts w:hint="eastAsia" w:hAnsi="宋体" w:cs="宋体"/>
          <w:color w:val="000000"/>
          <w:sz w:val="24"/>
          <w:highlight w:val="white"/>
          <w:lang w:eastAsia="zh-CN"/>
        </w:rPr>
        <w:t>）</w:t>
      </w:r>
      <w:r>
        <w:rPr>
          <w:rFonts w:hint="eastAsia" w:hAnsi="宋体" w:cs="宋体"/>
          <w:color w:val="000000"/>
          <w:sz w:val="24"/>
          <w:highlight w:val="white"/>
        </w:rPr>
        <w:t>：</w:t>
      </w:r>
    </w:p>
    <w:p>
      <w:pPr>
        <w:snapToGrid w:val="0"/>
        <w:spacing w:after="0" w:line="360" w:lineRule="auto"/>
        <w:ind w:firstLine="6000" w:firstLineChars="2500"/>
        <w:rPr>
          <w:rFonts w:hAnsi="宋体" w:cs="宋体"/>
        </w:rPr>
      </w:pPr>
      <w:r>
        <w:rPr>
          <w:rFonts w:hint="eastAsia" w:hAnsi="宋体" w:cs="宋体"/>
          <w:color w:val="000000"/>
          <w:sz w:val="24"/>
          <w:highlight w:val="white"/>
        </w:rPr>
        <w:t>日期：</w:t>
      </w:r>
    </w:p>
    <w:p>
      <w:pPr>
        <w:rPr>
          <w:rFonts w:hint="eastAsia"/>
        </w:rPr>
      </w:pPr>
    </w:p>
    <w:p>
      <w:pPr>
        <w:spacing w:before="0" w:after="0" w:line="360" w:lineRule="auto"/>
        <w:jc w:val="center"/>
        <w:rPr>
          <w:rFonts w:ascii="宋体" w:hAnsi="宋体" w:eastAsia="宋体" w:cs="宋体"/>
          <w:b/>
          <w:sz w:val="36"/>
        </w:rPr>
      </w:pPr>
      <w:r>
        <w:rPr>
          <w:color w:val="000000"/>
          <w:highlight w:val="white"/>
        </w:rPr>
        <w:br w:type="page"/>
      </w:r>
      <w:r>
        <w:rPr>
          <w:rFonts w:ascii="宋体" w:hAnsi="宋体" w:eastAsia="宋体" w:cs="宋体"/>
          <w:b/>
          <w:color w:val="000000"/>
          <w:sz w:val="36"/>
          <w:highlight w:val="white"/>
        </w:rPr>
        <w:t>格式3 投标报价表</w:t>
      </w:r>
    </w:p>
    <w:p>
      <w:pPr>
        <w:spacing w:before="0" w:after="0" w:line="360" w:lineRule="auto"/>
        <w:jc w:val="center"/>
        <w:rPr>
          <w:rFonts w:ascii="宋体" w:hAnsi="宋体" w:eastAsia="宋体" w:cs="宋体"/>
          <w:b/>
        </w:rPr>
      </w:pPr>
    </w:p>
    <w:p>
      <w:pPr>
        <w:spacing w:before="0" w:after="0" w:line="360" w:lineRule="auto"/>
        <w:jc w:val="center"/>
        <w:rPr>
          <w:rFonts w:ascii="宋体" w:hAnsi="宋体" w:eastAsia="宋体" w:cs="宋体"/>
          <w:b/>
          <w:sz w:val="28"/>
        </w:rPr>
      </w:pPr>
      <w:r>
        <w:rPr>
          <w:rFonts w:ascii="宋体" w:hAnsi="宋体" w:eastAsia="宋体" w:cs="宋体"/>
          <w:b/>
          <w:color w:val="000000"/>
          <w:sz w:val="28"/>
          <w:highlight w:val="white"/>
        </w:rPr>
        <w:t>1.开标一览表（总报价表）</w:t>
      </w:r>
    </w:p>
    <w:p>
      <w:pPr>
        <w:spacing w:before="0" w:after="0" w:line="360" w:lineRule="auto"/>
        <w:jc w:val="right"/>
        <w:rPr>
          <w:rFonts w:ascii="宋体" w:hAnsi="宋体" w:eastAsia="宋体" w:cs="宋体"/>
          <w:b w:val="0"/>
          <w:sz w:val="21"/>
        </w:rPr>
      </w:pPr>
      <w:r>
        <w:rPr>
          <w:rFonts w:ascii="宋体" w:hAnsi="宋体" w:eastAsia="宋体" w:cs="宋体"/>
          <w:b w:val="0"/>
          <w:color w:val="000000"/>
          <w:sz w:val="21"/>
          <w:highlight w:val="white"/>
        </w:rPr>
        <w:t>价格单位：人民币元</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4"/>
        <w:gridCol w:w="4303"/>
        <w:gridCol w:w="1235"/>
        <w:gridCol w:w="975"/>
        <w:gridCol w:w="19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序号</w:t>
            </w:r>
          </w:p>
        </w:tc>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内容</w:t>
            </w:r>
          </w:p>
        </w:tc>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单价（元）</w:t>
            </w:r>
          </w:p>
        </w:tc>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数量/权重</w:t>
            </w:r>
          </w:p>
        </w:tc>
        <w:tc>
          <w:p>
            <w:pPr>
              <w:spacing w:before="0" w:after="0" w:line="360" w:lineRule="auto"/>
              <w:jc w:val="center"/>
              <w:rPr>
                <w:rFonts w:ascii="宋体" w:hAnsi="宋体" w:eastAsia="宋体" w:cs="宋体"/>
                <w:b w:val="0"/>
              </w:rPr>
            </w:pPr>
            <w:r>
              <w:rPr>
                <w:rFonts w:ascii="宋体" w:hAnsi="宋体" w:eastAsia="宋体" w:cs="宋体"/>
                <w:b/>
                <w:color w:val="000000"/>
                <w:sz w:val="24"/>
                <w:highlight w:val="white"/>
              </w:rPr>
              <w:t>小计(单价×数量/权重)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1</w:t>
            </w:r>
          </w:p>
        </w:tc>
        <w:tc>
          <w:p>
            <w:pPr>
              <w:spacing w:before="0" w:after="0" w:line="360" w:lineRule="auto"/>
              <w:jc w:val="left"/>
              <w:rPr>
                <w:rFonts w:ascii="宋体" w:hAnsi="宋体" w:eastAsia="宋体" w:cs="宋体"/>
                <w:b w:val="0"/>
              </w:rPr>
            </w:pPr>
            <w:r>
              <w:rPr>
                <w:rFonts w:ascii="宋体" w:hAnsi="宋体" w:eastAsia="宋体" w:cs="宋体"/>
                <w:b w:val="0"/>
                <w:color w:val="000000"/>
                <w:sz w:val="24"/>
                <w:highlight w:val="white"/>
              </w:rPr>
              <w:t>国家税务总局吉林市昌邑区税务局2025年物业管理服务项目</w:t>
            </w:r>
          </w:p>
        </w:tc>
        <w:tc>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w:t>
            </w:r>
          </w:p>
        </w:tc>
        <w:tc>
          <w:p>
            <w:pPr>
              <w:spacing w:before="0" w:after="0" w:line="360" w:lineRule="auto"/>
              <w:jc w:val="right"/>
              <w:rPr>
                <w:rFonts w:ascii="宋体" w:hAnsi="宋体" w:eastAsia="宋体" w:cs="宋体"/>
                <w:b w:val="0"/>
              </w:rPr>
            </w:pPr>
            <w:r>
              <w:rPr>
                <w:rFonts w:ascii="宋体" w:hAnsi="宋体" w:eastAsia="宋体" w:cs="宋体"/>
                <w:b w:val="0"/>
                <w:color w:val="000000"/>
                <w:sz w:val="24"/>
                <w:highlight w:val="white"/>
              </w:rPr>
              <w:t>1</w:t>
            </w:r>
          </w:p>
        </w:tc>
        <w:tc>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报价合计（小写）</w:t>
            </w:r>
          </w:p>
        </w:tc>
        <w:tc>
          <w:tcPr>
            <w:gridSpan w:val="3"/>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供应商填报后自动计算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报价合计（大写）</w:t>
            </w:r>
          </w:p>
        </w:tc>
        <w:tc>
          <w:tcPr>
            <w:gridSpan w:val="3"/>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供应商填报后自动生成中文</w:t>
            </w:r>
          </w:p>
        </w:tc>
      </w:tr>
    </w:tbl>
    <w:p>
      <w:pPr>
        <w:spacing w:before="0" w:after="0" w:line="360" w:lineRule="auto"/>
        <w:jc w:val="left"/>
        <w:rPr>
          <w:rFonts w:ascii="宋体" w:hAnsi="宋体" w:eastAsia="宋体" w:cs="宋体"/>
          <w:b w:val="0"/>
          <w:sz w:val="21"/>
        </w:rPr>
      </w:pPr>
    </w:p>
    <w:p>
      <w:pPr>
        <w:spacing w:before="0" w:after="0" w:line="360" w:lineRule="auto"/>
        <w:jc w:val="left"/>
        <w:rPr>
          <w:rFonts w:ascii="宋体" w:hAnsi="宋体" w:eastAsia="宋体" w:cs="宋体"/>
          <w:b w:val="0"/>
          <w:sz w:val="21"/>
        </w:rPr>
      </w:pPr>
    </w:p>
    <w:p>
      <w:pPr>
        <w:spacing w:before="0" w:after="0" w:line="360" w:lineRule="auto"/>
        <w:jc w:val="left"/>
        <w:rPr>
          <w:rFonts w:ascii="宋体" w:hAnsi="宋体" w:eastAsia="宋体" w:cs="宋体"/>
          <w:b w:val="0"/>
          <w:sz w:val="21"/>
        </w:rPr>
      </w:pPr>
      <w:r>
        <w:rPr>
          <w:rFonts w:ascii="宋体" w:hAnsi="宋体" w:eastAsia="宋体" w:cs="宋体"/>
          <w:b w:val="0"/>
          <w:color w:val="000000"/>
          <w:sz w:val="21"/>
          <w:highlight w:val="white"/>
        </w:rPr>
        <w:t>特别说明：</w:t>
      </w:r>
    </w:p>
    <w:p>
      <w:pPr>
        <w:spacing w:before="0" w:after="0" w:line="360" w:lineRule="auto"/>
        <w:ind w:firstLine="420"/>
        <w:jc w:val="left"/>
        <w:rPr>
          <w:rFonts w:ascii="宋体" w:hAnsi="宋体" w:eastAsia="宋体" w:cs="宋体"/>
          <w:b w:val="0"/>
          <w:sz w:val="21"/>
        </w:rPr>
      </w:pPr>
      <w:r>
        <w:rPr>
          <w:rFonts w:ascii="宋体" w:hAnsi="宋体" w:eastAsia="宋体" w:cs="宋体"/>
          <w:b w:val="0"/>
          <w:color w:val="000000"/>
          <w:sz w:val="21"/>
          <w:highlight w:val="white"/>
        </w:rPr>
        <w:t>无</w:t>
      </w:r>
    </w:p>
    <w:p>
      <w:pPr>
        <w:spacing w:before="0" w:after="0" w:line="360" w:lineRule="auto"/>
        <w:ind w:firstLine="420"/>
        <w:jc w:val="left"/>
        <w:rPr>
          <w:rFonts w:ascii="宋体" w:hAnsi="宋体" w:eastAsia="宋体" w:cs="宋体"/>
          <w:b w:val="0"/>
          <w:sz w:val="21"/>
        </w:rPr>
      </w:pPr>
    </w:p>
    <w:p>
      <w:pPr>
        <w:spacing w:before="0" w:after="0" w:line="360" w:lineRule="auto"/>
        <w:ind w:firstLine="480"/>
        <w:jc w:val="left"/>
        <w:rPr>
          <w:rFonts w:ascii="宋体" w:hAnsi="宋体" w:eastAsia="宋体" w:cs="宋体"/>
          <w:b w:val="0"/>
        </w:rPr>
      </w:pPr>
    </w:p>
    <w:p>
      <w:pPr>
        <w:spacing w:before="0" w:after="0" w:line="360" w:lineRule="auto"/>
        <w:ind w:firstLine="480"/>
        <w:jc w:val="left"/>
        <w:rPr>
          <w:rFonts w:ascii="宋体" w:hAnsi="宋体" w:eastAsia="宋体" w:cs="宋体"/>
          <w:b w:val="0"/>
        </w:rPr>
      </w:pPr>
      <w:r>
        <w:rPr>
          <w:rFonts w:ascii="宋体" w:hAnsi="宋体" w:eastAsia="宋体" w:cs="宋体"/>
          <w:b w:val="0"/>
          <w:color w:val="000000"/>
          <w:sz w:val="24"/>
          <w:highlight w:val="white"/>
        </w:rPr>
        <w:t>供应商名称（电子签章）：</w:t>
      </w:r>
    </w:p>
    <w:p>
      <w:pPr>
        <w:spacing w:before="0" w:after="0" w:line="360" w:lineRule="auto"/>
        <w:ind w:firstLine="480"/>
        <w:jc w:val="left"/>
        <w:rPr>
          <w:rFonts w:ascii="宋体" w:hAnsi="宋体" w:eastAsia="宋体" w:cs="宋体"/>
          <w:b w:val="0"/>
        </w:rPr>
      </w:pPr>
      <w:r>
        <w:rPr>
          <w:rFonts w:ascii="宋体" w:hAnsi="宋体" w:eastAsia="宋体" w:cs="宋体"/>
          <w:b w:val="0"/>
          <w:color w:val="000000"/>
          <w:sz w:val="24"/>
          <w:highlight w:val="white"/>
        </w:rPr>
        <w:t>日期：</w:t>
      </w:r>
    </w:p>
    <w:p>
      <w:pPr>
        <w:spacing w:before="0" w:after="0" w:line="360" w:lineRule="auto"/>
        <w:ind w:firstLine="480"/>
        <w:jc w:val="left"/>
        <w:rPr>
          <w:rFonts w:ascii="宋体" w:hAnsi="宋体" w:eastAsia="宋体" w:cs="宋体"/>
          <w:b w:val="0"/>
        </w:rPr>
      </w:pPr>
    </w:p>
    <w:p>
      <w:pPr>
        <w:spacing w:before="0" w:after="0" w:line="360" w:lineRule="auto"/>
        <w:ind w:firstLine="0"/>
        <w:jc w:val="center"/>
        <w:rPr>
          <w:rFonts w:ascii="宋体" w:hAnsi="宋体" w:eastAsia="宋体" w:cs="宋体"/>
          <w:b/>
          <w:sz w:val="28"/>
        </w:rPr>
      </w:pPr>
      <w:r>
        <w:rPr>
          <w:rFonts w:ascii="宋体" w:hAnsi="宋体" w:eastAsia="宋体" w:cs="宋体"/>
          <w:b w:val="0"/>
          <w:color w:val="000000"/>
          <w:sz w:val="24"/>
          <w:highlight w:val="white"/>
        </w:rPr>
        <w:br w:type="page"/>
      </w:r>
      <w:r>
        <w:rPr>
          <w:rFonts w:ascii="宋体" w:hAnsi="宋体" w:eastAsia="宋体" w:cs="宋体"/>
          <w:b/>
          <w:color w:val="000000"/>
          <w:sz w:val="28"/>
          <w:highlight w:val="white"/>
        </w:rPr>
        <w:t>2.分项报价表</w:t>
      </w:r>
    </w:p>
    <w:p>
      <w:pPr>
        <w:widowControl w:val="0"/>
        <w:topLinePunct/>
        <w:autoSpaceDE w:val="0"/>
        <w:autoSpaceDN w:val="0"/>
        <w:spacing w:before="0" w:after="0" w:line="460" w:lineRule="exact"/>
        <w:ind w:left="2"/>
        <w:jc w:val="center"/>
        <w:rPr>
          <w:rFonts w:ascii="宋体" w:hAnsi="宋体" w:eastAsia="宋体" w:cs="宋体"/>
          <w:b/>
          <w:bCs/>
          <w:sz w:val="28"/>
          <w:szCs w:val="28"/>
          <w:lang w:eastAsia="zh-CN"/>
        </w:rPr>
      </w:pPr>
      <w:r>
        <w:rPr>
          <w:rFonts w:hint="eastAsia" w:ascii="宋体" w:hAnsi="宋体" w:eastAsia="宋体" w:cs="宋体"/>
          <w:b/>
          <w:bCs/>
          <w:color w:val="000000"/>
          <w:sz w:val="28"/>
          <w:szCs w:val="28"/>
          <w:highlight w:val="white"/>
          <w:lang w:eastAsia="zh-CN"/>
        </w:rPr>
        <w:t>分项报价表</w:t>
      </w:r>
    </w:p>
    <w:tbl>
      <w:tblPr>
        <w:tblStyle w:val="30"/>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序号</w:t>
            </w:r>
          </w:p>
        </w:tc>
        <w:tc>
          <w:tcPr>
            <w:tcW w:w="1692" w:type="dxa"/>
            <w:tcBorders>
              <w:top w:val="single" w:color="auto" w:sz="4" w:space="0"/>
              <w:left w:val="nil"/>
              <w:bottom w:val="single" w:color="auto" w:sz="4" w:space="0"/>
              <w:right w:val="single" w:color="auto" w:sz="4" w:space="0"/>
            </w:tcBorders>
            <w:noWrap/>
            <w:vAlign w:val="center"/>
          </w:tcPr>
          <w:p>
            <w:pPr>
              <w:widowControl/>
              <w:spacing w:after="0" w:line="240" w:lineRule="auto"/>
              <w:ind w:left="-84" w:leftChars="-40" w:firstLine="82" w:firstLineChars="39"/>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具体工作名称</w:t>
            </w:r>
          </w:p>
        </w:tc>
        <w:tc>
          <w:tcPr>
            <w:tcW w:w="1528" w:type="dxa"/>
            <w:tcBorders>
              <w:top w:val="single" w:color="auto" w:sz="4" w:space="0"/>
              <w:left w:val="nil"/>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人员</w:t>
            </w:r>
          </w:p>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单价</w:t>
            </w:r>
          </w:p>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小计</w:t>
            </w:r>
          </w:p>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（元）</w:t>
            </w:r>
          </w:p>
        </w:tc>
        <w:tc>
          <w:tcPr>
            <w:tcW w:w="643"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备注</w:t>
            </w: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p>
        </w:tc>
        <w:tc>
          <w:tcPr>
            <w:tcW w:w="1692"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2</w:t>
            </w:r>
          </w:p>
        </w:tc>
        <w:tc>
          <w:tcPr>
            <w:tcW w:w="1692"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3</w:t>
            </w:r>
          </w:p>
        </w:tc>
        <w:tc>
          <w:tcPr>
            <w:tcW w:w="1692"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4</w:t>
            </w:r>
          </w:p>
        </w:tc>
        <w:tc>
          <w:tcPr>
            <w:tcW w:w="1692" w:type="dxa"/>
            <w:tcBorders>
              <w:top w:val="nil"/>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nil"/>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5</w:t>
            </w:r>
          </w:p>
        </w:tc>
        <w:tc>
          <w:tcPr>
            <w:tcW w:w="1692"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w:t>
            </w:r>
          </w:p>
        </w:tc>
        <w:tc>
          <w:tcPr>
            <w:tcW w:w="1692"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w w:val="90"/>
                <w:kern w:val="2"/>
                <w:sz w:val="21"/>
                <w:lang w:eastAsia="zh-CN"/>
              </w:rPr>
            </w:pPr>
            <w:r>
              <w:rPr>
                <w:rFonts w:hint="eastAsia" w:ascii="宋体" w:hAnsi="宋体" w:eastAsia="宋体" w:cs="宋体"/>
                <w:color w:val="000000"/>
                <w:w w:val="90"/>
                <w:kern w:val="2"/>
                <w:sz w:val="21"/>
                <w:highlight w:val="white"/>
                <w:lang w:eastAsia="zh-CN"/>
              </w:rPr>
              <w:t>――――--</w:t>
            </w: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bl>
    <w:p>
      <w:pPr>
        <w:widowControl w:val="0"/>
        <w:topLinePunct/>
        <w:autoSpaceDE w:val="0"/>
        <w:autoSpaceDN w:val="0"/>
        <w:adjustRightInd w:val="0"/>
        <w:snapToGrid w:val="0"/>
        <w:spacing w:before="0" w:after="0" w:line="360" w:lineRule="auto"/>
        <w:jc w:val="left"/>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特别说明:</w:t>
      </w:r>
    </w:p>
    <w:p>
      <w:pPr>
        <w:widowControl w:val="0"/>
        <w:numPr>
          <w:ilvl w:val="0"/>
          <w:numId w:val="8"/>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本项目总价及分项报价均不接受任何形式的赠送、“零”报价和折扣报价。</w:t>
      </w:r>
    </w:p>
    <w:p>
      <w:pPr>
        <w:widowControl w:val="0"/>
        <w:numPr>
          <w:ilvl w:val="0"/>
          <w:numId w:val="8"/>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如报价不一致，按照投标人须知“19.核价原则”进行修正。</w:t>
      </w:r>
    </w:p>
    <w:p>
      <w:pPr>
        <w:widowControl w:val="0"/>
        <w:numPr>
          <w:ilvl w:val="0"/>
          <w:numId w:val="8"/>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本表中小计=人员数量×工作时间×单价。</w:t>
      </w:r>
    </w:p>
    <w:p>
      <w:pPr>
        <w:widowControl w:val="0"/>
        <w:numPr>
          <w:ilvl w:val="0"/>
          <w:numId w:val="8"/>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本表中“小计数额的合计数”应等于《总报价表》中的价格小计数。</w:t>
      </w:r>
    </w:p>
    <w:p>
      <w:pPr>
        <w:widowControl w:val="0"/>
        <w:numPr>
          <w:ilvl w:val="0"/>
          <w:numId w:val="8"/>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工作量＝人员数量×工作时间，本表中的“各项工作量合计数”应为各项工作量的合计数。</w:t>
      </w:r>
    </w:p>
    <w:p>
      <w:pPr>
        <w:widowControl w:val="0"/>
        <w:numPr>
          <w:ilvl w:val="0"/>
          <w:numId w:val="8"/>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本表可扩展。</w:t>
      </w:r>
    </w:p>
    <w:p>
      <w:pPr>
        <w:widowControl w:val="0"/>
        <w:adjustRightInd w:val="0"/>
        <w:snapToGrid w:val="0"/>
        <w:spacing w:before="0" w:after="0" w:line="360" w:lineRule="auto"/>
        <w:jc w:val="both"/>
        <w:rPr>
          <w:rFonts w:ascii="宋体" w:hAnsi="宋体" w:eastAsia="宋体" w:cs="宋体"/>
          <w:kern w:val="2"/>
          <w:sz w:val="21"/>
          <w:lang w:eastAsia="zh-CN"/>
        </w:rPr>
      </w:pPr>
    </w:p>
    <w:p>
      <w:pPr>
        <w:widowControl w:val="0"/>
        <w:spacing w:before="0" w:after="0" w:line="259" w:lineRule="auto"/>
        <w:jc w:val="both"/>
        <w:rPr>
          <w:rFonts w:eastAsia="宋体"/>
          <w:kern w:val="2"/>
          <w:sz w:val="21"/>
          <w:lang w:eastAsia="zh-CN"/>
        </w:rPr>
      </w:pPr>
    </w:p>
    <w:p>
      <w:pPr>
        <w:spacing w:before="0" w:after="0" w:line="360" w:lineRule="auto"/>
        <w:ind w:firstLine="0"/>
        <w:jc w:val="center"/>
        <w:rPr>
          <w:rFonts w:ascii="宋体" w:hAnsi="宋体" w:eastAsia="宋体" w:cs="宋体"/>
          <w:b/>
          <w:sz w:val="28"/>
        </w:rPr>
      </w:pPr>
    </w:p>
    <w:p>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t>格式4 法定代表人授权委托书</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000000"/>
          <w:sz w:val="24"/>
          <w:highlight w:val="white"/>
        </w:rPr>
        <w:t>本授权书声明：注册于___________ （投标人住址）的___________  （投标人名称）法定代表人 _______（姓名、职务）代表本公司授权</w:t>
      </w:r>
      <w:r>
        <w:rPr>
          <w:rFonts w:hint="default" w:ascii="宋体" w:hAnsi="宋体" w:cs="宋体"/>
          <w:color w:val="000000"/>
          <w:sz w:val="24"/>
          <w:highlight w:val="white"/>
          <w:u w:val="single"/>
          <w:lang w:val="en"/>
        </w:rPr>
        <w:t xml:space="preserve">        </w:t>
      </w:r>
      <w:r>
        <w:rPr>
          <w:rFonts w:hint="eastAsia" w:ascii="宋体" w:hAnsi="宋体" w:cs="宋体"/>
          <w:color w:val="000000"/>
          <w:sz w:val="24"/>
          <w:highlight w:val="white"/>
        </w:rPr>
        <w:t>（被授权投标代表姓名、职务）为本公司的合法投标代表，就贵方组织的《</w:t>
      </w:r>
      <w:r>
        <w:rPr>
          <w:rFonts w:hint="eastAsia" w:ascii="宋体" w:hAnsi="宋体" w:cs="宋体"/>
          <w:color w:val="000000"/>
          <w:sz w:val="24"/>
          <w:highlight w:val="white"/>
          <w:u w:val="single"/>
        </w:rPr>
        <w:t xml:space="preserve">          项目</w:t>
      </w:r>
      <w:r>
        <w:rPr>
          <w:rFonts w:hint="eastAsia" w:ascii="宋体" w:hAnsi="宋体" w:cs="宋体"/>
          <w:color w:val="000000"/>
          <w:sz w:val="24"/>
          <w:highlight w:val="white"/>
        </w:rPr>
        <w:t>》（项目编号：</w:t>
      </w:r>
      <w:r>
        <w:rPr>
          <w:rFonts w:hint="default" w:ascii="宋体" w:hAnsi="宋体" w:cs="宋体"/>
          <w:color w:val="000000"/>
          <w:sz w:val="24"/>
          <w:highlight w:val="white"/>
        </w:rPr>
        <w:t>__________</w:t>
      </w:r>
      <w:r>
        <w:rPr>
          <w:rFonts w:hint="eastAsia" w:ascii="宋体" w:hAnsi="宋体" w:cs="宋体"/>
          <w:color w:val="000000"/>
          <w:sz w:val="24"/>
          <w:highlight w:val="white"/>
        </w:rPr>
        <w:t>）投标、合同的执行，以本公司名义处理一切与之有关的事务。</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000000"/>
          <w:sz w:val="24"/>
          <w:highlight w:val="white"/>
        </w:rPr>
        <w:t>本授权书于______年______月_____日生效，特此声明。</w:t>
      </w:r>
    </w:p>
    <w:p>
      <w:pPr>
        <w:pStyle w:val="18"/>
        <w:adjustRightInd w:val="0"/>
        <w:snapToGrid w:val="0"/>
        <w:spacing w:line="360" w:lineRule="auto"/>
        <w:ind w:firstLine="480" w:firstLineChars="200"/>
        <w:rPr>
          <w:rFonts w:hint="eastAsia" w:hAnsi="宋体" w:cs="宋体"/>
          <w:color w:val="auto"/>
          <w:sz w:val="24"/>
          <w:szCs w:val="24"/>
        </w:rPr>
      </w:pPr>
      <w:r>
        <w:rPr>
          <w:rFonts w:hint="eastAsia" w:hAnsi="宋体" w:cs="宋体"/>
          <w:color w:val="000000"/>
          <w:sz w:val="24"/>
          <w:szCs w:val="24"/>
          <w:highlight w:val="white"/>
        </w:rPr>
        <w:t>被授权投标代表无转委托权。</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89" w:type="dxa"/>
            <w:noWrap w:val="0"/>
            <w:vAlign w:val="center"/>
          </w:tcPr>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r>
              <w:rPr>
                <w:rFonts w:hint="eastAsia" w:hAnsi="宋体" w:cs="宋体"/>
                <w:color w:val="000000"/>
                <w:highlight w:val="white"/>
              </w:rPr>
              <w:t>法定代表人身份证复印件</w:t>
            </w: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tc>
      </w:tr>
    </w:tbl>
    <w:p>
      <w:pPr>
        <w:pStyle w:val="18"/>
        <w:adjustRightInd w:val="0"/>
        <w:snapToGrid w:val="0"/>
        <w:spacing w:line="360" w:lineRule="auto"/>
        <w:rPr>
          <w:rFonts w:hAnsi="宋体" w:cs="宋体"/>
          <w:color w:val="auto"/>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89" w:type="dxa"/>
            <w:noWrap w:val="0"/>
            <w:vAlign w:val="center"/>
          </w:tcPr>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r>
              <w:rPr>
                <w:rFonts w:hint="eastAsia" w:ascii="宋体" w:hAnsi="宋体" w:cs="宋体"/>
                <w:color w:val="000000"/>
                <w:highlight w:val="white"/>
              </w:rPr>
              <w:t>被授权投标代表</w:t>
            </w:r>
            <w:r>
              <w:rPr>
                <w:rFonts w:hint="eastAsia" w:hAnsi="宋体" w:cs="宋体"/>
                <w:color w:val="000000"/>
                <w:highlight w:val="white"/>
              </w:rPr>
              <w:t>身份证复印件</w:t>
            </w: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tc>
      </w:tr>
    </w:tbl>
    <w:p>
      <w:pPr>
        <w:pStyle w:val="18"/>
        <w:adjustRightInd w:val="0"/>
        <w:snapToGrid w:val="0"/>
        <w:spacing w:line="360" w:lineRule="auto"/>
        <w:jc w:val="left"/>
        <w:rPr>
          <w:rFonts w:hAnsi="宋体" w:cs="宋体"/>
          <w:color w:val="auto"/>
        </w:rPr>
      </w:pPr>
    </w:p>
    <w:p>
      <w:pPr>
        <w:tabs>
          <w:tab w:val="left" w:pos="1230"/>
        </w:tabs>
        <w:topLinePunct/>
        <w:autoSpaceDE w:val="0"/>
        <w:autoSpaceDN w:val="0"/>
        <w:adjustRightInd w:val="0"/>
        <w:snapToGrid w:val="0"/>
        <w:spacing w:after="0" w:line="360" w:lineRule="auto"/>
        <w:ind w:left="360"/>
        <w:rPr>
          <w:rFonts w:ascii="宋体" w:hAnsi="宋体" w:cs="宋体"/>
          <w:color w:val="auto"/>
        </w:rPr>
      </w:pP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投标人名称（公章）：________________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法定代表人（签字或签章）：________________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被授权投标代表（签字）：________________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被授权投标代表联系电话：____________</w:t>
      </w:r>
    </w:p>
    <w:p>
      <w:pPr>
        <w:tabs>
          <w:tab w:val="left" w:pos="1230"/>
        </w:tabs>
        <w:topLinePunct/>
        <w:autoSpaceDE w:val="0"/>
        <w:autoSpaceDN w:val="0"/>
        <w:adjustRightInd w:val="0"/>
        <w:snapToGrid w:val="0"/>
        <w:spacing w:after="0" w:line="360" w:lineRule="auto"/>
        <w:ind w:left="360"/>
        <w:rPr>
          <w:rFonts w:hint="eastAsia" w:ascii="宋体" w:hAnsi="宋体" w:cs="宋体"/>
          <w:color w:val="auto"/>
        </w:rPr>
      </w:pPr>
      <w:r>
        <w:rPr>
          <w:rFonts w:hint="eastAsia" w:ascii="宋体" w:hAnsi="宋体" w:cs="宋体"/>
          <w:color w:val="000000"/>
          <w:sz w:val="24"/>
          <w:highlight w:val="white"/>
        </w:rPr>
        <w:t>日期：____________</w:t>
      </w:r>
    </w:p>
    <w:p>
      <w:pPr>
        <w:pStyle w:val="2"/>
      </w:pPr>
    </w:p>
    <w:p>
      <w:pPr>
        <w:topLinePunct/>
        <w:autoSpaceDE w:val="0"/>
        <w:autoSpaceDN w:val="0"/>
        <w:adjustRightInd w:val="0"/>
        <w:snapToGrid w:val="0"/>
        <w:spacing w:after="0" w:line="360" w:lineRule="auto"/>
        <w:jc w:val="left"/>
        <w:rPr>
          <w:rFonts w:hint="eastAsia" w:ascii="宋体" w:hAnsi="宋体" w:cs="宋体"/>
          <w:color w:val="auto"/>
        </w:rPr>
      </w:pPr>
    </w:p>
    <w:p>
      <w:pPr>
        <w:topLinePunct/>
        <w:autoSpaceDE w:val="0"/>
        <w:autoSpaceDN w:val="0"/>
        <w:adjustRightInd w:val="0"/>
        <w:snapToGrid w:val="0"/>
        <w:spacing w:after="0" w:line="360" w:lineRule="auto"/>
        <w:jc w:val="left"/>
        <w:rPr>
          <w:rFonts w:hint="eastAsia" w:ascii="宋体" w:hAnsi="宋体" w:cs="宋体"/>
          <w:i/>
          <w:iCs/>
          <w:color w:val="auto"/>
        </w:rPr>
      </w:pPr>
      <w:r>
        <w:rPr>
          <w:rFonts w:hint="eastAsia" w:ascii="宋体" w:hAnsi="宋体" w:cs="宋体"/>
          <w:color w:val="000000"/>
          <w:highlight w:val="white"/>
        </w:rPr>
        <w:t>特别说明:</w:t>
      </w:r>
    </w:p>
    <w:p>
      <w:pPr>
        <w:tabs>
          <w:tab w:val="left" w:pos="312"/>
        </w:tabs>
        <w:topLinePunct/>
        <w:autoSpaceDE w:val="0"/>
        <w:autoSpaceDN w:val="0"/>
        <w:adjustRightInd w:val="0"/>
        <w:snapToGrid w:val="0"/>
        <w:spacing w:after="0" w:line="360" w:lineRule="auto"/>
        <w:ind w:firstLine="420" w:firstLineChars="200"/>
        <w:rPr>
          <w:rFonts w:ascii="宋体" w:hAnsi="宋体" w:cs="宋体"/>
          <w:color w:val="auto"/>
        </w:rPr>
      </w:pPr>
      <w:r>
        <w:rPr>
          <w:rFonts w:hint="eastAsia" w:ascii="宋体" w:hAnsi="宋体" w:cs="宋体"/>
          <w:color w:val="000000"/>
          <w:highlight w:val="white"/>
        </w:rPr>
        <w:t>1.投标人如由被授权投标代表参与投标活动的，须同时提供《法定代表人授权委托书》和被授权投标代表身份证复印件。《法定代表人授权委托书》应当按</w:t>
      </w:r>
      <w:r>
        <w:rPr>
          <w:rFonts w:hint="eastAsia" w:ascii="宋体" w:hAnsi="宋体" w:cs="宋体"/>
          <w:color w:val="000000"/>
          <w:highlight w:val="white"/>
          <w:lang w:eastAsia="zh-CN"/>
        </w:rPr>
        <w:t>本</w:t>
      </w:r>
      <w:r>
        <w:rPr>
          <w:rFonts w:hint="eastAsia" w:ascii="宋体" w:hAnsi="宋体" w:cs="宋体"/>
          <w:color w:val="000000"/>
          <w:highlight w:val="white"/>
        </w:rPr>
        <w:t>格式要求加盖与投标人名称全称一致的标准公章，并签署法定代表人或被授权投标代表的全名或加盖名章之后，上传扫描件。</w:t>
      </w:r>
    </w:p>
    <w:p>
      <w:pPr>
        <w:topLinePunct/>
        <w:autoSpaceDE w:val="0"/>
        <w:autoSpaceDN w:val="0"/>
        <w:adjustRightInd w:val="0"/>
        <w:snapToGrid w:val="0"/>
        <w:spacing w:after="0" w:line="360" w:lineRule="auto"/>
        <w:ind w:firstLine="420" w:firstLineChars="200"/>
        <w:rPr>
          <w:rFonts w:hAnsi="宋体" w:cs="宋体"/>
          <w:b/>
          <w:bCs/>
          <w:color w:val="auto"/>
        </w:rPr>
      </w:pPr>
      <w:r>
        <w:rPr>
          <w:rFonts w:hint="eastAsia" w:ascii="宋体" w:hAnsi="宋体" w:cs="宋体"/>
          <w:color w:val="000000"/>
          <w:highlight w:val="white"/>
        </w:rPr>
        <w:t>2.</w:t>
      </w:r>
      <w:r>
        <w:rPr>
          <w:rFonts w:hint="eastAsia" w:ascii="宋体" w:hAnsi="宋体" w:cs="宋体"/>
          <w:b/>
          <w:bCs/>
          <w:color w:val="000000"/>
          <w:highlight w:val="white"/>
        </w:rPr>
        <w:t>投标人如由法定代表人作为投标代表参与投标活动的，仅须提供法定代表人身份证复印件。</w:t>
      </w:r>
    </w:p>
    <w:p/>
    <w:p>
      <w:pPr>
        <w:topLinePunct/>
        <w:autoSpaceDE w:val="0"/>
        <w:autoSpaceDN w:val="0"/>
        <w:adjustRightInd w:val="0"/>
        <w:snapToGrid w:val="0"/>
        <w:spacing w:after="0" w:line="360" w:lineRule="auto"/>
        <w:jc w:val="center"/>
        <w:rPr>
          <w:rFonts w:hAnsi="宋体" w:cs="宋体"/>
          <w:color w:val="auto"/>
        </w:rPr>
      </w:pPr>
      <w:r>
        <w:rPr>
          <w:color w:val="000000"/>
          <w:highlight w:val="white"/>
        </w:rPr>
        <w:br w:type="page"/>
      </w:r>
      <w:r>
        <w:rPr>
          <w:rFonts w:hint="eastAsia" w:ascii="宋体" w:hAnsi="宋体" w:cs="宋体"/>
          <w:b/>
          <w:bCs/>
          <w:color w:val="000000"/>
          <w:sz w:val="36"/>
          <w:szCs w:val="36"/>
          <w:highlight w:val="white"/>
        </w:rPr>
        <w:t>格式5 投标函</w:t>
      </w:r>
    </w:p>
    <w:p>
      <w:pPr>
        <w:pStyle w:val="18"/>
        <w:topLinePunct/>
        <w:autoSpaceDE w:val="0"/>
        <w:autoSpaceDN w:val="0"/>
        <w:adjustRightInd w:val="0"/>
        <w:snapToGrid w:val="0"/>
        <w:spacing w:line="360" w:lineRule="auto"/>
        <w:rPr>
          <w:rFonts w:hint="eastAsia" w:hAnsi="宋体" w:cs="宋体"/>
          <w:color w:val="auto"/>
          <w:sz w:val="24"/>
        </w:rPr>
      </w:pPr>
    </w:p>
    <w:p>
      <w:pPr>
        <w:pStyle w:val="18"/>
        <w:keepNext w:val="0"/>
        <w:keepLines w:val="0"/>
        <w:pageBreakBefore w:val="0"/>
        <w:widowControl w:val="0"/>
        <w:kinsoku/>
        <w:wordWrap/>
        <w:overflowPunct/>
        <w:topLinePunct/>
        <w:autoSpaceDE w:val="0"/>
        <w:autoSpaceDN w:val="0"/>
        <w:bidi w:val="0"/>
        <w:adjustRightInd w:val="0"/>
        <w:snapToGrid w:val="0"/>
        <w:spacing w:after="0" w:line="360" w:lineRule="auto"/>
        <w:ind w:firstLine="0" w:firstLineChars="0"/>
        <w:textAlignment w:val="auto"/>
        <w:rPr>
          <w:rFonts w:hint="eastAsia" w:hAnsi="宋体"/>
          <w:color w:val="auto"/>
          <w:sz w:val="24"/>
        </w:rPr>
      </w:pPr>
      <w:r>
        <w:rPr>
          <w:rFonts w:hint="eastAsia" w:hAnsi="宋体" w:cs="宋体"/>
          <w:color w:val="000000"/>
          <w:sz w:val="24"/>
          <w:highlight w:val="white"/>
        </w:rPr>
        <w:t>致：</w:t>
      </w:r>
      <w:r>
        <w:rPr>
          <w:rFonts w:hint="eastAsia" w:hAnsi="宋体"/>
          <w:color w:val="000000"/>
          <w:sz w:val="24"/>
          <w:highlight w:val="white"/>
          <w:u w:val="single"/>
        </w:rPr>
        <w:t xml:space="preserve">        </w:t>
      </w:r>
      <w:r>
        <w:rPr>
          <w:rFonts w:hint="eastAsia" w:hAnsi="宋体"/>
          <w:color w:val="000000"/>
          <w:sz w:val="24"/>
          <w:highlight w:val="white"/>
          <w:lang w:eastAsia="zh-CN"/>
        </w:rPr>
        <w:t>（采购人名称）</w:t>
      </w:r>
    </w:p>
    <w:p>
      <w:pPr>
        <w:pStyle w:val="18"/>
        <w:keepNext w:val="0"/>
        <w:keepLines w:val="0"/>
        <w:pageBreakBefore w:val="0"/>
        <w:widowControl w:val="0"/>
        <w:kinsoku/>
        <w:wordWrap/>
        <w:overflowPunct/>
        <w:topLinePunct/>
        <w:autoSpaceDE w:val="0"/>
        <w:autoSpaceDN w:val="0"/>
        <w:bidi w:val="0"/>
        <w:adjustRightInd w:val="0"/>
        <w:snapToGrid w:val="0"/>
        <w:spacing w:beforeAutospacing="0" w:line="360" w:lineRule="auto"/>
        <w:ind w:firstLine="480" w:firstLineChars="200"/>
        <w:textAlignment w:val="auto"/>
        <w:rPr>
          <w:rFonts w:hAnsi="宋体" w:cs="宋体"/>
          <w:color w:val="auto"/>
          <w:sz w:val="24"/>
        </w:rPr>
      </w:pPr>
      <w:r>
        <w:rPr>
          <w:rFonts w:hint="eastAsia" w:hAnsi="宋体" w:cs="宋体"/>
          <w:color w:val="000000"/>
          <w:sz w:val="24"/>
          <w:highlight w:val="white"/>
        </w:rPr>
        <w:t>根据______（项目名称）（项目编号：______）的招标公告，______（姓名、职务）代表投标人______（投标人名称、地址）参加项目招标的有关活动。据此函，作如下承诺：</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1.同意在本项目招标文件中规定的开标日起</w:t>
      </w:r>
      <w:r>
        <w:rPr>
          <w:rFonts w:hint="eastAsia" w:cs="宋体"/>
          <w:color w:val="000000"/>
          <w:sz w:val="24"/>
          <w:highlight w:val="white"/>
          <w:u w:val="single"/>
        </w:rPr>
        <w:t>120天</w:t>
      </w:r>
      <w:r>
        <w:rPr>
          <w:rFonts w:hint="eastAsia" w:cs="宋体"/>
          <w:color w:val="000000"/>
          <w:sz w:val="24"/>
          <w:highlight w:val="white"/>
        </w:rPr>
        <w:t>遵守本投标文件中的承诺，且在期满之前均具有约束力。</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2.具备政府采购相关法律法规规定的参加政府采购活动的供应商应当具备的条件：</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（1）具有独立承担民事责任的能力；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（2）具有良好的商业信誉和健全的财务会计制度；</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（3）具有履行合同所必需的设备和专业技术能力；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（4）有依法缴纳税收和社会保障资金的良好记录；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（5）参加此项采购活动前三年内，在经营活动中没有重大违法记录。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 xml:space="preserve">（6）法律、行政法规规定的其他条件。 </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3.具备本项目招标文件中规定的其他要求和资质条件。</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4.提供投标人须知规定的全部投标文件。</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5.已详细审阅全部招标文件（包括招标文件澄清函），理解投标人须知的所有条款。</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6.完全理解贵方“最低报价不能作为中标的保证”的规定。</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7.接受招标文件中全部合同条款，且无任何异议；保证忠实地执行双方所签订的合同，并承担合同规定的责任和义务。</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8.完全满足和响应招标文件中的各项商务和技术要求，若有偏差，已在投标文件中明确说明。</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9.愿意提供任何与投标有关的数据、情况和技术资料等。若贵方需要，愿意提供一切证明材料。</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10.我方已详细审核全部投标文件、参考资料及有关附件，确认无误。</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hint="eastAsia" w:cs="宋体"/>
          <w:color w:val="auto"/>
          <w:sz w:val="24"/>
        </w:rPr>
      </w:pPr>
      <w:r>
        <w:rPr>
          <w:rFonts w:hint="eastAsia" w:cs="宋体"/>
          <w:color w:val="000000"/>
          <w:sz w:val="24"/>
          <w:highlight w:val="white"/>
        </w:rPr>
        <w:t>11.对本次招标内容及与本项目有关的知识产权、技术资料、商业秘密及相关信息保密。</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eastAsia" w:ascii="宋体" w:hAnsi="宋体" w:cs="宋体"/>
          <w:color w:val="auto"/>
        </w:rPr>
      </w:pPr>
      <w:r>
        <w:rPr>
          <w:rFonts w:hint="eastAsia" w:ascii="宋体" w:hAnsi="宋体" w:eastAsia="宋体" w:cs="宋体"/>
          <w:color w:val="000000"/>
          <w:sz w:val="24"/>
          <w:highlight w:val="white"/>
        </w:rPr>
        <w:t>12.</w:t>
      </w:r>
      <w:r>
        <w:rPr>
          <w:rFonts w:hint="eastAsia" w:ascii="宋体" w:hAnsi="宋体" w:eastAsia="宋体" w:cs="宋体"/>
          <w:color w:val="000000"/>
          <w:sz w:val="24"/>
          <w:highlight w:val="white"/>
          <w:lang w:val="en-US" w:eastAsia="zh-CN"/>
        </w:rPr>
        <w:t>已知悉并承诺遵守《税务系统信息化服务商失信行为记录名单制度(试行) 》关于失信行为进行记录和结果应用的相关规定，以及对于发生《政府采购合同文本》“违约责任”中所列失信行为的，将被限制参加税务系统政府采购活动的相关规定。</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default" w:ascii="宋体" w:hAnsi="宋体" w:cs="宋体"/>
          <w:color w:val="auto"/>
        </w:rPr>
      </w:pPr>
      <w:r>
        <w:rPr>
          <w:rFonts w:hint="default" w:ascii="宋体" w:hAnsi="宋体" w:eastAsia="宋体" w:cs="宋体"/>
          <w:color w:val="000000"/>
          <w:sz w:val="24"/>
          <w:highlight w:val="white"/>
        </w:rPr>
        <w:t>13.</w:t>
      </w:r>
      <w:r>
        <w:rPr>
          <w:rFonts w:hint="eastAsia" w:ascii="宋体" w:hAnsi="宋体" w:eastAsia="宋体" w:cs="宋体"/>
          <w:color w:val="000000"/>
          <w:sz w:val="24"/>
          <w:highlight w:val="white"/>
        </w:rPr>
        <w:t>已知悉并承诺遵守</w:t>
      </w:r>
      <w:r>
        <w:rPr>
          <w:rFonts w:hint="default" w:ascii="宋体" w:hAnsi="宋体" w:eastAsia="宋体" w:cs="宋体"/>
          <w:color w:val="000000"/>
          <w:sz w:val="24"/>
          <w:highlight w:val="white"/>
        </w:rPr>
        <w:t>采购文件中关于供应链安全管理的全部要求。</w:t>
      </w:r>
    </w:p>
    <w:p>
      <w:pPr>
        <w:pStyle w:val="27"/>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leftChars="0" w:right="0" w:firstLine="480" w:firstLineChars="200"/>
        <w:jc w:val="both"/>
        <w:rPr>
          <w:rFonts w:cs="宋体"/>
          <w:color w:val="auto"/>
        </w:rPr>
      </w:pPr>
      <w:r>
        <w:rPr>
          <w:rFonts w:hint="eastAsia" w:ascii="宋体" w:hAnsi="宋体" w:eastAsia="宋体" w:cs="宋体"/>
          <w:color w:val="000000"/>
          <w:kern w:val="0"/>
          <w:sz w:val="24"/>
          <w:szCs w:val="24"/>
          <w:highlight w:val="white"/>
          <w:lang w:val="en-US" w:eastAsia="zh-CN" w:bidi="ar"/>
        </w:rPr>
        <w:t>14.我方提交的投标文件真实有效，承诺公平参与市场竞争，不存在围标串标行为。</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投标人名称（公章）：____________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法定代表人（签字或签章）/被授权投标代表（签字）：____________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投标人地址：____________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邮编：____________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电话：____________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传真：____________</w:t>
      </w:r>
    </w:p>
    <w:p>
      <w:pPr>
        <w:pStyle w:val="76"/>
        <w:numPr>
          <w:ilvl w:val="0"/>
          <w:numId w:val="0"/>
        </w:numPr>
        <w:tabs>
          <w:tab w:val="left" w:pos="420"/>
          <w:tab w:val="clear" w:pos="900"/>
        </w:tabs>
        <w:topLinePunct/>
        <w:autoSpaceDE w:val="0"/>
        <w:autoSpaceDN w:val="0"/>
        <w:snapToGrid w:val="0"/>
        <w:spacing w:after="0" w:line="360" w:lineRule="auto"/>
        <w:ind w:left="480"/>
        <w:rPr>
          <w:rFonts w:cs="宋体"/>
          <w:color w:val="auto"/>
        </w:rPr>
      </w:pPr>
      <w:r>
        <w:rPr>
          <w:rFonts w:hint="eastAsia" w:cs="宋体"/>
          <w:color w:val="000000"/>
          <w:sz w:val="24"/>
          <w:highlight w:val="white"/>
        </w:rPr>
        <w:t xml:space="preserve">日  期：____________          </w:t>
      </w:r>
    </w:p>
    <w:p>
      <w:pPr>
        <w:tabs>
          <w:tab w:val="left" w:pos="1230"/>
        </w:tabs>
        <w:topLinePunct/>
        <w:autoSpaceDE w:val="0"/>
        <w:autoSpaceDN w:val="0"/>
        <w:snapToGrid w:val="0"/>
        <w:spacing w:line="400" w:lineRule="exact"/>
        <w:ind w:left="360"/>
        <w:rPr>
          <w:rFonts w:ascii="宋体" w:hAnsi="宋体" w:cs="宋体"/>
          <w:color w:val="auto"/>
        </w:rPr>
      </w:pPr>
    </w:p>
    <w:p>
      <w:pPr>
        <w:ind w:firstLine="420" w:firstLineChars="200"/>
        <w:rPr>
          <w:rFonts w:hAnsi="宋体" w:eastAsia="Times New Roman" w:cs="宋体"/>
          <w:color w:val="auto"/>
        </w:rPr>
      </w:pPr>
    </w:p>
    <w:p>
      <w:pPr>
        <w:adjustRightInd w:val="0"/>
        <w:snapToGrid w:val="0"/>
        <w:spacing w:after="0" w:line="360" w:lineRule="auto"/>
        <w:ind w:firstLine="0" w:firstLineChars="0"/>
        <w:jc w:val="both"/>
        <w:rPr>
          <w:rFonts w:hint="eastAsia" w:ascii="宋体" w:hAnsi="宋体" w:cs="宋体"/>
          <w:color w:val="auto"/>
        </w:rPr>
      </w:pPr>
      <w:r>
        <w:rPr>
          <w:rFonts w:hint="eastAsia" w:ascii="宋体" w:hAnsi="宋体" w:cs="宋体"/>
          <w:color w:val="000000"/>
          <w:highlight w:val="white"/>
        </w:rPr>
        <w:t>特别说明：</w:t>
      </w:r>
    </w:p>
    <w:p>
      <w:pPr>
        <w:adjustRightInd w:val="0"/>
        <w:snapToGrid w:val="0"/>
        <w:spacing w:after="0" w:line="360" w:lineRule="auto"/>
        <w:ind w:firstLine="420" w:firstLineChars="200"/>
        <w:jc w:val="left"/>
        <w:rPr>
          <w:rFonts w:hint="eastAsia" w:ascii="宋体" w:hAnsi="宋体" w:cs="宋体"/>
          <w:color w:val="auto"/>
          <w:szCs w:val="21"/>
          <w:highlight w:val="none"/>
        </w:rPr>
      </w:pPr>
      <w:r>
        <w:rPr>
          <w:rFonts w:hint="eastAsia" w:ascii="宋体" w:hAnsi="宋体" w:cs="宋体"/>
          <w:b w:val="0"/>
          <w:bCs w:val="0"/>
          <w:color w:val="000000"/>
          <w:sz w:val="21"/>
          <w:szCs w:val="21"/>
          <w:highlight w:val="white"/>
          <w:lang w:eastAsia="zh-CN"/>
        </w:rPr>
        <w:t>投标人</w:t>
      </w:r>
      <w:r>
        <w:rPr>
          <w:rFonts w:hint="eastAsia" w:ascii="宋体" w:hAnsi="宋体" w:cs="宋体"/>
          <w:color w:val="000000"/>
          <w:sz w:val="21"/>
          <w:szCs w:val="21"/>
          <w:highlight w:val="white"/>
        </w:rPr>
        <w:t>应当按</w:t>
      </w:r>
      <w:r>
        <w:rPr>
          <w:rFonts w:hint="eastAsia" w:ascii="宋体" w:hAnsi="宋体" w:cs="宋体"/>
          <w:color w:val="000000"/>
          <w:sz w:val="21"/>
          <w:szCs w:val="21"/>
          <w:highlight w:val="white"/>
          <w:lang w:eastAsia="zh-CN"/>
        </w:rPr>
        <w:t>上述</w:t>
      </w:r>
      <w:r>
        <w:rPr>
          <w:rFonts w:hint="eastAsia" w:ascii="宋体" w:hAnsi="宋体" w:cs="宋体"/>
          <w:color w:val="000000"/>
          <w:sz w:val="21"/>
          <w:szCs w:val="21"/>
          <w:highlight w:val="white"/>
        </w:rPr>
        <w:t>格式要求加盖与投标人名称全称一致的标准公章，并签署法定代表人或</w:t>
      </w:r>
      <w:r>
        <w:rPr>
          <w:rFonts w:hint="eastAsia" w:ascii="宋体" w:hAnsi="宋体" w:cs="宋体"/>
          <w:b w:val="0"/>
          <w:bCs/>
          <w:color w:val="000000"/>
          <w:sz w:val="21"/>
          <w:szCs w:val="21"/>
          <w:highlight w:val="white"/>
        </w:rPr>
        <w:t>被授权投标代表</w:t>
      </w:r>
      <w:r>
        <w:rPr>
          <w:rFonts w:hint="eastAsia" w:ascii="宋体" w:hAnsi="宋体" w:cs="宋体"/>
          <w:color w:val="000000"/>
          <w:sz w:val="21"/>
          <w:szCs w:val="21"/>
          <w:highlight w:val="white"/>
        </w:rPr>
        <w:t>的全名或加盖名章</w:t>
      </w:r>
      <w:r>
        <w:rPr>
          <w:rFonts w:hint="eastAsia" w:ascii="宋体" w:hAnsi="宋体" w:cs="宋体"/>
          <w:color w:val="000000"/>
          <w:sz w:val="21"/>
          <w:szCs w:val="21"/>
          <w:highlight w:val="white"/>
          <w:lang w:eastAsia="zh-CN"/>
        </w:rPr>
        <w:t>之后，上传扫描件。</w:t>
      </w:r>
    </w:p>
    <w:p>
      <w:pPr>
        <w:adjustRightInd w:val="0"/>
        <w:snapToGrid w:val="0"/>
        <w:spacing w:after="0" w:line="360" w:lineRule="auto"/>
        <w:ind w:firstLine="420" w:firstLineChars="200"/>
        <w:jc w:val="left"/>
      </w:pPr>
    </w:p>
    <w:p>
      <w:pPr>
        <w:spacing w:line="360" w:lineRule="auto"/>
        <w:jc w:val="center"/>
        <w:rPr>
          <w:rFonts w:ascii="宋体" w:hAnsi="宋体" w:cs="宋体"/>
          <w:b/>
          <w:bCs/>
          <w:color w:val="auto"/>
          <w:sz w:val="36"/>
          <w:szCs w:val="36"/>
        </w:rPr>
      </w:pPr>
      <w:r>
        <w:rPr>
          <w:color w:val="000000"/>
          <w:highlight w:val="white"/>
        </w:rPr>
        <w:br w:type="page"/>
      </w:r>
      <w:r>
        <w:rPr>
          <w:rFonts w:hint="eastAsia" w:ascii="宋体" w:hAnsi="宋体" w:cs="宋体"/>
          <w:b/>
          <w:bCs/>
          <w:color w:val="000000"/>
          <w:sz w:val="36"/>
          <w:szCs w:val="36"/>
          <w:highlight w:val="white"/>
        </w:rPr>
        <w:t>格式6 商务条款偏离表</w:t>
      </w:r>
    </w:p>
    <w:p>
      <w:pPr>
        <w:topLinePunct/>
        <w:autoSpaceDE w:val="0"/>
        <w:autoSpaceDN w:val="0"/>
        <w:spacing w:line="460" w:lineRule="exact"/>
        <w:jc w:val="center"/>
        <w:rPr>
          <w:rFonts w:ascii="宋体" w:hAnsi="宋体" w:cs="宋体"/>
          <w:color w:val="auto"/>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199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投标文件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偏离</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（无/正/负）</w:t>
            </w:r>
          </w:p>
        </w:tc>
        <w:tc>
          <w:tcPr>
            <w:tcW w:w="5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3</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4</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highlight w:val="white"/>
              </w:rPr>
              <w:t>……</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bl>
    <w:p>
      <w:pPr>
        <w:tabs>
          <w:tab w:val="left" w:pos="1230"/>
        </w:tabs>
        <w:topLinePunct/>
        <w:autoSpaceDE w:val="0"/>
        <w:autoSpaceDN w:val="0"/>
        <w:spacing w:after="0" w:line="360" w:lineRule="auto"/>
        <w:rPr>
          <w:rFonts w:hint="eastAsia" w:ascii="宋体" w:hAnsi="宋体" w:cs="宋体"/>
          <w:color w:val="auto"/>
          <w:szCs w:val="21"/>
        </w:rPr>
      </w:pPr>
    </w:p>
    <w:p>
      <w:pPr>
        <w:tabs>
          <w:tab w:val="left" w:pos="1230"/>
        </w:tabs>
        <w:topLinePunct/>
        <w:autoSpaceDE w:val="0"/>
        <w:autoSpaceDN w:val="0"/>
        <w:spacing w:after="0" w:line="360" w:lineRule="auto"/>
        <w:rPr>
          <w:rFonts w:ascii="宋体" w:hAnsi="宋体" w:cs="宋体"/>
          <w:color w:val="auto"/>
          <w:szCs w:val="21"/>
        </w:rPr>
      </w:pPr>
      <w:r>
        <w:rPr>
          <w:rFonts w:hint="eastAsia" w:ascii="宋体" w:hAnsi="宋体" w:cs="宋体"/>
          <w:color w:val="000000"/>
          <w:szCs w:val="21"/>
          <w:highlight w:val="white"/>
        </w:rPr>
        <w:t>特别说明：</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color w:val="auto"/>
          <w:szCs w:val="21"/>
        </w:rPr>
      </w:pPr>
      <w:r>
        <w:rPr>
          <w:rFonts w:hint="eastAsia" w:ascii="宋体" w:hAnsi="宋体" w:cs="宋体"/>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ascii="宋体" w:hAnsi="宋体" w:cs="宋体"/>
          <w:bCs/>
          <w:color w:val="000000"/>
          <w:szCs w:val="21"/>
          <w:highlight w:val="white"/>
        </w:rPr>
        <w:t>2.如《招标文件-商务部分》中有标注★号的，则为实质性要求，必须满足，如应答为“负偏离”，将导致投标无效。</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hint="eastAsia" w:ascii="宋体" w:hAnsi="宋体" w:cs="宋体"/>
          <w:bCs/>
          <w:color w:val="000000"/>
          <w:szCs w:val="21"/>
          <w:highlight w:val="white"/>
          <w:lang w:val="en-US" w:eastAsia="zh-CN"/>
        </w:rPr>
        <w:t>3</w:t>
      </w:r>
      <w:r>
        <w:rPr>
          <w:rFonts w:ascii="宋体" w:hAnsi="宋体" w:cs="宋体"/>
          <w:bCs/>
          <w:color w:val="000000"/>
          <w:szCs w:val="21"/>
          <w:highlight w:val="white"/>
        </w:rPr>
        <w:t>.本表可扩展。</w:t>
      </w:r>
    </w:p>
    <w:p>
      <w:pPr>
        <w:topLinePunct/>
        <w:autoSpaceDE w:val="0"/>
        <w:autoSpaceDN w:val="0"/>
        <w:spacing w:line="500" w:lineRule="exact"/>
        <w:rPr>
          <w:rFonts w:hAnsi="宋体"/>
          <w:color w:val="auto"/>
        </w:rPr>
      </w:pPr>
    </w:p>
    <w:p>
      <w:pPr>
        <w:tabs>
          <w:tab w:val="left" w:pos="1230"/>
        </w:tabs>
        <w:topLinePunct/>
        <w:autoSpaceDE w:val="0"/>
        <w:autoSpaceDN w:val="0"/>
        <w:spacing w:after="0" w:line="480" w:lineRule="auto"/>
        <w:ind w:firstLine="480" w:firstLineChars="200"/>
        <w:rPr>
          <w:rFonts w:ascii="宋体" w:hAnsi="宋体" w:cs="宋体"/>
          <w:color w:val="auto"/>
        </w:rPr>
      </w:pPr>
      <w:r>
        <w:rPr>
          <w:rFonts w:hint="eastAsia" w:ascii="宋体" w:hAnsi="宋体" w:cs="宋体"/>
          <w:color w:val="000000"/>
          <w:sz w:val="24"/>
          <w:highlight w:val="white"/>
        </w:rPr>
        <w:t>投标人名称（电子签章）：</w:t>
      </w:r>
    </w:p>
    <w:p>
      <w:pPr>
        <w:spacing w:after="0" w:line="480" w:lineRule="auto"/>
        <w:ind w:firstLine="480" w:firstLineChars="200"/>
        <w:rPr>
          <w:rFonts w:hAnsi="宋体" w:cs="宋体"/>
          <w:color w:val="auto"/>
          <w:u w:val="single"/>
        </w:rPr>
      </w:pPr>
      <w:r>
        <w:rPr>
          <w:rFonts w:hint="eastAsia" w:hAnsi="宋体" w:cs="宋体"/>
          <w:color w:val="000000"/>
          <w:sz w:val="24"/>
          <w:highlight w:val="white"/>
        </w:rPr>
        <w:t>日期：</w:t>
      </w:r>
    </w:p>
    <w:p/>
    <w:p>
      <w:pPr>
        <w:pStyle w:val="18"/>
        <w:topLinePunct/>
        <w:autoSpaceDE w:val="0"/>
        <w:autoSpaceDN w:val="0"/>
        <w:spacing w:line="460" w:lineRule="exact"/>
        <w:jc w:val="center"/>
        <w:rPr>
          <w:rFonts w:hAnsi="宋体" w:cs="宋体"/>
          <w:b/>
          <w:bCs/>
          <w:color w:val="auto"/>
          <w:sz w:val="36"/>
          <w:szCs w:val="36"/>
        </w:rPr>
      </w:pPr>
      <w:r>
        <w:rPr>
          <w:rFonts w:ascii="Times New Roman" w:hAnsi="Times New Roman" w:eastAsia="Times New Roman"/>
          <w:color w:val="000000"/>
          <w:sz w:val="24"/>
          <w:szCs w:val="24"/>
          <w:highlight w:val="white"/>
          <w:lang w:eastAsia="en-US"/>
        </w:rPr>
        <w:br w:type="page"/>
      </w:r>
      <w:r>
        <w:rPr>
          <w:rFonts w:hint="eastAsia" w:hAnsi="宋体" w:cs="宋体"/>
          <w:b/>
          <w:bCs/>
          <w:color w:val="000000"/>
          <w:sz w:val="36"/>
          <w:szCs w:val="36"/>
          <w:highlight w:val="white"/>
        </w:rPr>
        <w:t>格式7 残疾人福利性单位声明函</w:t>
      </w:r>
    </w:p>
    <w:p>
      <w:pPr>
        <w:spacing w:line="588" w:lineRule="exact"/>
        <w:rPr>
          <w:rFonts w:ascii="宋体" w:hAnsi="宋体" w:cs="宋体"/>
          <w:b/>
          <w:color w:val="auto"/>
          <w:spacing w:val="6"/>
          <w:sz w:val="30"/>
          <w:szCs w:val="30"/>
        </w:rPr>
      </w:pPr>
    </w:p>
    <w:p>
      <w:pPr>
        <w:spacing w:line="588" w:lineRule="exact"/>
        <w:ind w:firstLine="504" w:firstLineChars="200"/>
        <w:rPr>
          <w:rFonts w:ascii="宋体" w:hAnsi="宋体" w:cs="宋体"/>
          <w:color w:val="auto"/>
          <w:spacing w:val="6"/>
        </w:rPr>
      </w:pPr>
      <w:r>
        <w:rPr>
          <w:rFonts w:hint="eastAsia" w:ascii="宋体" w:hAnsi="宋体" w:cs="宋体"/>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588" w:lineRule="exact"/>
        <w:ind w:firstLine="504" w:firstLineChars="200"/>
        <w:rPr>
          <w:rFonts w:ascii="宋体" w:hAnsi="宋体" w:cs="宋体"/>
          <w:color w:val="auto"/>
          <w:spacing w:val="6"/>
        </w:rPr>
      </w:pPr>
      <w:r>
        <w:rPr>
          <w:rFonts w:hint="eastAsia" w:ascii="宋体" w:hAnsi="宋体" w:cs="宋体"/>
          <w:color w:val="000000"/>
          <w:spacing w:val="6"/>
          <w:sz w:val="24"/>
          <w:highlight w:val="white"/>
        </w:rPr>
        <w:t>本单位对上述声明的真实性负责。如有虚假，将依法承担相应责任。</w:t>
      </w:r>
    </w:p>
    <w:p>
      <w:pPr>
        <w:spacing w:line="588" w:lineRule="exact"/>
        <w:ind w:firstLine="444" w:firstLineChars="200"/>
        <w:rPr>
          <w:rFonts w:ascii="宋体" w:hAnsi="宋体"/>
          <w:color w:val="auto"/>
          <w:spacing w:val="6"/>
        </w:rPr>
      </w:pPr>
    </w:p>
    <w:p>
      <w:pPr>
        <w:spacing w:line="588" w:lineRule="exact"/>
        <w:ind w:firstLine="444" w:firstLineChars="200"/>
        <w:rPr>
          <w:rFonts w:ascii="宋体" w:hAnsi="宋体"/>
          <w:color w:val="auto"/>
          <w:spacing w:val="6"/>
        </w:rPr>
      </w:pPr>
    </w:p>
    <w:p>
      <w:pPr>
        <w:spacing w:line="588" w:lineRule="exact"/>
        <w:ind w:firstLine="3654" w:firstLineChars="1450"/>
        <w:rPr>
          <w:rFonts w:ascii="宋体" w:hAnsi="宋体"/>
          <w:color w:val="auto"/>
          <w:spacing w:val="6"/>
        </w:rPr>
      </w:pPr>
      <w:r>
        <w:rPr>
          <w:rFonts w:hint="eastAsia" w:ascii="宋体" w:hAnsi="宋体"/>
          <w:color w:val="000000"/>
          <w:spacing w:val="6"/>
          <w:sz w:val="24"/>
          <w:highlight w:val="white"/>
        </w:rPr>
        <w:t>单位名称（</w:t>
      </w:r>
      <w:r>
        <w:rPr>
          <w:rFonts w:hint="eastAsia" w:hAnsi="宋体" w:cs="宋体"/>
          <w:color w:val="000000"/>
          <w:sz w:val="24"/>
          <w:highlight w:val="white"/>
        </w:rPr>
        <w:t>电子签章</w:t>
      </w:r>
      <w:r>
        <w:rPr>
          <w:rFonts w:hint="eastAsia" w:ascii="宋体" w:hAnsi="宋体"/>
          <w:color w:val="000000"/>
          <w:spacing w:val="6"/>
          <w:sz w:val="24"/>
          <w:highlight w:val="white"/>
        </w:rPr>
        <w:t>）：</w:t>
      </w:r>
    </w:p>
    <w:p>
      <w:pPr>
        <w:spacing w:line="588" w:lineRule="exact"/>
        <w:ind w:firstLine="3780" w:firstLineChars="1500"/>
        <w:rPr>
          <w:rFonts w:ascii="宋体" w:hAnsi="宋体"/>
          <w:color w:val="auto"/>
          <w:spacing w:val="6"/>
        </w:rPr>
      </w:pPr>
      <w:r>
        <w:rPr>
          <w:rFonts w:hint="eastAsia" w:ascii="宋体" w:hAnsi="宋体"/>
          <w:color w:val="000000"/>
          <w:spacing w:val="6"/>
          <w:sz w:val="24"/>
          <w:highlight w:val="white"/>
        </w:rPr>
        <w:t>日期：</w:t>
      </w:r>
    </w:p>
    <w:p>
      <w:r>
        <w:rPr>
          <w:rFonts w:hint="eastAsia" w:ascii="宋体" w:hAnsi="宋体"/>
          <w:color w:val="000000"/>
          <w:spacing w:val="6"/>
          <w:sz w:val="24"/>
          <w:highlight w:val="white"/>
        </w:rPr>
        <w:t>：</w:t>
      </w:r>
    </w:p>
    <w:p>
      <w:pPr>
        <w:pStyle w:val="76"/>
        <w:numPr>
          <w:ilvl w:val="0"/>
          <w:numId w:val="0"/>
        </w:numPr>
        <w:tabs>
          <w:tab w:val="left" w:pos="420"/>
          <w:tab w:val="clear" w:pos="900"/>
        </w:tabs>
        <w:snapToGrid w:val="0"/>
        <w:spacing w:line="460" w:lineRule="atLeast"/>
        <w:ind w:left="0" w:firstLine="0"/>
        <w:jc w:val="center"/>
        <w:rPr>
          <w:rFonts w:cs="宋体"/>
          <w:color w:val="auto"/>
        </w:rPr>
      </w:pPr>
      <w:r>
        <w:rPr>
          <w:rFonts w:ascii="Times New Roman" w:hAnsi="Times New Roman" w:eastAsia="Times New Roman"/>
          <w:color w:val="000000"/>
          <w:sz w:val="24"/>
          <w:szCs w:val="24"/>
          <w:highlight w:val="white"/>
          <w:lang w:eastAsia="en-US"/>
        </w:rPr>
        <w:br w:type="page"/>
      </w:r>
      <w:r>
        <w:rPr>
          <w:rFonts w:hint="eastAsia" w:cs="宋体"/>
          <w:b/>
          <w:bCs/>
          <w:color w:val="000000"/>
          <w:kern w:val="44"/>
          <w:sz w:val="36"/>
          <w:szCs w:val="36"/>
          <w:highlight w:val="white"/>
        </w:rPr>
        <w:t>格式8 成功案例一览表</w:t>
      </w:r>
    </w:p>
    <w:tbl>
      <w:tblPr>
        <w:tblStyle w:val="30"/>
        <w:tblpPr w:leftFromText="180" w:rightFromText="180" w:vertAnchor="text" w:horzAnchor="page" w:tblpX="1886" w:tblpY="1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名称</w:t>
            </w: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甲方</w:t>
            </w:r>
          </w:p>
        </w:tc>
        <w:tc>
          <w:tcPr>
            <w:tcW w:w="7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合同时间</w:t>
            </w: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金额</w:t>
            </w: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合同主要</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内容</w:t>
            </w: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用  户</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联系人</w:t>
            </w: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用户联</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系电话</w:t>
            </w: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lang w:val="en-US" w:eastAsia="zh-CN"/>
              </w:rPr>
              <w:t>3</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lang w:val="en-US" w:eastAsia="zh-CN"/>
              </w:rPr>
              <w:t>4</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lang w:val="en-US" w:eastAsia="zh-CN"/>
              </w:rPr>
              <w:t>5</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rPr>
              <w:t>……</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bl>
    <w:p>
      <w:pPr>
        <w:spacing w:line="300" w:lineRule="exact"/>
        <w:rPr>
          <w:rFonts w:ascii="宋体" w:hAnsi="宋体" w:cs="宋体"/>
          <w:color w:val="auto"/>
        </w:rPr>
      </w:pPr>
    </w:p>
    <w:p>
      <w:pPr>
        <w:adjustRightInd w:val="0"/>
        <w:snapToGrid w:val="0"/>
        <w:spacing w:after="0" w:line="360" w:lineRule="auto"/>
        <w:rPr>
          <w:rFonts w:ascii="宋体" w:hAnsi="宋体" w:cs="宋体"/>
          <w:color w:val="auto"/>
        </w:rPr>
      </w:pPr>
      <w:r>
        <w:rPr>
          <w:rFonts w:hint="eastAsia" w:ascii="宋体" w:hAnsi="宋体" w:cs="宋体"/>
          <w:color w:val="000000"/>
          <w:highlight w:val="white"/>
        </w:rPr>
        <w:t>特别说明：</w:t>
      </w:r>
    </w:p>
    <w:p>
      <w:pPr>
        <w:numPr>
          <w:ilvl w:val="0"/>
          <w:numId w:val="9"/>
        </w:numPr>
        <w:tabs>
          <w:tab w:val="left" w:pos="640"/>
        </w:tabs>
        <w:adjustRightInd w:val="0"/>
        <w:snapToGrid w:val="0"/>
        <w:spacing w:after="0" w:line="360" w:lineRule="auto"/>
        <w:ind w:firstLine="420" w:firstLineChars="200"/>
        <w:rPr>
          <w:rFonts w:ascii="宋体" w:hAnsi="宋体" w:cs="宋体"/>
          <w:color w:val="auto"/>
          <w:szCs w:val="21"/>
        </w:rPr>
      </w:pPr>
      <w:r>
        <w:rPr>
          <w:rFonts w:hint="eastAsia" w:ascii="宋体" w:hAnsi="宋体" w:cs="宋体"/>
          <w:color w:val="000000"/>
          <w:szCs w:val="21"/>
          <w:highlight w:val="white"/>
        </w:rPr>
        <w:t>提供</w:t>
      </w:r>
      <w:r>
        <w:rPr>
          <w:rFonts w:hint="eastAsia" w:ascii="宋体" w:hAnsi="宋体" w:cs="宋体"/>
          <w:color w:val="000000"/>
          <w:szCs w:val="21"/>
          <w:highlight w:val="white"/>
          <w:lang w:val="en-US" w:eastAsia="zh-CN"/>
        </w:rPr>
        <w:t>2022年1月1日以来（以合同签订日期为准），投标人独立承担的物业服务项目案例。</w:t>
      </w:r>
    </w:p>
    <w:p>
      <w:pPr>
        <w:widowControl/>
        <w:tabs>
          <w:tab w:val="left" w:pos="0"/>
          <w:tab w:val="left" w:pos="420"/>
        </w:tabs>
        <w:adjustRightInd w:val="0"/>
        <w:snapToGrid w:val="0"/>
        <w:spacing w:after="0" w:line="360" w:lineRule="auto"/>
        <w:ind w:firstLine="420" w:firstLineChars="200"/>
        <w:jc w:val="left"/>
        <w:rPr>
          <w:rFonts w:ascii="宋体" w:hAnsi="宋体" w:cs="宋体"/>
          <w:color w:val="auto"/>
          <w:szCs w:val="21"/>
        </w:rPr>
      </w:pPr>
      <w:r>
        <w:rPr>
          <w:rFonts w:hint="eastAsia" w:ascii="宋体" w:hAnsi="宋体" w:cs="宋体"/>
          <w:color w:val="000000"/>
          <w:szCs w:val="21"/>
          <w:highlight w:val="white"/>
          <w:lang w:val="en-US" w:eastAsia="zh-CN"/>
        </w:rPr>
        <w:t>2.</w:t>
      </w:r>
      <w:r>
        <w:rPr>
          <w:rFonts w:hint="eastAsia" w:ascii="宋体" w:hAnsi="宋体" w:cs="宋体"/>
          <w:color w:val="000000"/>
          <w:szCs w:val="21"/>
          <w:highlight w:val="white"/>
        </w:rPr>
        <w:t>应提供</w:t>
      </w:r>
      <w:r>
        <w:rPr>
          <w:rFonts w:hint="eastAsia" w:ascii="宋体" w:hAnsi="宋体" w:cs="宋体"/>
          <w:b/>
          <w:bCs/>
          <w:color w:val="000000"/>
          <w:szCs w:val="21"/>
          <w:highlight w:val="white"/>
        </w:rPr>
        <w:t>合同扫描件</w:t>
      </w:r>
      <w:r>
        <w:rPr>
          <w:rFonts w:hint="eastAsia" w:ascii="宋体" w:hAnsi="宋体" w:cs="宋体"/>
          <w:b/>
          <w:bCs/>
          <w:color w:val="000000"/>
          <w:szCs w:val="21"/>
          <w:highlight w:val="white"/>
          <w:lang w:eastAsia="zh-CN"/>
        </w:rPr>
        <w:t>，</w:t>
      </w:r>
      <w:r>
        <w:rPr>
          <w:rFonts w:hint="eastAsia" w:ascii="宋体" w:hAnsi="宋体" w:cs="宋体"/>
          <w:color w:val="000000"/>
          <w:szCs w:val="21"/>
          <w:highlight w:val="white"/>
        </w:rPr>
        <w:t>合同扫描件应能清晰体现合同甲乙双方、合同时间、合同金额、合同主要内容等</w:t>
      </w:r>
      <w:r>
        <w:rPr>
          <w:rFonts w:hint="eastAsia" w:ascii="宋体" w:hAnsi="宋体" w:cs="宋体"/>
          <w:color w:val="000000"/>
          <w:szCs w:val="21"/>
          <w:highlight w:val="white"/>
          <w:lang w:eastAsia="zh-CN"/>
        </w:rPr>
        <w:t>。</w:t>
      </w:r>
      <w:r>
        <w:rPr>
          <w:rFonts w:hint="eastAsia" w:ascii="宋体" w:hAnsi="宋体" w:cs="宋体"/>
          <w:color w:val="000000"/>
          <w:szCs w:val="21"/>
          <w:highlight w:val="white"/>
        </w:rPr>
        <w:t>并提供对方联系人及联系方式，否则不能获得相应分值。</w:t>
      </w:r>
    </w:p>
    <w:p>
      <w:pPr>
        <w:widowControl/>
        <w:autoSpaceDE w:val="0"/>
        <w:jc w:val="center"/>
        <w:rPr>
          <w:rFonts w:ascii="宋体" w:hAnsi="宋体"/>
          <w:b/>
          <w:bCs/>
          <w:sz w:val="36"/>
          <w:szCs w:val="36"/>
        </w:rPr>
      </w:pPr>
    </w:p>
    <w:p>
      <w:pPr>
        <w:rPr>
          <w:rFonts w:ascii="宋体" w:hAnsi="宋体" w:cs="宋体"/>
          <w:b w:val="0"/>
          <w:bCs w:val="0"/>
          <w:color w:val="auto"/>
          <w:sz w:val="24"/>
          <w:szCs w:val="24"/>
          <w:highlight w:val="none"/>
        </w:rPr>
      </w:pPr>
      <w:r>
        <w:rPr>
          <w:rFonts w:ascii="宋体" w:hAnsi="宋体" w:cs="宋体"/>
          <w:b w:val="0"/>
          <w:bCs w:val="0"/>
          <w:color w:val="000000"/>
          <w:sz w:val="24"/>
          <w:szCs w:val="24"/>
          <w:highlight w:val="whit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000000"/>
          <w:sz w:val="36"/>
          <w:szCs w:val="36"/>
          <w:highlight w:val="white"/>
        </w:rPr>
        <w:t>投标文件技术部分文件格式</w:t>
      </w:r>
    </w:p>
    <w:p>
      <w:pPr>
        <w:jc w:val="center"/>
        <w:rPr>
          <w:rFonts w:ascii="宋体" w:hAnsi="宋体" w:cs="宋体"/>
          <w:b/>
          <w:bCs/>
          <w:color w:val="auto"/>
          <w:sz w:val="36"/>
          <w:szCs w:val="36"/>
        </w:rPr>
      </w:pPr>
      <w:r>
        <w:rPr>
          <w:rFonts w:hint="eastAsia" w:ascii="宋体" w:hAnsi="宋体" w:cs="宋体"/>
          <w:b/>
          <w:bCs/>
          <w:color w:val="000000"/>
          <w:sz w:val="36"/>
          <w:szCs w:val="36"/>
          <w:highlight w:val="white"/>
        </w:rPr>
        <w:t>格式9 技术条款偏离表</w:t>
      </w:r>
    </w:p>
    <w:tbl>
      <w:tblPr>
        <w:tblStyle w:val="30"/>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1229" w:type="dxa"/>
            <w:noWrap w:val="0"/>
            <w:vAlign w:val="top"/>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技术部分序号</w:t>
            </w:r>
          </w:p>
        </w:tc>
        <w:tc>
          <w:tcPr>
            <w:tcW w:w="1401" w:type="dxa"/>
            <w:noWrap w:val="0"/>
            <w:vAlign w:val="center"/>
          </w:tcPr>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lang w:bidi="ar"/>
              </w:rPr>
            </w:pPr>
            <w:r>
              <w:rPr>
                <w:rFonts w:hint="eastAsia" w:ascii="宋体" w:hAnsi="宋体" w:eastAsia="宋体" w:cs="宋体"/>
                <w:b/>
                <w:color w:val="000000"/>
                <w:kern w:val="2"/>
                <w:sz w:val="24"/>
                <w:szCs w:val="24"/>
                <w:highlight w:val="white"/>
                <w:lang w:val="en-US" w:eastAsia="zh-CN" w:bidi="ar"/>
              </w:rPr>
              <w:t>重要性</w:t>
            </w:r>
          </w:p>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color w:val="auto"/>
              </w:rPr>
            </w:pPr>
            <w:r>
              <w:rPr>
                <w:rFonts w:hint="eastAsia" w:ascii="宋体" w:hAnsi="宋体" w:eastAsia="宋体" w:cs="宋体"/>
                <w:b/>
                <w:color w:val="000000"/>
                <w:kern w:val="2"/>
                <w:sz w:val="24"/>
                <w:szCs w:val="24"/>
                <w:highlight w:val="white"/>
                <w:lang w:val="en-US" w:eastAsia="zh-CN" w:bidi="ar"/>
              </w:rPr>
              <w:t>（</w:t>
            </w:r>
            <w:r>
              <w:rPr>
                <w:rFonts w:hint="eastAsia" w:ascii="宋体" w:hAnsi="宋体" w:eastAsia="宋体" w:cs="宋体"/>
                <w:color w:val="000000"/>
                <w:kern w:val="2"/>
                <w:sz w:val="21"/>
                <w:szCs w:val="21"/>
                <w:highlight w:val="white"/>
                <w:lang w:val="en-US" w:eastAsia="zh-CN" w:bidi="ar"/>
              </w:rPr>
              <w:t>★#△</w:t>
            </w:r>
            <w:r>
              <w:rPr>
                <w:rFonts w:hint="eastAsia" w:ascii="宋体" w:hAnsi="宋体" w:eastAsia="宋体" w:cs="宋体"/>
                <w:b/>
                <w:color w:val="000000"/>
                <w:kern w:val="2"/>
                <w:sz w:val="24"/>
                <w:szCs w:val="24"/>
                <w:highlight w:val="white"/>
                <w:lang w:val="en-US" w:eastAsia="zh-CN" w:bidi="ar"/>
              </w:rPr>
              <w:t>）</w:t>
            </w: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技术部分内容要求</w:t>
            </w: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投标文件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应答情况</w:t>
            </w: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cs="宋体"/>
                <w:b/>
                <w:color w:val="auto"/>
              </w:rPr>
            </w:pPr>
            <w:r>
              <w:rPr>
                <w:rFonts w:hint="eastAsia" w:ascii="宋体" w:hAnsi="宋体" w:cs="宋体"/>
                <w:b/>
                <w:color w:val="000000"/>
                <w:sz w:val="24"/>
                <w:highlight w:val="white"/>
              </w:rPr>
              <w:t>偏离</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（无/正/负）</w:t>
            </w: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3</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4</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5</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bl>
    <w:p>
      <w:pPr>
        <w:adjustRightInd w:val="0"/>
        <w:snapToGrid w:val="0"/>
        <w:spacing w:after="0" w:line="360" w:lineRule="auto"/>
        <w:ind w:firstLine="420" w:firstLineChars="200"/>
        <w:rPr>
          <w:rFonts w:hint="eastAsia" w:ascii="宋体" w:hAnsi="宋体" w:cs="宋体"/>
          <w:color w:val="auto"/>
        </w:rPr>
      </w:pPr>
    </w:p>
    <w:p>
      <w:pPr>
        <w:keepNext w:val="0"/>
        <w:keepLines w:val="0"/>
        <w:pageBreakBefore w:val="0"/>
        <w:widowControl w:val="0"/>
        <w:kinsoku/>
        <w:wordWrap/>
        <w:overflowPunct/>
        <w:bidi w:val="0"/>
        <w:adjustRightInd w:val="0"/>
        <w:snapToGrid w:val="0"/>
        <w:spacing w:after="0" w:line="240" w:lineRule="auto"/>
        <w:ind w:firstLine="420" w:firstLineChars="200"/>
        <w:textAlignment w:val="auto"/>
        <w:rPr>
          <w:rFonts w:hint="eastAsia" w:ascii="宋体" w:hAnsi="宋体" w:cs="宋体"/>
          <w:color w:val="auto"/>
          <w:szCs w:val="21"/>
        </w:rPr>
      </w:pP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ascii="宋体" w:hAnsi="宋体" w:cs="宋体"/>
          <w:color w:val="auto"/>
          <w:szCs w:val="21"/>
        </w:rPr>
      </w:pPr>
      <w:r>
        <w:rPr>
          <w:rFonts w:hint="eastAsia" w:ascii="宋体" w:hAnsi="宋体" w:cs="宋体"/>
          <w:color w:val="000000"/>
          <w:sz w:val="21"/>
          <w:szCs w:val="21"/>
          <w:highlight w:val="white"/>
        </w:rPr>
        <w:t>特别说明：</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1.按照《招标文件-技术部分》内容要求，一一对应填写。如果对《招标文件-技术部分》内容不做一一响应，而将“投标文件应答情况”简单笼统描述为“无偏离”，则视为无效应答。</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2.《招标文件-技术部分》内容须条对条应答，不得遗漏。如无偏离，请在此表中填写“无偏离”。如有偏离，请在此表中应答为“正/负偏离”并说明偏离情况</w:t>
      </w:r>
      <w:r>
        <w:rPr>
          <w:rFonts w:hint="eastAsia" w:ascii="宋体" w:hAnsi="宋体" w:cs="宋体"/>
          <w:color w:val="000000"/>
          <w:sz w:val="21"/>
          <w:szCs w:val="21"/>
          <w:highlight w:val="white"/>
          <w:lang w:eastAsia="zh-CN"/>
        </w:rPr>
        <w:t>。</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3.如《招标文件-技术部分》中有标注★号的，则为实质性要求，必须满足，如应答为“负偏离”</w:t>
      </w:r>
      <w:r>
        <w:rPr>
          <w:rFonts w:hint="eastAsia" w:ascii="宋体" w:hAnsi="宋体" w:cs="宋体"/>
          <w:color w:val="000000"/>
          <w:sz w:val="21"/>
          <w:szCs w:val="21"/>
          <w:highlight w:val="white"/>
          <w:lang w:eastAsia="zh-CN"/>
        </w:rPr>
        <w:t>或未应答</w:t>
      </w:r>
      <w:r>
        <w:rPr>
          <w:rFonts w:hint="eastAsia" w:ascii="宋体" w:hAnsi="宋体" w:cs="宋体"/>
          <w:color w:val="000000"/>
          <w:sz w:val="21"/>
          <w:szCs w:val="21"/>
          <w:highlight w:val="white"/>
        </w:rPr>
        <w:t>，将导致投标无效。</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hint="eastAsia" w:ascii="宋体" w:hAnsi="宋体" w:cs="宋体"/>
          <w:color w:val="000000"/>
          <w:sz w:val="21"/>
          <w:szCs w:val="21"/>
          <w:highlight w:val="white"/>
        </w:rPr>
        <w:t>4.</w:t>
      </w:r>
      <w:r>
        <w:rPr>
          <w:rFonts w:hint="eastAsia" w:ascii="宋体" w:hAnsi="宋体" w:eastAsia="宋体" w:cs="宋体"/>
          <w:color w:val="000000"/>
          <w:kern w:val="2"/>
          <w:sz w:val="21"/>
          <w:szCs w:val="21"/>
          <w:highlight w:val="white"/>
          <w:lang w:val="en-US" w:eastAsia="zh-CN" w:bidi="ar"/>
        </w:rPr>
        <w:t>如《</w:t>
      </w:r>
      <w:r>
        <w:rPr>
          <w:rFonts w:hint="default" w:ascii="宋体" w:hAnsi="宋体" w:cs="宋体"/>
          <w:color w:val="000000"/>
          <w:kern w:val="2"/>
          <w:sz w:val="21"/>
          <w:szCs w:val="21"/>
          <w:highlight w:val="white"/>
          <w:lang w:eastAsia="zh-CN" w:bidi="ar"/>
        </w:rPr>
        <w:t>招标</w:t>
      </w:r>
      <w:r>
        <w:rPr>
          <w:rFonts w:hint="eastAsia" w:ascii="宋体" w:hAnsi="宋体" w:eastAsia="宋体" w:cs="宋体"/>
          <w:color w:val="000000"/>
          <w:kern w:val="2"/>
          <w:sz w:val="21"/>
          <w:szCs w:val="21"/>
          <w:highlight w:val="white"/>
          <w:lang w:val="en-US" w:eastAsia="zh-CN" w:bidi="ar"/>
        </w:rPr>
        <w:t>文件-技术部分》中有标注“#”为重要指标</w:t>
      </w:r>
      <w:r>
        <w:rPr>
          <w:rFonts w:hint="eastAsia" w:ascii="宋体" w:hAnsi="宋体" w:cs="宋体"/>
          <w:color w:val="000000"/>
          <w:kern w:val="2"/>
          <w:sz w:val="21"/>
          <w:szCs w:val="21"/>
          <w:highlight w:val="white"/>
          <w:lang w:val="en-US" w:eastAsia="zh-CN" w:bidi="ar"/>
        </w:rPr>
        <w:t>项</w:t>
      </w:r>
      <w:r>
        <w:rPr>
          <w:rFonts w:hint="eastAsia" w:ascii="宋体" w:hAnsi="宋体" w:eastAsia="宋体" w:cs="宋体"/>
          <w:color w:val="000000"/>
          <w:kern w:val="2"/>
          <w:sz w:val="21"/>
          <w:szCs w:val="21"/>
          <w:highlight w:val="white"/>
          <w:lang w:val="en-US" w:eastAsia="zh-CN" w:bidi="ar"/>
        </w:rPr>
        <w:t>、标注“△”为一般指标项，接受供应商应答为“负偏离”；如供应商应答为</w:t>
      </w:r>
      <w:r>
        <w:rPr>
          <w:rFonts w:hint="eastAsia" w:ascii="宋体" w:hAnsi="宋体" w:eastAsia="宋体" w:cs="宋体"/>
          <w:b w:val="0"/>
          <w:color w:val="000000"/>
          <w:kern w:val="2"/>
          <w:sz w:val="21"/>
          <w:szCs w:val="21"/>
          <w:highlight w:val="white"/>
          <w:lang w:val="en-US" w:eastAsia="zh-CN" w:bidi="ar"/>
        </w:rPr>
        <w:t>“无偏离”或“正偏离”，</w:t>
      </w:r>
      <w:r>
        <w:rPr>
          <w:rFonts w:hint="eastAsia" w:ascii="宋体" w:hAnsi="宋体" w:eastAsia="宋体" w:cs="宋体"/>
          <w:color w:val="000000"/>
          <w:kern w:val="2"/>
          <w:sz w:val="21"/>
          <w:szCs w:val="21"/>
          <w:highlight w:val="white"/>
          <w:lang w:val="en-US" w:eastAsia="zh-CN" w:bidi="ar"/>
        </w:rPr>
        <w:t>将根据评审标准在评审时</w:t>
      </w:r>
      <w:r>
        <w:rPr>
          <w:rFonts w:hint="eastAsia" w:ascii="宋体" w:hAnsi="宋体" w:cs="宋体"/>
          <w:color w:val="000000"/>
          <w:kern w:val="2"/>
          <w:sz w:val="21"/>
          <w:szCs w:val="21"/>
          <w:highlight w:val="white"/>
          <w:lang w:val="en-US" w:eastAsia="zh-CN" w:bidi="ar"/>
        </w:rPr>
        <w:t>获得相应分值</w:t>
      </w:r>
      <w:r>
        <w:rPr>
          <w:rFonts w:hint="eastAsia" w:ascii="宋体" w:hAnsi="宋体" w:eastAsia="宋体" w:cs="宋体"/>
          <w:color w:val="000000"/>
          <w:kern w:val="2"/>
          <w:sz w:val="21"/>
          <w:szCs w:val="21"/>
          <w:highlight w:val="white"/>
          <w:lang w:val="en-US" w:eastAsia="zh-CN" w:bidi="ar"/>
        </w:rPr>
        <w:t>。</w:t>
      </w:r>
    </w:p>
    <w:p>
      <w:pPr>
        <w:keepNext w:val="0"/>
        <w:keepLines w:val="0"/>
        <w:pageBreakBefore w:val="0"/>
        <w:widowControl w:val="0"/>
        <w:kinsoku/>
        <w:wordWrap/>
        <w:overflowPunct/>
        <w:topLinePunct w:val="0"/>
        <w:autoSpaceDE/>
        <w:autoSpaceDN/>
        <w:bidi w:val="0"/>
        <w:adjustRightInd w:val="0"/>
        <w:snapToGrid w:val="0"/>
        <w:spacing w:beforeAutospacing="0" w:line="240" w:lineRule="auto"/>
        <w:ind w:firstLine="420" w:firstLineChars="200"/>
        <w:textAlignment w:val="auto"/>
        <w:rPr>
          <w:rFonts w:hAnsi="宋体" w:cs="宋体"/>
          <w:color w:val="auto"/>
        </w:rPr>
      </w:pPr>
    </w:p>
    <w:p>
      <w:pPr>
        <w:pStyle w:val="2"/>
        <w:rPr>
          <w:color w:val="auto"/>
        </w:rPr>
      </w:pPr>
    </w:p>
    <w:p>
      <w:pPr>
        <w:adjustRightInd w:val="0"/>
        <w:snapToGrid w:val="0"/>
        <w:spacing w:line="360" w:lineRule="auto"/>
        <w:ind w:firstLine="480" w:firstLineChars="200"/>
        <w:rPr>
          <w:rFonts w:hAnsi="宋体" w:cs="宋体"/>
          <w:color w:val="auto"/>
        </w:rPr>
      </w:pPr>
      <w:r>
        <w:rPr>
          <w:rFonts w:hint="eastAsia" w:hAnsi="宋体" w:cs="宋体"/>
          <w:color w:val="000000"/>
          <w:sz w:val="24"/>
          <w:highlight w:val="white"/>
        </w:rPr>
        <w:t>投标人名称（电子签章）：</w:t>
      </w:r>
    </w:p>
    <w:p>
      <w:pPr>
        <w:adjustRightInd w:val="0"/>
        <w:snapToGrid w:val="0"/>
        <w:spacing w:line="360" w:lineRule="auto"/>
        <w:ind w:firstLine="480" w:firstLineChars="200"/>
        <w:rPr>
          <w:rFonts w:hint="eastAsia"/>
        </w:rPr>
      </w:pPr>
      <w:r>
        <w:rPr>
          <w:rFonts w:hint="eastAsia" w:hAnsi="宋体" w:cs="宋体"/>
          <w:color w:val="000000"/>
          <w:sz w:val="24"/>
          <w:highlight w:val="white"/>
        </w:rPr>
        <w:t>日期：</w:t>
      </w:r>
    </w:p>
    <w:p>
      <w:pPr>
        <w:topLinePunct/>
        <w:autoSpaceDE w:val="0"/>
        <w:autoSpaceDN w:val="0"/>
        <w:spacing w:line="460" w:lineRule="exact"/>
        <w:jc w:val="center"/>
        <w:rPr>
          <w:rFonts w:hint="eastAsia" w:ascii="宋体" w:hAnsi="宋体" w:cs="宋体"/>
          <w:b/>
          <w:bCs/>
          <w:color w:val="auto"/>
          <w:sz w:val="36"/>
          <w:szCs w:val="36"/>
        </w:rPr>
      </w:pPr>
      <w:r>
        <w:rPr>
          <w:color w:val="000000"/>
          <w:highlight w:val="white"/>
        </w:rPr>
        <w:br w:type="page"/>
      </w:r>
      <w:r>
        <w:rPr>
          <w:rFonts w:hint="eastAsia" w:ascii="宋体" w:hAnsi="宋体" w:cs="宋体"/>
          <w:b/>
          <w:bCs/>
          <w:color w:val="000000"/>
          <w:sz w:val="36"/>
          <w:szCs w:val="36"/>
          <w:highlight w:val="white"/>
        </w:rPr>
        <w:t>格式10 技术力量一览表</w:t>
      </w:r>
    </w:p>
    <w:tbl>
      <w:tblPr>
        <w:tblStyle w:val="30"/>
        <w:tblW w:w="0" w:type="auto"/>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序号</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姓 名</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技术</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职称</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人员</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级别</w:t>
            </w: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相关工作经验年限</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本项目中担任职务</w:t>
            </w: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认证情况</w:t>
            </w: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是否驻场</w:t>
            </w: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是否专职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1</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2</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val="en-US" w:eastAsia="zh-CN"/>
              </w:rPr>
              <w:t>3</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highlight w:val="white"/>
              </w:rPr>
              <w:t>……</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bl>
    <w:p>
      <w:pPr>
        <w:pStyle w:val="2"/>
        <w:rPr>
          <w:rFonts w:hint="eastAsia" w:ascii="宋体" w:hAnsi="宋体" w:cs="宋体"/>
          <w:b/>
          <w:bCs/>
          <w:color w:val="auto"/>
          <w:sz w:val="36"/>
          <w:szCs w:val="36"/>
        </w:rPr>
      </w:pPr>
    </w:p>
    <w:p>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szCs w:val="21"/>
        </w:rPr>
      </w:pPr>
      <w:r>
        <w:rPr>
          <w:rFonts w:ascii="宋体" w:hAnsi="宋体" w:cs="宋体"/>
          <w:color w:val="000000"/>
          <w:highlight w:val="white"/>
        </w:rPr>
        <w:t>特别说明：</w:t>
      </w:r>
    </w:p>
    <w:p>
      <w:pPr>
        <w:keepNext w:val="0"/>
        <w:keepLines w:val="0"/>
        <w:pageBreakBefore w:val="0"/>
        <w:widowControl w:val="0"/>
        <w:kinsoku/>
        <w:wordWrap/>
        <w:overflowPunct/>
        <w:topLinePunct/>
        <w:autoSpaceDE w:val="0"/>
        <w:autoSpaceDN w:val="0"/>
        <w:bidi w:val="0"/>
        <w:adjustRightInd/>
        <w:snapToGrid/>
        <w:spacing w:after="0" w:line="240" w:lineRule="auto"/>
        <w:ind w:firstLine="420" w:firstLineChars="200"/>
        <w:jc w:val="left"/>
        <w:textAlignment w:val="auto"/>
        <w:rPr>
          <w:rFonts w:ascii="宋体" w:hAnsi="宋体" w:cs="宋体"/>
          <w:color w:val="auto"/>
          <w:szCs w:val="21"/>
          <w:shd w:val="clear" w:color="auto" w:fill="FFFF00"/>
        </w:rPr>
      </w:pPr>
      <w:r>
        <w:rPr>
          <w:rFonts w:hint="eastAsia" w:ascii="宋体" w:hAnsi="宋体" w:cs="宋体"/>
          <w:color w:val="000000"/>
          <w:szCs w:val="21"/>
          <w:highlight w:val="white"/>
        </w:rPr>
        <w:t>投标人须按照上述格式填写投入本项目所有人员的相关信息。</w:t>
      </w:r>
    </w:p>
    <w:p>
      <w:pPr>
        <w:rPr>
          <w:rFonts w:hint="eastAsia"/>
        </w:rPr>
      </w:pPr>
    </w:p>
    <w:p>
      <w:pPr>
        <w:topLinePunct/>
        <w:autoSpaceDE w:val="0"/>
        <w:autoSpaceDN w:val="0"/>
        <w:spacing w:line="460" w:lineRule="exact"/>
        <w:jc w:val="center"/>
        <w:rPr>
          <w:rFonts w:hint="eastAsia" w:ascii="宋体" w:hAnsi="宋体" w:cs="宋体"/>
          <w:b/>
          <w:bCs/>
          <w:color w:val="auto"/>
          <w:sz w:val="36"/>
          <w:szCs w:val="36"/>
        </w:rPr>
      </w:pPr>
      <w:r>
        <w:rPr>
          <w:color w:val="000000"/>
          <w:highlight w:val="white"/>
        </w:rPr>
        <w:br w:type="page"/>
      </w:r>
      <w:r>
        <w:rPr>
          <w:rFonts w:hint="eastAsia" w:ascii="宋体" w:hAnsi="宋体" w:cs="宋体"/>
          <w:b/>
          <w:bCs/>
          <w:color w:val="000000"/>
          <w:sz w:val="36"/>
          <w:szCs w:val="36"/>
          <w:highlight w:val="white"/>
        </w:rPr>
        <w:t>格式11 技术人员简历表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姓   名</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性    别</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出生日期</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学   历</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毕业学校</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技术职称</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公司职务</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任职时间</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本项目任职</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人员级别</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认证证书</w:t>
            </w:r>
          </w:p>
        </w:tc>
        <w:tc>
          <w:tcPr>
            <w:tcW w:w="444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hint="eastAsia" w:ascii="宋体" w:hAnsi="宋体" w:cs="宋体"/>
                <w:color w:val="auto"/>
                <w:highlight w:val="none"/>
              </w:rPr>
            </w:pPr>
            <w:r>
              <w:rPr>
                <w:rFonts w:hint="eastAsia" w:ascii="宋体" w:hAnsi="宋体" w:cs="宋体"/>
                <w:color w:val="000000"/>
                <w:highlight w:val="white"/>
              </w:rPr>
              <w:t>工作简历及主要业绩</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hint="eastAsia" w:ascii="宋体" w:hAnsi="宋体" w:cs="宋体"/>
                <w:color w:val="auto"/>
                <w:highlight w:val="none"/>
              </w:rPr>
            </w:pPr>
          </w:p>
        </w:tc>
      </w:tr>
    </w:tbl>
    <w:p>
      <w:pPr>
        <w:topLinePunct/>
        <w:autoSpaceDE w:val="0"/>
        <w:autoSpaceDN w:val="0"/>
        <w:spacing w:line="460" w:lineRule="exact"/>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ascii="宋体" w:hAnsi="宋体" w:cs="宋体"/>
          <w:color w:val="auto"/>
          <w:szCs w:val="21"/>
          <w:highlight w:val="none"/>
        </w:rPr>
      </w:pPr>
      <w:r>
        <w:rPr>
          <w:rFonts w:hint="eastAsia" w:ascii="宋体" w:hAnsi="宋体" w:cs="宋体"/>
          <w:color w:val="000000"/>
          <w:szCs w:val="21"/>
          <w:highlight w:val="white"/>
        </w:rPr>
        <w:t>特别说明：</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ind w:firstLine="420" w:firstLineChars="200"/>
        <w:textAlignment w:val="auto"/>
        <w:rPr>
          <w:rFonts w:hint="eastAsia" w:ascii="宋体" w:hAnsi="宋体" w:cs="宋体"/>
          <w:szCs w:val="21"/>
        </w:rPr>
      </w:pPr>
      <w:r>
        <w:rPr>
          <w:rFonts w:hint="eastAsia" w:ascii="宋体" w:hAnsi="宋体" w:cs="宋体"/>
          <w:color w:val="000000"/>
          <w:szCs w:val="21"/>
          <w:highlight w:val="white"/>
          <w:lang w:val="en-US" w:eastAsia="zh-CN"/>
        </w:rPr>
        <w:t>1.</w:t>
      </w:r>
      <w:r>
        <w:rPr>
          <w:rFonts w:hint="eastAsia" w:ascii="宋体" w:hAnsi="宋体" w:cs="宋体"/>
          <w:color w:val="000000"/>
          <w:szCs w:val="21"/>
          <w:highlight w:val="white"/>
        </w:rPr>
        <w:t>投标人应提供投入本项目所有人员的简历。</w:t>
      </w:r>
      <w:r>
        <w:rPr>
          <w:rFonts w:hint="default" w:ascii="宋体" w:hAnsi="宋体" w:cs="宋体"/>
          <w:color w:val="000000"/>
          <w:szCs w:val="21"/>
          <w:highlight w:val="white"/>
        </w:rPr>
        <w:t xml:space="preserve">                                        </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textAlignment w:val="auto"/>
        <w:rPr>
          <w:rFonts w:hint="eastAsia" w:ascii="宋体" w:hAnsi="宋体" w:cs="宋体"/>
          <w:szCs w:val="21"/>
        </w:rPr>
      </w:pPr>
      <w:r>
        <w:rPr>
          <w:rFonts w:hint="default" w:ascii="宋体" w:hAnsi="宋体" w:cs="宋体"/>
          <w:color w:val="000000"/>
          <w:szCs w:val="21"/>
          <w:highlight w:val="white"/>
        </w:rPr>
        <w:t xml:space="preserve">    2.</w:t>
      </w:r>
      <w:r>
        <w:rPr>
          <w:rFonts w:hint="eastAsia" w:ascii="宋体" w:hAnsi="宋体" w:eastAsia="宋体" w:cs="宋体"/>
          <w:color w:val="000000"/>
          <w:kern w:val="2"/>
          <w:sz w:val="21"/>
          <w:szCs w:val="21"/>
          <w:highlight w:val="white"/>
          <w:lang w:val="en-US" w:eastAsia="zh-CN" w:bidi="ar"/>
        </w:rPr>
        <w:t>如果有职称及认证证书要求的，需提供职称及认证证书复印件；如有管理或工作经验要求的，</w:t>
      </w:r>
      <w:r>
        <w:rPr>
          <w:rFonts w:hint="eastAsia" w:ascii="宋体" w:hAnsi="宋体" w:eastAsia="宋体" w:cs="宋体"/>
          <w:b w:val="0"/>
          <w:color w:val="000000"/>
          <w:kern w:val="2"/>
          <w:sz w:val="21"/>
          <w:szCs w:val="21"/>
          <w:highlight w:val="white"/>
          <w:lang w:val="en-US" w:eastAsia="zh-CN" w:bidi="ar"/>
        </w:rPr>
        <w:t>需提供能证明该人员</w:t>
      </w:r>
      <w:r>
        <w:rPr>
          <w:rFonts w:hint="eastAsia" w:ascii="宋体" w:hAnsi="宋体" w:cs="宋体"/>
          <w:b w:val="0"/>
          <w:color w:val="000000"/>
          <w:kern w:val="2"/>
          <w:sz w:val="21"/>
          <w:szCs w:val="21"/>
          <w:highlight w:val="white"/>
          <w:lang w:val="en-US" w:eastAsia="zh-CN" w:bidi="ar"/>
        </w:rPr>
        <w:t>管理或</w:t>
      </w:r>
      <w:r>
        <w:rPr>
          <w:rFonts w:hint="eastAsia" w:ascii="宋体" w:hAnsi="宋体" w:eastAsia="宋体" w:cs="宋体"/>
          <w:b w:val="0"/>
          <w:color w:val="000000"/>
          <w:kern w:val="2"/>
          <w:sz w:val="21"/>
          <w:szCs w:val="21"/>
          <w:highlight w:val="white"/>
          <w:lang w:val="en-US" w:eastAsia="zh-CN" w:bidi="ar"/>
        </w:rPr>
        <w:t>工作经验的合同及对应的投标文件/响应文件复印件</w:t>
      </w:r>
      <w:r>
        <w:rPr>
          <w:rFonts w:hint="eastAsia" w:ascii="宋体" w:hAnsi="宋体" w:cs="宋体"/>
          <w:b w:val="0"/>
          <w:color w:val="000000"/>
          <w:kern w:val="2"/>
          <w:sz w:val="21"/>
          <w:szCs w:val="21"/>
          <w:highlight w:val="white"/>
          <w:lang w:val="en-US" w:eastAsia="zh-CN" w:bidi="ar"/>
        </w:rPr>
        <w:t>，</w:t>
      </w:r>
      <w:r>
        <w:rPr>
          <w:rFonts w:hint="eastAsia" w:ascii="宋体" w:hAnsi="宋体" w:eastAsia="宋体" w:cs="宋体"/>
          <w:b w:val="0"/>
          <w:color w:val="000000"/>
          <w:kern w:val="2"/>
          <w:sz w:val="21"/>
          <w:szCs w:val="21"/>
          <w:highlight w:val="white"/>
          <w:lang w:val="en-US" w:eastAsia="zh-CN" w:bidi="ar"/>
        </w:rPr>
        <w:t>或合同复印件及甲方开具的用户证明等相关材料</w:t>
      </w:r>
      <w:r>
        <w:rPr>
          <w:rFonts w:hint="eastAsia" w:ascii="宋体" w:hAnsi="宋体" w:eastAsia="宋体" w:cs="宋体"/>
          <w:color w:val="000000"/>
          <w:kern w:val="2"/>
          <w:sz w:val="21"/>
          <w:szCs w:val="21"/>
          <w:highlight w:val="white"/>
          <w:lang w:val="en-US" w:eastAsia="zh-CN" w:bidi="ar"/>
        </w:rPr>
        <w:t>。</w:t>
      </w:r>
    </w:p>
    <w:p>
      <w:pPr>
        <w:jc w:val="center"/>
        <w:rPr>
          <w:rFonts w:ascii="宋体" w:hAnsi="宋体" w:cs="宋体"/>
          <w:b/>
          <w:bCs/>
          <w:color w:val="auto"/>
          <w:sz w:val="36"/>
          <w:szCs w:val="36"/>
        </w:rPr>
      </w:pPr>
    </w:p>
    <w:sectPr>
      <w:footerReference r:id="rId6" w:type="first"/>
      <w:footerReference r:id="rId5"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3"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Wingdings 2">
    <w:panose1 w:val="05020102010507070707"/>
    <w:charset w:val="02"/>
    <w:family w:val="roman"/>
    <w:pitch w:val="default"/>
    <w:sig w:usb0="00000000" w:usb1="00000000" w:usb2="00000000" w:usb3="00000000" w:csb0="80000000" w:csb1="00000000"/>
  </w:font>
  <w:font w:name="FangSong_GB2312">
    <w:altName w:val="仿宋"/>
    <w:panose1 w:val="02010600030101010101"/>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MingLiU_HKSCS">
    <w:panose1 w:val="02020500000000000000"/>
    <w:charset w:val="88"/>
    <w:family w:val="roman"/>
    <w:pitch w:val="default"/>
    <w:sig w:usb0="A00002FF" w:usb1="3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
  <w:p>
    <w:pPr>
      <w:jc w:val="center"/>
    </w:pPr>
    <w:r>
      <w:fldChar w:fldCharType="begin"/>
    </w:r>
    <w:r>
      <w:rPr>
        <w:color w:val="000000"/>
        <w:highlight w:val="white"/>
      </w:rPr>
      <w:instrText xml:space="preserve"> PAGE </w:instrText>
    </w:r>
    <w:r>
      <w:fldChar w:fldCharType="separate"/>
    </w:r>
    <w:r>
      <w:rPr>
        <w:color w:val="000000"/>
        <w:highlight w:val="white"/>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rPr>
        <w:color w:val="000000"/>
        <w:highlight w:val="white"/>
      </w:rPr>
      <w:instrText xml:space="preserve"> PAGE </w:instrText>
    </w:r>
    <w:r>
      <w:fldChar w:fldCharType="separate"/>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rPr>
        <w:color w:val="000000"/>
        <w:highlight w:val="white"/>
      </w:rPr>
      <w:instrText xml:space="preserve"> PAGE </w:instrText>
    </w:r>
    <w:r>
      <w:fldChar w:fldCharType="separate"/>
    </w:r>
    <w:r>
      <w:rPr>
        <w:color w:val="000000"/>
        <w:highlight w:val="white"/>
      </w:rPr>
      <w:t>53</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HP4ZNkPAgAABwQAAA4AAAAAAAAAAQAgAAAA&#10;HwEAAGRycy9lMm9Eb2MueG1sUEsFBgAAAAAGAAYAWQEAAKAFAAAAAA==&#10;">
              <v:fill on="f" focussize="0,0"/>
              <v:stroke on="f" weight="0.5pt"/>
              <v:imagedata o:title=""/>
              <o:lock v:ext="edit" aspectratio="f"/>
              <v:textbox inset="0mm,0mm,0mm,0mm" style="mso-fit-shape-to-text:t;">
                <w:txbxContent>
                  <w:p>
                    <w:pPr>
                      <w:pStyle w:val="22"/>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E09C2330"/>
    <w:multiLevelType w:val="singleLevel"/>
    <w:tmpl w:val="E09C2330"/>
    <w:lvl w:ilvl="0" w:tentative="0">
      <w:start w:val="20"/>
      <w:numFmt w:val="decimal"/>
      <w:suff w:val="space"/>
      <w:lvlText w:val="%1."/>
      <w:lvlJc w:val="left"/>
    </w:lvl>
  </w:abstractNum>
  <w:abstractNum w:abstractNumId="2">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3">
    <w:nsid w:val="00000002"/>
    <w:multiLevelType w:val="multilevel"/>
    <w:tmpl w:val="00000002"/>
    <w:lvl w:ilvl="0" w:tentative="0">
      <w:start w:val="1"/>
      <w:numFmt w:val="decimal"/>
      <w:pStyle w:val="76"/>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00000003"/>
    <w:multiLevelType w:val="multilevel"/>
    <w:tmpl w:val="00000003"/>
    <w:lvl w:ilvl="0" w:tentative="0">
      <w:start w:val="1"/>
      <w:numFmt w:val="decimal"/>
      <w:pStyle w:val="65"/>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22DA12D6"/>
    <w:multiLevelType w:val="singleLevel"/>
    <w:tmpl w:val="22DA12D6"/>
    <w:lvl w:ilvl="0" w:tentative="0">
      <w:start w:val="8"/>
      <w:numFmt w:val="decimal"/>
      <w:suff w:val="space"/>
      <w:lvlText w:val="%1."/>
      <w:lvlJc w:val="left"/>
    </w:lvl>
  </w:abstractNum>
  <w:abstractNum w:abstractNumId="7">
    <w:nsid w:val="3A749138"/>
    <w:multiLevelType w:val="singleLevel"/>
    <w:tmpl w:val="3A749138"/>
    <w:lvl w:ilvl="0" w:tentative="0">
      <w:start w:val="1"/>
      <w:numFmt w:val="decimal"/>
      <w:lvlText w:val="%1."/>
      <w:lvlJc w:val="left"/>
      <w:pPr>
        <w:ind w:left="425" w:hanging="425"/>
      </w:pPr>
      <w:rPr>
        <w:rFonts w:hint="default"/>
      </w:rPr>
    </w:lvl>
  </w:abstractNum>
  <w:abstractNum w:abstractNumId="8">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5"/>
  </w:num>
  <w:num w:numId="2">
    <w:abstractNumId w:val="2"/>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8"/>
  </w:num>
  <w:num w:numId="6">
    <w:abstractNumId w:val="6"/>
  </w:num>
  <w:num w:numId="7">
    <w:abstractNumId w:val="1"/>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documentProtection w:enforcement="0"/>
  <w:defaultTabStop w:val="420"/>
  <w:drawingGridVerticalSpacing w:val="156"/>
  <w:doNotShadeFormData w:val="1"/>
  <w:noPunctuationKerning w:val="1"/>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4025B3"/>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7"/>
    <w:qFormat/>
    <w:uiPriority w:val="0"/>
    <w:pPr>
      <w:keepNext/>
      <w:keepLines/>
      <w:widowControl w:val="0"/>
      <w:spacing w:before="340" w:after="330" w:line="576" w:lineRule="auto"/>
      <w:ind w:left="0" w:right="0"/>
      <w:jc w:val="both"/>
      <w:outlineLvl w:val="0"/>
    </w:pPr>
    <w:rPr>
      <w:rFonts w:ascii="Times New Roman" w:hAnsi="Times New Roman" w:eastAsia="宋体" w:cs="Times New Roman"/>
      <w:b/>
      <w:bCs/>
      <w:kern w:val="44"/>
      <w:sz w:val="44"/>
      <w:szCs w:val="44"/>
      <w:lang w:val="en-US" w:eastAsia="zh-CN" w:bidi="ar-SA"/>
    </w:rPr>
  </w:style>
  <w:style w:type="paragraph" w:styleId="4">
    <w:name w:val="heading 2"/>
    <w:basedOn w:val="3"/>
    <w:next w:val="5"/>
    <w:link w:val="84"/>
    <w:qFormat/>
    <w:uiPriority w:val="0"/>
    <w:pPr>
      <w:keepNext/>
      <w:keepLines/>
      <w:widowControl w:val="0"/>
      <w:numPr>
        <w:ilvl w:val="1"/>
        <w:numId w:val="1"/>
      </w:numPr>
      <w:tabs>
        <w:tab w:val="left" w:pos="2400"/>
      </w:tabs>
      <w:spacing w:before="260" w:afterLines="50" w:line="416" w:lineRule="auto"/>
      <w:jc w:val="both"/>
      <w:outlineLvl w:val="1"/>
    </w:pPr>
    <w:rPr>
      <w:rFonts w:ascii="Arial" w:hAnsi="Arial" w:eastAsia="黑体" w:cs="Calibri"/>
      <w:sz w:val="32"/>
      <w:szCs w:val="32"/>
      <w:lang w:val="en-US" w:eastAsia="zh-CN" w:bidi="ar-SA"/>
    </w:rPr>
  </w:style>
  <w:style w:type="paragraph" w:styleId="5">
    <w:name w:val="heading 3"/>
    <w:basedOn w:val="1"/>
    <w:next w:val="1"/>
    <w:link w:val="38"/>
    <w:qFormat/>
    <w:uiPriority w:val="0"/>
    <w:pPr>
      <w:keepNext/>
      <w:keepLines/>
      <w:tabs>
        <w:tab w:val="left" w:pos="0"/>
      </w:tabs>
      <w:spacing w:before="260" w:after="260" w:line="415" w:lineRule="auto"/>
      <w:outlineLvl w:val="2"/>
    </w:pPr>
    <w:rPr>
      <w:rFonts w:ascii="Times New Roman" w:hAnsi="Times New Roman" w:eastAsia="宋体" w:cs="Times New Roman"/>
      <w:b/>
      <w:sz w:val="32"/>
      <w:szCs w:val="32"/>
    </w:rPr>
  </w:style>
  <w:style w:type="paragraph" w:styleId="6">
    <w:name w:val="heading 4"/>
    <w:basedOn w:val="1"/>
    <w:next w:val="1"/>
    <w:link w:val="39"/>
    <w:qFormat/>
    <w:uiPriority w:val="0"/>
    <w:pPr>
      <w:keepNext/>
      <w:autoSpaceDE w:val="0"/>
      <w:autoSpaceDN w:val="0"/>
      <w:adjustRightInd w:val="0"/>
      <w:jc w:val="left"/>
      <w:outlineLvl w:val="3"/>
    </w:pPr>
    <w:rPr>
      <w:rFonts w:ascii="宋体" w:hAnsi="宋体" w:eastAsia="宋体" w:cs="Times New Roman"/>
      <w:color w:val="0000FF"/>
      <w:kern w:val="0"/>
      <w:sz w:val="28"/>
      <w:szCs w:val="20"/>
    </w:rPr>
  </w:style>
  <w:style w:type="paragraph" w:styleId="7">
    <w:name w:val="heading 5"/>
    <w:basedOn w:val="1"/>
    <w:next w:val="1"/>
    <w:link w:val="40"/>
    <w:qFormat/>
    <w:uiPriority w:val="0"/>
    <w:pPr>
      <w:keepNext/>
      <w:keepLines/>
      <w:tabs>
        <w:tab w:val="left" w:pos="1008"/>
      </w:tabs>
      <w:spacing w:before="280" w:after="290" w:line="374" w:lineRule="auto"/>
      <w:ind w:left="1008" w:hanging="1008"/>
      <w:outlineLvl w:val="4"/>
    </w:pPr>
    <w:rPr>
      <w:rFonts w:ascii="Verdana" w:hAnsi="Verdana" w:eastAsia="宋体" w:cs="Times New Roman"/>
      <w:b/>
      <w:bCs/>
      <w:sz w:val="28"/>
      <w:szCs w:val="28"/>
    </w:rPr>
  </w:style>
  <w:style w:type="paragraph" w:styleId="8">
    <w:name w:val="heading 6"/>
    <w:basedOn w:val="1"/>
    <w:next w:val="1"/>
    <w:link w:val="41"/>
    <w:qFormat/>
    <w:uiPriority w:val="0"/>
    <w:pPr>
      <w:keepNext/>
      <w:keepLines/>
      <w:tabs>
        <w:tab w:val="left" w:pos="1152"/>
      </w:tabs>
      <w:spacing w:before="240" w:after="64" w:line="319" w:lineRule="auto"/>
      <w:ind w:left="1152" w:hanging="1152"/>
      <w:outlineLvl w:val="5"/>
    </w:pPr>
    <w:rPr>
      <w:rFonts w:ascii="Arial" w:hAnsi="Arial" w:eastAsia="黑体" w:cs="Times New Roman"/>
      <w:b/>
      <w:bCs/>
      <w:sz w:val="24"/>
    </w:rPr>
  </w:style>
  <w:style w:type="paragraph" w:styleId="9">
    <w:name w:val="heading 7"/>
    <w:basedOn w:val="1"/>
    <w:next w:val="1"/>
    <w:link w:val="42"/>
    <w:qFormat/>
    <w:uiPriority w:val="0"/>
    <w:pPr>
      <w:keepNext/>
      <w:keepLines/>
      <w:tabs>
        <w:tab w:val="left" w:pos="1296"/>
      </w:tabs>
      <w:spacing w:before="240" w:after="64" w:line="319" w:lineRule="auto"/>
      <w:ind w:left="1296" w:hanging="1296"/>
      <w:outlineLvl w:val="6"/>
    </w:pPr>
    <w:rPr>
      <w:rFonts w:ascii="Times New Roman" w:hAnsi="Times New Roman" w:eastAsia="宋体" w:cs="Times New Roman"/>
      <w:b/>
      <w:bCs/>
      <w:sz w:val="24"/>
    </w:rPr>
  </w:style>
  <w:style w:type="paragraph" w:styleId="10">
    <w:name w:val="heading 8"/>
    <w:basedOn w:val="1"/>
    <w:next w:val="1"/>
    <w:link w:val="43"/>
    <w:qFormat/>
    <w:uiPriority w:val="0"/>
    <w:pPr>
      <w:keepNext/>
      <w:keepLines/>
      <w:tabs>
        <w:tab w:val="left" w:pos="1440"/>
      </w:tabs>
      <w:spacing w:before="240" w:after="64" w:line="319" w:lineRule="auto"/>
      <w:ind w:left="1440" w:hanging="1440"/>
      <w:outlineLvl w:val="7"/>
    </w:pPr>
    <w:rPr>
      <w:rFonts w:ascii="Arial" w:hAnsi="Arial" w:eastAsia="黑体" w:cs="Times New Roman"/>
      <w:sz w:val="24"/>
    </w:rPr>
  </w:style>
  <w:style w:type="paragraph" w:styleId="11">
    <w:name w:val="heading 9"/>
    <w:basedOn w:val="1"/>
    <w:next w:val="1"/>
    <w:link w:val="44"/>
    <w:qFormat/>
    <w:uiPriority w:val="0"/>
    <w:pPr>
      <w:keepNext/>
      <w:keepLines/>
      <w:tabs>
        <w:tab w:val="left" w:pos="1584"/>
      </w:tabs>
      <w:spacing w:before="240" w:after="64" w:line="319" w:lineRule="auto"/>
      <w:ind w:left="1584" w:hanging="1584"/>
      <w:outlineLvl w:val="8"/>
    </w:pPr>
    <w:rPr>
      <w:rFonts w:ascii="Arial" w:hAnsi="Arial" w:eastAsia="黑体" w:cs="Times New Roman"/>
      <w:szCs w:val="21"/>
    </w:rPr>
  </w:style>
  <w:style w:type="character" w:default="1" w:styleId="31">
    <w:name w:val="Default Paragraph Font"/>
    <w:qFormat/>
    <w:uiPriority w:val="0"/>
    <w:rPr>
      <w:rFonts w:ascii="Times New Roman" w:hAnsi="Times New Roman" w:eastAsia="宋体" w:cs="Times New Roman"/>
    </w:rPr>
  </w:style>
  <w:style w:type="table" w:default="1" w:styleId="30">
    <w:name w:val="Normal Table"/>
    <w:qFormat/>
    <w:uiPriority w:val="0"/>
    <w:tblPr>
      <w:tblCellMar>
        <w:top w:w="0" w:type="dxa"/>
        <w:left w:w="108" w:type="dxa"/>
        <w:bottom w:w="0" w:type="dxa"/>
        <w:right w:w="108" w:type="dxa"/>
      </w:tblCellMar>
    </w:tblPr>
  </w:style>
  <w:style w:type="paragraph" w:customStyle="1" w:styleId="2">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qFormat/>
    <w:uiPriority w:val="0"/>
    <w:pPr>
      <w:numPr>
        <w:ilvl w:val="0"/>
        <w:numId w:val="2"/>
      </w:numPr>
    </w:pPr>
  </w:style>
  <w:style w:type="paragraph" w:styleId="13">
    <w:name w:val="Document Map"/>
    <w:basedOn w:val="1"/>
    <w:link w:val="45"/>
    <w:qFormat/>
    <w:uiPriority w:val="0"/>
    <w:pPr>
      <w:shd w:val="clear" w:color="auto" w:fill="000080"/>
    </w:pPr>
    <w:rPr>
      <w:rFonts w:ascii="Times New Roman" w:hAnsi="Times New Roman" w:eastAsia="宋体" w:cs="Times New Roman"/>
      <w:kern w:val="0"/>
      <w:sz w:val="20"/>
      <w:shd w:val="clear" w:color="auto" w:fill="000080"/>
    </w:rPr>
  </w:style>
  <w:style w:type="paragraph" w:styleId="14">
    <w:name w:val="annotation text"/>
    <w:basedOn w:val="1"/>
    <w:qFormat/>
    <w:uiPriority w:val="0"/>
    <w:pPr>
      <w:jc w:val="left"/>
    </w:pPr>
    <w:rPr>
      <w:rFonts w:ascii="Times New Roman" w:hAnsi="Times New Roman" w:eastAsia="宋体" w:cs="Times New Roman"/>
    </w:r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6"/>
    <w:qFormat/>
    <w:uiPriority w:val="0"/>
    <w:pPr>
      <w:widowControl w:val="0"/>
      <w:spacing w:before="0" w:after="120"/>
      <w:ind w:left="0" w:right="0"/>
      <w:jc w:val="both"/>
    </w:pPr>
    <w:rPr>
      <w:rFonts w:ascii="Times New Roman" w:hAnsi="Times New Roman" w:eastAsia="宋体" w:cs="Times New Roman"/>
      <w:kern w:val="2"/>
      <w:sz w:val="21"/>
      <w:szCs w:val="24"/>
      <w:lang w:val="en-US" w:eastAsia="zh-CN" w:bidi="ar-SA"/>
    </w:rPr>
  </w:style>
  <w:style w:type="paragraph" w:styleId="17">
    <w:name w:val="Body Text Indent"/>
    <w:basedOn w:val="1"/>
    <w:link w:val="47"/>
    <w:qFormat/>
    <w:uiPriority w:val="0"/>
    <w:pPr>
      <w:ind w:firstLine="360"/>
    </w:pPr>
    <w:rPr>
      <w:rFonts w:ascii="Times New Roman" w:hAnsi="Times New Roman" w:eastAsia="宋体" w:cs="Times New Roman"/>
      <w:kern w:val="0"/>
      <w:sz w:val="20"/>
      <w:szCs w:val="20"/>
    </w:rPr>
  </w:style>
  <w:style w:type="paragraph" w:styleId="18">
    <w:name w:val="Plain Text"/>
    <w:basedOn w:val="1"/>
    <w:link w:val="48"/>
    <w:qFormat/>
    <w:uiPriority w:val="0"/>
    <w:pPr>
      <w:widowControl w:val="0"/>
      <w:spacing w:after="0"/>
      <w:jc w:val="both"/>
    </w:pPr>
    <w:rPr>
      <w:rFonts w:ascii="宋体" w:hAnsi="Courier New" w:eastAsia="宋体" w:cs="Times New Roman"/>
      <w:kern w:val="0"/>
      <w:sz w:val="20"/>
      <w:szCs w:val="21"/>
      <w:lang w:bidi="ar-SA"/>
    </w:rPr>
  </w:style>
  <w:style w:type="paragraph" w:styleId="19">
    <w:name w:val="Date"/>
    <w:basedOn w:val="1"/>
    <w:next w:val="1"/>
    <w:link w:val="49"/>
    <w:qFormat/>
    <w:uiPriority w:val="0"/>
    <w:pPr>
      <w:ind w:left="100" w:leftChars="2500"/>
    </w:pPr>
    <w:rPr>
      <w:rFonts w:ascii="Times New Roman" w:hAnsi="Times New Roman" w:eastAsia="宋体" w:cs="Times New Roman"/>
      <w:kern w:val="0"/>
      <w:sz w:val="20"/>
    </w:rPr>
  </w:style>
  <w:style w:type="paragraph" w:styleId="20">
    <w:name w:val="Body Text Indent 2"/>
    <w:basedOn w:val="1"/>
    <w:link w:val="50"/>
    <w:qFormat/>
    <w:uiPriority w:val="0"/>
    <w:pPr>
      <w:ind w:firstLine="630"/>
    </w:pPr>
    <w:rPr>
      <w:rFonts w:ascii="宋体" w:hAnsi="Times New Roman" w:eastAsia="宋体" w:cs="Times New Roman"/>
      <w:kern w:val="0"/>
      <w:sz w:val="28"/>
      <w:szCs w:val="20"/>
    </w:rPr>
  </w:style>
  <w:style w:type="paragraph" w:styleId="21">
    <w:name w:val="Balloon Text"/>
    <w:basedOn w:val="1"/>
    <w:link w:val="51"/>
    <w:qFormat/>
    <w:uiPriority w:val="0"/>
    <w:rPr>
      <w:rFonts w:ascii="Times New Roman" w:hAnsi="Times New Roman" w:eastAsia="宋体" w:cs="Times New Roman"/>
      <w:kern w:val="0"/>
      <w:sz w:val="18"/>
      <w:szCs w:val="18"/>
    </w:rPr>
  </w:style>
  <w:style w:type="paragraph" w:styleId="22">
    <w:name w:val="footer"/>
    <w:basedOn w:val="1"/>
    <w:link w:val="52"/>
    <w:qFormat/>
    <w:uiPriority w:val="0"/>
    <w:pPr>
      <w:widowControl w:val="0"/>
      <w:tabs>
        <w:tab w:val="center" w:pos="4140"/>
        <w:tab w:val="right" w:pos="8300"/>
      </w:tabs>
      <w:snapToGrid w:val="0"/>
      <w:spacing w:after="0"/>
      <w:jc w:val="left"/>
    </w:pPr>
    <w:rPr>
      <w:rFonts w:ascii="Times New Roman" w:hAnsi="Times New Roman" w:eastAsia="宋体" w:cs="Times New Roman"/>
      <w:kern w:val="0"/>
      <w:sz w:val="18"/>
      <w:szCs w:val="24"/>
      <w:lang w:bidi="ar-SA"/>
    </w:rPr>
  </w:style>
  <w:style w:type="paragraph" w:styleId="23">
    <w:name w:val="header"/>
    <w:basedOn w:val="1"/>
    <w:link w:val="53"/>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24">
    <w:name w:val="toc 1"/>
    <w:basedOn w:val="1"/>
    <w:next w:val="1"/>
    <w:qFormat/>
    <w:uiPriority w:val="0"/>
    <w:pPr>
      <w:widowControl w:val="0"/>
      <w:spacing w:before="120" w:after="120"/>
      <w:ind w:left="0" w:right="0"/>
      <w:jc w:val="left"/>
    </w:pPr>
    <w:rPr>
      <w:rFonts w:ascii="Times New Roman" w:hAnsi="Times New Roman" w:eastAsia="宋体" w:cs="Times New Roman"/>
      <w:b/>
      <w:bCs/>
      <w:caps/>
      <w:kern w:val="2"/>
      <w:sz w:val="20"/>
      <w:szCs w:val="20"/>
      <w:lang w:val="en-US" w:eastAsia="zh-CN" w:bidi="ar-SA"/>
    </w:rPr>
  </w:style>
  <w:style w:type="paragraph" w:styleId="25">
    <w:name w:val="Body Text Indent 3"/>
    <w:basedOn w:val="1"/>
    <w:link w:val="54"/>
    <w:qFormat/>
    <w:uiPriority w:val="0"/>
    <w:pPr>
      <w:spacing w:line="360" w:lineRule="auto"/>
      <w:ind w:firstLine="480" w:firstLineChars="200"/>
      <w:jc w:val="left"/>
    </w:pPr>
    <w:rPr>
      <w:rFonts w:ascii="Times New Roman" w:hAnsi="Times New Roman" w:eastAsia="宋体" w:cs="Times New Roman"/>
      <w:kern w:val="0"/>
      <w:sz w:val="24"/>
      <w:szCs w:val="20"/>
    </w:rPr>
  </w:style>
  <w:style w:type="paragraph" w:styleId="26">
    <w:name w:val="Body Text 2"/>
    <w:basedOn w:val="1"/>
    <w:link w:val="55"/>
    <w:qFormat/>
    <w:uiPriority w:val="0"/>
    <w:rPr>
      <w:rFonts w:ascii="仿宋_GB2312" w:hAnsi="Times New Roman" w:eastAsia="仿宋_GB2312" w:cs="Times New Roman"/>
      <w:kern w:val="0"/>
      <w:sz w:val="28"/>
      <w:szCs w:val="20"/>
    </w:rPr>
  </w:style>
  <w:style w:type="paragraph" w:styleId="2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8">
    <w:name w:val="Title"/>
    <w:basedOn w:val="1"/>
    <w:link w:val="56"/>
    <w:qFormat/>
    <w:uiPriority w:val="0"/>
    <w:pPr>
      <w:spacing w:before="240" w:after="60"/>
      <w:jc w:val="center"/>
      <w:outlineLvl w:val="0"/>
    </w:pPr>
    <w:rPr>
      <w:rFonts w:ascii="Cambria" w:hAnsi="Cambria" w:eastAsia="宋体" w:cs="Times New Roman"/>
      <w:b/>
      <w:bCs/>
      <w:kern w:val="0"/>
      <w:sz w:val="32"/>
      <w:szCs w:val="32"/>
    </w:rPr>
  </w:style>
  <w:style w:type="paragraph" w:styleId="29">
    <w:name w:val="Body Text First Indent"/>
    <w:basedOn w:val="16"/>
    <w:link w:val="57"/>
    <w:qFormat/>
    <w:uiPriority w:val="0"/>
    <w:pPr>
      <w:ind w:firstLine="420" w:firstLineChars="100"/>
    </w:pPr>
    <w:rPr>
      <w:rFonts w:ascii="Times New Roman" w:hAnsi="Times New Roman" w:eastAsia="宋体" w:cs="Times New Roman"/>
      <w:kern w:val="0"/>
      <w:sz w:val="20"/>
    </w:rPr>
  </w:style>
  <w:style w:type="character" w:styleId="32">
    <w:name w:val="Strong"/>
    <w:qFormat/>
    <w:uiPriority w:val="0"/>
    <w:rPr>
      <w:rFonts w:ascii="Times New Roman" w:hAnsi="Times New Roman" w:eastAsia="宋体" w:cs="Times New Roman"/>
      <w:b/>
    </w:rPr>
  </w:style>
  <w:style w:type="character" w:styleId="33">
    <w:name w:val="page number"/>
    <w:qFormat/>
    <w:uiPriority w:val="0"/>
    <w:rPr>
      <w:rFonts w:ascii="Times New Roman" w:hAnsi="Times New Roman" w:eastAsia="宋体" w:cs="Times New Roman"/>
    </w:rPr>
  </w:style>
  <w:style w:type="character" w:styleId="34">
    <w:name w:val="FollowedHyperlink"/>
    <w:qFormat/>
    <w:uiPriority w:val="0"/>
    <w:rPr>
      <w:rFonts w:hint="eastAsia" w:ascii="微软雅黑" w:hAnsi="微软雅黑" w:eastAsia="微软雅黑" w:cs="微软雅黑"/>
      <w:color w:val="02396F"/>
      <w:u w:val="single"/>
    </w:rPr>
  </w:style>
  <w:style w:type="character" w:styleId="35">
    <w:name w:val="Hyperlink"/>
    <w:qFormat/>
    <w:uiPriority w:val="0"/>
    <w:rPr>
      <w:rFonts w:ascii="Times New Roman" w:hAnsi="Times New Roman" w:eastAsia="宋体" w:cs="Times New Roman"/>
      <w:color w:val="0000FF"/>
      <w:u w:val="single"/>
    </w:rPr>
  </w:style>
  <w:style w:type="paragraph" w:customStyle="1" w:styleId="36">
    <w:name w:val="_Style 3"/>
    <w:basedOn w:val="3"/>
    <w:next w:val="1"/>
    <w:qFormat/>
    <w:uiPriority w:val="0"/>
    <w:pPr>
      <w:widowControl/>
      <w:numPr>
        <w:ilvl w:val="0"/>
        <w:numId w:val="0"/>
      </w:numPr>
      <w:tabs>
        <w:tab w:val="left" w:pos="0"/>
      </w:tabs>
      <w:spacing w:before="240" w:line="259" w:lineRule="auto"/>
      <w:jc w:val="left"/>
      <w:outlineLvl w:val="9"/>
    </w:pPr>
    <w:rPr>
      <w:rFonts w:ascii="Calibri Light" w:hAnsi="Calibri Light" w:eastAsia="宋体" w:cs="Times New Roman"/>
      <w:b w:val="0"/>
      <w:color w:val="2E74B5"/>
      <w:sz w:val="32"/>
      <w:szCs w:val="32"/>
    </w:rPr>
  </w:style>
  <w:style w:type="character" w:customStyle="1" w:styleId="37">
    <w:name w:val="标题 1 Char"/>
    <w:link w:val="3"/>
    <w:qFormat/>
    <w:uiPriority w:val="0"/>
    <w:rPr>
      <w:rFonts w:ascii="Times New Roman" w:hAnsi="Times New Roman" w:eastAsia="宋体" w:cs="Times New Roman"/>
      <w:b/>
      <w:bCs/>
      <w:kern w:val="44"/>
      <w:sz w:val="44"/>
      <w:szCs w:val="44"/>
      <w:lang w:val="en-US" w:eastAsia="zh-CN" w:bidi="ar-SA"/>
    </w:rPr>
  </w:style>
  <w:style w:type="character" w:customStyle="1" w:styleId="38">
    <w:name w:val="标题 3 Char"/>
    <w:link w:val="5"/>
    <w:qFormat/>
    <w:uiPriority w:val="0"/>
    <w:rPr>
      <w:rFonts w:ascii="Times New Roman" w:hAnsi="Times New Roman" w:eastAsia="宋体" w:cs="Times New Roman"/>
      <w:b/>
      <w:bCs/>
      <w:kern w:val="2"/>
      <w:sz w:val="32"/>
      <w:szCs w:val="32"/>
      <w:lang w:val="en-US" w:eastAsia="zh-CN" w:bidi="ar-SA"/>
    </w:rPr>
  </w:style>
  <w:style w:type="character" w:customStyle="1" w:styleId="39">
    <w:name w:val="标题 4 Char"/>
    <w:link w:val="6"/>
    <w:qFormat/>
    <w:uiPriority w:val="0"/>
    <w:rPr>
      <w:rFonts w:ascii="宋体" w:hAnsi="宋体" w:eastAsia="宋体" w:cs="Times New Roman"/>
      <w:color w:val="0000FF"/>
      <w:sz w:val="28"/>
      <w:lang w:val="en-US" w:eastAsia="zh-CN" w:bidi="ar-SA"/>
    </w:rPr>
  </w:style>
  <w:style w:type="character" w:customStyle="1" w:styleId="40">
    <w:name w:val="标题 5 Char"/>
    <w:link w:val="7"/>
    <w:qFormat/>
    <w:uiPriority w:val="0"/>
    <w:rPr>
      <w:rFonts w:ascii="Verdana" w:hAnsi="Verdana" w:eastAsia="宋体" w:cs="Times New Roman"/>
      <w:b/>
      <w:bCs/>
      <w:kern w:val="2"/>
      <w:sz w:val="28"/>
      <w:szCs w:val="28"/>
      <w:lang w:val="en-US" w:eastAsia="zh-CN" w:bidi="ar-SA"/>
    </w:rPr>
  </w:style>
  <w:style w:type="character" w:customStyle="1" w:styleId="41">
    <w:name w:val="标题 6 Char"/>
    <w:link w:val="8"/>
    <w:qFormat/>
    <w:uiPriority w:val="0"/>
    <w:rPr>
      <w:rFonts w:ascii="Arial" w:hAnsi="Arial" w:eastAsia="黑体" w:cs="Times New Roman"/>
      <w:b/>
      <w:bCs/>
      <w:kern w:val="2"/>
      <w:sz w:val="24"/>
      <w:szCs w:val="24"/>
      <w:lang w:val="en-US" w:eastAsia="zh-CN" w:bidi="ar-SA"/>
    </w:rPr>
  </w:style>
  <w:style w:type="character" w:customStyle="1" w:styleId="42">
    <w:name w:val="标题 7 Char"/>
    <w:link w:val="9"/>
    <w:qFormat/>
    <w:uiPriority w:val="0"/>
    <w:rPr>
      <w:rFonts w:ascii="Times New Roman" w:hAnsi="Times New Roman" w:eastAsia="宋体" w:cs="Times New Roman"/>
      <w:b/>
      <w:bCs/>
      <w:kern w:val="2"/>
      <w:sz w:val="24"/>
      <w:szCs w:val="24"/>
      <w:lang w:val="en-US" w:eastAsia="zh-CN" w:bidi="ar-SA"/>
    </w:rPr>
  </w:style>
  <w:style w:type="character" w:customStyle="1" w:styleId="43">
    <w:name w:val="标题 8 Char"/>
    <w:link w:val="10"/>
    <w:qFormat/>
    <w:uiPriority w:val="0"/>
    <w:rPr>
      <w:rFonts w:ascii="Arial" w:hAnsi="Arial" w:eastAsia="黑体" w:cs="Times New Roman"/>
      <w:kern w:val="2"/>
      <w:sz w:val="24"/>
      <w:szCs w:val="24"/>
      <w:lang w:val="en-US" w:eastAsia="zh-CN" w:bidi="ar-SA"/>
    </w:rPr>
  </w:style>
  <w:style w:type="character" w:customStyle="1" w:styleId="44">
    <w:name w:val="标题 9 Char"/>
    <w:link w:val="11"/>
    <w:qFormat/>
    <w:uiPriority w:val="0"/>
    <w:rPr>
      <w:rFonts w:ascii="Arial" w:hAnsi="Arial" w:eastAsia="黑体" w:cs="Times New Roman"/>
      <w:kern w:val="2"/>
      <w:sz w:val="21"/>
      <w:szCs w:val="21"/>
      <w:lang w:val="en-US" w:eastAsia="zh-CN" w:bidi="ar-SA"/>
    </w:rPr>
  </w:style>
  <w:style w:type="character" w:customStyle="1" w:styleId="45">
    <w:name w:val="文档结构图 Char"/>
    <w:link w:val="13"/>
    <w:qFormat/>
    <w:uiPriority w:val="0"/>
    <w:rPr>
      <w:rFonts w:ascii="Times New Roman" w:hAnsi="Times New Roman" w:eastAsia="宋体" w:cs="Times New Roman"/>
      <w:szCs w:val="24"/>
      <w:shd w:val="clear" w:color="auto" w:fill="000080"/>
      <w:lang w:bidi="ar-SA"/>
    </w:rPr>
  </w:style>
  <w:style w:type="character" w:customStyle="1" w:styleId="46">
    <w:name w:val="正文文本 Char"/>
    <w:link w:val="16"/>
    <w:qFormat/>
    <w:uiPriority w:val="0"/>
    <w:rPr>
      <w:rFonts w:ascii="Times New Roman" w:hAnsi="Times New Roman" w:eastAsia="宋体" w:cs="Times New Roman"/>
      <w:kern w:val="2"/>
      <w:sz w:val="21"/>
      <w:szCs w:val="24"/>
      <w:lang w:val="en-US" w:eastAsia="zh-CN" w:bidi="ar-SA"/>
    </w:rPr>
  </w:style>
  <w:style w:type="character" w:customStyle="1" w:styleId="47">
    <w:name w:val="正文文本缩进 Char"/>
    <w:link w:val="17"/>
    <w:qFormat/>
    <w:uiPriority w:val="0"/>
    <w:rPr>
      <w:rFonts w:ascii="Times New Roman" w:hAnsi="Times New Roman" w:eastAsia="宋体" w:cs="Times New Roman"/>
      <w:lang w:bidi="ar-SA"/>
    </w:rPr>
  </w:style>
  <w:style w:type="character" w:customStyle="1" w:styleId="48">
    <w:name w:val="纯文本 Char"/>
    <w:link w:val="18"/>
    <w:qFormat/>
    <w:uiPriority w:val="0"/>
    <w:rPr>
      <w:rFonts w:ascii="宋体" w:hAnsi="Courier New" w:eastAsia="宋体" w:cs="Times New Roman"/>
      <w:szCs w:val="21"/>
      <w:lang w:bidi="ar-SA"/>
    </w:rPr>
  </w:style>
  <w:style w:type="character" w:customStyle="1" w:styleId="49">
    <w:name w:val="日期 Char"/>
    <w:link w:val="19"/>
    <w:qFormat/>
    <w:uiPriority w:val="0"/>
    <w:rPr>
      <w:rFonts w:ascii="Times New Roman" w:hAnsi="Times New Roman" w:eastAsia="宋体" w:cs="Times New Roman"/>
      <w:szCs w:val="24"/>
      <w:lang w:bidi="ar-SA"/>
    </w:rPr>
  </w:style>
  <w:style w:type="character" w:customStyle="1" w:styleId="50">
    <w:name w:val="正文文本缩进 2 Char"/>
    <w:link w:val="20"/>
    <w:qFormat/>
    <w:uiPriority w:val="0"/>
    <w:rPr>
      <w:rFonts w:ascii="宋体" w:hAnsi="Times New Roman" w:eastAsia="宋体" w:cs="Times New Roman"/>
      <w:sz w:val="28"/>
      <w:lang w:bidi="ar-SA"/>
    </w:rPr>
  </w:style>
  <w:style w:type="character" w:customStyle="1" w:styleId="51">
    <w:name w:val="批注框文本 Char"/>
    <w:link w:val="21"/>
    <w:qFormat/>
    <w:uiPriority w:val="0"/>
    <w:rPr>
      <w:rFonts w:ascii="Times New Roman" w:hAnsi="Times New Roman" w:eastAsia="宋体" w:cs="Times New Roman"/>
      <w:sz w:val="18"/>
      <w:szCs w:val="18"/>
      <w:lang w:bidi="ar-SA"/>
    </w:rPr>
  </w:style>
  <w:style w:type="character" w:customStyle="1" w:styleId="52">
    <w:name w:val="页脚 Char"/>
    <w:link w:val="22"/>
    <w:qFormat/>
    <w:uiPriority w:val="0"/>
    <w:rPr>
      <w:rFonts w:ascii="Times New Roman" w:hAnsi="Times New Roman" w:eastAsia="宋体" w:cs="Times New Roman"/>
      <w:sz w:val="18"/>
      <w:szCs w:val="24"/>
      <w:lang w:bidi="ar-SA"/>
    </w:rPr>
  </w:style>
  <w:style w:type="character" w:customStyle="1" w:styleId="53">
    <w:name w:val="页眉 Char"/>
    <w:link w:val="23"/>
    <w:qFormat/>
    <w:uiPriority w:val="0"/>
    <w:rPr>
      <w:rFonts w:ascii="Times New Roman" w:hAnsi="Times New Roman" w:eastAsia="宋体" w:cs="Times New Roman"/>
      <w:sz w:val="18"/>
      <w:szCs w:val="18"/>
      <w:lang w:bidi="ar-SA"/>
    </w:rPr>
  </w:style>
  <w:style w:type="character" w:customStyle="1" w:styleId="54">
    <w:name w:val="正文文本缩进 3 Char"/>
    <w:link w:val="25"/>
    <w:qFormat/>
    <w:uiPriority w:val="0"/>
    <w:rPr>
      <w:rFonts w:ascii="Times New Roman" w:hAnsi="Times New Roman" w:eastAsia="宋体" w:cs="Times New Roman"/>
      <w:sz w:val="24"/>
      <w:lang w:bidi="ar-SA"/>
    </w:rPr>
  </w:style>
  <w:style w:type="character" w:customStyle="1" w:styleId="55">
    <w:name w:val="正文文本 2 Char"/>
    <w:link w:val="26"/>
    <w:qFormat/>
    <w:uiPriority w:val="0"/>
    <w:rPr>
      <w:rFonts w:ascii="仿宋_GB2312" w:hAnsi="Times New Roman" w:eastAsia="仿宋_GB2312" w:cs="Times New Roman"/>
      <w:sz w:val="28"/>
      <w:lang w:bidi="ar-SA"/>
    </w:rPr>
  </w:style>
  <w:style w:type="character" w:customStyle="1" w:styleId="56">
    <w:name w:val="标题 Char"/>
    <w:link w:val="28"/>
    <w:qFormat/>
    <w:uiPriority w:val="0"/>
    <w:rPr>
      <w:rFonts w:ascii="Cambria" w:hAnsi="Cambria" w:eastAsia="宋体" w:cs="Times New Roman"/>
      <w:b/>
      <w:bCs/>
      <w:sz w:val="32"/>
      <w:szCs w:val="32"/>
      <w:lang w:bidi="ar-SA"/>
    </w:rPr>
  </w:style>
  <w:style w:type="character" w:customStyle="1" w:styleId="57">
    <w:name w:val="正文首行缩进 Char"/>
    <w:link w:val="29"/>
    <w:qFormat/>
    <w:uiPriority w:val="0"/>
    <w:rPr>
      <w:rFonts w:ascii="Times New Roman" w:hAnsi="Times New Roman" w:eastAsia="宋体" w:cs="Times New Roman"/>
      <w:szCs w:val="24"/>
      <w:lang w:bidi="ar-SA"/>
    </w:rPr>
  </w:style>
  <w:style w:type="character" w:customStyle="1" w:styleId="58">
    <w:name w:val="Style .. + 宋体 五号 Black Char"/>
    <w:link w:val="59"/>
    <w:qFormat/>
    <w:uiPriority w:val="0"/>
    <w:rPr>
      <w:rFonts w:ascii="宋体" w:hAnsi="宋体" w:eastAsia="宋体" w:cs="Times New Roman"/>
      <w:color w:val="000000"/>
      <w:sz w:val="24"/>
      <w:lang w:bidi="ar-SA"/>
    </w:rPr>
  </w:style>
  <w:style w:type="paragraph" w:customStyle="1" w:styleId="59">
    <w:name w:val="Style .. + 宋体 五号 Black"/>
    <w:basedOn w:val="1"/>
    <w:link w:val="58"/>
    <w:qFormat/>
    <w:uiPriority w:val="0"/>
    <w:pPr>
      <w:autoSpaceDE w:val="0"/>
      <w:autoSpaceDN w:val="0"/>
      <w:adjustRightInd w:val="0"/>
      <w:spacing w:line="360" w:lineRule="auto"/>
      <w:jc w:val="left"/>
    </w:pPr>
    <w:rPr>
      <w:rFonts w:ascii="宋体" w:hAnsi="宋体" w:eastAsia="宋体" w:cs="Times New Roman"/>
      <w:color w:val="000000"/>
      <w:kern w:val="0"/>
      <w:sz w:val="24"/>
      <w:szCs w:val="20"/>
    </w:rPr>
  </w:style>
  <w:style w:type="character" w:customStyle="1" w:styleId="60">
    <w:name w:val="gjfg"/>
    <w:basedOn w:val="31"/>
    <w:qFormat/>
    <w:uiPriority w:val="0"/>
  </w:style>
  <w:style w:type="character" w:customStyle="1" w:styleId="61">
    <w:name w:val="cfdate"/>
    <w:qFormat/>
    <w:uiPriority w:val="0"/>
    <w:rPr>
      <w:rFonts w:ascii="Times New Roman" w:hAnsi="Times New Roman" w:eastAsia="宋体" w:cs="Times New Roman"/>
      <w:color w:val="333333"/>
      <w:sz w:val="12"/>
      <w:szCs w:val="12"/>
    </w:rPr>
  </w:style>
  <w:style w:type="character" w:customStyle="1" w:styleId="62">
    <w:name w:val="正文文字 Char"/>
    <w:link w:val="63"/>
    <w:qFormat/>
    <w:uiPriority w:val="0"/>
    <w:rPr>
      <w:rFonts w:ascii="Times New Roman" w:hAnsi="Times New Roman" w:eastAsia="宋体" w:cs="Times New Roman"/>
      <w:sz w:val="24"/>
      <w:szCs w:val="24"/>
      <w:lang w:bidi="ar-SA"/>
    </w:rPr>
  </w:style>
  <w:style w:type="paragraph" w:customStyle="1" w:styleId="63">
    <w:name w:val="正文文字"/>
    <w:basedOn w:val="1"/>
    <w:link w:val="62"/>
    <w:qFormat/>
    <w:uiPriority w:val="0"/>
    <w:pPr>
      <w:spacing w:before="60" w:after="60" w:line="360" w:lineRule="auto"/>
      <w:ind w:firstLine="200" w:firstLineChars="200"/>
      <w:jc w:val="left"/>
    </w:pPr>
    <w:rPr>
      <w:rFonts w:ascii="Times New Roman" w:hAnsi="Times New Roman" w:eastAsia="宋体" w:cs="Times New Roman"/>
      <w:kern w:val="0"/>
      <w:sz w:val="24"/>
    </w:rPr>
  </w:style>
  <w:style w:type="character" w:customStyle="1" w:styleId="64">
    <w:name w:val="ll2 Char Char"/>
    <w:link w:val="65"/>
    <w:qFormat/>
    <w:uiPriority w:val="0"/>
    <w:rPr>
      <w:rFonts w:ascii="宋体" w:hAnsi="宋体" w:eastAsia="Times New Roman" w:cs="Times New Roman"/>
      <w:bCs/>
      <w:color w:val="000000"/>
      <w:sz w:val="24"/>
      <w:szCs w:val="32"/>
      <w:lang w:val="en-US" w:eastAsia="zh-CN" w:bidi="ar-SA"/>
    </w:rPr>
  </w:style>
  <w:style w:type="paragraph" w:customStyle="1" w:styleId="65">
    <w:name w:val="ll2"/>
    <w:link w:val="64"/>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6">
    <w:name w:val="正文文本 Char1"/>
    <w:qFormat/>
    <w:uiPriority w:val="0"/>
    <w:rPr>
      <w:rFonts w:ascii="Times New Roman" w:hAnsi="Times New Roman" w:eastAsia="宋体" w:cs="Times New Roman"/>
      <w:szCs w:val="24"/>
    </w:rPr>
  </w:style>
  <w:style w:type="character" w:customStyle="1" w:styleId="67">
    <w:name w:val="qxdate"/>
    <w:qFormat/>
    <w:uiPriority w:val="0"/>
    <w:rPr>
      <w:rFonts w:ascii="Times New Roman" w:hAnsi="Times New Roman" w:eastAsia="宋体" w:cs="Times New Roman"/>
      <w:color w:val="333333"/>
      <w:sz w:val="12"/>
      <w:szCs w:val="12"/>
    </w:rPr>
  </w:style>
  <w:style w:type="character" w:customStyle="1" w:styleId="68">
    <w:name w:val="redfilefwwh"/>
    <w:qFormat/>
    <w:uiPriority w:val="0"/>
    <w:rPr>
      <w:rFonts w:ascii="Times New Roman" w:hAnsi="Times New Roman" w:eastAsia="宋体" w:cs="Times New Roman"/>
      <w:color w:val="BA2636"/>
      <w:sz w:val="12"/>
      <w:szCs w:val="12"/>
    </w:rPr>
  </w:style>
  <w:style w:type="character" w:customStyle="1" w:styleId="69">
    <w:name w:val="redfilenumber"/>
    <w:qFormat/>
    <w:uiPriority w:val="0"/>
    <w:rPr>
      <w:rFonts w:ascii="Times New Roman" w:hAnsi="Times New Roman" w:eastAsia="宋体" w:cs="Times New Roman"/>
      <w:color w:val="BA2636"/>
      <w:sz w:val="12"/>
      <w:szCs w:val="12"/>
    </w:rPr>
  </w:style>
  <w:style w:type="character" w:customStyle="1" w:styleId="70">
    <w:name w:val="displayarti"/>
    <w:qFormat/>
    <w:uiPriority w:val="0"/>
    <w:rPr>
      <w:rFonts w:ascii="Times New Roman" w:hAnsi="Times New Roman" w:eastAsia="宋体" w:cs="Times New Roman"/>
      <w:color w:val="FFFFFF"/>
      <w:shd w:val="clear" w:color="auto" w:fill="A00000"/>
    </w:rPr>
  </w:style>
  <w:style w:type="character" w:customStyle="1" w:styleId="71">
    <w:name w:val="文档正文 Char"/>
    <w:link w:val="72"/>
    <w:qFormat/>
    <w:uiPriority w:val="0"/>
    <w:rPr>
      <w:rFonts w:ascii="长城仿宋" w:hAnsi="Times New Roman" w:eastAsia="宋体" w:cs="Times New Roman"/>
      <w:sz w:val="24"/>
      <w:lang w:bidi="ar-SA"/>
    </w:rPr>
  </w:style>
  <w:style w:type="paragraph" w:customStyle="1" w:styleId="72">
    <w:name w:val="文档正文"/>
    <w:basedOn w:val="1"/>
    <w:link w:val="71"/>
    <w:qFormat/>
    <w:uiPriority w:val="0"/>
    <w:pPr>
      <w:adjustRightInd w:val="0"/>
      <w:spacing w:line="480" w:lineRule="atLeast"/>
      <w:ind w:firstLine="567"/>
    </w:pPr>
    <w:rPr>
      <w:rFonts w:ascii="长城仿宋" w:hAnsi="Times New Roman" w:eastAsia="宋体" w:cs="Times New Roman"/>
      <w:kern w:val="0"/>
      <w:sz w:val="24"/>
      <w:szCs w:val="20"/>
    </w:rPr>
  </w:style>
  <w:style w:type="paragraph" w:customStyle="1" w:styleId="73">
    <w:name w:val="Char"/>
    <w:basedOn w:val="1"/>
    <w:qFormat/>
    <w:uiPriority w:val="0"/>
    <w:rPr>
      <w:rFonts w:ascii="Tahoma" w:hAnsi="Tahoma" w:eastAsia="宋体" w:cs="Times New Roman"/>
      <w:sz w:val="24"/>
      <w:szCs w:val="20"/>
    </w:rPr>
  </w:style>
  <w:style w:type="paragraph" w:customStyle="1" w:styleId="74">
    <w:name w:val=" Char Char Char"/>
    <w:basedOn w:val="1"/>
    <w:qFormat/>
    <w:uiPriority w:val="0"/>
    <w:rPr>
      <w:rFonts w:ascii="Tahoma" w:hAnsi="Tahoma" w:eastAsia="宋体" w:cs="Times New Roman"/>
      <w:sz w:val="24"/>
      <w:szCs w:val="20"/>
    </w:rPr>
  </w:style>
  <w:style w:type="paragraph" w:customStyle="1" w:styleId="75">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6">
    <w:name w:val="样式1"/>
    <w:basedOn w:val="1"/>
    <w:qFormat/>
    <w:uiPriority w:val="0"/>
    <w:pPr>
      <w:numPr>
        <w:ilvl w:val="0"/>
        <w:numId w:val="4"/>
      </w:numPr>
      <w:adjustRightInd w:val="0"/>
    </w:pPr>
    <w:rPr>
      <w:rFonts w:ascii="宋体" w:hAnsi="宋体" w:eastAsia="宋体" w:cs="Times New Roman"/>
      <w:kern w:val="0"/>
      <w:szCs w:val="20"/>
    </w:rPr>
  </w:style>
  <w:style w:type="paragraph" w:customStyle="1" w:styleId="77">
    <w:name w:val="标题 5（有编号）（绿盟科技）"/>
    <w:basedOn w:val="1"/>
    <w:next w:val="75"/>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78">
    <w:name w:val="正常"/>
    <w:basedOn w:val="79"/>
    <w:qFormat/>
    <w:uiPriority w:val="0"/>
    <w:rPr>
      <w:sz w:val="24"/>
    </w:rPr>
  </w:style>
  <w:style w:type="paragraph" w:customStyle="1" w:styleId="79">
    <w:name w:val="小正常"/>
    <w:basedOn w:val="1"/>
    <w:qFormat/>
    <w:uiPriority w:val="0"/>
    <w:rPr>
      <w:rFonts w:cs="Times New Roman"/>
      <w:sz w:val="20"/>
      <w:szCs w:val="20"/>
    </w:rPr>
  </w:style>
  <w:style w:type="table" w:customStyle="1" w:styleId="80">
    <w:name w:val="Table Normal_0"/>
    <w:semiHidden/>
    <w:unhideWhenUsed/>
    <w:qFormat/>
    <w:uiPriority w:val="0"/>
    <w:pPr>
      <w:spacing w:after="160" w:line="259" w:lineRule="auto"/>
    </w:pPr>
    <w:tblPr>
      <w:tblCellMar>
        <w:top w:w="0" w:type="dxa"/>
        <w:left w:w="0" w:type="dxa"/>
        <w:bottom w:w="0" w:type="dxa"/>
        <w:right w:w="0" w:type="dxa"/>
      </w:tblCellMar>
    </w:tblPr>
  </w:style>
  <w:style w:type="paragraph" w:styleId="81">
    <w:name w:val="List Paragraph"/>
    <w:basedOn w:val="1"/>
    <w:qFormat/>
    <w:uiPriority w:val="34"/>
    <w:pPr>
      <w:ind w:firstLine="420"/>
    </w:pPr>
    <w:rPr>
      <w:kern w:val="0"/>
      <w:szCs w:val="21"/>
    </w:rPr>
  </w:style>
  <w:style w:type="paragraph" w:customStyle="1" w:styleId="82">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3">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4">
    <w:name w:val="标题 2 Char"/>
    <w:link w:val="4"/>
    <w:qFormat/>
    <w:uiPriority w:val="0"/>
    <w:rPr>
      <w:rFonts w:ascii="Arial" w:hAnsi="Arial" w:eastAsia="黑体" w:cs="Calibri"/>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53</Pages>
  <Words>6414</Words>
  <Characters>6747</Characters>
  <Lines>217</Lines>
  <Paragraphs>61</Paragraphs>
  <TotalTime>2</TotalTime>
  <ScaleCrop>false</ScaleCrop>
  <LinksUpToDate>false</LinksUpToDate>
  <CharactersWithSpaces>6890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2020-04-23T23:26:00Z</dcterms:created>
  <dc:creator>Administrator</dc:creator>
  <cp:lastModifiedBy>sj-n-627-1</cp:lastModifiedBy>
  <cp:lastPrinted>2020-10-14T19:19:00Z</cp:lastPrinted>
  <dcterms:modified xsi:type="dcterms:W3CDTF">2025-10-23T02:16:12Z</dcterms:modified>
  <dc:title>招 标 文 件</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2052-11.8.2.8959</vt:lpwstr>
  </property>
  <property fmtid="{D5CDD505-2E9C-101B-9397-08002B2CF9AE}" pid="4" name="KSOTemplateDocerSaveRecord">
    <vt:lpwstr>eyJoZGlkIjoiZDQ1MzcwZmQyZjg1MjVhMTgxZjhhZjE0MmViZDI4NWIiLCJ1c2VySWQiOiI2MzM5NDgzOTIifQ==</vt:lpwstr>
  </property>
</Properties>
</file>