
<file path=[Content_Types].xml><?xml version="1.0" encoding="utf-8"?>
<Types xmlns="http://schemas.openxmlformats.org/package/2006/content-types">
  <Default Extension="rels" ContentType="application/vnd.openxmlformats-package.relationships+xml"/>
  <Default Extension="xml" ContentType="application/xml"/>
  <Override PartName="/customXml/item1.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 Id="rId4" Type="http://schemas.openxmlformats.org/officeDocument/2006/relationships/custom-properties" Target="docProps/custom.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Java 21.6.0 -->
  <w:body>
    <w:p>
      <w:pPr>
        <w:jc w:val="left"/>
        <w:rPr>
          <w:rFonts w:hAnsi="SimSun"/>
          <w:b/>
          <w:sz w:val="96"/>
          <w:szCs w:val="96"/>
        </w:rPr>
      </w:pPr>
    </w:p>
    <w:p>
      <w:pPr>
        <w:topLinePunct/>
        <w:autoSpaceDE w:val="0"/>
        <w:autoSpaceDN w:val="0"/>
        <w:jc w:val="center"/>
        <w:rPr>
          <w:rFonts w:hAnsi="SimSun"/>
          <w:b/>
          <w:sz w:val="96"/>
          <w:szCs w:val="96"/>
        </w:rPr>
      </w:pPr>
      <w:r>
        <w:rPr>
          <w:rFonts w:hAnsi="SimSun" w:hint="eastAsia"/>
          <w:b/>
          <w:sz w:val="96"/>
          <w:szCs w:val="96"/>
        </w:rPr>
        <w:t>招 标 文 件</w:t>
      </w:r>
    </w:p>
    <w:p>
      <w:pPr>
        <w:topLinePunct/>
        <w:autoSpaceDE w:val="0"/>
        <w:autoSpaceDN w:val="0"/>
        <w:spacing w:line="60" w:lineRule="exact"/>
        <w:jc w:val="center"/>
        <w:rPr>
          <w:rFonts w:hAnsi="SimSun"/>
          <w:sz w:val="96"/>
          <w:szCs w:val="96"/>
        </w:rPr>
      </w:pPr>
    </w:p>
    <w:p>
      <w:pPr>
        <w:topLinePunct/>
        <w:autoSpaceDE w:val="0"/>
        <w:autoSpaceDN w:val="0"/>
        <w:snapToGrid w:val="0"/>
        <w:jc w:val="center"/>
        <w:rPr>
          <w:rFonts w:ascii="SimSun" w:hAnsi="SimSun"/>
          <w:sz w:val="96"/>
          <w:szCs w:val="96"/>
        </w:rPr>
      </w:pPr>
      <w:r>
        <w:rPr>
          <w:rFonts w:hAnsi="SimSun" w:hint="eastAsia"/>
          <w:b/>
          <w:sz w:val="56"/>
          <w:szCs w:val="56"/>
        </w:rPr>
        <w:t>（技术部分）</w:t>
      </w:r>
    </w:p>
    <w:p>
      <w:pPr>
        <w:topLinePunct/>
        <w:autoSpaceDE w:val="0"/>
        <w:autoSpaceDN w:val="0"/>
        <w:snapToGrid w:val="0"/>
        <w:spacing w:line="360" w:lineRule="auto"/>
        <w:ind w:left="1401" w:hanging="280" w:leftChars="534" w:hangingChars="100"/>
        <w:rPr>
          <w:rFonts w:ascii="SimSun"/>
          <w:b/>
          <w:bCs/>
          <w:sz w:val="28"/>
          <w:szCs w:val="28"/>
        </w:rPr>
      </w:pPr>
    </w:p>
    <w:p>
      <w:pPr>
        <w:topLinePunct/>
        <w:autoSpaceDE w:val="0"/>
        <w:autoSpaceDN w:val="0"/>
        <w:snapToGrid w:val="0"/>
        <w:spacing w:line="360" w:lineRule="auto"/>
        <w:ind w:left="1401" w:hanging="280" w:leftChars="534" w:hangingChars="100"/>
        <w:rPr>
          <w:rFonts w:ascii="SimSun"/>
          <w:b/>
          <w:bCs/>
          <w:sz w:val="28"/>
          <w:szCs w:val="28"/>
        </w:rPr>
      </w:pPr>
    </w:p>
    <w:p>
      <w:pPr>
        <w:topLinePunct/>
        <w:autoSpaceDE w:val="0"/>
        <w:autoSpaceDN w:val="0"/>
        <w:snapToGrid w:val="0"/>
        <w:spacing w:line="360" w:lineRule="auto"/>
        <w:ind w:left="1401" w:hanging="280" w:leftChars="534" w:hangingChars="100"/>
        <w:rPr>
          <w:rFonts w:ascii="SimSun"/>
          <w:b/>
          <w:bCs/>
          <w:sz w:val="28"/>
          <w:szCs w:val="28"/>
        </w:rPr>
      </w:pPr>
      <w:r>
        <w:rPr>
          <w:rFonts w:ascii="SimSun" w:hint="eastAsia"/>
          <w:b/>
          <w:bCs/>
          <w:sz w:val="28"/>
          <w:szCs w:val="28"/>
        </w:rPr>
        <w:t>项目名称：</w:t>
      </w:r>
      <w:bookmarkStart w:id="0" w:name="项目名称_fa_planName"/>
      <w:r>
        <w:rPr>
          <w:rFonts w:ascii="SimSun" w:hint="eastAsia"/>
          <w:b/>
          <w:bCs/>
          <w:sz w:val="28"/>
          <w:szCs w:val="28"/>
        </w:rPr>
        <w:t>国家税务总局吉林省税务局网络安全运维服务项目</w:t>
      </w:r>
      <w:bookmarkEnd w:id="0"/>
    </w:p>
    <w:p>
      <w:pPr>
        <w:topLinePunct/>
        <w:autoSpaceDE w:val="0"/>
        <w:autoSpaceDN w:val="0"/>
        <w:snapToGrid w:val="0"/>
        <w:spacing w:line="360" w:lineRule="auto"/>
        <w:ind w:left="1401" w:hanging="280" w:leftChars="534" w:hangingChars="100"/>
        <w:rPr>
          <w:rFonts w:ascii="SimSun"/>
          <w:b/>
          <w:bCs/>
          <w:sz w:val="28"/>
          <w:szCs w:val="28"/>
        </w:rPr>
      </w:pPr>
      <w:r>
        <w:rPr>
          <w:rFonts w:ascii="SimSun" w:hint="eastAsia"/>
          <w:b/>
          <w:bCs/>
          <w:sz w:val="28"/>
          <w:szCs w:val="28"/>
        </w:rPr>
        <w:t>项目编号：</w:t>
      </w:r>
      <w:bookmarkStart w:id="1" w:name="项目编号_fa_planNo"/>
      <w:r>
        <w:rPr>
          <w:rFonts w:ascii="SimSun" w:hint="eastAsia"/>
          <w:b/>
          <w:bCs/>
          <w:sz w:val="28"/>
          <w:szCs w:val="28"/>
        </w:rPr>
        <w:t>JL2024-ZXGK-C0091-B00</w:t>
      </w:r>
      <w:bookmarkEnd w:id="1"/>
    </w:p>
    <w:p>
      <w:pPr>
        <w:topLinePunct/>
        <w:autoSpaceDE w:val="0"/>
        <w:autoSpaceDN w:val="0"/>
        <w:snapToGrid w:val="0"/>
        <w:spacing w:line="360" w:lineRule="auto"/>
        <w:ind w:firstLine="1120" w:firstLineChars="400"/>
        <w:rPr>
          <w:rFonts w:ascii="SimSun"/>
          <w:b/>
          <w:bCs/>
          <w:sz w:val="28"/>
          <w:szCs w:val="28"/>
        </w:rPr>
      </w:pPr>
    </w:p>
    <w:p>
      <w:pPr>
        <w:topLinePunct/>
        <w:autoSpaceDE w:val="0"/>
        <w:autoSpaceDN w:val="0"/>
        <w:snapToGrid w:val="0"/>
        <w:spacing w:line="360" w:lineRule="auto"/>
        <w:rPr>
          <w:rFonts w:ascii="SimSun"/>
          <w:b/>
          <w:bCs/>
          <w:sz w:val="28"/>
          <w:szCs w:val="28"/>
        </w:rPr>
      </w:pPr>
    </w:p>
    <w:p>
      <w:pPr>
        <w:topLinePunct/>
        <w:autoSpaceDE w:val="0"/>
        <w:autoSpaceDN w:val="0"/>
        <w:spacing w:line="460" w:lineRule="exact"/>
        <w:rPr>
          <w:rFonts w:ascii="SimHei" w:eastAsia="SimHei"/>
          <w:b/>
          <w:sz w:val="52"/>
        </w:rPr>
      </w:pPr>
    </w:p>
    <w:p>
      <w:pPr>
        <w:topLinePunct/>
        <w:autoSpaceDE w:val="0"/>
        <w:autoSpaceDN w:val="0"/>
        <w:spacing w:line="460" w:lineRule="exact"/>
        <w:rPr>
          <w:rFonts w:ascii="SimHei" w:eastAsia="SimHei"/>
          <w:b/>
          <w:sz w:val="36"/>
          <w:szCs w:val="36"/>
        </w:rPr>
      </w:pPr>
    </w:p>
    <w:p>
      <w:pPr>
        <w:topLinePunct/>
        <w:autoSpaceDE w:val="0"/>
        <w:autoSpaceDN w:val="0"/>
        <w:spacing w:line="460" w:lineRule="exact"/>
        <w:rPr>
          <w:rFonts w:ascii="SimHei" w:eastAsia="SimHei"/>
          <w:b/>
          <w:sz w:val="36"/>
          <w:szCs w:val="36"/>
        </w:rPr>
      </w:pPr>
    </w:p>
    <w:p>
      <w:pPr>
        <w:topLinePunct/>
        <w:autoSpaceDE w:val="0"/>
        <w:autoSpaceDN w:val="0"/>
        <w:spacing w:line="460" w:lineRule="exact"/>
        <w:jc w:val="center"/>
        <w:rPr>
          <w:rFonts w:ascii="SimHei" w:eastAsia="SimHei"/>
          <w:sz w:val="36"/>
          <w:szCs w:val="36"/>
        </w:rPr>
      </w:pPr>
    </w:p>
    <w:p>
      <w:pPr>
        <w:topLinePunct/>
        <w:autoSpaceDE w:val="0"/>
        <w:autoSpaceDN w:val="0"/>
        <w:spacing w:line="460" w:lineRule="exact"/>
        <w:jc w:val="center"/>
        <w:rPr>
          <w:rFonts w:ascii="SimHei" w:eastAsia="SimHei"/>
          <w:sz w:val="36"/>
          <w:szCs w:val="36"/>
        </w:rPr>
      </w:pPr>
    </w:p>
    <w:p>
      <w:pPr>
        <w:topLinePunct/>
        <w:autoSpaceDE w:val="0"/>
        <w:autoSpaceDN w:val="0"/>
        <w:spacing w:line="460" w:lineRule="exact"/>
        <w:jc w:val="center"/>
        <w:rPr>
          <w:rFonts w:ascii="SimHei" w:eastAsia="SimHei"/>
          <w:sz w:val="36"/>
          <w:szCs w:val="36"/>
        </w:rPr>
      </w:pPr>
    </w:p>
    <w:p>
      <w:pPr>
        <w:topLinePunct/>
        <w:autoSpaceDE w:val="0"/>
        <w:autoSpaceDN w:val="0"/>
        <w:spacing w:line="460" w:lineRule="exact"/>
        <w:jc w:val="center"/>
        <w:rPr>
          <w:rFonts w:ascii="SimHei" w:eastAsia="SimHei"/>
          <w:sz w:val="36"/>
          <w:szCs w:val="36"/>
        </w:rPr>
      </w:pPr>
      <w:bookmarkStart w:id="2" w:name="采购人名称_cgrmc"/>
      <w:r>
        <w:rPr>
          <w:rFonts w:ascii="SimHei" w:eastAsia="SimHei" w:hint="eastAsia"/>
          <w:sz w:val="36"/>
          <w:szCs w:val="36"/>
        </w:rPr>
        <w:t>国家税务总局吉林省税务局</w:t>
      </w:r>
      <w:bookmarkEnd w:id="2"/>
    </w:p>
    <w:p>
      <w:pPr>
        <w:widowControl/>
        <w:topLinePunct/>
        <w:autoSpaceDE w:val="0"/>
        <w:autoSpaceDN w:val="0"/>
        <w:jc w:val="center"/>
        <w:rPr>
          <w:rFonts w:ascii="SimSun" w:hAnsi="SimSun" w:cs="SimSun"/>
        </w:rPr>
        <w:sectPr>
          <w:pgSz w:w="11906" w:h="16838"/>
          <w:pgMar w:top="1440" w:right="1508" w:bottom="1440" w:left="1588" w:header="851" w:footer="851" w:gutter="0"/>
          <w:cols w:num="1" w:space="720"/>
          <w:titlePg/>
          <w:docGrid w:type="lines" w:linePitch="312" w:charSpace="0"/>
        </w:sectPr>
      </w:pPr>
      <w:bookmarkStart w:id="3" w:name="生成日期_currentDateTime_ymd"/>
      <w:r>
        <w:rPr>
          <w:rFonts w:ascii="SimHei" w:eastAsia="SimHei" w:hAnsi="Courier New" w:cs="Courier New" w:hint="eastAsia"/>
          <w:sz w:val="36"/>
          <w:szCs w:val="36"/>
        </w:rPr>
        <w:t>2024年11月</w:t>
      </w:r>
      <w:bookmarkEnd w:id="3"/>
    </w:p>
    <w:p>
      <w:pPr>
        <w:pStyle w:val="Normal0"/>
        <w:keepNext w:val="0"/>
        <w:keepLines w:val="0"/>
        <w:pageBreakBefore w:val="0"/>
        <w:widowControl w:val="0"/>
        <w:kinsoku/>
        <w:wordWrap/>
        <w:topLinePunct w:val="0"/>
        <w:bidi w:val="0"/>
        <w:rPr>
          <w:rFonts w:ascii="黑体" w:eastAsia="黑体" w:hAnsi="黑体" w:cs="黑体" w:hint="eastAsia"/>
          <w:sz w:val="32"/>
          <w:szCs w:val="32"/>
          <w:lang w:val="en-US" w:eastAsia="zh-CN"/>
        </w:rPr>
      </w:pPr>
      <w:r>
        <w:rPr>
          <w:rStyle w:val="1Char"/>
          <w:rFonts w:hint="eastAsia"/>
          <w:vanish w:val="0"/>
          <w:lang w:val="en-US" w:eastAsia="zh-CN"/>
        </w:rPr>
        <w:t xml:space="preserve">  1.项目概述</w:t>
      </w:r>
    </w:p>
    <w:p>
      <w:pPr>
        <w:pStyle w:val="11"/>
        <w:keepNext w:val="0"/>
        <w:keepLines w:val="0"/>
        <w:pageBreakBefore w:val="0"/>
        <w:widowControl w:val="0"/>
        <w:kinsoku/>
        <w:wordWrap/>
        <w:topLinePunct w:val="0"/>
        <w:bidi w:val="0"/>
        <w:spacing w:line="360" w:lineRule="auto"/>
        <w:ind w:firstLine="640" w:firstLineChars="200"/>
        <w:contextualSpacing/>
        <w:outlineLvl w:val="0"/>
        <w:rPr>
          <w:rFonts w:ascii="仿宋_GB2312" w:eastAsia="仿宋_GB2312" w:hAnsi="仿宋_GB2312" w:cs="仿宋_GB2312" w:hint="eastAsia"/>
          <w:kern w:val="0"/>
          <w:sz w:val="32"/>
          <w:szCs w:val="32"/>
          <w:lang w:val="en-US" w:eastAsia="zh-CN" w:bidi="ar-SA"/>
        </w:rPr>
      </w:pPr>
      <w:r>
        <w:rPr>
          <w:rFonts w:ascii="仿宋_GB2312" w:eastAsia="仿宋_GB2312" w:hAnsi="仿宋_GB2312" w:cs="仿宋_GB2312" w:hint="eastAsia"/>
          <w:kern w:val="0"/>
          <w:sz w:val="32"/>
          <w:szCs w:val="32"/>
          <w:lang w:val="en-US" w:eastAsia="zh-CN" w:bidi="ar-SA"/>
        </w:rPr>
        <w:t>1.1项目背景</w:t>
      </w:r>
    </w:p>
    <w:p>
      <w:pPr>
        <w:pStyle w:val="Normal0"/>
        <w:keepNext w:val="0"/>
        <w:keepLines w:val="0"/>
        <w:pageBreakBefore w:val="0"/>
        <w:widowControl w:val="0"/>
        <w:kinsoku/>
        <w:wordWrap/>
        <w:overflowPunct w:val="0"/>
        <w:topLinePunct w:val="0"/>
        <w:autoSpaceDE w:val="0"/>
        <w:autoSpaceDN w:val="0"/>
        <w:bidi w:val="0"/>
        <w:adjustRightInd w:val="0"/>
        <w:snapToGrid/>
        <w:spacing w:line="560" w:lineRule="exact"/>
        <w:ind w:firstLine="640" w:firstLineChars="200"/>
        <w:textAlignment w:val="baseline"/>
        <w:rPr>
          <w:rFonts w:ascii="仿宋_GB2312" w:eastAsia="仿宋_GB2312" w:hAnsi="仿宋_GB2312" w:cs="仿宋_GB2312" w:hint="default"/>
          <w:sz w:val="32"/>
          <w:szCs w:val="32"/>
          <w:lang w:val="en-US" w:eastAsia="zh-CN"/>
        </w:rPr>
      </w:pPr>
      <w:r>
        <w:rPr>
          <w:rFonts w:ascii="仿宋_GB2312" w:eastAsia="仿宋_GB2312" w:hAnsi="仿宋_GB2312" w:cs="仿宋_GB2312" w:hint="eastAsia"/>
          <w:sz w:val="32"/>
          <w:szCs w:val="32"/>
          <w:lang w:val="en-US" w:eastAsia="zh-CN"/>
        </w:rPr>
        <w:t>为贯彻落实网络安全法，严格执行税务总局数据安全和供应链安全管理要求，建立常态化值班值守、7*24监测预警、应急处置工作机制，通过专业的网络安全运维服务确保我局网络安全设备和网络安全应用系统正常运行，加强网络安全运维服务已经成为税务行业信息化建设和发展的重要保障。</w:t>
      </w:r>
    </w:p>
    <w:p>
      <w:pPr>
        <w:pStyle w:val="11"/>
        <w:keepNext w:val="0"/>
        <w:keepLines w:val="0"/>
        <w:pageBreakBefore w:val="0"/>
        <w:widowControl w:val="0"/>
        <w:kinsoku/>
        <w:wordWrap/>
        <w:topLinePunct w:val="0"/>
        <w:bidi w:val="0"/>
        <w:snapToGrid/>
        <w:spacing w:line="560" w:lineRule="exact"/>
        <w:ind w:firstLine="640" w:firstLineChars="200"/>
        <w:contextualSpacing/>
        <w:outlineLvl w:val="0"/>
        <w:rPr>
          <w:rFonts w:ascii="仿宋_GB2312" w:eastAsia="仿宋_GB2312" w:hAnsi="仿宋_GB2312" w:cs="仿宋_GB2312" w:hint="eastAsia"/>
          <w:kern w:val="0"/>
          <w:sz w:val="32"/>
          <w:szCs w:val="32"/>
          <w:lang w:val="en-US" w:eastAsia="zh-CN" w:bidi="ar-SA"/>
        </w:rPr>
      </w:pPr>
      <w:r>
        <w:rPr>
          <w:rFonts w:ascii="仿宋_GB2312" w:eastAsia="仿宋_GB2312" w:hAnsi="仿宋_GB2312" w:cs="仿宋_GB2312" w:hint="eastAsia"/>
          <w:kern w:val="0"/>
          <w:sz w:val="32"/>
          <w:szCs w:val="32"/>
          <w:lang w:val="en-US" w:eastAsia="zh-CN" w:bidi="ar-SA"/>
        </w:rPr>
        <w:t>1.2项目内容</w:t>
      </w:r>
    </w:p>
    <w:p>
      <w:pPr>
        <w:pStyle w:val="Normal0"/>
        <w:keepNext w:val="0"/>
        <w:keepLines w:val="0"/>
        <w:pageBreakBefore w:val="0"/>
        <w:widowControl w:val="0"/>
        <w:kinsoku/>
        <w:wordWrap/>
        <w:overflowPunct w:val="0"/>
        <w:topLinePunct w:val="0"/>
        <w:autoSpaceDE w:val="0"/>
        <w:autoSpaceDN w:val="0"/>
        <w:bidi w:val="0"/>
        <w:adjustRightInd w:val="0"/>
        <w:snapToGrid/>
        <w:spacing w:line="560" w:lineRule="exact"/>
        <w:ind w:firstLine="640" w:firstLineChars="200"/>
        <w:textAlignment w:val="baseline"/>
        <w:rPr>
          <w:rFonts w:ascii="仿宋_GB2312" w:eastAsia="仿宋_GB2312" w:hAnsi="仿宋_GB2312" w:cs="仿宋_GB2312" w:hint="eastAsia"/>
          <w:sz w:val="32"/>
          <w:szCs w:val="32"/>
          <w:lang w:val="en-US" w:eastAsia="zh-CN"/>
        </w:rPr>
      </w:pPr>
      <w:r>
        <w:rPr>
          <w:rFonts w:ascii="仿宋_GB2312" w:eastAsia="仿宋_GB2312" w:hAnsi="仿宋_GB2312" w:cs="仿宋_GB2312" w:hint="eastAsia"/>
          <w:sz w:val="32"/>
          <w:szCs w:val="32"/>
          <w:lang w:val="en-US" w:eastAsia="zh-CN"/>
        </w:rPr>
        <w:t>项目内容包括：日常性网络安全运维、7*24小时安全监测、网络安全系统运维（</w:t>
      </w:r>
      <w:r>
        <w:rPr>
          <w:rFonts w:ascii="仿宋_GB2312" w:eastAsia="仿宋_GB2312" w:hAnsi="仿宋_GB2312" w:cs="仿宋_GB2312" w:hint="eastAsia"/>
          <w:sz w:val="32"/>
          <w:szCs w:val="32"/>
        </w:rPr>
        <w:t>应用安全支撑平台</w:t>
      </w:r>
      <w:r>
        <w:rPr>
          <w:rFonts w:ascii="仿宋_GB2312" w:eastAsia="仿宋_GB2312" w:hAnsi="仿宋_GB2312" w:cs="仿宋_GB2312" w:hint="eastAsia"/>
          <w:sz w:val="32"/>
          <w:szCs w:val="32"/>
          <w:lang w:eastAsia="zh-CN"/>
        </w:rPr>
        <w:t>、</w:t>
      </w:r>
      <w:r>
        <w:rPr>
          <w:rFonts w:ascii="仿宋_GB2312" w:eastAsia="仿宋_GB2312" w:hAnsi="仿宋_GB2312" w:cs="仿宋_GB2312" w:hint="eastAsia"/>
          <w:sz w:val="32"/>
          <w:szCs w:val="32"/>
        </w:rPr>
        <w:t>税务数字证书注册、发布系统</w:t>
      </w:r>
      <w:r>
        <w:rPr>
          <w:rFonts w:ascii="仿宋_GB2312" w:eastAsia="仿宋_GB2312" w:hAnsi="仿宋_GB2312" w:cs="仿宋_GB2312" w:hint="eastAsia"/>
          <w:sz w:val="32"/>
          <w:szCs w:val="32"/>
          <w:lang w:eastAsia="zh-CN"/>
        </w:rPr>
        <w:t>、</w:t>
      </w:r>
      <w:r>
        <w:rPr>
          <w:rFonts w:ascii="仿宋_GB2312" w:eastAsia="仿宋_GB2312" w:hAnsi="仿宋_GB2312" w:cs="仿宋_GB2312" w:hint="eastAsia"/>
          <w:sz w:val="32"/>
          <w:szCs w:val="32"/>
          <w:highlight w:val="none"/>
        </w:rPr>
        <w:t>电子签章系统</w:t>
      </w:r>
      <w:r>
        <w:rPr>
          <w:rFonts w:ascii="仿宋_GB2312" w:eastAsia="仿宋_GB2312" w:hAnsi="仿宋_GB2312" w:cs="仿宋_GB2312" w:hint="eastAsia"/>
          <w:sz w:val="32"/>
          <w:szCs w:val="32"/>
          <w:highlight w:val="none"/>
          <w:lang w:eastAsia="zh-CN"/>
        </w:rPr>
        <w:t>、</w:t>
      </w:r>
      <w:r>
        <w:rPr>
          <w:rFonts w:ascii="仿宋_GB2312" w:eastAsia="仿宋_GB2312" w:hAnsi="仿宋_GB2312" w:cs="仿宋_GB2312" w:hint="eastAsia"/>
          <w:sz w:val="32"/>
          <w:szCs w:val="32"/>
          <w:highlight w:val="none"/>
        </w:rPr>
        <w:t>网络安全态势感知平台</w:t>
      </w:r>
      <w:r>
        <w:rPr>
          <w:rFonts w:ascii="仿宋_GB2312" w:eastAsia="仿宋_GB2312" w:hAnsi="仿宋_GB2312" w:cs="仿宋_GB2312" w:hint="eastAsia"/>
          <w:sz w:val="32"/>
          <w:szCs w:val="32"/>
          <w:highlight w:val="none"/>
          <w:lang w:eastAsia="zh-CN"/>
        </w:rPr>
        <w:t>、</w:t>
      </w:r>
      <w:r>
        <w:rPr>
          <w:rFonts w:ascii="仿宋_GB2312" w:eastAsia="仿宋_GB2312" w:hAnsi="仿宋_GB2312" w:cs="仿宋_GB2312" w:hint="eastAsia"/>
          <w:sz w:val="32"/>
          <w:szCs w:val="32"/>
          <w:highlight w:val="none"/>
        </w:rPr>
        <w:t>“双向”安全交换系统和密码</w:t>
      </w:r>
      <w:r>
        <w:rPr>
          <w:rFonts w:ascii="仿宋_GB2312" w:eastAsia="仿宋_GB2312" w:hAnsi="仿宋_GB2312" w:cs="仿宋_GB2312" w:hint="eastAsia"/>
          <w:sz w:val="32"/>
          <w:szCs w:val="32"/>
          <w:highlight w:val="none"/>
          <w:lang w:eastAsia="zh-CN"/>
        </w:rPr>
        <w:t>服务</w:t>
      </w:r>
      <w:r>
        <w:rPr>
          <w:rFonts w:ascii="仿宋_GB2312" w:eastAsia="仿宋_GB2312" w:hAnsi="仿宋_GB2312" w:cs="仿宋_GB2312" w:hint="eastAsia"/>
          <w:sz w:val="32"/>
          <w:szCs w:val="32"/>
          <w:highlight w:val="none"/>
        </w:rPr>
        <w:t>组件</w:t>
      </w:r>
      <w:r>
        <w:rPr>
          <w:rFonts w:ascii="仿宋_GB2312" w:eastAsia="仿宋_GB2312" w:hAnsi="仿宋_GB2312" w:cs="仿宋_GB2312" w:hint="eastAsia"/>
          <w:sz w:val="32"/>
          <w:szCs w:val="32"/>
          <w:highlight w:val="none"/>
          <w:lang w:eastAsia="zh-CN"/>
        </w:rPr>
        <w:t>、</w:t>
      </w:r>
      <w:r>
        <w:rPr>
          <w:rFonts w:ascii="仿宋_GB2312" w:eastAsia="仿宋_GB2312" w:hAnsi="仿宋_GB2312" w:cs="仿宋_GB2312" w:hint="eastAsia"/>
          <w:sz w:val="32"/>
          <w:szCs w:val="32"/>
          <w:highlight w:val="none"/>
          <w:lang w:val="en-US" w:eastAsia="zh-CN"/>
        </w:rPr>
        <w:t>TCE云平台及云上安全设备及安全系统、安全管理平台相关系统</w:t>
      </w:r>
      <w:r>
        <w:rPr>
          <w:rFonts w:ascii="仿宋_GB2312" w:eastAsia="仿宋_GB2312" w:hAnsi="仿宋_GB2312" w:cs="仿宋_GB2312" w:hint="eastAsia"/>
          <w:sz w:val="32"/>
          <w:szCs w:val="32"/>
          <w:lang w:val="en-US" w:eastAsia="zh-CN"/>
        </w:rPr>
        <w:t>）、供应链厂商网络安全能力评估服务和数据安全风险评估服务。</w:t>
      </w:r>
    </w:p>
    <w:p>
      <w:pPr>
        <w:pStyle w:val="Heading10"/>
        <w:keepNext w:val="0"/>
        <w:keepLines w:val="0"/>
        <w:pageBreakBefore w:val="0"/>
        <w:widowControl w:val="0"/>
        <w:numPr>
          <w:ilvl w:val="0"/>
          <w:numId w:val="0"/>
        </w:numPr>
        <w:kinsoku/>
        <w:wordWrap/>
        <w:overflowPunct w:val="0"/>
        <w:topLinePunct w:val="0"/>
        <w:autoSpaceDE w:val="0"/>
        <w:autoSpaceDN w:val="0"/>
        <w:bidi w:val="0"/>
        <w:adjustRightInd w:val="0"/>
        <w:snapToGrid/>
        <w:ind w:left="420" w:leftChars="200"/>
        <w:textAlignment w:val="baseline"/>
        <w:rPr>
          <w:rFonts w:ascii="黑体" w:eastAsia="黑体" w:hAnsi="黑体" w:cs="黑体" w:hint="eastAsia"/>
          <w:sz w:val="32"/>
          <w:szCs w:val="32"/>
          <w:lang w:val="en-US" w:eastAsia="zh-CN"/>
        </w:rPr>
      </w:pPr>
      <w:r>
        <w:rPr>
          <w:rFonts w:ascii="黑体" w:eastAsia="黑体" w:hAnsi="黑体" w:cs="黑体" w:hint="eastAsia"/>
          <w:sz w:val="32"/>
          <w:szCs w:val="32"/>
          <w:lang w:val="en-US" w:eastAsia="zh-CN"/>
        </w:rPr>
        <w:t>2. 投标/响应要求</w:t>
      </w:r>
    </w:p>
    <w:p>
      <w:pPr>
        <w:pStyle w:val="Normal0"/>
        <w:keepNext w:val="0"/>
        <w:keepLines w:val="0"/>
        <w:pageBreakBefore w:val="0"/>
        <w:widowControl w:val="0"/>
        <w:kinsoku/>
        <w:wordWrap/>
        <w:overflowPunct w:val="0"/>
        <w:topLinePunct w:val="0"/>
        <w:autoSpaceDE w:val="0"/>
        <w:autoSpaceDN w:val="0"/>
        <w:bidi w:val="0"/>
        <w:adjustRightInd w:val="0"/>
        <w:snapToGrid w:val="0"/>
        <w:spacing w:line="560" w:lineRule="exact"/>
        <w:ind w:firstLine="640" w:firstLineChars="200"/>
        <w:textAlignment w:val="baseline"/>
        <w:rPr>
          <w:rFonts w:ascii="仿宋_GB2312" w:eastAsia="仿宋_GB2312" w:hAnsi="仿宋_GB2312" w:cs="仿宋_GB2312" w:hint="eastAsia"/>
          <w:sz w:val="32"/>
          <w:szCs w:val="32"/>
          <w:lang w:val="en-US" w:eastAsia="zh-CN"/>
        </w:rPr>
      </w:pPr>
      <w:r>
        <w:rPr>
          <w:rFonts w:ascii="仿宋_GB2312" w:eastAsia="仿宋_GB2312" w:hAnsi="仿宋_GB2312" w:cs="仿宋_GB2312" w:hint="eastAsia"/>
          <w:sz w:val="32"/>
          <w:szCs w:val="32"/>
          <w:lang w:val="en-US" w:eastAsia="zh-CN"/>
        </w:rPr>
        <w:t xml:space="preserve"> 2.1 供应商必备资质要求</w:t>
      </w:r>
    </w:p>
    <w:p>
      <w:pPr>
        <w:pStyle w:val="Normal0"/>
        <w:keepNext w:val="0"/>
        <w:keepLines w:val="0"/>
        <w:pageBreakBefore w:val="0"/>
        <w:widowControl w:val="0"/>
        <w:kinsoku/>
        <w:wordWrap/>
        <w:overflowPunct w:val="0"/>
        <w:topLinePunct w:val="0"/>
        <w:autoSpaceDE w:val="0"/>
        <w:autoSpaceDN w:val="0"/>
        <w:bidi w:val="0"/>
        <w:adjustRightInd w:val="0"/>
        <w:snapToGrid w:val="0"/>
        <w:spacing w:line="560" w:lineRule="exact"/>
        <w:ind w:firstLine="640" w:firstLineChars="200"/>
        <w:textAlignment w:val="baseline"/>
        <w:rPr>
          <w:rFonts w:ascii="仿宋_GB2312" w:eastAsia="仿宋_GB2312" w:hAnsi="仿宋_GB2312" w:cs="仿宋_GB2312" w:hint="eastAsia"/>
          <w:sz w:val="32"/>
          <w:szCs w:val="32"/>
          <w:lang w:val="en-US" w:eastAsia="zh-CN"/>
        </w:rPr>
      </w:pPr>
      <w:r>
        <w:rPr>
          <w:rFonts w:ascii="仿宋_GB2312" w:eastAsia="仿宋_GB2312" w:hAnsi="仿宋_GB2312" w:cs="仿宋_GB2312" w:hint="eastAsia"/>
          <w:sz w:val="32"/>
          <w:szCs w:val="32"/>
          <w:lang w:val="en-US" w:eastAsia="zh-CN"/>
        </w:rPr>
        <w:t>中标供应商参加本采购活动应符合《政府采购法》第二十二条的规定，具备下列条件：</w:t>
      </w:r>
    </w:p>
    <w:p>
      <w:pPr>
        <w:pStyle w:val="Normal0"/>
        <w:keepNext w:val="0"/>
        <w:keepLines w:val="0"/>
        <w:pageBreakBefore w:val="0"/>
        <w:widowControl w:val="0"/>
        <w:kinsoku/>
        <w:wordWrap/>
        <w:overflowPunct w:val="0"/>
        <w:topLinePunct w:val="0"/>
        <w:autoSpaceDE w:val="0"/>
        <w:autoSpaceDN w:val="0"/>
        <w:bidi w:val="0"/>
        <w:adjustRightInd w:val="0"/>
        <w:snapToGrid w:val="0"/>
        <w:spacing w:line="560" w:lineRule="exact"/>
        <w:ind w:firstLine="640" w:firstLineChars="200"/>
        <w:textAlignment w:val="baseline"/>
        <w:rPr>
          <w:rFonts w:ascii="仿宋_GB2312" w:eastAsia="仿宋_GB2312" w:hAnsi="仿宋_GB2312" w:cs="仿宋_GB2312" w:hint="eastAsia"/>
          <w:sz w:val="32"/>
          <w:szCs w:val="32"/>
          <w:lang w:val="en-US" w:eastAsia="zh-CN"/>
        </w:rPr>
      </w:pPr>
      <w:r>
        <w:rPr>
          <w:rFonts w:ascii="仿宋_GB2312" w:eastAsia="仿宋_GB2312" w:hAnsi="仿宋_GB2312" w:cs="仿宋_GB2312" w:hint="eastAsia"/>
          <w:sz w:val="32"/>
          <w:szCs w:val="32"/>
          <w:lang w:val="en-US" w:eastAsia="zh-CN"/>
        </w:rPr>
        <w:t>（1）具有独立承担民事责任的能力；</w:t>
      </w:r>
    </w:p>
    <w:p>
      <w:pPr>
        <w:pStyle w:val="Normal0"/>
        <w:keepNext w:val="0"/>
        <w:keepLines w:val="0"/>
        <w:pageBreakBefore w:val="0"/>
        <w:widowControl w:val="0"/>
        <w:kinsoku/>
        <w:wordWrap/>
        <w:overflowPunct w:val="0"/>
        <w:topLinePunct w:val="0"/>
        <w:autoSpaceDE w:val="0"/>
        <w:autoSpaceDN w:val="0"/>
        <w:bidi w:val="0"/>
        <w:adjustRightInd w:val="0"/>
        <w:snapToGrid w:val="0"/>
        <w:spacing w:line="560" w:lineRule="exact"/>
        <w:ind w:firstLine="640" w:firstLineChars="200"/>
        <w:textAlignment w:val="baseline"/>
        <w:rPr>
          <w:rFonts w:ascii="仿宋_GB2312" w:eastAsia="仿宋_GB2312" w:hAnsi="仿宋_GB2312" w:cs="仿宋_GB2312" w:hint="eastAsia"/>
          <w:sz w:val="32"/>
          <w:szCs w:val="32"/>
          <w:lang w:val="en-US" w:eastAsia="zh-CN"/>
        </w:rPr>
      </w:pPr>
      <w:r>
        <w:rPr>
          <w:rFonts w:ascii="仿宋_GB2312" w:eastAsia="仿宋_GB2312" w:hAnsi="仿宋_GB2312" w:cs="仿宋_GB2312" w:hint="eastAsia"/>
          <w:sz w:val="32"/>
          <w:szCs w:val="32"/>
          <w:lang w:val="en-US" w:eastAsia="zh-CN"/>
        </w:rPr>
        <w:t>（2）具有良好的商业信誉和健全的财务会计制度；</w:t>
      </w:r>
    </w:p>
    <w:p>
      <w:pPr>
        <w:pStyle w:val="Normal0"/>
        <w:keepNext w:val="0"/>
        <w:keepLines w:val="0"/>
        <w:pageBreakBefore w:val="0"/>
        <w:widowControl w:val="0"/>
        <w:kinsoku/>
        <w:wordWrap/>
        <w:overflowPunct w:val="0"/>
        <w:topLinePunct w:val="0"/>
        <w:autoSpaceDE w:val="0"/>
        <w:autoSpaceDN w:val="0"/>
        <w:bidi w:val="0"/>
        <w:adjustRightInd w:val="0"/>
        <w:snapToGrid w:val="0"/>
        <w:spacing w:line="560" w:lineRule="exact"/>
        <w:ind w:firstLine="640" w:firstLineChars="200"/>
        <w:textAlignment w:val="baseline"/>
        <w:rPr>
          <w:rFonts w:ascii="仿宋_GB2312" w:eastAsia="仿宋_GB2312" w:hAnsi="仿宋_GB2312" w:cs="仿宋_GB2312" w:hint="eastAsia"/>
          <w:sz w:val="32"/>
          <w:szCs w:val="32"/>
          <w:lang w:val="en-US" w:eastAsia="zh-CN"/>
        </w:rPr>
      </w:pPr>
      <w:r>
        <w:rPr>
          <w:rFonts w:ascii="仿宋_GB2312" w:eastAsia="仿宋_GB2312" w:hAnsi="仿宋_GB2312" w:cs="仿宋_GB2312" w:hint="eastAsia"/>
          <w:sz w:val="32"/>
          <w:szCs w:val="32"/>
          <w:lang w:val="en-US" w:eastAsia="zh-CN"/>
        </w:rPr>
        <w:t>（3）具有履行合同所必需的设备和专业技术能力；</w:t>
      </w:r>
    </w:p>
    <w:p>
      <w:pPr>
        <w:pStyle w:val="Normal0"/>
        <w:keepNext w:val="0"/>
        <w:keepLines w:val="0"/>
        <w:pageBreakBefore w:val="0"/>
        <w:widowControl w:val="0"/>
        <w:kinsoku/>
        <w:wordWrap/>
        <w:overflowPunct w:val="0"/>
        <w:topLinePunct w:val="0"/>
        <w:autoSpaceDE w:val="0"/>
        <w:autoSpaceDN w:val="0"/>
        <w:bidi w:val="0"/>
        <w:adjustRightInd w:val="0"/>
        <w:snapToGrid w:val="0"/>
        <w:spacing w:line="560" w:lineRule="exact"/>
        <w:ind w:firstLine="640" w:firstLineChars="200"/>
        <w:textAlignment w:val="baseline"/>
        <w:rPr>
          <w:rFonts w:ascii="仿宋_GB2312" w:eastAsia="仿宋_GB2312" w:hAnsi="仿宋_GB2312" w:cs="仿宋_GB2312" w:hint="eastAsia"/>
          <w:sz w:val="32"/>
          <w:szCs w:val="32"/>
          <w:lang w:val="en-US" w:eastAsia="zh-CN"/>
        </w:rPr>
      </w:pPr>
      <w:r>
        <w:rPr>
          <w:rFonts w:ascii="仿宋_GB2312" w:eastAsia="仿宋_GB2312" w:hAnsi="仿宋_GB2312" w:cs="仿宋_GB2312" w:hint="eastAsia"/>
          <w:sz w:val="32"/>
          <w:szCs w:val="32"/>
          <w:lang w:val="en-US" w:eastAsia="zh-CN"/>
        </w:rPr>
        <w:t>（4）有依法缴纳税收和社会保障资金的良好记录；</w:t>
      </w:r>
    </w:p>
    <w:p>
      <w:pPr>
        <w:pStyle w:val="Normal0"/>
        <w:keepNext w:val="0"/>
        <w:keepLines w:val="0"/>
        <w:pageBreakBefore w:val="0"/>
        <w:widowControl w:val="0"/>
        <w:kinsoku/>
        <w:wordWrap/>
        <w:overflowPunct w:val="0"/>
        <w:topLinePunct w:val="0"/>
        <w:autoSpaceDE w:val="0"/>
        <w:autoSpaceDN w:val="0"/>
        <w:bidi w:val="0"/>
        <w:adjustRightInd w:val="0"/>
        <w:snapToGrid w:val="0"/>
        <w:spacing w:line="560" w:lineRule="exact"/>
        <w:ind w:firstLine="640" w:firstLineChars="200"/>
        <w:textAlignment w:val="baseline"/>
        <w:rPr>
          <w:rFonts w:ascii="仿宋_GB2312" w:eastAsia="仿宋_GB2312" w:hAnsi="仿宋_GB2312" w:cs="仿宋_GB2312" w:hint="eastAsia"/>
          <w:sz w:val="32"/>
          <w:szCs w:val="32"/>
          <w:lang w:val="en-US" w:eastAsia="zh-CN"/>
        </w:rPr>
      </w:pPr>
      <w:r>
        <w:rPr>
          <w:rFonts w:ascii="仿宋_GB2312" w:eastAsia="仿宋_GB2312" w:hAnsi="仿宋_GB2312" w:cs="仿宋_GB2312" w:hint="eastAsia"/>
          <w:sz w:val="32"/>
          <w:szCs w:val="32"/>
          <w:lang w:val="en-US" w:eastAsia="zh-CN"/>
        </w:rPr>
        <w:t>（5）法律、行政法规规定的其他条件。</w:t>
      </w:r>
    </w:p>
    <w:p>
      <w:pPr>
        <w:pStyle w:val="Normal0"/>
        <w:keepNext w:val="0"/>
        <w:keepLines w:val="0"/>
        <w:pageBreakBefore w:val="0"/>
        <w:widowControl w:val="0"/>
        <w:kinsoku/>
        <w:wordWrap/>
        <w:overflowPunct w:val="0"/>
        <w:topLinePunct w:val="0"/>
        <w:autoSpaceDE w:val="0"/>
        <w:autoSpaceDN w:val="0"/>
        <w:bidi w:val="0"/>
        <w:adjustRightInd w:val="0"/>
        <w:snapToGrid w:val="0"/>
        <w:spacing w:line="560" w:lineRule="exact"/>
        <w:ind w:firstLine="640" w:firstLineChars="200"/>
        <w:textAlignment w:val="baseline"/>
        <w:rPr>
          <w:rFonts w:ascii="仿宋_GB2312" w:eastAsia="仿宋_GB2312" w:hAnsi="仿宋_GB2312" w:cs="仿宋_GB2312" w:hint="eastAsia"/>
          <w:sz w:val="32"/>
          <w:szCs w:val="32"/>
          <w:lang w:val="en-US" w:eastAsia="zh-CN"/>
        </w:rPr>
      </w:pPr>
      <w:r>
        <w:rPr>
          <w:rFonts w:ascii="仿宋_GB2312" w:eastAsia="仿宋_GB2312" w:hAnsi="仿宋_GB2312" w:cs="仿宋_GB2312" w:hint="eastAsia"/>
          <w:sz w:val="32"/>
          <w:szCs w:val="32"/>
          <w:lang w:val="en-US" w:eastAsia="zh-CN"/>
        </w:rPr>
        <w:t>（6）本次招标不接受联合体投标，禁止有隶属关系或相关联企业同时投标，不得转包及分包。</w:t>
      </w:r>
    </w:p>
    <w:p>
      <w:pPr>
        <w:pStyle w:val="Normal0"/>
        <w:keepNext w:val="0"/>
        <w:keepLines w:val="0"/>
        <w:pageBreakBefore w:val="0"/>
        <w:widowControl w:val="0"/>
        <w:kinsoku/>
        <w:wordWrap/>
        <w:overflowPunct w:val="0"/>
        <w:topLinePunct w:val="0"/>
        <w:autoSpaceDE w:val="0"/>
        <w:autoSpaceDN w:val="0"/>
        <w:bidi w:val="0"/>
        <w:adjustRightInd w:val="0"/>
        <w:snapToGrid w:val="0"/>
        <w:spacing w:line="560" w:lineRule="exact"/>
        <w:ind w:firstLine="640" w:firstLineChars="200"/>
        <w:textAlignment w:val="baseline"/>
        <w:rPr>
          <w:rFonts w:ascii="仿宋_GB2312" w:eastAsia="仿宋_GB2312" w:hAnsi="仿宋_GB2312" w:cs="仿宋_GB2312" w:hint="eastAsia"/>
          <w:sz w:val="32"/>
          <w:szCs w:val="32"/>
          <w:lang w:val="en-US" w:eastAsia="zh-CN"/>
        </w:rPr>
      </w:pPr>
      <w:r>
        <w:rPr>
          <w:rFonts w:ascii="仿宋_GB2312" w:eastAsia="仿宋_GB2312" w:hAnsi="仿宋_GB2312" w:cs="仿宋_GB2312" w:hint="eastAsia"/>
          <w:sz w:val="32"/>
          <w:szCs w:val="32"/>
          <w:lang w:val="en-US" w:eastAsia="zh-CN"/>
        </w:rPr>
        <w:t xml:space="preserve"> 2.2 供应商优选资质要求</w:t>
      </w:r>
    </w:p>
    <w:p>
      <w:pPr>
        <w:pStyle w:val="Normal0"/>
        <w:keepNext w:val="0"/>
        <w:keepLines w:val="0"/>
        <w:pageBreakBefore w:val="0"/>
        <w:widowControl w:val="0"/>
        <w:kinsoku/>
        <w:wordWrap/>
        <w:overflowPunct w:val="0"/>
        <w:topLinePunct w:val="0"/>
        <w:autoSpaceDE w:val="0"/>
        <w:autoSpaceDN w:val="0"/>
        <w:bidi w:val="0"/>
        <w:adjustRightInd w:val="0"/>
        <w:snapToGrid w:val="0"/>
        <w:spacing w:line="560" w:lineRule="exact"/>
        <w:ind w:firstLine="640" w:firstLineChars="200"/>
        <w:textAlignment w:val="baseline"/>
        <w:rPr>
          <w:rFonts w:ascii="仿宋_GB2312" w:eastAsia="仿宋_GB2312" w:hAnsi="仿宋_GB2312" w:cs="仿宋_GB2312" w:hint="eastAsia"/>
          <w:sz w:val="32"/>
          <w:szCs w:val="32"/>
          <w:lang w:val="en-US" w:eastAsia="zh-CN"/>
        </w:rPr>
      </w:pPr>
      <w:r>
        <w:rPr>
          <w:rFonts w:ascii="仿宋_GB2312" w:eastAsia="仿宋_GB2312" w:hAnsi="仿宋_GB2312" w:cs="仿宋_GB2312" w:hint="eastAsia"/>
          <w:sz w:val="32"/>
          <w:szCs w:val="32"/>
          <w:lang w:val="en-US" w:eastAsia="zh-CN"/>
        </w:rPr>
        <w:t>（1）具备ISO27001信息安全管理体系认证证书；</w:t>
      </w:r>
    </w:p>
    <w:p>
      <w:pPr>
        <w:pStyle w:val="Normal0"/>
        <w:keepNext w:val="0"/>
        <w:keepLines w:val="0"/>
        <w:pageBreakBefore w:val="0"/>
        <w:widowControl w:val="0"/>
        <w:kinsoku/>
        <w:wordWrap/>
        <w:overflowPunct w:val="0"/>
        <w:topLinePunct w:val="0"/>
        <w:autoSpaceDE w:val="0"/>
        <w:autoSpaceDN w:val="0"/>
        <w:bidi w:val="0"/>
        <w:adjustRightInd w:val="0"/>
        <w:snapToGrid w:val="0"/>
        <w:spacing w:line="560" w:lineRule="exact"/>
        <w:ind w:firstLine="640" w:firstLineChars="200"/>
        <w:textAlignment w:val="baseline"/>
        <w:rPr>
          <w:rFonts w:ascii="仿宋_GB2312" w:eastAsia="仿宋_GB2312" w:hAnsi="仿宋_GB2312" w:cs="仿宋_GB2312" w:hint="eastAsia"/>
          <w:sz w:val="32"/>
          <w:szCs w:val="32"/>
          <w:lang w:val="en-US" w:eastAsia="zh-CN"/>
        </w:rPr>
      </w:pPr>
      <w:r>
        <w:rPr>
          <w:rFonts w:ascii="仿宋_GB2312" w:eastAsia="仿宋_GB2312" w:hAnsi="仿宋_GB2312" w:cs="仿宋_GB2312" w:hint="eastAsia"/>
          <w:sz w:val="32"/>
          <w:szCs w:val="32"/>
          <w:lang w:val="en-US" w:eastAsia="zh-CN"/>
        </w:rPr>
        <w:t>（2）具有ISO9001质量管理体系认证证书；</w:t>
      </w:r>
    </w:p>
    <w:p>
      <w:pPr>
        <w:pStyle w:val="Normal0"/>
        <w:keepNext w:val="0"/>
        <w:keepLines w:val="0"/>
        <w:pageBreakBefore w:val="0"/>
        <w:widowControl w:val="0"/>
        <w:kinsoku/>
        <w:wordWrap/>
        <w:overflowPunct w:val="0"/>
        <w:topLinePunct w:val="0"/>
        <w:autoSpaceDE w:val="0"/>
        <w:autoSpaceDN w:val="0"/>
        <w:bidi w:val="0"/>
        <w:adjustRightInd w:val="0"/>
        <w:snapToGrid w:val="0"/>
        <w:spacing w:line="560" w:lineRule="exact"/>
        <w:ind w:firstLine="640" w:firstLineChars="200"/>
        <w:textAlignment w:val="baseline"/>
        <w:rPr>
          <w:rFonts w:ascii="仿宋_GB2312" w:eastAsia="仿宋_GB2312" w:hAnsi="仿宋_GB2312" w:cs="仿宋_GB2312" w:hint="eastAsia"/>
          <w:sz w:val="32"/>
          <w:szCs w:val="32"/>
          <w:lang w:val="en-US" w:eastAsia="zh-CN"/>
        </w:rPr>
      </w:pPr>
      <w:r>
        <w:rPr>
          <w:rFonts w:ascii="仿宋_GB2312" w:eastAsia="仿宋_GB2312" w:hAnsi="仿宋_GB2312" w:cs="仿宋_GB2312" w:hint="eastAsia"/>
          <w:sz w:val="32"/>
          <w:szCs w:val="32"/>
          <w:lang w:val="en-US" w:eastAsia="zh-CN"/>
        </w:rPr>
        <w:t>（3）具备ISO20000信息技术服务管理体系认证证书；</w:t>
      </w:r>
    </w:p>
    <w:p>
      <w:pPr>
        <w:pStyle w:val="Normal0"/>
        <w:keepNext w:val="0"/>
        <w:keepLines w:val="0"/>
        <w:pageBreakBefore w:val="0"/>
        <w:widowControl w:val="0"/>
        <w:kinsoku/>
        <w:wordWrap/>
        <w:overflowPunct w:val="0"/>
        <w:topLinePunct w:val="0"/>
        <w:autoSpaceDE w:val="0"/>
        <w:autoSpaceDN w:val="0"/>
        <w:bidi w:val="0"/>
        <w:adjustRightInd w:val="0"/>
        <w:snapToGrid w:val="0"/>
        <w:spacing w:line="560" w:lineRule="exact"/>
        <w:ind w:firstLine="640" w:firstLineChars="200"/>
        <w:textAlignment w:val="baseline"/>
        <w:rPr>
          <w:rFonts w:ascii="仿宋_GB2312" w:eastAsia="仿宋_GB2312" w:hAnsi="仿宋_GB2312" w:cs="仿宋_GB2312" w:hint="eastAsia"/>
          <w:sz w:val="32"/>
          <w:szCs w:val="32"/>
          <w:lang w:val="en-US" w:eastAsia="zh-CN"/>
        </w:rPr>
      </w:pPr>
      <w:r>
        <w:rPr>
          <w:rFonts w:ascii="仿宋_GB2312" w:eastAsia="仿宋_GB2312" w:hAnsi="仿宋_GB2312" w:cs="仿宋_GB2312" w:hint="eastAsia"/>
          <w:sz w:val="32"/>
          <w:szCs w:val="32"/>
          <w:lang w:val="en-US" w:eastAsia="zh-CN"/>
        </w:rPr>
        <w:t>（4）成功案例：提供2021年1月1日以来（以合同签订日期为准）独立承担类似项目成功案例。</w:t>
      </w:r>
    </w:p>
    <w:p>
      <w:pPr>
        <w:pStyle w:val="Heading10"/>
        <w:keepNext w:val="0"/>
        <w:keepLines w:val="0"/>
        <w:pageBreakBefore w:val="0"/>
        <w:widowControl w:val="0"/>
        <w:numPr>
          <w:ilvl w:val="0"/>
          <w:numId w:val="0"/>
        </w:numPr>
        <w:kinsoku/>
        <w:wordWrap/>
        <w:overflowPunct w:val="0"/>
        <w:topLinePunct w:val="0"/>
        <w:autoSpaceDE w:val="0"/>
        <w:autoSpaceDN w:val="0"/>
        <w:bidi w:val="0"/>
        <w:adjustRightInd w:val="0"/>
        <w:snapToGrid/>
        <w:ind w:left="420" w:leftChars="200"/>
        <w:textAlignment w:val="baseline"/>
        <w:rPr>
          <w:rFonts w:ascii="黑体" w:eastAsia="黑体" w:hAnsi="黑体" w:cs="黑体" w:hint="eastAsia"/>
          <w:sz w:val="32"/>
          <w:szCs w:val="32"/>
          <w:lang w:val="en-US" w:eastAsia="zh-CN"/>
        </w:rPr>
      </w:pPr>
      <w:r>
        <w:rPr>
          <w:rFonts w:ascii="黑体" w:eastAsia="黑体" w:hAnsi="黑体" w:cs="黑体" w:hint="eastAsia"/>
          <w:sz w:val="32"/>
          <w:szCs w:val="32"/>
          <w:lang w:val="en-US" w:eastAsia="zh-CN"/>
        </w:rPr>
        <w:t>3. 项目需求</w:t>
      </w:r>
    </w:p>
    <w:p>
      <w:pPr>
        <w:pStyle w:val="Normal0"/>
        <w:keepNext w:val="0"/>
        <w:keepLines w:val="0"/>
        <w:pageBreakBefore w:val="0"/>
        <w:widowControl w:val="0"/>
        <w:kinsoku/>
        <w:wordWrap/>
        <w:overflowPunct w:val="0"/>
        <w:topLinePunct w:val="0"/>
        <w:autoSpaceDE w:val="0"/>
        <w:autoSpaceDN w:val="0"/>
        <w:bidi w:val="0"/>
        <w:adjustRightInd w:val="0"/>
        <w:snapToGrid/>
        <w:spacing w:line="560" w:lineRule="exact"/>
        <w:ind w:firstLine="640" w:firstLineChars="200"/>
        <w:textAlignment w:val="baseline"/>
        <w:rPr>
          <w:rFonts w:ascii="仿宋_GB2312" w:eastAsia="仿宋_GB2312" w:hAnsi="仿宋_GB2312" w:cs="仿宋_GB2312" w:hint="default"/>
          <w:sz w:val="32"/>
          <w:szCs w:val="32"/>
          <w:lang w:val="en-US" w:eastAsia="zh-CN"/>
        </w:rPr>
      </w:pPr>
      <w:r>
        <w:rPr>
          <w:rFonts w:ascii="仿宋_GB2312" w:eastAsia="仿宋_GB2312" w:hAnsi="仿宋_GB2312" w:cs="仿宋_GB2312" w:hint="eastAsia"/>
          <w:sz w:val="32"/>
          <w:szCs w:val="32"/>
          <w:lang w:val="en-US" w:eastAsia="zh-CN"/>
        </w:rPr>
        <w:t>3.1 日常性网络安全运维</w:t>
      </w:r>
    </w:p>
    <w:p>
      <w:pPr>
        <w:pStyle w:val="Normal0"/>
        <w:keepNext w:val="0"/>
        <w:keepLines w:val="0"/>
        <w:pageBreakBefore w:val="0"/>
        <w:widowControl w:val="0"/>
        <w:kinsoku/>
        <w:wordWrap/>
        <w:overflowPunct w:val="0"/>
        <w:topLinePunct w:val="0"/>
        <w:autoSpaceDE w:val="0"/>
        <w:autoSpaceDN w:val="0"/>
        <w:bidi w:val="0"/>
        <w:adjustRightInd w:val="0"/>
        <w:snapToGrid/>
        <w:spacing w:line="560" w:lineRule="exact"/>
        <w:ind w:firstLine="640" w:firstLineChars="200"/>
        <w:textAlignment w:val="baseline"/>
        <w:rPr>
          <w:rFonts w:ascii="仿宋_GB2312" w:eastAsia="仿宋_GB2312" w:hAnsi="仿宋_GB2312" w:cs="仿宋_GB2312" w:hint="eastAsia"/>
          <w:sz w:val="32"/>
          <w:szCs w:val="32"/>
        </w:rPr>
      </w:pPr>
      <w:r>
        <w:rPr>
          <w:rFonts w:ascii="仿宋_GB2312" w:eastAsia="仿宋_GB2312" w:hAnsi="仿宋_GB2312" w:cs="仿宋_GB2312" w:hint="eastAsia"/>
          <w:sz w:val="32"/>
          <w:szCs w:val="32"/>
          <w:lang w:val="en-US" w:eastAsia="zh-CN"/>
        </w:rPr>
        <w:t>3.1.</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lang w:val="en-US" w:eastAsia="zh-CN"/>
        </w:rPr>
        <w:t xml:space="preserve"> </w:t>
      </w:r>
      <w:r>
        <w:rPr>
          <w:rFonts w:ascii="仿宋_GB2312" w:eastAsia="仿宋_GB2312" w:hAnsi="仿宋_GB2312" w:cs="仿宋_GB2312" w:hint="eastAsia"/>
          <w:sz w:val="32"/>
          <w:szCs w:val="32"/>
        </w:rPr>
        <w:t>负责国家税务总局</w:t>
      </w:r>
      <w:r>
        <w:rPr>
          <w:rFonts w:ascii="仿宋_GB2312" w:eastAsia="仿宋_GB2312" w:hAnsi="仿宋_GB2312" w:cs="仿宋_GB2312" w:hint="eastAsia"/>
          <w:sz w:val="32"/>
          <w:szCs w:val="32"/>
          <w:lang w:eastAsia="zh-CN"/>
        </w:rPr>
        <w:t>吉林</w:t>
      </w:r>
      <w:r>
        <w:rPr>
          <w:rFonts w:ascii="仿宋_GB2312" w:eastAsia="仿宋_GB2312" w:hAnsi="仿宋_GB2312" w:cs="仿宋_GB2312" w:hint="eastAsia"/>
          <w:sz w:val="32"/>
          <w:szCs w:val="32"/>
        </w:rPr>
        <w:t>省税务局（以下简称吉林省税务局）互联网业务区、业务专网区和横向联网区100余台/套网络安全设备（包括：防火墙、入侵检测、抗DDOS设备、WEB应用防火墙、</w:t>
      </w:r>
      <w:r>
        <w:rPr>
          <w:rFonts w:ascii="仿宋_GB2312" w:eastAsia="仿宋_GB2312" w:hAnsi="仿宋_GB2312" w:cs="仿宋_GB2312" w:hint="eastAsia"/>
          <w:sz w:val="32"/>
          <w:szCs w:val="32"/>
          <w:lang w:eastAsia="zh-CN"/>
        </w:rPr>
        <w:t>入侵防御系统、</w:t>
      </w:r>
      <w:r>
        <w:rPr>
          <w:rFonts w:ascii="仿宋_GB2312" w:eastAsia="仿宋_GB2312" w:hAnsi="仿宋_GB2312" w:cs="仿宋_GB2312" w:hint="eastAsia"/>
          <w:sz w:val="32"/>
          <w:szCs w:val="32"/>
          <w:lang w:val="en-US" w:eastAsia="zh-CN"/>
        </w:rPr>
        <w:t>应用安全网关、</w:t>
      </w:r>
      <w:r>
        <w:rPr>
          <w:rFonts w:ascii="仿宋_GB2312" w:eastAsia="仿宋_GB2312" w:hAnsi="仿宋_GB2312" w:cs="仿宋_GB2312" w:hint="eastAsia"/>
          <w:sz w:val="32"/>
          <w:szCs w:val="32"/>
        </w:rPr>
        <w:t>网闸、网页防篡改、运维审计系统、综合日志审计系统、数据库审计系统、态势感知平台等）运行监测、安全分析、升级维护、故障处理、日志审计和应急响应等工作。</w:t>
      </w:r>
    </w:p>
    <w:tbl>
      <w:tblPr>
        <w:tblStyle w:val="TableNormal"/>
        <w:tblpPr w:leftFromText="180" w:rightFromText="180" w:vertAnchor="text" w:horzAnchor="page" w:tblpXSpec="center" w:tblpY="557"/>
        <w:tblOverlap w:val="never"/>
        <w:tblW w:w="7240"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108" w:type="dxa"/>
          <w:bottom w:w="0" w:type="dxa"/>
          <w:right w:w="108" w:type="dxa"/>
        </w:tblCellMar>
      </w:tblPr>
      <w:tblGrid>
        <w:gridCol w:w="770"/>
        <w:gridCol w:w="2430"/>
        <w:gridCol w:w="2960"/>
        <w:gridCol w:w="1080"/>
      </w:tblGrid>
      <w:tr>
        <w:tblPrEx>
          <w:tblW w:w="7240"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108" w:type="dxa"/>
            <w:bottom w:w="0" w:type="dxa"/>
            <w:right w:w="108" w:type="dxa"/>
          </w:tblCellMar>
        </w:tblPrEx>
        <w:trPr>
          <w:trHeight w:val="285"/>
          <w:jc w:val="center"/>
        </w:trPr>
        <w:tc>
          <w:tcPr>
            <w:tcW w:w="770" w:type="dxa"/>
            <w:tcBorders>
              <w:top w:val="single" w:sz="8" w:space="0" w:color="000000"/>
              <w:left w:val="single" w:sz="8" w:space="0" w:color="000000"/>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序号</w:t>
            </w:r>
          </w:p>
        </w:tc>
        <w:tc>
          <w:tcPr>
            <w:tcW w:w="2430" w:type="dxa"/>
            <w:tcBorders>
              <w:top w:val="single" w:sz="8" w:space="0" w:color="000000"/>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安全设备区域</w:t>
            </w:r>
          </w:p>
        </w:tc>
        <w:tc>
          <w:tcPr>
            <w:tcW w:w="2960" w:type="dxa"/>
            <w:tcBorders>
              <w:top w:val="single" w:sz="8" w:space="0" w:color="000000"/>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设备名称</w:t>
            </w:r>
          </w:p>
        </w:tc>
        <w:tc>
          <w:tcPr>
            <w:tcW w:w="1080" w:type="dxa"/>
            <w:tcBorders>
              <w:top w:val="single" w:sz="8" w:space="0" w:color="000000"/>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数量</w:t>
            </w:r>
          </w:p>
        </w:tc>
      </w:tr>
      <w:tr>
        <w:tblPrEx>
          <w:tblW w:w="7240" w:type="dxa"/>
          <w:jc w:val="center"/>
          <w:tblLayout w:type="fixed"/>
          <w:tblCellMar>
            <w:top w:w="0" w:type="dxa"/>
            <w:left w:w="108" w:type="dxa"/>
            <w:bottom w:w="0" w:type="dxa"/>
            <w:right w:w="108" w:type="dxa"/>
          </w:tblCellMar>
        </w:tblPrEx>
        <w:trPr>
          <w:trHeight w:val="285"/>
          <w:jc w:val="center"/>
        </w:trPr>
        <w:tc>
          <w:tcPr>
            <w:tcW w:w="770" w:type="dxa"/>
            <w:tcBorders>
              <w:top w:val="nil"/>
              <w:left w:val="single" w:sz="8" w:space="0" w:color="000000"/>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1</w:t>
            </w:r>
          </w:p>
        </w:tc>
        <w:tc>
          <w:tcPr>
            <w:tcW w:w="243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互联网业务区</w:t>
            </w:r>
          </w:p>
        </w:tc>
        <w:tc>
          <w:tcPr>
            <w:tcW w:w="296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流量清洗</w:t>
            </w:r>
          </w:p>
        </w:tc>
        <w:tc>
          <w:tcPr>
            <w:tcW w:w="108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2</w:t>
            </w:r>
          </w:p>
        </w:tc>
      </w:tr>
      <w:tr>
        <w:tblPrEx>
          <w:tblW w:w="7240" w:type="dxa"/>
          <w:jc w:val="center"/>
          <w:tblLayout w:type="fixed"/>
          <w:tblCellMar>
            <w:top w:w="0" w:type="dxa"/>
            <w:left w:w="108" w:type="dxa"/>
            <w:bottom w:w="0" w:type="dxa"/>
            <w:right w:w="108" w:type="dxa"/>
          </w:tblCellMar>
        </w:tblPrEx>
        <w:trPr>
          <w:trHeight w:val="285"/>
          <w:jc w:val="center"/>
        </w:trPr>
        <w:tc>
          <w:tcPr>
            <w:tcW w:w="770" w:type="dxa"/>
            <w:tcBorders>
              <w:top w:val="nil"/>
              <w:left w:val="single" w:sz="8" w:space="0" w:color="000000"/>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2</w:t>
            </w:r>
          </w:p>
        </w:tc>
        <w:tc>
          <w:tcPr>
            <w:tcW w:w="243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default"/>
                <w:i w:val="0"/>
                <w:iCs w:val="0"/>
                <w:color w:val="000000"/>
                <w:sz w:val="24"/>
                <w:szCs w:val="24"/>
                <w:u w:val="none"/>
                <w:lang w:val="en-US"/>
              </w:rPr>
            </w:pPr>
            <w:r>
              <w:rPr>
                <w:rFonts w:ascii="宋体" w:eastAsia="宋体" w:hAnsi="宋体" w:cs="宋体" w:hint="eastAsia"/>
                <w:i w:val="0"/>
                <w:iCs w:val="0"/>
                <w:color w:val="000000"/>
                <w:kern w:val="0"/>
                <w:sz w:val="24"/>
                <w:szCs w:val="24"/>
                <w:u w:val="none"/>
                <w:lang w:val="en-US" w:eastAsia="zh-CN" w:bidi="ar"/>
              </w:rPr>
              <w:t xml:space="preserve">互联网业务区 </w:t>
            </w:r>
          </w:p>
        </w:tc>
        <w:tc>
          <w:tcPr>
            <w:tcW w:w="296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IPS入侵防御</w:t>
            </w:r>
          </w:p>
        </w:tc>
        <w:tc>
          <w:tcPr>
            <w:tcW w:w="108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2</w:t>
            </w:r>
          </w:p>
        </w:tc>
      </w:tr>
      <w:tr>
        <w:tblPrEx>
          <w:tblW w:w="7240" w:type="dxa"/>
          <w:jc w:val="center"/>
          <w:tblLayout w:type="fixed"/>
          <w:tblCellMar>
            <w:top w:w="0" w:type="dxa"/>
            <w:left w:w="108" w:type="dxa"/>
            <w:bottom w:w="0" w:type="dxa"/>
            <w:right w:w="108" w:type="dxa"/>
          </w:tblCellMar>
        </w:tblPrEx>
        <w:trPr>
          <w:trHeight w:val="285"/>
          <w:jc w:val="center"/>
        </w:trPr>
        <w:tc>
          <w:tcPr>
            <w:tcW w:w="770" w:type="dxa"/>
            <w:tcBorders>
              <w:top w:val="nil"/>
              <w:left w:val="single" w:sz="8" w:space="0" w:color="000000"/>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3</w:t>
            </w:r>
          </w:p>
        </w:tc>
        <w:tc>
          <w:tcPr>
            <w:tcW w:w="243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互联网业务区</w:t>
            </w:r>
          </w:p>
        </w:tc>
        <w:tc>
          <w:tcPr>
            <w:tcW w:w="296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区域隔离防火墙</w:t>
            </w:r>
          </w:p>
        </w:tc>
        <w:tc>
          <w:tcPr>
            <w:tcW w:w="108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6</w:t>
            </w:r>
          </w:p>
        </w:tc>
      </w:tr>
      <w:tr>
        <w:tblPrEx>
          <w:tblW w:w="7240" w:type="dxa"/>
          <w:jc w:val="center"/>
          <w:tblLayout w:type="fixed"/>
          <w:tblCellMar>
            <w:top w:w="0" w:type="dxa"/>
            <w:left w:w="108" w:type="dxa"/>
            <w:bottom w:w="0" w:type="dxa"/>
            <w:right w:w="108" w:type="dxa"/>
          </w:tblCellMar>
        </w:tblPrEx>
        <w:trPr>
          <w:trHeight w:val="285"/>
          <w:jc w:val="center"/>
        </w:trPr>
        <w:tc>
          <w:tcPr>
            <w:tcW w:w="770" w:type="dxa"/>
            <w:tcBorders>
              <w:top w:val="nil"/>
              <w:left w:val="single" w:sz="8" w:space="0" w:color="000000"/>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4</w:t>
            </w:r>
          </w:p>
        </w:tc>
        <w:tc>
          <w:tcPr>
            <w:tcW w:w="243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互联网业务区</w:t>
            </w:r>
          </w:p>
        </w:tc>
        <w:tc>
          <w:tcPr>
            <w:tcW w:w="296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应用安全网关</w:t>
            </w:r>
          </w:p>
        </w:tc>
        <w:tc>
          <w:tcPr>
            <w:tcW w:w="108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2</w:t>
            </w:r>
          </w:p>
        </w:tc>
      </w:tr>
      <w:tr>
        <w:tblPrEx>
          <w:tblW w:w="7240" w:type="dxa"/>
          <w:jc w:val="center"/>
          <w:tblLayout w:type="fixed"/>
          <w:tblCellMar>
            <w:top w:w="0" w:type="dxa"/>
            <w:left w:w="108" w:type="dxa"/>
            <w:bottom w:w="0" w:type="dxa"/>
            <w:right w:w="108" w:type="dxa"/>
          </w:tblCellMar>
        </w:tblPrEx>
        <w:trPr>
          <w:trHeight w:val="285"/>
          <w:jc w:val="center"/>
        </w:trPr>
        <w:tc>
          <w:tcPr>
            <w:tcW w:w="770" w:type="dxa"/>
            <w:tcBorders>
              <w:top w:val="nil"/>
              <w:left w:val="single" w:sz="8" w:space="0" w:color="000000"/>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5</w:t>
            </w:r>
          </w:p>
        </w:tc>
        <w:tc>
          <w:tcPr>
            <w:tcW w:w="243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互联网业务区</w:t>
            </w:r>
          </w:p>
        </w:tc>
        <w:tc>
          <w:tcPr>
            <w:tcW w:w="296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web应用防火墙</w:t>
            </w:r>
          </w:p>
        </w:tc>
        <w:tc>
          <w:tcPr>
            <w:tcW w:w="108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4</w:t>
            </w:r>
          </w:p>
        </w:tc>
      </w:tr>
      <w:tr>
        <w:tblPrEx>
          <w:tblW w:w="7240" w:type="dxa"/>
          <w:jc w:val="center"/>
          <w:tblLayout w:type="fixed"/>
          <w:tblCellMar>
            <w:top w:w="0" w:type="dxa"/>
            <w:left w:w="108" w:type="dxa"/>
            <w:bottom w:w="0" w:type="dxa"/>
            <w:right w:w="108" w:type="dxa"/>
          </w:tblCellMar>
        </w:tblPrEx>
        <w:trPr>
          <w:trHeight w:val="285"/>
          <w:jc w:val="center"/>
        </w:trPr>
        <w:tc>
          <w:tcPr>
            <w:tcW w:w="770" w:type="dxa"/>
            <w:tcBorders>
              <w:top w:val="nil"/>
              <w:left w:val="single" w:sz="8" w:space="0" w:color="000000"/>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6</w:t>
            </w:r>
          </w:p>
        </w:tc>
        <w:tc>
          <w:tcPr>
            <w:tcW w:w="243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互联网业务区</w:t>
            </w:r>
          </w:p>
        </w:tc>
        <w:tc>
          <w:tcPr>
            <w:tcW w:w="296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IDS入侵检测</w:t>
            </w:r>
          </w:p>
        </w:tc>
        <w:tc>
          <w:tcPr>
            <w:tcW w:w="108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1</w:t>
            </w:r>
          </w:p>
        </w:tc>
      </w:tr>
      <w:tr>
        <w:tblPrEx>
          <w:tblW w:w="7240" w:type="dxa"/>
          <w:jc w:val="center"/>
          <w:tblLayout w:type="fixed"/>
          <w:tblCellMar>
            <w:top w:w="0" w:type="dxa"/>
            <w:left w:w="108" w:type="dxa"/>
            <w:bottom w:w="0" w:type="dxa"/>
            <w:right w:w="108" w:type="dxa"/>
          </w:tblCellMar>
        </w:tblPrEx>
        <w:trPr>
          <w:trHeight w:val="285"/>
          <w:jc w:val="center"/>
        </w:trPr>
        <w:tc>
          <w:tcPr>
            <w:tcW w:w="770" w:type="dxa"/>
            <w:tcBorders>
              <w:top w:val="nil"/>
              <w:left w:val="single" w:sz="8" w:space="0" w:color="000000"/>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7</w:t>
            </w:r>
          </w:p>
        </w:tc>
        <w:tc>
          <w:tcPr>
            <w:tcW w:w="243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互联网业务区</w:t>
            </w:r>
          </w:p>
        </w:tc>
        <w:tc>
          <w:tcPr>
            <w:tcW w:w="296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身份认证防火墙</w:t>
            </w:r>
          </w:p>
        </w:tc>
        <w:tc>
          <w:tcPr>
            <w:tcW w:w="108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1</w:t>
            </w:r>
          </w:p>
        </w:tc>
      </w:tr>
      <w:tr>
        <w:tblPrEx>
          <w:tblW w:w="7240" w:type="dxa"/>
          <w:jc w:val="center"/>
          <w:tblLayout w:type="fixed"/>
          <w:tblCellMar>
            <w:top w:w="0" w:type="dxa"/>
            <w:left w:w="108" w:type="dxa"/>
            <w:bottom w:w="0" w:type="dxa"/>
            <w:right w:w="108" w:type="dxa"/>
          </w:tblCellMar>
        </w:tblPrEx>
        <w:trPr>
          <w:trHeight w:val="285"/>
          <w:jc w:val="center"/>
        </w:trPr>
        <w:tc>
          <w:tcPr>
            <w:tcW w:w="770" w:type="dxa"/>
            <w:tcBorders>
              <w:top w:val="nil"/>
              <w:left w:val="single" w:sz="8" w:space="0" w:color="000000"/>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8</w:t>
            </w:r>
          </w:p>
        </w:tc>
        <w:tc>
          <w:tcPr>
            <w:tcW w:w="243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互联网业务区</w:t>
            </w:r>
          </w:p>
        </w:tc>
        <w:tc>
          <w:tcPr>
            <w:tcW w:w="296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运维审计系统</w:t>
            </w:r>
          </w:p>
        </w:tc>
        <w:tc>
          <w:tcPr>
            <w:tcW w:w="108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2</w:t>
            </w:r>
          </w:p>
        </w:tc>
      </w:tr>
      <w:tr>
        <w:tblPrEx>
          <w:tblW w:w="7240" w:type="dxa"/>
          <w:jc w:val="center"/>
          <w:tblLayout w:type="fixed"/>
          <w:tblCellMar>
            <w:top w:w="0" w:type="dxa"/>
            <w:left w:w="108" w:type="dxa"/>
            <w:bottom w:w="0" w:type="dxa"/>
            <w:right w:w="108" w:type="dxa"/>
          </w:tblCellMar>
        </w:tblPrEx>
        <w:trPr>
          <w:trHeight w:val="285"/>
          <w:jc w:val="center"/>
        </w:trPr>
        <w:tc>
          <w:tcPr>
            <w:tcW w:w="770" w:type="dxa"/>
            <w:tcBorders>
              <w:top w:val="nil"/>
              <w:left w:val="single" w:sz="8" w:space="0" w:color="000000"/>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9</w:t>
            </w:r>
          </w:p>
        </w:tc>
        <w:tc>
          <w:tcPr>
            <w:tcW w:w="243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互联网业务区</w:t>
            </w:r>
          </w:p>
        </w:tc>
        <w:tc>
          <w:tcPr>
            <w:tcW w:w="296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主机加固系统</w:t>
            </w:r>
          </w:p>
        </w:tc>
        <w:tc>
          <w:tcPr>
            <w:tcW w:w="108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1</w:t>
            </w:r>
          </w:p>
        </w:tc>
      </w:tr>
      <w:tr>
        <w:tblPrEx>
          <w:tblW w:w="7240" w:type="dxa"/>
          <w:jc w:val="center"/>
          <w:tblLayout w:type="fixed"/>
          <w:tblCellMar>
            <w:top w:w="0" w:type="dxa"/>
            <w:left w:w="108" w:type="dxa"/>
            <w:bottom w:w="0" w:type="dxa"/>
            <w:right w:w="108" w:type="dxa"/>
          </w:tblCellMar>
        </w:tblPrEx>
        <w:trPr>
          <w:trHeight w:val="285"/>
          <w:jc w:val="center"/>
        </w:trPr>
        <w:tc>
          <w:tcPr>
            <w:tcW w:w="770" w:type="dxa"/>
            <w:tcBorders>
              <w:top w:val="nil"/>
              <w:left w:val="single" w:sz="8" w:space="0" w:color="000000"/>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10</w:t>
            </w:r>
          </w:p>
        </w:tc>
        <w:tc>
          <w:tcPr>
            <w:tcW w:w="243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互联网业务区</w:t>
            </w:r>
          </w:p>
        </w:tc>
        <w:tc>
          <w:tcPr>
            <w:tcW w:w="296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日志审计系统</w:t>
            </w:r>
          </w:p>
        </w:tc>
        <w:tc>
          <w:tcPr>
            <w:tcW w:w="108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1</w:t>
            </w:r>
          </w:p>
        </w:tc>
      </w:tr>
      <w:tr>
        <w:tblPrEx>
          <w:tblW w:w="7240" w:type="dxa"/>
          <w:jc w:val="center"/>
          <w:tblLayout w:type="fixed"/>
          <w:tblCellMar>
            <w:top w:w="0" w:type="dxa"/>
            <w:left w:w="108" w:type="dxa"/>
            <w:bottom w:w="0" w:type="dxa"/>
            <w:right w:w="108" w:type="dxa"/>
          </w:tblCellMar>
        </w:tblPrEx>
        <w:trPr>
          <w:trHeight w:val="285"/>
          <w:jc w:val="center"/>
        </w:trPr>
        <w:tc>
          <w:tcPr>
            <w:tcW w:w="770" w:type="dxa"/>
            <w:tcBorders>
              <w:top w:val="nil"/>
              <w:left w:val="single" w:sz="8" w:space="0" w:color="000000"/>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11</w:t>
            </w:r>
          </w:p>
        </w:tc>
        <w:tc>
          <w:tcPr>
            <w:tcW w:w="243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互联网业务区</w:t>
            </w:r>
          </w:p>
        </w:tc>
        <w:tc>
          <w:tcPr>
            <w:tcW w:w="296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数据库审计系统</w:t>
            </w:r>
          </w:p>
        </w:tc>
        <w:tc>
          <w:tcPr>
            <w:tcW w:w="108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1</w:t>
            </w:r>
          </w:p>
        </w:tc>
      </w:tr>
      <w:tr>
        <w:tblPrEx>
          <w:tblW w:w="7240" w:type="dxa"/>
          <w:jc w:val="center"/>
          <w:tblLayout w:type="fixed"/>
          <w:tblCellMar>
            <w:top w:w="0" w:type="dxa"/>
            <w:left w:w="108" w:type="dxa"/>
            <w:bottom w:w="0" w:type="dxa"/>
            <w:right w:w="108" w:type="dxa"/>
          </w:tblCellMar>
        </w:tblPrEx>
        <w:trPr>
          <w:trHeight w:val="285"/>
          <w:jc w:val="center"/>
        </w:trPr>
        <w:tc>
          <w:tcPr>
            <w:tcW w:w="770" w:type="dxa"/>
            <w:tcBorders>
              <w:top w:val="nil"/>
              <w:left w:val="single" w:sz="8" w:space="0" w:color="000000"/>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12</w:t>
            </w:r>
          </w:p>
        </w:tc>
        <w:tc>
          <w:tcPr>
            <w:tcW w:w="243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互联网业务区</w:t>
            </w:r>
          </w:p>
        </w:tc>
        <w:tc>
          <w:tcPr>
            <w:tcW w:w="296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数据库防火墙系统</w:t>
            </w:r>
          </w:p>
        </w:tc>
        <w:tc>
          <w:tcPr>
            <w:tcW w:w="108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1</w:t>
            </w:r>
          </w:p>
        </w:tc>
      </w:tr>
      <w:tr>
        <w:tblPrEx>
          <w:tblW w:w="7240" w:type="dxa"/>
          <w:jc w:val="center"/>
          <w:tblLayout w:type="fixed"/>
          <w:tblCellMar>
            <w:top w:w="0" w:type="dxa"/>
            <w:left w:w="108" w:type="dxa"/>
            <w:bottom w:w="0" w:type="dxa"/>
            <w:right w:w="108" w:type="dxa"/>
          </w:tblCellMar>
        </w:tblPrEx>
        <w:trPr>
          <w:trHeight w:val="285"/>
          <w:jc w:val="center"/>
        </w:trPr>
        <w:tc>
          <w:tcPr>
            <w:tcW w:w="770" w:type="dxa"/>
            <w:tcBorders>
              <w:top w:val="nil"/>
              <w:left w:val="single" w:sz="8" w:space="0" w:color="000000"/>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13</w:t>
            </w:r>
          </w:p>
        </w:tc>
        <w:tc>
          <w:tcPr>
            <w:tcW w:w="243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互联网业务区</w:t>
            </w:r>
          </w:p>
        </w:tc>
        <w:tc>
          <w:tcPr>
            <w:tcW w:w="296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流量复制nettap</w:t>
            </w:r>
          </w:p>
        </w:tc>
        <w:tc>
          <w:tcPr>
            <w:tcW w:w="108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2</w:t>
            </w:r>
          </w:p>
        </w:tc>
      </w:tr>
      <w:tr>
        <w:tblPrEx>
          <w:tblW w:w="7240" w:type="dxa"/>
          <w:jc w:val="center"/>
          <w:tblLayout w:type="fixed"/>
          <w:tblCellMar>
            <w:top w:w="0" w:type="dxa"/>
            <w:left w:w="108" w:type="dxa"/>
            <w:bottom w:w="0" w:type="dxa"/>
            <w:right w:w="108" w:type="dxa"/>
          </w:tblCellMar>
        </w:tblPrEx>
        <w:trPr>
          <w:trHeight w:val="285"/>
          <w:jc w:val="center"/>
        </w:trPr>
        <w:tc>
          <w:tcPr>
            <w:tcW w:w="770" w:type="dxa"/>
            <w:tcBorders>
              <w:top w:val="nil"/>
              <w:left w:val="single" w:sz="8" w:space="0" w:color="000000"/>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14</w:t>
            </w:r>
          </w:p>
        </w:tc>
        <w:tc>
          <w:tcPr>
            <w:tcW w:w="243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互联网业务区</w:t>
            </w:r>
          </w:p>
        </w:tc>
        <w:tc>
          <w:tcPr>
            <w:tcW w:w="296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虚拟化防火墙</w:t>
            </w:r>
          </w:p>
        </w:tc>
        <w:tc>
          <w:tcPr>
            <w:tcW w:w="108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2</w:t>
            </w:r>
          </w:p>
        </w:tc>
      </w:tr>
      <w:tr>
        <w:tblPrEx>
          <w:tblW w:w="7240" w:type="dxa"/>
          <w:jc w:val="center"/>
          <w:tblLayout w:type="fixed"/>
          <w:tblCellMar>
            <w:top w:w="0" w:type="dxa"/>
            <w:left w:w="108" w:type="dxa"/>
            <w:bottom w:w="0" w:type="dxa"/>
            <w:right w:w="108" w:type="dxa"/>
          </w:tblCellMar>
        </w:tblPrEx>
        <w:trPr>
          <w:trHeight w:val="285"/>
          <w:jc w:val="center"/>
        </w:trPr>
        <w:tc>
          <w:tcPr>
            <w:tcW w:w="770" w:type="dxa"/>
            <w:tcBorders>
              <w:top w:val="nil"/>
              <w:left w:val="single" w:sz="8" w:space="0" w:color="000000"/>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15</w:t>
            </w:r>
          </w:p>
        </w:tc>
        <w:tc>
          <w:tcPr>
            <w:tcW w:w="243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互联网业务区</w:t>
            </w:r>
          </w:p>
        </w:tc>
        <w:tc>
          <w:tcPr>
            <w:tcW w:w="296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签名服务器</w:t>
            </w:r>
          </w:p>
        </w:tc>
        <w:tc>
          <w:tcPr>
            <w:tcW w:w="108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2</w:t>
            </w:r>
          </w:p>
        </w:tc>
      </w:tr>
      <w:tr>
        <w:tblPrEx>
          <w:tblW w:w="7240" w:type="dxa"/>
          <w:jc w:val="center"/>
          <w:tblLayout w:type="fixed"/>
          <w:tblCellMar>
            <w:top w:w="0" w:type="dxa"/>
            <w:left w:w="108" w:type="dxa"/>
            <w:bottom w:w="0" w:type="dxa"/>
            <w:right w:w="108" w:type="dxa"/>
          </w:tblCellMar>
        </w:tblPrEx>
        <w:trPr>
          <w:trHeight w:val="285"/>
          <w:jc w:val="center"/>
        </w:trPr>
        <w:tc>
          <w:tcPr>
            <w:tcW w:w="770" w:type="dxa"/>
            <w:tcBorders>
              <w:top w:val="nil"/>
              <w:left w:val="single" w:sz="8" w:space="0" w:color="000000"/>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16</w:t>
            </w:r>
          </w:p>
        </w:tc>
        <w:tc>
          <w:tcPr>
            <w:tcW w:w="243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互联网业务区</w:t>
            </w:r>
          </w:p>
        </w:tc>
        <w:tc>
          <w:tcPr>
            <w:tcW w:w="296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密码机</w:t>
            </w:r>
          </w:p>
        </w:tc>
        <w:tc>
          <w:tcPr>
            <w:tcW w:w="108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7</w:t>
            </w:r>
          </w:p>
        </w:tc>
      </w:tr>
      <w:tr>
        <w:tblPrEx>
          <w:tblW w:w="7240" w:type="dxa"/>
          <w:jc w:val="center"/>
          <w:tblLayout w:type="fixed"/>
          <w:tblCellMar>
            <w:top w:w="0" w:type="dxa"/>
            <w:left w:w="108" w:type="dxa"/>
            <w:bottom w:w="0" w:type="dxa"/>
            <w:right w:w="108" w:type="dxa"/>
          </w:tblCellMar>
        </w:tblPrEx>
        <w:trPr>
          <w:trHeight w:val="285"/>
          <w:jc w:val="center"/>
        </w:trPr>
        <w:tc>
          <w:tcPr>
            <w:tcW w:w="770" w:type="dxa"/>
            <w:tcBorders>
              <w:top w:val="nil"/>
              <w:left w:val="single" w:sz="8" w:space="0" w:color="000000"/>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17</w:t>
            </w:r>
          </w:p>
        </w:tc>
        <w:tc>
          <w:tcPr>
            <w:tcW w:w="243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互联网业务区</w:t>
            </w:r>
          </w:p>
        </w:tc>
        <w:tc>
          <w:tcPr>
            <w:tcW w:w="296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网闸</w:t>
            </w:r>
          </w:p>
        </w:tc>
        <w:tc>
          <w:tcPr>
            <w:tcW w:w="108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2</w:t>
            </w:r>
          </w:p>
        </w:tc>
      </w:tr>
      <w:tr>
        <w:tblPrEx>
          <w:tblW w:w="7240" w:type="dxa"/>
          <w:jc w:val="center"/>
          <w:tblLayout w:type="fixed"/>
          <w:tblCellMar>
            <w:top w:w="0" w:type="dxa"/>
            <w:left w:w="108" w:type="dxa"/>
            <w:bottom w:w="0" w:type="dxa"/>
            <w:right w:w="108" w:type="dxa"/>
          </w:tblCellMar>
        </w:tblPrEx>
        <w:trPr>
          <w:trHeight w:val="285"/>
          <w:jc w:val="center"/>
        </w:trPr>
        <w:tc>
          <w:tcPr>
            <w:tcW w:w="770" w:type="dxa"/>
            <w:tcBorders>
              <w:top w:val="nil"/>
              <w:left w:val="single" w:sz="8" w:space="0" w:color="000000"/>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18</w:t>
            </w:r>
          </w:p>
        </w:tc>
        <w:tc>
          <w:tcPr>
            <w:tcW w:w="243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互联网业务区</w:t>
            </w:r>
          </w:p>
        </w:tc>
        <w:tc>
          <w:tcPr>
            <w:tcW w:w="296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网页防篡改系统</w:t>
            </w:r>
          </w:p>
        </w:tc>
        <w:tc>
          <w:tcPr>
            <w:tcW w:w="108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1</w:t>
            </w:r>
          </w:p>
        </w:tc>
      </w:tr>
      <w:tr>
        <w:tblPrEx>
          <w:tblW w:w="7240" w:type="dxa"/>
          <w:jc w:val="center"/>
          <w:tblLayout w:type="fixed"/>
          <w:tblCellMar>
            <w:top w:w="0" w:type="dxa"/>
            <w:left w:w="108" w:type="dxa"/>
            <w:bottom w:w="0" w:type="dxa"/>
            <w:right w:w="108" w:type="dxa"/>
          </w:tblCellMar>
        </w:tblPrEx>
        <w:trPr>
          <w:trHeight w:val="285"/>
          <w:jc w:val="center"/>
        </w:trPr>
        <w:tc>
          <w:tcPr>
            <w:tcW w:w="770" w:type="dxa"/>
            <w:tcBorders>
              <w:top w:val="nil"/>
              <w:left w:val="single" w:sz="8" w:space="0" w:color="000000"/>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19</w:t>
            </w:r>
          </w:p>
        </w:tc>
        <w:tc>
          <w:tcPr>
            <w:tcW w:w="243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互联网业务区</w:t>
            </w:r>
          </w:p>
        </w:tc>
        <w:tc>
          <w:tcPr>
            <w:tcW w:w="296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漏洞扫描</w:t>
            </w:r>
          </w:p>
        </w:tc>
        <w:tc>
          <w:tcPr>
            <w:tcW w:w="108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1</w:t>
            </w:r>
          </w:p>
        </w:tc>
      </w:tr>
      <w:tr>
        <w:tblPrEx>
          <w:tblW w:w="7240" w:type="dxa"/>
          <w:jc w:val="center"/>
          <w:tblLayout w:type="fixed"/>
          <w:tblCellMar>
            <w:top w:w="0" w:type="dxa"/>
            <w:left w:w="108" w:type="dxa"/>
            <w:bottom w:w="0" w:type="dxa"/>
            <w:right w:w="108" w:type="dxa"/>
          </w:tblCellMar>
        </w:tblPrEx>
        <w:trPr>
          <w:trHeight w:val="285"/>
          <w:jc w:val="center"/>
        </w:trPr>
        <w:tc>
          <w:tcPr>
            <w:tcW w:w="770" w:type="dxa"/>
            <w:tcBorders>
              <w:top w:val="nil"/>
              <w:left w:val="single" w:sz="8" w:space="0" w:color="000000"/>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20</w:t>
            </w:r>
          </w:p>
        </w:tc>
        <w:tc>
          <w:tcPr>
            <w:tcW w:w="243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互联网业务区</w:t>
            </w:r>
          </w:p>
        </w:tc>
        <w:tc>
          <w:tcPr>
            <w:tcW w:w="296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网络审计</w:t>
            </w:r>
          </w:p>
        </w:tc>
        <w:tc>
          <w:tcPr>
            <w:tcW w:w="108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1</w:t>
            </w:r>
          </w:p>
        </w:tc>
      </w:tr>
      <w:tr>
        <w:tblPrEx>
          <w:tblW w:w="7240" w:type="dxa"/>
          <w:jc w:val="center"/>
          <w:tblLayout w:type="fixed"/>
          <w:tblCellMar>
            <w:top w:w="0" w:type="dxa"/>
            <w:left w:w="108" w:type="dxa"/>
            <w:bottom w:w="0" w:type="dxa"/>
            <w:right w:w="108" w:type="dxa"/>
          </w:tblCellMar>
        </w:tblPrEx>
        <w:trPr>
          <w:trHeight w:val="285"/>
          <w:jc w:val="center"/>
        </w:trPr>
        <w:tc>
          <w:tcPr>
            <w:tcW w:w="770" w:type="dxa"/>
            <w:tcBorders>
              <w:top w:val="nil"/>
              <w:left w:val="single" w:sz="8" w:space="0" w:color="000000"/>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21</w:t>
            </w:r>
          </w:p>
        </w:tc>
        <w:tc>
          <w:tcPr>
            <w:tcW w:w="243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互联网业务区</w:t>
            </w:r>
          </w:p>
        </w:tc>
        <w:tc>
          <w:tcPr>
            <w:tcW w:w="296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威胁感知流量探针</w:t>
            </w:r>
          </w:p>
        </w:tc>
        <w:tc>
          <w:tcPr>
            <w:tcW w:w="108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1</w:t>
            </w:r>
          </w:p>
        </w:tc>
      </w:tr>
      <w:tr>
        <w:tblPrEx>
          <w:tblW w:w="7240" w:type="dxa"/>
          <w:jc w:val="center"/>
          <w:tblLayout w:type="fixed"/>
          <w:tblCellMar>
            <w:top w:w="0" w:type="dxa"/>
            <w:left w:w="108" w:type="dxa"/>
            <w:bottom w:w="0" w:type="dxa"/>
            <w:right w:w="108" w:type="dxa"/>
          </w:tblCellMar>
        </w:tblPrEx>
        <w:trPr>
          <w:trHeight w:val="285"/>
          <w:jc w:val="center"/>
        </w:trPr>
        <w:tc>
          <w:tcPr>
            <w:tcW w:w="770" w:type="dxa"/>
            <w:tcBorders>
              <w:top w:val="nil"/>
              <w:left w:val="single" w:sz="8" w:space="0" w:color="000000"/>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22</w:t>
            </w:r>
          </w:p>
        </w:tc>
        <w:tc>
          <w:tcPr>
            <w:tcW w:w="243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互联网业务区</w:t>
            </w:r>
          </w:p>
        </w:tc>
        <w:tc>
          <w:tcPr>
            <w:tcW w:w="296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威胁感知分析平台</w:t>
            </w:r>
          </w:p>
        </w:tc>
        <w:tc>
          <w:tcPr>
            <w:tcW w:w="108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1</w:t>
            </w:r>
          </w:p>
        </w:tc>
      </w:tr>
      <w:tr>
        <w:tblPrEx>
          <w:tblW w:w="7240" w:type="dxa"/>
          <w:jc w:val="center"/>
          <w:tblLayout w:type="fixed"/>
          <w:tblCellMar>
            <w:top w:w="0" w:type="dxa"/>
            <w:left w:w="108" w:type="dxa"/>
            <w:bottom w:w="0" w:type="dxa"/>
            <w:right w:w="108" w:type="dxa"/>
          </w:tblCellMar>
        </w:tblPrEx>
        <w:trPr>
          <w:trHeight w:val="285"/>
          <w:jc w:val="center"/>
        </w:trPr>
        <w:tc>
          <w:tcPr>
            <w:tcW w:w="770" w:type="dxa"/>
            <w:tcBorders>
              <w:top w:val="nil"/>
              <w:left w:val="single" w:sz="8" w:space="0" w:color="000000"/>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23</w:t>
            </w:r>
          </w:p>
        </w:tc>
        <w:tc>
          <w:tcPr>
            <w:tcW w:w="243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业务专网区</w:t>
            </w:r>
          </w:p>
        </w:tc>
        <w:tc>
          <w:tcPr>
            <w:tcW w:w="296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运维审计系统</w:t>
            </w:r>
          </w:p>
        </w:tc>
        <w:tc>
          <w:tcPr>
            <w:tcW w:w="108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2</w:t>
            </w:r>
          </w:p>
        </w:tc>
      </w:tr>
      <w:tr>
        <w:tblPrEx>
          <w:tblW w:w="7240" w:type="dxa"/>
          <w:jc w:val="center"/>
          <w:tblLayout w:type="fixed"/>
          <w:tblCellMar>
            <w:top w:w="0" w:type="dxa"/>
            <w:left w:w="108" w:type="dxa"/>
            <w:bottom w:w="0" w:type="dxa"/>
            <w:right w:w="108" w:type="dxa"/>
          </w:tblCellMar>
        </w:tblPrEx>
        <w:trPr>
          <w:trHeight w:val="285"/>
          <w:jc w:val="center"/>
        </w:trPr>
        <w:tc>
          <w:tcPr>
            <w:tcW w:w="770" w:type="dxa"/>
            <w:tcBorders>
              <w:top w:val="nil"/>
              <w:left w:val="single" w:sz="8" w:space="0" w:color="000000"/>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24</w:t>
            </w:r>
          </w:p>
        </w:tc>
        <w:tc>
          <w:tcPr>
            <w:tcW w:w="243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业务专网区</w:t>
            </w:r>
          </w:p>
        </w:tc>
        <w:tc>
          <w:tcPr>
            <w:tcW w:w="296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区域隔离防火墙</w:t>
            </w:r>
          </w:p>
        </w:tc>
        <w:tc>
          <w:tcPr>
            <w:tcW w:w="108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15</w:t>
            </w:r>
          </w:p>
        </w:tc>
      </w:tr>
      <w:tr>
        <w:tblPrEx>
          <w:tblW w:w="7240" w:type="dxa"/>
          <w:jc w:val="center"/>
          <w:tblLayout w:type="fixed"/>
          <w:tblCellMar>
            <w:top w:w="0" w:type="dxa"/>
            <w:left w:w="108" w:type="dxa"/>
            <w:bottom w:w="0" w:type="dxa"/>
            <w:right w:w="108" w:type="dxa"/>
          </w:tblCellMar>
        </w:tblPrEx>
        <w:trPr>
          <w:trHeight w:val="285"/>
          <w:jc w:val="center"/>
        </w:trPr>
        <w:tc>
          <w:tcPr>
            <w:tcW w:w="770" w:type="dxa"/>
            <w:tcBorders>
              <w:top w:val="nil"/>
              <w:left w:val="single" w:sz="8" w:space="0" w:color="000000"/>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25</w:t>
            </w:r>
          </w:p>
        </w:tc>
        <w:tc>
          <w:tcPr>
            <w:tcW w:w="243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业务专网区</w:t>
            </w:r>
          </w:p>
        </w:tc>
        <w:tc>
          <w:tcPr>
            <w:tcW w:w="296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日志审计系统</w:t>
            </w:r>
          </w:p>
        </w:tc>
        <w:tc>
          <w:tcPr>
            <w:tcW w:w="108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1</w:t>
            </w:r>
          </w:p>
        </w:tc>
      </w:tr>
      <w:tr>
        <w:tblPrEx>
          <w:tblW w:w="7240" w:type="dxa"/>
          <w:jc w:val="center"/>
          <w:tblLayout w:type="fixed"/>
          <w:tblCellMar>
            <w:top w:w="0" w:type="dxa"/>
            <w:left w:w="108" w:type="dxa"/>
            <w:bottom w:w="0" w:type="dxa"/>
            <w:right w:w="108" w:type="dxa"/>
          </w:tblCellMar>
        </w:tblPrEx>
        <w:trPr>
          <w:trHeight w:val="285"/>
          <w:jc w:val="center"/>
        </w:trPr>
        <w:tc>
          <w:tcPr>
            <w:tcW w:w="770" w:type="dxa"/>
            <w:tcBorders>
              <w:top w:val="nil"/>
              <w:left w:val="single" w:sz="8" w:space="0" w:color="000000"/>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26</w:t>
            </w:r>
          </w:p>
        </w:tc>
        <w:tc>
          <w:tcPr>
            <w:tcW w:w="243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业务专网区</w:t>
            </w:r>
          </w:p>
        </w:tc>
        <w:tc>
          <w:tcPr>
            <w:tcW w:w="296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流量复制</w:t>
            </w:r>
          </w:p>
        </w:tc>
        <w:tc>
          <w:tcPr>
            <w:tcW w:w="108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1</w:t>
            </w:r>
          </w:p>
        </w:tc>
      </w:tr>
      <w:tr>
        <w:tblPrEx>
          <w:tblW w:w="7240" w:type="dxa"/>
          <w:jc w:val="center"/>
          <w:tblLayout w:type="fixed"/>
          <w:tblCellMar>
            <w:top w:w="0" w:type="dxa"/>
            <w:left w:w="108" w:type="dxa"/>
            <w:bottom w:w="0" w:type="dxa"/>
            <w:right w:w="108" w:type="dxa"/>
          </w:tblCellMar>
        </w:tblPrEx>
        <w:trPr>
          <w:trHeight w:val="285"/>
          <w:jc w:val="center"/>
        </w:trPr>
        <w:tc>
          <w:tcPr>
            <w:tcW w:w="770" w:type="dxa"/>
            <w:tcBorders>
              <w:top w:val="nil"/>
              <w:left w:val="single" w:sz="8" w:space="0" w:color="000000"/>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27</w:t>
            </w:r>
          </w:p>
        </w:tc>
        <w:tc>
          <w:tcPr>
            <w:tcW w:w="243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业务专网区</w:t>
            </w:r>
          </w:p>
        </w:tc>
        <w:tc>
          <w:tcPr>
            <w:tcW w:w="296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NGSOC日志采集探针</w:t>
            </w:r>
          </w:p>
        </w:tc>
        <w:tc>
          <w:tcPr>
            <w:tcW w:w="108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2</w:t>
            </w:r>
          </w:p>
        </w:tc>
      </w:tr>
      <w:tr>
        <w:tblPrEx>
          <w:tblW w:w="7240" w:type="dxa"/>
          <w:jc w:val="center"/>
          <w:tblLayout w:type="fixed"/>
          <w:tblCellMar>
            <w:top w:w="0" w:type="dxa"/>
            <w:left w:w="108" w:type="dxa"/>
            <w:bottom w:w="0" w:type="dxa"/>
            <w:right w:w="108" w:type="dxa"/>
          </w:tblCellMar>
        </w:tblPrEx>
        <w:trPr>
          <w:trHeight w:val="285"/>
          <w:jc w:val="center"/>
        </w:trPr>
        <w:tc>
          <w:tcPr>
            <w:tcW w:w="770" w:type="dxa"/>
            <w:tcBorders>
              <w:top w:val="nil"/>
              <w:left w:val="single" w:sz="8" w:space="0" w:color="000000"/>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28</w:t>
            </w:r>
          </w:p>
        </w:tc>
        <w:tc>
          <w:tcPr>
            <w:tcW w:w="243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业务专网区</w:t>
            </w:r>
          </w:p>
        </w:tc>
        <w:tc>
          <w:tcPr>
            <w:tcW w:w="296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NGSOC分析平台</w:t>
            </w:r>
          </w:p>
        </w:tc>
        <w:tc>
          <w:tcPr>
            <w:tcW w:w="108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1</w:t>
            </w:r>
          </w:p>
        </w:tc>
      </w:tr>
      <w:tr>
        <w:tblPrEx>
          <w:tblW w:w="7240" w:type="dxa"/>
          <w:jc w:val="center"/>
          <w:tblLayout w:type="fixed"/>
          <w:tblCellMar>
            <w:top w:w="0" w:type="dxa"/>
            <w:left w:w="108" w:type="dxa"/>
            <w:bottom w:w="0" w:type="dxa"/>
            <w:right w:w="108" w:type="dxa"/>
          </w:tblCellMar>
        </w:tblPrEx>
        <w:trPr>
          <w:trHeight w:val="285"/>
          <w:jc w:val="center"/>
        </w:trPr>
        <w:tc>
          <w:tcPr>
            <w:tcW w:w="770" w:type="dxa"/>
            <w:tcBorders>
              <w:top w:val="nil"/>
              <w:left w:val="single" w:sz="8" w:space="0" w:color="000000"/>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29</w:t>
            </w:r>
          </w:p>
        </w:tc>
        <w:tc>
          <w:tcPr>
            <w:tcW w:w="243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业务专网区</w:t>
            </w:r>
          </w:p>
        </w:tc>
        <w:tc>
          <w:tcPr>
            <w:tcW w:w="296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NGSOC关联规则引擎</w:t>
            </w:r>
          </w:p>
        </w:tc>
        <w:tc>
          <w:tcPr>
            <w:tcW w:w="108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1</w:t>
            </w:r>
          </w:p>
        </w:tc>
      </w:tr>
      <w:tr>
        <w:tblPrEx>
          <w:tblW w:w="7240" w:type="dxa"/>
          <w:jc w:val="center"/>
          <w:tblLayout w:type="fixed"/>
          <w:tblCellMar>
            <w:top w:w="0" w:type="dxa"/>
            <w:left w:w="108" w:type="dxa"/>
            <w:bottom w:w="0" w:type="dxa"/>
            <w:right w:w="108" w:type="dxa"/>
          </w:tblCellMar>
        </w:tblPrEx>
        <w:trPr>
          <w:trHeight w:val="285"/>
          <w:jc w:val="center"/>
        </w:trPr>
        <w:tc>
          <w:tcPr>
            <w:tcW w:w="770" w:type="dxa"/>
            <w:tcBorders>
              <w:top w:val="nil"/>
              <w:left w:val="single" w:sz="8" w:space="0" w:color="000000"/>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30</w:t>
            </w:r>
          </w:p>
        </w:tc>
        <w:tc>
          <w:tcPr>
            <w:tcW w:w="243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业务专网区</w:t>
            </w:r>
          </w:p>
        </w:tc>
        <w:tc>
          <w:tcPr>
            <w:tcW w:w="296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数据库审计系统</w:t>
            </w:r>
          </w:p>
        </w:tc>
        <w:tc>
          <w:tcPr>
            <w:tcW w:w="108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1</w:t>
            </w:r>
          </w:p>
        </w:tc>
      </w:tr>
      <w:tr>
        <w:tblPrEx>
          <w:tblW w:w="7240" w:type="dxa"/>
          <w:jc w:val="center"/>
          <w:tblLayout w:type="fixed"/>
          <w:tblCellMar>
            <w:top w:w="0" w:type="dxa"/>
            <w:left w:w="108" w:type="dxa"/>
            <w:bottom w:w="0" w:type="dxa"/>
            <w:right w:w="108" w:type="dxa"/>
          </w:tblCellMar>
        </w:tblPrEx>
        <w:trPr>
          <w:trHeight w:val="285"/>
          <w:jc w:val="center"/>
        </w:trPr>
        <w:tc>
          <w:tcPr>
            <w:tcW w:w="770" w:type="dxa"/>
            <w:tcBorders>
              <w:top w:val="nil"/>
              <w:left w:val="single" w:sz="8" w:space="0" w:color="000000"/>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31</w:t>
            </w:r>
          </w:p>
        </w:tc>
        <w:tc>
          <w:tcPr>
            <w:tcW w:w="243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业务专网区</w:t>
            </w:r>
          </w:p>
        </w:tc>
        <w:tc>
          <w:tcPr>
            <w:tcW w:w="296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静态脱敏系统</w:t>
            </w:r>
          </w:p>
        </w:tc>
        <w:tc>
          <w:tcPr>
            <w:tcW w:w="108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1</w:t>
            </w:r>
          </w:p>
        </w:tc>
      </w:tr>
      <w:tr>
        <w:tblPrEx>
          <w:tblW w:w="7240" w:type="dxa"/>
          <w:jc w:val="center"/>
          <w:tblLayout w:type="fixed"/>
          <w:tblCellMar>
            <w:top w:w="0" w:type="dxa"/>
            <w:left w:w="108" w:type="dxa"/>
            <w:bottom w:w="0" w:type="dxa"/>
            <w:right w:w="108" w:type="dxa"/>
          </w:tblCellMar>
        </w:tblPrEx>
        <w:trPr>
          <w:trHeight w:val="285"/>
          <w:jc w:val="center"/>
        </w:trPr>
        <w:tc>
          <w:tcPr>
            <w:tcW w:w="770" w:type="dxa"/>
            <w:tcBorders>
              <w:top w:val="nil"/>
              <w:left w:val="single" w:sz="8" w:space="0" w:color="000000"/>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32</w:t>
            </w:r>
          </w:p>
        </w:tc>
        <w:tc>
          <w:tcPr>
            <w:tcW w:w="243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业务专网区</w:t>
            </w:r>
          </w:p>
        </w:tc>
        <w:tc>
          <w:tcPr>
            <w:tcW w:w="296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高级威胁监测系统</w:t>
            </w:r>
          </w:p>
        </w:tc>
        <w:tc>
          <w:tcPr>
            <w:tcW w:w="108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1</w:t>
            </w:r>
          </w:p>
        </w:tc>
      </w:tr>
      <w:tr>
        <w:tblPrEx>
          <w:tblW w:w="7240" w:type="dxa"/>
          <w:jc w:val="center"/>
          <w:tblLayout w:type="fixed"/>
          <w:tblCellMar>
            <w:top w:w="0" w:type="dxa"/>
            <w:left w:w="108" w:type="dxa"/>
            <w:bottom w:w="0" w:type="dxa"/>
            <w:right w:w="108" w:type="dxa"/>
          </w:tblCellMar>
        </w:tblPrEx>
        <w:trPr>
          <w:trHeight w:val="285"/>
          <w:jc w:val="center"/>
        </w:trPr>
        <w:tc>
          <w:tcPr>
            <w:tcW w:w="770" w:type="dxa"/>
            <w:tcBorders>
              <w:top w:val="nil"/>
              <w:left w:val="single" w:sz="8" w:space="0" w:color="000000"/>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33</w:t>
            </w:r>
          </w:p>
        </w:tc>
        <w:tc>
          <w:tcPr>
            <w:tcW w:w="243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业务专网区</w:t>
            </w:r>
          </w:p>
        </w:tc>
        <w:tc>
          <w:tcPr>
            <w:tcW w:w="296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签名服务器</w:t>
            </w:r>
          </w:p>
        </w:tc>
        <w:tc>
          <w:tcPr>
            <w:tcW w:w="108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6</w:t>
            </w:r>
          </w:p>
        </w:tc>
      </w:tr>
      <w:tr>
        <w:tblPrEx>
          <w:tblW w:w="7240" w:type="dxa"/>
          <w:jc w:val="center"/>
          <w:tblLayout w:type="fixed"/>
          <w:tblCellMar>
            <w:top w:w="0" w:type="dxa"/>
            <w:left w:w="108" w:type="dxa"/>
            <w:bottom w:w="0" w:type="dxa"/>
            <w:right w:w="108" w:type="dxa"/>
          </w:tblCellMar>
        </w:tblPrEx>
        <w:trPr>
          <w:trHeight w:val="285"/>
          <w:jc w:val="center"/>
        </w:trPr>
        <w:tc>
          <w:tcPr>
            <w:tcW w:w="770" w:type="dxa"/>
            <w:tcBorders>
              <w:top w:val="nil"/>
              <w:left w:val="single" w:sz="8" w:space="0" w:color="000000"/>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34</w:t>
            </w:r>
          </w:p>
        </w:tc>
        <w:tc>
          <w:tcPr>
            <w:tcW w:w="243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业务专网区</w:t>
            </w:r>
          </w:p>
        </w:tc>
        <w:tc>
          <w:tcPr>
            <w:tcW w:w="296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密码机</w:t>
            </w:r>
          </w:p>
        </w:tc>
        <w:tc>
          <w:tcPr>
            <w:tcW w:w="108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17</w:t>
            </w:r>
          </w:p>
        </w:tc>
      </w:tr>
      <w:tr>
        <w:tblPrEx>
          <w:tblW w:w="7240" w:type="dxa"/>
          <w:jc w:val="center"/>
          <w:tblLayout w:type="fixed"/>
          <w:tblCellMar>
            <w:top w:w="0" w:type="dxa"/>
            <w:left w:w="108" w:type="dxa"/>
            <w:bottom w:w="0" w:type="dxa"/>
            <w:right w:w="108" w:type="dxa"/>
          </w:tblCellMar>
        </w:tblPrEx>
        <w:trPr>
          <w:trHeight w:val="285"/>
          <w:jc w:val="center"/>
        </w:trPr>
        <w:tc>
          <w:tcPr>
            <w:tcW w:w="770" w:type="dxa"/>
            <w:tcBorders>
              <w:top w:val="nil"/>
              <w:left w:val="single" w:sz="8" w:space="0" w:color="000000"/>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35</w:t>
            </w:r>
          </w:p>
        </w:tc>
        <w:tc>
          <w:tcPr>
            <w:tcW w:w="243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业务专网区</w:t>
            </w:r>
          </w:p>
        </w:tc>
        <w:tc>
          <w:tcPr>
            <w:tcW w:w="296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IDS入侵检测设备</w:t>
            </w:r>
          </w:p>
        </w:tc>
        <w:tc>
          <w:tcPr>
            <w:tcW w:w="108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1</w:t>
            </w:r>
          </w:p>
        </w:tc>
      </w:tr>
      <w:tr>
        <w:tblPrEx>
          <w:tblW w:w="7240" w:type="dxa"/>
          <w:jc w:val="center"/>
          <w:tblLayout w:type="fixed"/>
          <w:tblCellMar>
            <w:top w:w="0" w:type="dxa"/>
            <w:left w:w="108" w:type="dxa"/>
            <w:bottom w:w="0" w:type="dxa"/>
            <w:right w:w="108" w:type="dxa"/>
          </w:tblCellMar>
        </w:tblPrEx>
        <w:trPr>
          <w:trHeight w:val="285"/>
          <w:jc w:val="center"/>
        </w:trPr>
        <w:tc>
          <w:tcPr>
            <w:tcW w:w="770" w:type="dxa"/>
            <w:tcBorders>
              <w:top w:val="nil"/>
              <w:left w:val="single" w:sz="8" w:space="0" w:color="000000"/>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36</w:t>
            </w:r>
          </w:p>
        </w:tc>
        <w:tc>
          <w:tcPr>
            <w:tcW w:w="243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外联网</w:t>
            </w:r>
          </w:p>
        </w:tc>
        <w:tc>
          <w:tcPr>
            <w:tcW w:w="296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防火墙</w:t>
            </w:r>
          </w:p>
        </w:tc>
        <w:tc>
          <w:tcPr>
            <w:tcW w:w="108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2</w:t>
            </w:r>
          </w:p>
        </w:tc>
      </w:tr>
      <w:tr>
        <w:tblPrEx>
          <w:tblW w:w="7240" w:type="dxa"/>
          <w:jc w:val="center"/>
          <w:tblLayout w:type="fixed"/>
          <w:tblCellMar>
            <w:top w:w="0" w:type="dxa"/>
            <w:left w:w="108" w:type="dxa"/>
            <w:bottom w:w="0" w:type="dxa"/>
            <w:right w:w="108" w:type="dxa"/>
          </w:tblCellMar>
        </w:tblPrEx>
        <w:trPr>
          <w:trHeight w:val="285"/>
          <w:jc w:val="center"/>
        </w:trPr>
        <w:tc>
          <w:tcPr>
            <w:tcW w:w="770" w:type="dxa"/>
            <w:tcBorders>
              <w:top w:val="nil"/>
              <w:left w:val="single" w:sz="8" w:space="0" w:color="000000"/>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37</w:t>
            </w:r>
          </w:p>
        </w:tc>
        <w:tc>
          <w:tcPr>
            <w:tcW w:w="243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外联网</w:t>
            </w:r>
          </w:p>
        </w:tc>
        <w:tc>
          <w:tcPr>
            <w:tcW w:w="296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防毒墙</w:t>
            </w:r>
          </w:p>
        </w:tc>
        <w:tc>
          <w:tcPr>
            <w:tcW w:w="108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2</w:t>
            </w:r>
          </w:p>
        </w:tc>
      </w:tr>
      <w:tr>
        <w:tblPrEx>
          <w:tblW w:w="7240" w:type="dxa"/>
          <w:jc w:val="center"/>
          <w:tblLayout w:type="fixed"/>
          <w:tblCellMar>
            <w:top w:w="0" w:type="dxa"/>
            <w:left w:w="108" w:type="dxa"/>
            <w:bottom w:w="0" w:type="dxa"/>
            <w:right w:w="108" w:type="dxa"/>
          </w:tblCellMar>
        </w:tblPrEx>
        <w:trPr>
          <w:trHeight w:val="285"/>
          <w:jc w:val="center"/>
        </w:trPr>
        <w:tc>
          <w:tcPr>
            <w:tcW w:w="770" w:type="dxa"/>
            <w:tcBorders>
              <w:top w:val="nil"/>
              <w:left w:val="single" w:sz="8" w:space="0" w:color="000000"/>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38</w:t>
            </w:r>
          </w:p>
        </w:tc>
        <w:tc>
          <w:tcPr>
            <w:tcW w:w="243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外联网</w:t>
            </w:r>
          </w:p>
        </w:tc>
        <w:tc>
          <w:tcPr>
            <w:tcW w:w="296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 xml:space="preserve"> 网闸</w:t>
            </w:r>
          </w:p>
        </w:tc>
        <w:tc>
          <w:tcPr>
            <w:tcW w:w="108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2</w:t>
            </w:r>
          </w:p>
        </w:tc>
      </w:tr>
      <w:tr>
        <w:tblPrEx>
          <w:tblW w:w="7240" w:type="dxa"/>
          <w:jc w:val="center"/>
          <w:tblLayout w:type="fixed"/>
          <w:tblCellMar>
            <w:top w:w="0" w:type="dxa"/>
            <w:left w:w="108" w:type="dxa"/>
            <w:bottom w:w="0" w:type="dxa"/>
            <w:right w:w="108" w:type="dxa"/>
          </w:tblCellMar>
        </w:tblPrEx>
        <w:trPr>
          <w:trHeight w:val="285"/>
          <w:jc w:val="center"/>
        </w:trPr>
        <w:tc>
          <w:tcPr>
            <w:tcW w:w="770" w:type="dxa"/>
            <w:tcBorders>
              <w:top w:val="nil"/>
              <w:left w:val="single" w:sz="8" w:space="0" w:color="000000"/>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39</w:t>
            </w:r>
          </w:p>
        </w:tc>
        <w:tc>
          <w:tcPr>
            <w:tcW w:w="243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外联网</w:t>
            </w:r>
          </w:p>
        </w:tc>
        <w:tc>
          <w:tcPr>
            <w:tcW w:w="296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IDS入侵检测设备</w:t>
            </w:r>
          </w:p>
        </w:tc>
        <w:tc>
          <w:tcPr>
            <w:tcW w:w="108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1</w:t>
            </w:r>
          </w:p>
        </w:tc>
      </w:tr>
      <w:tr>
        <w:tblPrEx>
          <w:tblW w:w="7240" w:type="dxa"/>
          <w:jc w:val="center"/>
          <w:tblLayout w:type="fixed"/>
          <w:tblCellMar>
            <w:top w:w="0" w:type="dxa"/>
            <w:left w:w="108" w:type="dxa"/>
            <w:bottom w:w="0" w:type="dxa"/>
            <w:right w:w="108" w:type="dxa"/>
          </w:tblCellMar>
        </w:tblPrEx>
        <w:trPr>
          <w:trHeight w:val="285"/>
          <w:jc w:val="center"/>
        </w:trPr>
        <w:tc>
          <w:tcPr>
            <w:tcW w:w="770" w:type="dxa"/>
            <w:tcBorders>
              <w:top w:val="nil"/>
              <w:left w:val="single" w:sz="8" w:space="0" w:color="000000"/>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40</w:t>
            </w:r>
          </w:p>
        </w:tc>
        <w:tc>
          <w:tcPr>
            <w:tcW w:w="243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外联网</w:t>
            </w:r>
          </w:p>
        </w:tc>
        <w:tc>
          <w:tcPr>
            <w:tcW w:w="296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运维审计系统</w:t>
            </w:r>
          </w:p>
        </w:tc>
        <w:tc>
          <w:tcPr>
            <w:tcW w:w="108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1</w:t>
            </w:r>
          </w:p>
        </w:tc>
      </w:tr>
      <w:tr>
        <w:tblPrEx>
          <w:tblW w:w="7240" w:type="dxa"/>
          <w:jc w:val="center"/>
          <w:tblLayout w:type="fixed"/>
          <w:tblCellMar>
            <w:top w:w="0" w:type="dxa"/>
            <w:left w:w="108" w:type="dxa"/>
            <w:bottom w:w="0" w:type="dxa"/>
            <w:right w:w="108" w:type="dxa"/>
          </w:tblCellMar>
        </w:tblPrEx>
        <w:trPr>
          <w:trHeight w:val="285"/>
          <w:jc w:val="center"/>
        </w:trPr>
        <w:tc>
          <w:tcPr>
            <w:tcW w:w="770" w:type="dxa"/>
            <w:tcBorders>
              <w:top w:val="nil"/>
              <w:left w:val="single" w:sz="8" w:space="0" w:color="000000"/>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41</w:t>
            </w:r>
          </w:p>
        </w:tc>
        <w:tc>
          <w:tcPr>
            <w:tcW w:w="243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政务专网</w:t>
            </w:r>
          </w:p>
        </w:tc>
        <w:tc>
          <w:tcPr>
            <w:tcW w:w="296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防火墙</w:t>
            </w:r>
          </w:p>
        </w:tc>
        <w:tc>
          <w:tcPr>
            <w:tcW w:w="108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1</w:t>
            </w:r>
          </w:p>
        </w:tc>
      </w:tr>
      <w:tr>
        <w:tblPrEx>
          <w:tblW w:w="7240" w:type="dxa"/>
          <w:jc w:val="center"/>
          <w:tblLayout w:type="fixed"/>
          <w:tblCellMar>
            <w:top w:w="0" w:type="dxa"/>
            <w:left w:w="108" w:type="dxa"/>
            <w:bottom w:w="0" w:type="dxa"/>
            <w:right w:w="108" w:type="dxa"/>
          </w:tblCellMar>
        </w:tblPrEx>
        <w:trPr>
          <w:trHeight w:val="285"/>
          <w:jc w:val="center"/>
        </w:trPr>
        <w:tc>
          <w:tcPr>
            <w:tcW w:w="770" w:type="dxa"/>
            <w:tcBorders>
              <w:top w:val="nil"/>
              <w:left w:val="single" w:sz="8" w:space="0" w:color="000000"/>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42</w:t>
            </w:r>
          </w:p>
        </w:tc>
        <w:tc>
          <w:tcPr>
            <w:tcW w:w="243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政务外网</w:t>
            </w:r>
          </w:p>
        </w:tc>
        <w:tc>
          <w:tcPr>
            <w:tcW w:w="296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防火墙</w:t>
            </w:r>
          </w:p>
        </w:tc>
        <w:tc>
          <w:tcPr>
            <w:tcW w:w="108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1</w:t>
            </w:r>
          </w:p>
        </w:tc>
      </w:tr>
      <w:tr>
        <w:tblPrEx>
          <w:tblW w:w="7240" w:type="dxa"/>
          <w:jc w:val="center"/>
          <w:tblLayout w:type="fixed"/>
          <w:tblCellMar>
            <w:top w:w="0" w:type="dxa"/>
            <w:left w:w="108" w:type="dxa"/>
            <w:bottom w:w="0" w:type="dxa"/>
            <w:right w:w="108" w:type="dxa"/>
          </w:tblCellMar>
        </w:tblPrEx>
        <w:trPr>
          <w:trHeight w:val="285"/>
          <w:jc w:val="center"/>
        </w:trPr>
        <w:tc>
          <w:tcPr>
            <w:tcW w:w="770" w:type="dxa"/>
            <w:tcBorders>
              <w:top w:val="nil"/>
              <w:left w:val="single" w:sz="8" w:space="0" w:color="000000"/>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43</w:t>
            </w:r>
          </w:p>
        </w:tc>
        <w:tc>
          <w:tcPr>
            <w:tcW w:w="243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办公外网</w:t>
            </w:r>
          </w:p>
        </w:tc>
        <w:tc>
          <w:tcPr>
            <w:tcW w:w="296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防火墙</w:t>
            </w:r>
          </w:p>
        </w:tc>
        <w:tc>
          <w:tcPr>
            <w:tcW w:w="108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1</w:t>
            </w:r>
          </w:p>
        </w:tc>
      </w:tr>
      <w:tr>
        <w:tblPrEx>
          <w:tblW w:w="7240" w:type="dxa"/>
          <w:jc w:val="center"/>
          <w:tblLayout w:type="fixed"/>
          <w:tblCellMar>
            <w:top w:w="0" w:type="dxa"/>
            <w:left w:w="108" w:type="dxa"/>
            <w:bottom w:w="0" w:type="dxa"/>
            <w:right w:w="108" w:type="dxa"/>
          </w:tblCellMar>
        </w:tblPrEx>
        <w:trPr>
          <w:trHeight w:val="285"/>
          <w:jc w:val="center"/>
        </w:trPr>
        <w:tc>
          <w:tcPr>
            <w:tcW w:w="770" w:type="dxa"/>
            <w:tcBorders>
              <w:top w:val="nil"/>
              <w:left w:val="single" w:sz="8" w:space="0" w:color="000000"/>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44</w:t>
            </w:r>
          </w:p>
        </w:tc>
        <w:tc>
          <w:tcPr>
            <w:tcW w:w="243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办公外网</w:t>
            </w:r>
          </w:p>
        </w:tc>
        <w:tc>
          <w:tcPr>
            <w:tcW w:w="296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上网行为审计</w:t>
            </w:r>
          </w:p>
        </w:tc>
        <w:tc>
          <w:tcPr>
            <w:tcW w:w="1080" w:type="dxa"/>
            <w:tcBorders>
              <w:top w:val="nil"/>
              <w:left w:val="nil"/>
              <w:bottom w:val="single" w:sz="8" w:space="0" w:color="000000"/>
              <w:right w:val="single" w:sz="8" w:space="0" w:color="000000"/>
            </w:tcBorders>
            <w:noWrap/>
            <w:vAlign w:val="center"/>
          </w:tcPr>
          <w:p>
            <w:pPr>
              <w:pStyle w:val="Normal0"/>
              <w:keepNext w:val="0"/>
              <w:keepLines w:val="0"/>
              <w:widowControl/>
              <w:suppressLineNumbers w:val="0"/>
              <w:jc w:val="center"/>
              <w:textAlignment w:val="center"/>
              <w:rPr>
                <w:rFonts w:ascii="宋体" w:eastAsia="宋体" w:hAnsi="宋体" w:cs="宋体" w:hint="eastAsia"/>
                <w:i w:val="0"/>
                <w:iCs w:val="0"/>
                <w:color w:val="000000"/>
                <w:sz w:val="24"/>
                <w:szCs w:val="24"/>
                <w:u w:val="none"/>
              </w:rPr>
            </w:pPr>
            <w:r>
              <w:rPr>
                <w:rFonts w:ascii="宋体" w:eastAsia="宋体" w:hAnsi="宋体" w:cs="宋体" w:hint="eastAsia"/>
                <w:i w:val="0"/>
                <w:iCs w:val="0"/>
                <w:color w:val="000000"/>
                <w:kern w:val="0"/>
                <w:sz w:val="24"/>
                <w:szCs w:val="24"/>
                <w:u w:val="none"/>
                <w:lang w:val="en-US" w:eastAsia="zh-CN" w:bidi="ar"/>
              </w:rPr>
              <w:t>1</w:t>
            </w:r>
          </w:p>
        </w:tc>
      </w:tr>
    </w:tbl>
    <w:p>
      <w:pPr>
        <w:pStyle w:val="Normal0"/>
        <w:keepNext w:val="0"/>
        <w:keepLines w:val="0"/>
        <w:pageBreakBefore w:val="0"/>
        <w:widowControl w:val="0"/>
        <w:kinsoku/>
        <w:wordWrap/>
        <w:overflowPunct w:val="0"/>
        <w:topLinePunct w:val="0"/>
        <w:autoSpaceDE w:val="0"/>
        <w:autoSpaceDN w:val="0"/>
        <w:bidi w:val="0"/>
        <w:adjustRightInd w:val="0"/>
        <w:snapToGrid/>
        <w:spacing w:line="560" w:lineRule="exact"/>
        <w:ind w:firstLine="640" w:firstLineChars="200"/>
        <w:textAlignment w:val="baseline"/>
        <w:rPr>
          <w:rFonts w:ascii="仿宋_GB2312" w:eastAsia="仿宋_GB2312" w:hAnsi="仿宋_GB2312" w:cs="仿宋_GB2312" w:hint="eastAsia"/>
          <w:sz w:val="32"/>
          <w:szCs w:val="32"/>
        </w:rPr>
      </w:pPr>
      <w:r>
        <w:rPr>
          <w:rFonts w:ascii="仿宋_GB2312" w:eastAsia="仿宋_GB2312" w:hAnsi="仿宋_GB2312" w:cs="仿宋_GB2312" w:hint="eastAsia"/>
          <w:sz w:val="32"/>
          <w:szCs w:val="32"/>
        </w:rPr>
        <w:t>吉林省税务局网络安全设备维护清单如下：</w:t>
      </w:r>
    </w:p>
    <w:p>
      <w:pPr>
        <w:pStyle w:val="Normal0"/>
        <w:keepNext w:val="0"/>
        <w:keepLines w:val="0"/>
        <w:pageBreakBefore w:val="0"/>
        <w:widowControl w:val="0"/>
        <w:kinsoku/>
        <w:wordWrap/>
        <w:topLinePunct w:val="0"/>
        <w:bidi w:val="0"/>
        <w:snapToGrid/>
        <w:spacing w:line="560" w:lineRule="exact"/>
        <w:ind w:firstLine="640" w:firstLineChars="200"/>
        <w:jc w:val="both"/>
        <w:rPr>
          <w:rFonts w:ascii="仿宋_GB2312" w:eastAsia="仿宋_GB2312" w:hAnsi="仿宋_GB2312" w:cs="仿宋_GB2312" w:hint="eastAsia"/>
          <w:sz w:val="32"/>
          <w:szCs w:val="32"/>
        </w:rPr>
      </w:pPr>
      <w:r>
        <w:rPr>
          <w:rFonts w:ascii="仿宋_GB2312" w:eastAsia="仿宋_GB2312" w:hAnsi="仿宋_GB2312" w:cs="仿宋_GB2312" w:hint="eastAsia"/>
          <w:sz w:val="32"/>
          <w:szCs w:val="32"/>
          <w:lang w:val="en-US" w:eastAsia="zh-CN"/>
        </w:rPr>
        <w:t xml:space="preserve">3.1.2 </w:t>
      </w:r>
      <w:r>
        <w:rPr>
          <w:rFonts w:ascii="仿宋_GB2312" w:eastAsia="仿宋_GB2312" w:hAnsi="仿宋_GB2312" w:cs="仿宋_GB2312" w:hint="eastAsia"/>
          <w:sz w:val="32"/>
          <w:szCs w:val="32"/>
        </w:rPr>
        <w:t>负责吉林省税务局关键信息基础设施和重要应用系统的日志信息的转存和备份，及时分析发现处置网络安全事件，定期提交网络安全日志的数据分析和审计报告。</w:t>
      </w:r>
    </w:p>
    <w:p>
      <w:pPr>
        <w:pStyle w:val="Normal0"/>
        <w:keepNext w:val="0"/>
        <w:keepLines w:val="0"/>
        <w:pageBreakBefore w:val="0"/>
        <w:widowControl w:val="0"/>
        <w:kinsoku/>
        <w:wordWrap/>
        <w:topLinePunct w:val="0"/>
        <w:bidi w:val="0"/>
        <w:snapToGrid/>
        <w:spacing w:line="560" w:lineRule="exact"/>
        <w:ind w:firstLine="640" w:firstLineChars="200"/>
        <w:rPr>
          <w:rFonts w:ascii="仿宋_GB2312" w:eastAsia="仿宋_GB2312" w:hAnsi="仿宋_GB2312" w:cs="仿宋_GB2312" w:hint="eastAsia"/>
          <w:sz w:val="32"/>
          <w:szCs w:val="32"/>
        </w:rPr>
      </w:pPr>
      <w:r>
        <w:rPr>
          <w:rFonts w:ascii="仿宋_GB2312" w:eastAsia="仿宋_GB2312" w:hAnsi="仿宋_GB2312" w:cs="仿宋_GB2312" w:hint="eastAsia"/>
          <w:sz w:val="32"/>
          <w:szCs w:val="32"/>
          <w:lang w:val="en-US" w:eastAsia="zh-CN"/>
        </w:rPr>
        <w:t xml:space="preserve">3.1.3 </w:t>
      </w:r>
      <w:r>
        <w:rPr>
          <w:rFonts w:ascii="仿宋_GB2312" w:eastAsia="仿宋_GB2312" w:hAnsi="仿宋_GB2312" w:cs="仿宋_GB2312" w:hint="eastAsia"/>
          <w:sz w:val="32"/>
          <w:szCs w:val="32"/>
          <w:highlight w:val="none"/>
          <w:lang w:val="en-US" w:eastAsia="zh-CN"/>
        </w:rPr>
        <w:t>▲</w:t>
      </w:r>
      <w:r>
        <w:rPr>
          <w:rFonts w:ascii="仿宋_GB2312" w:eastAsia="仿宋_GB2312" w:hAnsi="仿宋_GB2312" w:cs="仿宋_GB2312" w:hint="eastAsia"/>
          <w:sz w:val="32"/>
          <w:szCs w:val="32"/>
        </w:rPr>
        <w:t>负责吉林省税务局互联网区、业务专网区和横向联网区</w:t>
      </w:r>
      <w:r>
        <w:rPr>
          <w:rFonts w:ascii="仿宋_GB2312" w:eastAsia="仿宋_GB2312" w:hAnsi="仿宋_GB2312" w:cs="仿宋_GB2312" w:hint="eastAsia"/>
          <w:sz w:val="32"/>
          <w:szCs w:val="32"/>
          <w:lang w:eastAsia="zh-CN"/>
        </w:rPr>
        <w:t>、金四云上等区域共计</w:t>
      </w:r>
      <w:r>
        <w:rPr>
          <w:rFonts w:ascii="仿宋_GB2312" w:eastAsia="仿宋_GB2312" w:hAnsi="仿宋_GB2312" w:cs="仿宋_GB2312" w:hint="eastAsia"/>
          <w:sz w:val="32"/>
          <w:szCs w:val="32"/>
        </w:rPr>
        <w:t>120余个应用系统，包含</w:t>
      </w:r>
      <w:r>
        <w:rPr>
          <w:rFonts w:ascii="仿宋_GB2312" w:eastAsia="仿宋_GB2312" w:hAnsi="仿宋_GB2312" w:cs="仿宋_GB2312" w:hint="eastAsia"/>
          <w:sz w:val="32"/>
          <w:szCs w:val="32"/>
          <w:lang w:val="en-US" w:eastAsia="zh-CN"/>
        </w:rPr>
        <w:t>400</w:t>
      </w:r>
      <w:r>
        <w:rPr>
          <w:rFonts w:ascii="仿宋_GB2312" w:eastAsia="仿宋_GB2312" w:hAnsi="仿宋_GB2312" w:cs="仿宋_GB2312" w:hint="eastAsia"/>
          <w:sz w:val="32"/>
          <w:szCs w:val="32"/>
        </w:rPr>
        <w:t>余台物理机、</w:t>
      </w:r>
      <w:r>
        <w:rPr>
          <w:rFonts w:ascii="仿宋_GB2312" w:eastAsia="仿宋_GB2312" w:hAnsi="仿宋_GB2312" w:cs="仿宋_GB2312" w:hint="eastAsia"/>
          <w:sz w:val="32"/>
          <w:szCs w:val="32"/>
          <w:lang w:val="en-US" w:eastAsia="zh-CN"/>
        </w:rPr>
        <w:t>2700</w:t>
      </w:r>
      <w:r>
        <w:rPr>
          <w:rFonts w:ascii="仿宋_GB2312" w:eastAsia="仿宋_GB2312" w:hAnsi="仿宋_GB2312" w:cs="仿宋_GB2312" w:hint="eastAsia"/>
          <w:sz w:val="32"/>
          <w:szCs w:val="32"/>
        </w:rPr>
        <w:t>余台虚拟化主机的网络安全漏洞管理工作，包含但不限于网络安全漏洞预警、扫描、交接、修复验证等工作</w:t>
      </w:r>
      <w:r>
        <w:rPr>
          <w:rFonts w:ascii="仿宋_GB2312" w:eastAsia="仿宋_GB2312" w:hAnsi="仿宋_GB2312" w:cs="仿宋_GB2312" w:hint="eastAsia"/>
          <w:sz w:val="32"/>
          <w:szCs w:val="32"/>
          <w:lang w:eastAsia="zh-CN"/>
        </w:rPr>
        <w:t>。（提供服务承诺函）</w:t>
      </w:r>
      <w:r>
        <w:rPr>
          <w:rFonts w:ascii="仿宋_GB2312" w:eastAsia="仿宋_GB2312" w:hAnsi="仿宋_GB2312" w:cs="仿宋_GB2312" w:hint="eastAsia"/>
          <w:sz w:val="32"/>
          <w:szCs w:val="32"/>
        </w:rPr>
        <w:t>各区域应用系统数量如下：</w:t>
      </w:r>
    </w:p>
    <w:p>
      <w:pPr>
        <w:pStyle w:val="Normal0"/>
        <w:keepNext w:val="0"/>
        <w:keepLines w:val="0"/>
        <w:pageBreakBefore w:val="0"/>
        <w:widowControl w:val="0"/>
        <w:kinsoku/>
        <w:wordWrap/>
        <w:topLinePunct w:val="0"/>
        <w:bidi w:val="0"/>
        <w:snapToGrid/>
        <w:spacing w:line="560" w:lineRule="exact"/>
        <w:rPr>
          <w:rFonts w:ascii="仿宋_GB2312" w:eastAsia="仿宋_GB2312" w:hAnsi="仿宋_GB2312" w:cs="仿宋_GB2312" w:hint="eastAsia"/>
          <w:sz w:val="32"/>
          <w:szCs w:val="32"/>
        </w:rPr>
      </w:pPr>
      <w:r>
        <w:rPr>
          <w:rFonts w:ascii="仿宋_GB2312" w:eastAsia="仿宋_GB2312" w:hAnsi="仿宋_GB2312" w:cs="仿宋_GB2312" w:hint="eastAsia"/>
          <w:sz w:val="32"/>
          <w:szCs w:val="32"/>
        </w:rPr>
        <w:t xml:space="preserve">   （1）互联网业务区：门户网站系统、</w:t>
      </w:r>
      <w:r>
        <w:rPr>
          <w:rFonts w:ascii="仿宋_GB2312" w:eastAsia="仿宋_GB2312" w:hAnsi="仿宋_GB2312" w:cs="仿宋_GB2312" w:hint="eastAsia"/>
          <w:sz w:val="32"/>
          <w:szCs w:val="32"/>
          <w:lang w:eastAsia="zh-CN"/>
        </w:rPr>
        <w:t>新</w:t>
      </w:r>
      <w:r>
        <w:rPr>
          <w:rFonts w:ascii="仿宋_GB2312" w:eastAsia="仿宋_GB2312" w:hAnsi="仿宋_GB2312" w:cs="仿宋_GB2312" w:hint="eastAsia"/>
          <w:sz w:val="32"/>
          <w:szCs w:val="32"/>
        </w:rPr>
        <w:t>电子税务局系统、增值税发票管理系统、</w:t>
      </w:r>
      <w:r>
        <w:rPr>
          <w:rFonts w:ascii="仿宋_GB2312" w:eastAsia="仿宋_GB2312" w:hAnsi="仿宋_GB2312" w:cs="仿宋_GB2312" w:hint="eastAsia"/>
          <w:sz w:val="32"/>
          <w:szCs w:val="32"/>
          <w:lang w:eastAsia="zh-CN"/>
        </w:rPr>
        <w:t>电票平台、征纳互动平台、统一身份管理平台、</w:t>
      </w:r>
      <w:r>
        <w:rPr>
          <w:rFonts w:ascii="仿宋_GB2312" w:eastAsia="仿宋_GB2312" w:hAnsi="仿宋_GB2312" w:cs="仿宋_GB2312" w:hint="eastAsia"/>
          <w:sz w:val="32"/>
          <w:szCs w:val="32"/>
        </w:rPr>
        <w:t>自助办税系统、自然人申报记录系统、社保费系统、重点税源网上直报等2</w:t>
      </w:r>
      <w:r>
        <w:rPr>
          <w:rFonts w:ascii="仿宋_GB2312" w:eastAsia="仿宋_GB2312" w:hAnsi="仿宋_GB2312" w:cs="仿宋_GB2312" w:hint="eastAsia"/>
          <w:sz w:val="32"/>
          <w:szCs w:val="32"/>
          <w:lang w:val="en-US" w:eastAsia="zh-CN"/>
        </w:rPr>
        <w:t>7</w:t>
      </w:r>
      <w:r>
        <w:rPr>
          <w:rFonts w:ascii="仿宋_GB2312" w:eastAsia="仿宋_GB2312" w:hAnsi="仿宋_GB2312" w:cs="仿宋_GB2312" w:hint="eastAsia"/>
          <w:sz w:val="32"/>
          <w:szCs w:val="32"/>
        </w:rPr>
        <w:t>个系统、</w:t>
      </w:r>
      <w:r>
        <w:rPr>
          <w:rFonts w:ascii="仿宋_GB2312" w:eastAsia="仿宋_GB2312" w:hAnsi="仿宋_GB2312" w:cs="仿宋_GB2312" w:hint="eastAsia"/>
          <w:sz w:val="32"/>
          <w:szCs w:val="32"/>
          <w:lang w:val="en-US" w:eastAsia="zh-CN"/>
        </w:rPr>
        <w:t>710</w:t>
      </w:r>
      <w:r>
        <w:rPr>
          <w:rFonts w:ascii="仿宋_GB2312" w:eastAsia="仿宋_GB2312" w:hAnsi="仿宋_GB2312" w:cs="仿宋_GB2312" w:hint="eastAsia"/>
          <w:sz w:val="32"/>
          <w:szCs w:val="32"/>
        </w:rPr>
        <w:t>余台主机；</w:t>
      </w:r>
    </w:p>
    <w:p>
      <w:pPr>
        <w:pStyle w:val="Normal0"/>
        <w:keepNext w:val="0"/>
        <w:keepLines w:val="0"/>
        <w:pageBreakBefore w:val="0"/>
        <w:widowControl w:val="0"/>
        <w:kinsoku/>
        <w:wordWrap/>
        <w:topLinePunct w:val="0"/>
        <w:bidi w:val="0"/>
        <w:snapToGrid/>
        <w:spacing w:line="560" w:lineRule="exact"/>
        <w:rPr>
          <w:rFonts w:ascii="仿宋_GB2312" w:eastAsia="仿宋_GB2312" w:hAnsi="仿宋_GB2312" w:cs="仿宋_GB2312" w:hint="eastAsia"/>
          <w:sz w:val="32"/>
          <w:szCs w:val="32"/>
        </w:rPr>
      </w:pPr>
      <w:r>
        <w:rPr>
          <w:rFonts w:ascii="仿宋_GB2312" w:eastAsia="仿宋_GB2312" w:hAnsi="仿宋_GB2312" w:cs="仿宋_GB2312" w:hint="eastAsia"/>
          <w:sz w:val="32"/>
          <w:szCs w:val="32"/>
        </w:rPr>
        <w:t xml:space="preserve">   （2）横向联网区：外部交换、税收大数据智税平台、社保费征管信息系统、税企直连平台、车船税联网征收系统和社保费税银系统等10余个系统、50余台主机；</w:t>
      </w:r>
    </w:p>
    <w:p>
      <w:pPr>
        <w:pStyle w:val="Normal0"/>
        <w:keepNext w:val="0"/>
        <w:keepLines w:val="0"/>
        <w:pageBreakBefore w:val="0"/>
        <w:widowControl w:val="0"/>
        <w:kinsoku/>
        <w:wordWrap/>
        <w:topLinePunct w:val="0"/>
        <w:bidi w:val="0"/>
        <w:snapToGrid/>
        <w:spacing w:line="560" w:lineRule="exact"/>
        <w:rPr>
          <w:rFonts w:ascii="仿宋_GB2312" w:eastAsia="仿宋_GB2312" w:hAnsi="仿宋_GB2312" w:cs="仿宋_GB2312" w:hint="eastAsia"/>
          <w:sz w:val="32"/>
          <w:szCs w:val="32"/>
          <w:lang w:val="en-US" w:eastAsia="zh-CN"/>
        </w:rPr>
      </w:pPr>
      <w:r>
        <w:rPr>
          <w:rFonts w:ascii="仿宋_GB2312" w:eastAsia="仿宋_GB2312" w:hAnsi="仿宋_GB2312" w:cs="仿宋_GB2312" w:hint="eastAsia"/>
          <w:sz w:val="32"/>
          <w:szCs w:val="32"/>
        </w:rPr>
        <w:t xml:space="preserve">   （3）</w:t>
      </w:r>
      <w:r>
        <w:rPr>
          <w:rFonts w:ascii="仿宋_GB2312" w:eastAsia="仿宋_GB2312" w:hAnsi="仿宋_GB2312" w:cs="仿宋_GB2312" w:hint="eastAsia"/>
          <w:sz w:val="32"/>
          <w:szCs w:val="32"/>
          <w:lang w:val="en-US" w:eastAsia="zh-CN"/>
        </w:rPr>
        <w:t>业务专网区：金税三期管理系统、电子发票服务平台、征纳互动平台、税智撑平台、统一身份管理平台、金税三期税收管理系统、数字人事系统、电子税务局系统、ATM自助办税系统、电子公文系统、财务管理系统、第三方支付平台、电子档案系统、发票2.0系统、国地税机构改革系统、金税工程运维服务管理平台、综合征管系统、自然人税收管理系统、征管辅助平台、税收社会化平台、税收大数据智税平台系统、税企直连平台、社保费征管信息系统、内部控制监督平台等80余个系统、1500余台主机。</w:t>
      </w:r>
    </w:p>
    <w:p>
      <w:pPr>
        <w:pStyle w:val="Normal0"/>
        <w:keepNext w:val="0"/>
        <w:keepLines w:val="0"/>
        <w:pageBreakBefore w:val="0"/>
        <w:widowControl w:val="0"/>
        <w:kinsoku/>
        <w:wordWrap/>
        <w:topLinePunct w:val="0"/>
        <w:bidi w:val="0"/>
        <w:snapToGrid/>
        <w:spacing w:line="560" w:lineRule="exact"/>
        <w:ind w:firstLine="640" w:firstLineChars="200"/>
        <w:rPr>
          <w:rFonts w:ascii="仿宋_GB2312" w:eastAsia="仿宋_GB2312" w:hAnsi="仿宋_GB2312" w:cs="仿宋_GB2312" w:hint="default"/>
          <w:sz w:val="32"/>
          <w:szCs w:val="32"/>
          <w:lang w:val="en-US" w:eastAsia="zh-CN"/>
        </w:rPr>
      </w:pPr>
      <w:r>
        <w:rPr>
          <w:rFonts w:ascii="仿宋_GB2312" w:eastAsia="仿宋_GB2312" w:hAnsi="仿宋_GB2312" w:cs="仿宋_GB2312" w:hint="eastAsia"/>
          <w:sz w:val="32"/>
          <w:szCs w:val="32"/>
          <w:lang w:val="en-US" w:eastAsia="zh-CN"/>
        </w:rPr>
        <w:t xml:space="preserve">3.2 </w:t>
      </w:r>
      <w:r>
        <w:rPr>
          <w:rFonts w:ascii="仿宋_GB2312" w:eastAsia="仿宋_GB2312" w:hAnsi="仿宋_GB2312" w:cs="仿宋_GB2312" w:hint="eastAsia"/>
          <w:sz w:val="32"/>
          <w:szCs w:val="32"/>
        </w:rPr>
        <w:t>7*24小时值班值守和运行</w:t>
      </w:r>
      <w:r>
        <w:rPr>
          <w:rFonts w:ascii="仿宋_GB2312" w:eastAsia="仿宋_GB2312" w:hAnsi="仿宋_GB2312" w:cs="仿宋_GB2312" w:hint="eastAsia"/>
          <w:sz w:val="32"/>
          <w:szCs w:val="32"/>
          <w:lang w:eastAsia="zh-CN"/>
        </w:rPr>
        <w:t>监</w:t>
      </w:r>
      <w:r>
        <w:rPr>
          <w:rFonts w:ascii="仿宋_GB2312" w:eastAsia="仿宋_GB2312" w:hAnsi="仿宋_GB2312" w:cs="仿宋_GB2312" w:hint="eastAsia"/>
          <w:sz w:val="32"/>
          <w:szCs w:val="32"/>
        </w:rPr>
        <w:t>测及处置</w:t>
      </w:r>
    </w:p>
    <w:p>
      <w:pPr>
        <w:pStyle w:val="Normal0"/>
        <w:keepNext w:val="0"/>
        <w:keepLines w:val="0"/>
        <w:pageBreakBefore w:val="0"/>
        <w:widowControl w:val="0"/>
        <w:kinsoku/>
        <w:wordWrap/>
        <w:topLinePunct w:val="0"/>
        <w:bidi w:val="0"/>
        <w:snapToGrid/>
        <w:spacing w:line="560" w:lineRule="exact"/>
        <w:ind w:firstLine="640" w:firstLineChars="200"/>
        <w:rPr>
          <w:rFonts w:ascii="仿宋_GB2312" w:eastAsia="仿宋_GB2312" w:hAnsi="仿宋_GB2312" w:cs="仿宋_GB2312" w:hint="eastAsia"/>
          <w:color w:val="auto"/>
          <w:sz w:val="32"/>
          <w:szCs w:val="32"/>
          <w:lang w:val="en-US" w:eastAsia="zh-CN"/>
        </w:rPr>
      </w:pPr>
      <w:r>
        <w:rPr>
          <w:rFonts w:ascii="仿宋_GB2312" w:eastAsia="仿宋_GB2312" w:hAnsi="仿宋_GB2312" w:cs="仿宋_GB2312" w:hint="eastAsia"/>
          <w:sz w:val="32"/>
          <w:szCs w:val="32"/>
          <w:lang w:eastAsia="zh-CN"/>
        </w:rPr>
        <w:t>负责</w:t>
      </w:r>
      <w:r>
        <w:rPr>
          <w:rFonts w:ascii="仿宋_GB2312" w:eastAsia="仿宋_GB2312" w:hAnsi="仿宋_GB2312" w:cs="仿宋_GB2312" w:hint="eastAsia"/>
          <w:sz w:val="32"/>
          <w:szCs w:val="32"/>
        </w:rPr>
        <w:t>全年7*24小时网络安全</w:t>
      </w:r>
      <w:r>
        <w:rPr>
          <w:rFonts w:ascii="仿宋_GB2312" w:eastAsia="仿宋_GB2312" w:hAnsi="仿宋_GB2312" w:cs="仿宋_GB2312" w:hint="eastAsia"/>
          <w:sz w:val="32"/>
          <w:szCs w:val="32"/>
          <w:lang w:eastAsia="zh-CN"/>
        </w:rPr>
        <w:t>值班值守及监测处置</w:t>
      </w:r>
      <w:r>
        <w:rPr>
          <w:rFonts w:ascii="仿宋_GB2312" w:eastAsia="仿宋_GB2312" w:hAnsi="仿宋_GB2312" w:cs="仿宋_GB2312" w:hint="eastAsia"/>
          <w:sz w:val="32"/>
          <w:szCs w:val="32"/>
        </w:rPr>
        <w:t>工作</w:t>
      </w:r>
      <w:r>
        <w:rPr>
          <w:rFonts w:ascii="仿宋_GB2312" w:eastAsia="仿宋_GB2312" w:hAnsi="仿宋_GB2312" w:cs="仿宋_GB2312" w:hint="eastAsia"/>
          <w:color w:val="auto"/>
          <w:sz w:val="32"/>
          <w:szCs w:val="32"/>
          <w:lang w:eastAsia="zh-CN"/>
        </w:rPr>
        <w:t>。</w:t>
      </w:r>
      <w:r>
        <w:rPr>
          <w:rFonts w:ascii="仿宋_GB2312" w:eastAsia="仿宋_GB2312" w:hAnsi="仿宋_GB2312" w:cs="仿宋_GB2312" w:hint="eastAsia"/>
          <w:color w:val="auto"/>
          <w:sz w:val="32"/>
          <w:szCs w:val="32"/>
          <w:lang w:val="en-US" w:eastAsia="zh-CN"/>
        </w:rPr>
        <w:t>网络安全设备（防火墙、入侵检测、抗DDOS设备、WEB应用防火墙、入侵防御系统、应用安全网关、网闸、网页防篡改、运维审计系统、综合日志审计系统、数据库审计系统、威胁感知平台等）的7*24小时运行监控及维护，</w:t>
      </w:r>
      <w:r>
        <w:rPr>
          <w:rFonts w:ascii="仿宋_GB2312" w:eastAsia="仿宋_GB2312" w:hAnsi="仿宋_GB2312" w:cs="仿宋_GB2312" w:hint="eastAsia"/>
          <w:color w:val="auto"/>
          <w:sz w:val="32"/>
          <w:szCs w:val="32"/>
          <w:lang w:eastAsia="zh-CN"/>
        </w:rPr>
        <w:t>通过各类安全设备监测各区域的攻击威胁，发现攻击行为及时进行阻断及处置工作。</w:t>
      </w:r>
    </w:p>
    <w:p>
      <w:pPr>
        <w:pStyle w:val="Normal0"/>
        <w:keepNext w:val="0"/>
        <w:keepLines w:val="0"/>
        <w:pageBreakBefore w:val="0"/>
        <w:widowControl w:val="0"/>
        <w:kinsoku/>
        <w:wordWrap/>
        <w:topLinePunct w:val="0"/>
        <w:bidi w:val="0"/>
        <w:snapToGrid/>
        <w:spacing w:line="560" w:lineRule="exact"/>
        <w:ind w:firstLine="640" w:firstLineChars="200"/>
        <w:rPr>
          <w:rFonts w:ascii="仿宋_GB2312" w:eastAsia="仿宋_GB2312" w:hAnsi="仿宋_GB2312" w:cs="仿宋_GB2312" w:hint="default"/>
          <w:sz w:val="32"/>
          <w:szCs w:val="32"/>
          <w:lang w:val="en-US" w:eastAsia="zh-CN"/>
        </w:rPr>
      </w:pPr>
      <w:r>
        <w:rPr>
          <w:rFonts w:ascii="仿宋_GB2312" w:eastAsia="仿宋_GB2312" w:hAnsi="仿宋_GB2312" w:cs="仿宋_GB2312" w:hint="eastAsia"/>
          <w:sz w:val="32"/>
          <w:szCs w:val="32"/>
          <w:lang w:val="en-US" w:eastAsia="zh-CN"/>
        </w:rPr>
        <w:t>3.3 网络安全系统运维服务</w:t>
      </w:r>
    </w:p>
    <w:p>
      <w:pPr>
        <w:pStyle w:val="Normal0"/>
        <w:keepNext w:val="0"/>
        <w:keepLines w:val="0"/>
        <w:pageBreakBefore w:val="0"/>
        <w:widowControl w:val="0"/>
        <w:kinsoku/>
        <w:wordWrap/>
        <w:topLinePunct w:val="0"/>
        <w:bidi w:val="0"/>
        <w:snapToGrid/>
        <w:spacing w:line="560" w:lineRule="exact"/>
        <w:ind w:firstLine="640" w:firstLineChars="200"/>
        <w:rPr>
          <w:rFonts w:ascii="仿宋_GB2312" w:eastAsia="仿宋_GB2312" w:hAnsi="仿宋_GB2312" w:cs="仿宋_GB2312" w:hint="eastAsia"/>
          <w:sz w:val="32"/>
          <w:szCs w:val="32"/>
        </w:rPr>
      </w:pPr>
      <w:r>
        <w:rPr>
          <w:rFonts w:ascii="仿宋_GB2312" w:eastAsia="仿宋_GB2312" w:hAnsi="仿宋_GB2312" w:cs="仿宋_GB2312" w:hint="eastAsia"/>
          <w:sz w:val="32"/>
          <w:szCs w:val="32"/>
          <w:lang w:val="en-US" w:eastAsia="zh-CN"/>
        </w:rPr>
        <w:t xml:space="preserve">3.3.1 </w:t>
      </w:r>
      <w:r>
        <w:rPr>
          <w:rFonts w:ascii="仿宋_GB2312" w:eastAsia="仿宋_GB2312" w:hAnsi="仿宋_GB2312" w:cs="仿宋_GB2312" w:hint="eastAsia"/>
          <w:sz w:val="32"/>
          <w:szCs w:val="32"/>
        </w:rPr>
        <w:t>应用安全支撑平台</w:t>
      </w:r>
    </w:p>
    <w:p>
      <w:pPr>
        <w:pStyle w:val="Normal0"/>
        <w:keepNext w:val="0"/>
        <w:keepLines w:val="0"/>
        <w:pageBreakBefore w:val="0"/>
        <w:widowControl w:val="0"/>
        <w:kinsoku/>
        <w:wordWrap/>
        <w:topLinePunct w:val="0"/>
        <w:bidi w:val="0"/>
        <w:snapToGrid/>
        <w:spacing w:line="560" w:lineRule="exact"/>
        <w:ind w:firstLine="640" w:firstLineChars="200"/>
        <w:rPr>
          <w:rFonts w:ascii="仿宋_GB2312" w:eastAsia="仿宋_GB2312" w:hAnsi="仿宋_GB2312" w:cs="仿宋_GB2312" w:hint="eastAsia"/>
          <w:sz w:val="32"/>
          <w:szCs w:val="32"/>
        </w:rPr>
      </w:pPr>
      <w:r>
        <w:rPr>
          <w:rFonts w:ascii="仿宋_GB2312" w:eastAsia="仿宋_GB2312" w:hAnsi="仿宋_GB2312" w:cs="仿宋_GB2312" w:hint="eastAsia"/>
          <w:sz w:val="32"/>
          <w:szCs w:val="32"/>
        </w:rPr>
        <w:t>（1）负责吉林省税务局应用安全支撑平台系统的运维服务。提供</w:t>
      </w:r>
      <w:r>
        <w:rPr>
          <w:rFonts w:ascii="仿宋_GB2312" w:eastAsia="仿宋_GB2312" w:hAnsi="仿宋_GB2312" w:cs="仿宋_GB2312" w:hint="eastAsia"/>
          <w:sz w:val="32"/>
          <w:szCs w:val="32"/>
          <w:lang w:eastAsia="zh-CN"/>
        </w:rPr>
        <w:t>金三和社保费</w:t>
      </w:r>
      <w:r>
        <w:rPr>
          <w:rFonts w:ascii="仿宋_GB2312" w:eastAsia="仿宋_GB2312" w:hAnsi="仿宋_GB2312" w:cs="仿宋_GB2312" w:hint="eastAsia"/>
          <w:sz w:val="32"/>
          <w:szCs w:val="32"/>
        </w:rPr>
        <w:t>应用安全支撑平台系统的的运行支持保障，对该项目所涉及的服务器、中间件</w:t>
      </w:r>
      <w:r>
        <w:rPr>
          <w:rFonts w:ascii="仿宋_GB2312" w:eastAsia="仿宋_GB2312" w:hAnsi="仿宋_GB2312" w:cs="仿宋_GB2312" w:hint="eastAsia"/>
          <w:sz w:val="32"/>
          <w:szCs w:val="32"/>
          <w:lang w:eastAsia="zh-CN"/>
        </w:rPr>
        <w:t>、数据库</w:t>
      </w:r>
      <w:r>
        <w:rPr>
          <w:rFonts w:ascii="仿宋_GB2312" w:eastAsia="仿宋_GB2312" w:hAnsi="仿宋_GB2312" w:cs="仿宋_GB2312" w:hint="eastAsia"/>
          <w:sz w:val="32"/>
          <w:szCs w:val="32"/>
        </w:rPr>
        <w:t>以及业务应用软件平台等进行维护管理和操作，并按照后续业务优化情况，对系统进行功能升级与测试。</w:t>
      </w:r>
    </w:p>
    <w:p>
      <w:pPr>
        <w:pStyle w:val="Normal0"/>
        <w:keepNext w:val="0"/>
        <w:keepLines w:val="0"/>
        <w:pageBreakBefore w:val="0"/>
        <w:widowControl w:val="0"/>
        <w:kinsoku/>
        <w:wordWrap/>
        <w:topLinePunct w:val="0"/>
        <w:bidi w:val="0"/>
        <w:snapToGrid/>
        <w:spacing w:line="560" w:lineRule="exact"/>
        <w:ind w:firstLine="640" w:firstLineChars="200"/>
        <w:rPr>
          <w:rFonts w:ascii="仿宋_GB2312" w:eastAsia="仿宋_GB2312" w:hAnsi="仿宋_GB2312" w:cs="仿宋_GB2312" w:hint="eastAsia"/>
          <w:sz w:val="32"/>
          <w:szCs w:val="32"/>
        </w:rPr>
      </w:pPr>
      <w:r>
        <w:rPr>
          <w:rFonts w:ascii="仿宋_GB2312" w:eastAsia="仿宋_GB2312" w:hAnsi="仿宋_GB2312" w:cs="仿宋_GB2312" w:hint="eastAsia"/>
          <w:sz w:val="32"/>
          <w:szCs w:val="32"/>
        </w:rPr>
        <w:t>（2）应用环境运维服务。对应用安全支撑平台</w:t>
      </w:r>
      <w:r>
        <w:rPr>
          <w:rFonts w:ascii="仿宋_GB2312" w:eastAsia="仿宋_GB2312" w:hAnsi="仿宋_GB2312" w:cs="仿宋_GB2312" w:hint="eastAsia"/>
          <w:sz w:val="32"/>
          <w:szCs w:val="32"/>
          <w:lang w:val="en-US" w:eastAsia="zh-CN"/>
        </w:rPr>
        <w:t>8</w:t>
      </w:r>
      <w:r>
        <w:rPr>
          <w:rFonts w:ascii="仿宋_GB2312" w:eastAsia="仿宋_GB2312" w:hAnsi="仿宋_GB2312" w:cs="仿宋_GB2312" w:hint="eastAsia"/>
          <w:sz w:val="32"/>
          <w:szCs w:val="32"/>
        </w:rPr>
        <w:t>台应用服务器上运行的应用支撑软件等进行巡检,主要包括服务器磁盘空间使用率、进程使用资源、系统日志、redis运行状态、weblogic进程状态等；</w:t>
      </w:r>
    </w:p>
    <w:p>
      <w:pPr>
        <w:pStyle w:val="Normal0"/>
        <w:keepNext w:val="0"/>
        <w:keepLines w:val="0"/>
        <w:pageBreakBefore w:val="0"/>
        <w:widowControl w:val="0"/>
        <w:kinsoku/>
        <w:wordWrap/>
        <w:overflowPunct w:val="0"/>
        <w:topLinePunct w:val="0"/>
        <w:autoSpaceDE w:val="0"/>
        <w:autoSpaceDN w:val="0"/>
        <w:bidi w:val="0"/>
        <w:adjustRightInd w:val="0"/>
        <w:snapToGrid/>
        <w:spacing w:line="560" w:lineRule="exact"/>
        <w:ind w:firstLine="640" w:firstLineChars="200"/>
        <w:textAlignment w:val="baseline"/>
        <w:rPr>
          <w:rFonts w:ascii="仿宋_GB2312" w:eastAsia="仿宋_GB2312" w:hAnsi="仿宋_GB2312" w:cs="仿宋_GB2312" w:hint="eastAsia"/>
          <w:sz w:val="32"/>
          <w:szCs w:val="32"/>
        </w:rPr>
      </w:pPr>
      <w:r>
        <w:rPr>
          <w:rFonts w:ascii="仿宋_GB2312" w:eastAsia="仿宋_GB2312" w:hAnsi="仿宋_GB2312" w:cs="仿宋_GB2312" w:hint="eastAsia"/>
          <w:sz w:val="32"/>
          <w:szCs w:val="32"/>
        </w:rPr>
        <w:t>（3）故障处理服务。受理用户通过电话、邮件等各种方式提出的的远程技术支持请求，并在最短时间内进行实质性响应；系统出现无法登录、登录缓慢等故障或其他问题（非停机性质问题，如系统运行缓慢或不稳定）时，负责诊断应用系统故障原因，并提出故障处理建议或解决方案；</w:t>
      </w:r>
    </w:p>
    <w:p>
      <w:pPr>
        <w:pStyle w:val="Normal0"/>
        <w:keepNext w:val="0"/>
        <w:keepLines w:val="0"/>
        <w:pageBreakBefore w:val="0"/>
        <w:widowControl w:val="0"/>
        <w:kinsoku/>
        <w:wordWrap/>
        <w:topLinePunct w:val="0"/>
        <w:bidi w:val="0"/>
        <w:snapToGrid/>
        <w:spacing w:line="560" w:lineRule="exact"/>
        <w:ind w:firstLine="640" w:firstLineChars="200"/>
        <w:rPr>
          <w:rFonts w:ascii="仿宋_GB2312" w:eastAsia="仿宋_GB2312" w:hAnsi="仿宋_GB2312" w:cs="仿宋_GB2312" w:hint="eastAsia"/>
          <w:sz w:val="32"/>
          <w:szCs w:val="32"/>
        </w:rPr>
      </w:pPr>
      <w:r>
        <w:rPr>
          <w:rFonts w:ascii="仿宋_GB2312" w:eastAsia="仿宋_GB2312" w:hAnsi="仿宋_GB2312" w:cs="仿宋_GB2312" w:hint="eastAsia"/>
          <w:sz w:val="32"/>
          <w:szCs w:val="32"/>
        </w:rPr>
        <w:t>（4）应用系统运维服务。对平台和各功能模块的运行效率、性能、可用性等进行监控和分析，并根据分析结果对系统进行性能优化（包含底层开发平台的优化），包括参数调整、结构扩展和重新部署等。提供单点登录系统、用户权限系统使用过程中相关问题解答服务；</w:t>
      </w:r>
    </w:p>
    <w:p>
      <w:pPr>
        <w:pStyle w:val="Normal0"/>
        <w:keepNext w:val="0"/>
        <w:keepLines w:val="0"/>
        <w:pageBreakBefore w:val="0"/>
        <w:widowControl w:val="0"/>
        <w:kinsoku/>
        <w:wordWrap/>
        <w:topLinePunct w:val="0"/>
        <w:bidi w:val="0"/>
        <w:snapToGrid/>
        <w:spacing w:line="560" w:lineRule="exact"/>
        <w:ind w:firstLine="640" w:firstLineChars="200"/>
        <w:rPr>
          <w:rFonts w:ascii="仿宋_GB2312" w:eastAsia="仿宋_GB2312" w:hAnsi="仿宋_GB2312" w:cs="仿宋_GB2312" w:hint="eastAsia"/>
          <w:sz w:val="32"/>
          <w:szCs w:val="32"/>
        </w:rPr>
      </w:pPr>
      <w:r>
        <w:rPr>
          <w:rFonts w:ascii="仿宋_GB2312" w:eastAsia="仿宋_GB2312" w:hAnsi="仿宋_GB2312" w:cs="仿宋_GB2312" w:hint="eastAsia"/>
          <w:sz w:val="32"/>
          <w:szCs w:val="32"/>
        </w:rPr>
        <w:t>（5）运维管理服务。根据</w:t>
      </w:r>
      <w:r>
        <w:rPr>
          <w:rFonts w:ascii="仿宋_GB2312" w:eastAsia="仿宋_GB2312" w:hAnsi="仿宋_GB2312" w:cs="仿宋_GB2312" w:hint="eastAsia"/>
          <w:sz w:val="32"/>
          <w:szCs w:val="32"/>
          <w:lang w:eastAsia="zh-CN"/>
        </w:rPr>
        <w:t>吉林</w:t>
      </w:r>
      <w:r>
        <w:rPr>
          <w:rFonts w:ascii="仿宋_GB2312" w:eastAsia="仿宋_GB2312" w:hAnsi="仿宋_GB2312" w:cs="仿宋_GB2312" w:hint="eastAsia"/>
          <w:sz w:val="32"/>
          <w:szCs w:val="32"/>
        </w:rPr>
        <w:t>省税务局要求，积极配合完成该运维服务而开展的研讨、咨询、故障会诊等，并配合制定运维服务管理、监督的各类规章制度和流程；</w:t>
      </w:r>
    </w:p>
    <w:p>
      <w:pPr>
        <w:pStyle w:val="Normal0"/>
        <w:keepNext w:val="0"/>
        <w:keepLines w:val="0"/>
        <w:pageBreakBefore w:val="0"/>
        <w:widowControl w:val="0"/>
        <w:kinsoku/>
        <w:wordWrap/>
        <w:topLinePunct w:val="0"/>
        <w:bidi w:val="0"/>
        <w:snapToGrid/>
        <w:spacing w:line="560" w:lineRule="exact"/>
        <w:ind w:firstLine="640" w:firstLineChars="200"/>
        <w:rPr>
          <w:rFonts w:ascii="仿宋_GB2312" w:eastAsia="仿宋_GB2312" w:hAnsi="仿宋_GB2312" w:cs="仿宋_GB2312" w:hint="eastAsia"/>
          <w:sz w:val="32"/>
          <w:szCs w:val="32"/>
        </w:rPr>
      </w:pPr>
      <w:r>
        <w:rPr>
          <w:rFonts w:ascii="仿宋_GB2312" w:eastAsia="仿宋_GB2312" w:hAnsi="仿宋_GB2312" w:cs="仿宋_GB2312" w:hint="eastAsia"/>
          <w:sz w:val="32"/>
          <w:szCs w:val="32"/>
        </w:rPr>
        <w:t>（6）其他要求。提供升级与优化相关服务，包括应用系统上线、变更等必要的健康检查、值守保障等，并在升级与优化工作完成后提供升级与优化的相关技术资料；对应用安全支撑平台项目运行过程中出现的各类问题进行解答，包括系统安全问题，业务安全问题等；协助</w:t>
      </w:r>
      <w:r>
        <w:rPr>
          <w:rFonts w:ascii="仿宋_GB2312" w:eastAsia="仿宋_GB2312" w:hAnsi="仿宋_GB2312" w:cs="仿宋_GB2312" w:hint="eastAsia"/>
          <w:sz w:val="32"/>
          <w:szCs w:val="32"/>
          <w:lang w:eastAsia="zh-CN"/>
        </w:rPr>
        <w:t>吉林</w:t>
      </w:r>
      <w:r>
        <w:rPr>
          <w:rFonts w:ascii="仿宋_GB2312" w:eastAsia="仿宋_GB2312" w:hAnsi="仿宋_GB2312" w:cs="仿宋_GB2312" w:hint="eastAsia"/>
          <w:sz w:val="32"/>
          <w:szCs w:val="32"/>
        </w:rPr>
        <w:t>省税务局分析现有的应用安全状况，修补安全漏洞，提高应用安全水平，发现新的应用安全增值服务，规划新的应用安全体系架构。</w:t>
      </w:r>
    </w:p>
    <w:p>
      <w:pPr>
        <w:pStyle w:val="Normal0"/>
        <w:keepNext w:val="0"/>
        <w:keepLines w:val="0"/>
        <w:pageBreakBefore w:val="0"/>
        <w:widowControl w:val="0"/>
        <w:kinsoku/>
        <w:wordWrap/>
        <w:topLinePunct w:val="0"/>
        <w:bidi w:val="0"/>
        <w:snapToGrid/>
        <w:spacing w:line="560" w:lineRule="exact"/>
        <w:ind w:firstLine="640" w:firstLineChars="200"/>
        <w:rPr>
          <w:rFonts w:ascii="仿宋_GB2312" w:eastAsia="仿宋_GB2312" w:hAnsi="仿宋_GB2312" w:cs="仿宋_GB2312" w:hint="eastAsia"/>
          <w:sz w:val="32"/>
          <w:szCs w:val="32"/>
        </w:rPr>
      </w:pPr>
      <w:r>
        <w:rPr>
          <w:rFonts w:ascii="仿宋_GB2312" w:eastAsia="仿宋_GB2312" w:hAnsi="仿宋_GB2312" w:cs="仿宋_GB2312" w:hint="eastAsia"/>
          <w:sz w:val="32"/>
          <w:szCs w:val="32"/>
          <w:lang w:val="en-US" w:eastAsia="zh-CN"/>
        </w:rPr>
        <w:t xml:space="preserve">3.3.2 </w:t>
      </w:r>
      <w:r>
        <w:rPr>
          <w:rFonts w:ascii="仿宋_GB2312" w:eastAsia="仿宋_GB2312" w:hAnsi="仿宋_GB2312" w:cs="仿宋_GB2312" w:hint="eastAsia"/>
          <w:sz w:val="32"/>
          <w:szCs w:val="32"/>
        </w:rPr>
        <w:t>税务数字证书注册、发布系统</w:t>
      </w:r>
    </w:p>
    <w:p>
      <w:pPr>
        <w:pStyle w:val="Normal0"/>
        <w:keepNext w:val="0"/>
        <w:keepLines w:val="0"/>
        <w:pageBreakBefore w:val="0"/>
        <w:widowControl w:val="0"/>
        <w:kinsoku/>
        <w:wordWrap/>
        <w:topLinePunct w:val="0"/>
        <w:bidi w:val="0"/>
        <w:snapToGrid/>
        <w:spacing w:line="560" w:lineRule="exact"/>
        <w:ind w:firstLine="640" w:firstLineChars="200"/>
        <w:rPr>
          <w:rFonts w:ascii="仿宋_GB2312" w:eastAsia="仿宋_GB2312" w:hAnsi="仿宋_GB2312" w:cs="仿宋_GB2312" w:hint="eastAsia"/>
          <w:sz w:val="32"/>
          <w:szCs w:val="32"/>
        </w:rPr>
      </w:pP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highlight w:val="none"/>
          <w:lang w:val="en-US" w:eastAsia="zh-CN"/>
        </w:rPr>
        <w:t>▲</w:t>
      </w:r>
      <w:r>
        <w:rPr>
          <w:rFonts w:ascii="仿宋_GB2312" w:eastAsia="仿宋_GB2312" w:hAnsi="仿宋_GB2312" w:cs="仿宋_GB2312" w:hint="eastAsia"/>
          <w:sz w:val="32"/>
          <w:szCs w:val="32"/>
        </w:rPr>
        <w:t>负责吉林省税务局税务数字证书系统的运维服务。提供税务数字证书系统的运行支持保障，</w:t>
      </w:r>
      <w:r>
        <w:rPr>
          <w:rFonts w:ascii="仿宋_GB2312" w:eastAsia="仿宋_GB2312" w:hAnsi="仿宋_GB2312" w:cs="仿宋_GB2312" w:hint="eastAsia"/>
          <w:sz w:val="32"/>
          <w:szCs w:val="32"/>
          <w:lang w:val="en-US" w:eastAsia="zh-CN"/>
        </w:rPr>
        <w:t>每天</w:t>
      </w:r>
      <w:r>
        <w:rPr>
          <w:rFonts w:ascii="仿宋_GB2312" w:eastAsia="仿宋_GB2312" w:hAnsi="仿宋_GB2312" w:cs="仿宋_GB2312" w:hint="eastAsia"/>
          <w:sz w:val="32"/>
          <w:szCs w:val="32"/>
        </w:rPr>
        <w:t>对该项目所涉及的服务器、中间件应用以及业务应用软件平台等进行维护管理和操作，并按照后续业务优化情况，对系统</w:t>
      </w:r>
      <w:r>
        <w:rPr>
          <w:rFonts w:ascii="仿宋_GB2312" w:eastAsia="仿宋_GB2312" w:hAnsi="仿宋_GB2312" w:cs="仿宋_GB2312" w:hint="eastAsia"/>
          <w:sz w:val="32"/>
          <w:szCs w:val="32"/>
          <w:lang w:val="en-US" w:eastAsia="zh-CN"/>
        </w:rPr>
        <w:t>官网</w:t>
      </w:r>
      <w:r>
        <w:rPr>
          <w:rFonts w:ascii="仿宋_GB2312" w:eastAsia="仿宋_GB2312" w:hAnsi="仿宋_GB2312" w:cs="仿宋_GB2312" w:hint="eastAsia"/>
          <w:sz w:val="32"/>
          <w:szCs w:val="32"/>
        </w:rPr>
        <w:t>进行</w:t>
      </w:r>
      <w:r>
        <w:rPr>
          <w:rFonts w:ascii="仿宋_GB2312" w:eastAsia="仿宋_GB2312" w:hAnsi="仿宋_GB2312" w:cs="仿宋_GB2312" w:hint="eastAsia"/>
          <w:sz w:val="32"/>
          <w:szCs w:val="32"/>
          <w:lang w:val="en-US" w:eastAsia="zh-CN"/>
        </w:rPr>
        <w:t>更新内容查看，及时进行</w:t>
      </w:r>
      <w:r>
        <w:rPr>
          <w:rFonts w:ascii="仿宋_GB2312" w:eastAsia="仿宋_GB2312" w:hAnsi="仿宋_GB2312" w:cs="仿宋_GB2312" w:hint="eastAsia"/>
          <w:sz w:val="32"/>
          <w:szCs w:val="32"/>
        </w:rPr>
        <w:t>功能升级。（提供服务承诺函）</w:t>
      </w:r>
    </w:p>
    <w:p>
      <w:pPr>
        <w:pStyle w:val="Normal0"/>
        <w:keepNext w:val="0"/>
        <w:keepLines w:val="0"/>
        <w:pageBreakBefore w:val="0"/>
        <w:widowControl w:val="0"/>
        <w:kinsoku/>
        <w:wordWrap/>
        <w:overflowPunct w:val="0"/>
        <w:topLinePunct w:val="0"/>
        <w:autoSpaceDE w:val="0"/>
        <w:autoSpaceDN w:val="0"/>
        <w:bidi w:val="0"/>
        <w:adjustRightInd w:val="0"/>
        <w:snapToGrid/>
        <w:spacing w:line="560" w:lineRule="exact"/>
        <w:ind w:firstLine="640" w:firstLineChars="200"/>
        <w:textAlignment w:val="baseline"/>
        <w:rPr>
          <w:rFonts w:ascii="仿宋_GB2312" w:eastAsia="仿宋_GB2312" w:hAnsi="仿宋_GB2312" w:cs="仿宋_GB2312" w:hint="eastAsia"/>
          <w:sz w:val="32"/>
          <w:szCs w:val="32"/>
        </w:rPr>
      </w:pP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highlight w:val="none"/>
          <w:lang w:val="en-US" w:eastAsia="zh-CN"/>
        </w:rPr>
        <w:t>▲</w:t>
      </w:r>
      <w:r>
        <w:rPr>
          <w:rFonts w:ascii="仿宋_GB2312" w:eastAsia="仿宋_GB2312" w:hAnsi="仿宋_GB2312" w:cs="仿宋_GB2312" w:hint="eastAsia"/>
          <w:sz w:val="32"/>
          <w:szCs w:val="32"/>
          <w:lang w:val="en-US" w:eastAsia="zh-CN"/>
        </w:rPr>
        <w:t>故障定位和问题处理。每天查看、检查网络连接的问题，如防火墙策略限制、网络通畅性、操作系统版本环境兼容性、计算机USB接口或证书介质硬件可使用性、证书有效性等问题。</w:t>
      </w:r>
      <w:r>
        <w:rPr>
          <w:rFonts w:ascii="仿宋_GB2312" w:eastAsia="仿宋_GB2312" w:hAnsi="仿宋_GB2312" w:cs="仿宋_GB2312" w:hint="eastAsia"/>
          <w:sz w:val="32"/>
          <w:szCs w:val="32"/>
        </w:rPr>
        <w:t>对税务数字证书注册系统相关业务场景说明、业务操作流程和业务功能方面提供技术支持服务；对岗位设置、岗位职能、岗位权限管理等方面提供技术支持服务；税务数字证书注册系统远程终端的部署安装，包括客户端控件的安装、操作员证书驱动的安装等方面提供技术支持服务。</w:t>
      </w:r>
      <w:r>
        <w:rPr>
          <w:rFonts w:ascii="仿宋_GB2312" w:eastAsia="仿宋_GB2312" w:hAnsi="仿宋_GB2312" w:cs="仿宋_GB2312" w:hint="eastAsia"/>
          <w:sz w:val="32"/>
          <w:szCs w:val="32"/>
          <w:lang w:val="en-US" w:eastAsia="zh-CN"/>
        </w:rPr>
        <w:t>（提供服务承诺函）</w:t>
      </w:r>
    </w:p>
    <w:p>
      <w:pPr>
        <w:pStyle w:val="Normal0"/>
        <w:keepNext w:val="0"/>
        <w:keepLines w:val="0"/>
        <w:pageBreakBefore w:val="0"/>
        <w:widowControl w:val="0"/>
        <w:kinsoku/>
        <w:wordWrap/>
        <w:topLinePunct w:val="0"/>
        <w:bidi w:val="0"/>
        <w:snapToGrid/>
        <w:spacing w:line="560" w:lineRule="exact"/>
        <w:ind w:firstLine="640" w:firstLineChars="200"/>
        <w:rPr>
          <w:rFonts w:ascii="仿宋_GB2312" w:eastAsia="仿宋_GB2312" w:hAnsi="仿宋_GB2312" w:cs="仿宋_GB2312" w:hint="eastAsia"/>
          <w:sz w:val="32"/>
          <w:szCs w:val="32"/>
          <w:lang w:eastAsia="zh-CN"/>
        </w:rPr>
      </w:pP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lang w:eastAsia="zh-CN"/>
        </w:rPr>
        <w:t>负责</w:t>
      </w:r>
      <w:r>
        <w:rPr>
          <w:rFonts w:ascii="仿宋_GB2312" w:eastAsia="仿宋_GB2312" w:hAnsi="仿宋_GB2312" w:cs="仿宋_GB2312" w:hint="eastAsia"/>
          <w:sz w:val="32"/>
          <w:szCs w:val="32"/>
        </w:rPr>
        <w:t>内部证书注册系统</w:t>
      </w:r>
      <w:r>
        <w:rPr>
          <w:rFonts w:ascii="仿宋_GB2312" w:eastAsia="仿宋_GB2312" w:hAnsi="仿宋_GB2312" w:cs="仿宋_GB2312" w:hint="eastAsia"/>
          <w:sz w:val="32"/>
          <w:szCs w:val="32"/>
          <w:lang w:eastAsia="zh-CN"/>
        </w:rPr>
        <w:t>、</w:t>
      </w:r>
      <w:r>
        <w:rPr>
          <w:rFonts w:ascii="仿宋_GB2312" w:eastAsia="仿宋_GB2312" w:hAnsi="仿宋_GB2312" w:cs="仿宋_GB2312" w:hint="eastAsia"/>
          <w:sz w:val="32"/>
          <w:szCs w:val="32"/>
        </w:rPr>
        <w:t>内部证书注册系统</w:t>
      </w:r>
      <w:r>
        <w:rPr>
          <w:rFonts w:ascii="仿宋_GB2312" w:eastAsia="仿宋_GB2312" w:hAnsi="仿宋_GB2312" w:cs="仿宋_GB2312" w:hint="eastAsia"/>
          <w:sz w:val="32"/>
          <w:szCs w:val="32"/>
          <w:lang w:eastAsia="zh-CN"/>
        </w:rPr>
        <w:t>、</w:t>
      </w:r>
      <w:r>
        <w:rPr>
          <w:rFonts w:ascii="仿宋_GB2312" w:eastAsia="仿宋_GB2312" w:hAnsi="仿宋_GB2312" w:cs="仿宋_GB2312" w:hint="eastAsia"/>
          <w:sz w:val="32"/>
          <w:szCs w:val="32"/>
        </w:rPr>
        <w:t>内部证书状态查询系统</w:t>
      </w:r>
      <w:r>
        <w:rPr>
          <w:rFonts w:ascii="仿宋_GB2312" w:eastAsia="仿宋_GB2312" w:hAnsi="仿宋_GB2312" w:cs="仿宋_GB2312" w:hint="eastAsia"/>
          <w:sz w:val="32"/>
          <w:szCs w:val="32"/>
          <w:lang w:eastAsia="zh-CN"/>
        </w:rPr>
        <w:t>、</w:t>
      </w:r>
      <w:r>
        <w:rPr>
          <w:rFonts w:ascii="仿宋_GB2312" w:eastAsia="仿宋_GB2312" w:hAnsi="仿宋_GB2312" w:cs="仿宋_GB2312" w:hint="eastAsia"/>
          <w:sz w:val="32"/>
          <w:szCs w:val="32"/>
        </w:rPr>
        <w:t>外部证书注册系统</w:t>
      </w:r>
      <w:r>
        <w:rPr>
          <w:rFonts w:ascii="仿宋_GB2312" w:eastAsia="仿宋_GB2312" w:hAnsi="仿宋_GB2312" w:cs="仿宋_GB2312" w:hint="eastAsia"/>
          <w:sz w:val="32"/>
          <w:szCs w:val="32"/>
          <w:lang w:eastAsia="zh-CN"/>
        </w:rPr>
        <w:t>、</w:t>
      </w:r>
      <w:r>
        <w:rPr>
          <w:rFonts w:ascii="仿宋_GB2312" w:eastAsia="仿宋_GB2312" w:hAnsi="仿宋_GB2312" w:cs="仿宋_GB2312" w:hint="eastAsia"/>
          <w:sz w:val="32"/>
          <w:szCs w:val="32"/>
        </w:rPr>
        <w:t>外部证书注册系统</w:t>
      </w:r>
      <w:r>
        <w:rPr>
          <w:rFonts w:ascii="仿宋_GB2312" w:eastAsia="仿宋_GB2312" w:hAnsi="仿宋_GB2312" w:cs="仿宋_GB2312" w:hint="eastAsia"/>
          <w:sz w:val="32"/>
          <w:szCs w:val="32"/>
          <w:lang w:eastAsia="zh-CN"/>
        </w:rPr>
        <w:t>、</w:t>
      </w:r>
      <w:r>
        <w:rPr>
          <w:rFonts w:ascii="仿宋_GB2312" w:eastAsia="仿宋_GB2312" w:hAnsi="仿宋_GB2312" w:cs="仿宋_GB2312" w:hint="eastAsia"/>
          <w:sz w:val="32"/>
          <w:szCs w:val="32"/>
        </w:rPr>
        <w:t>外部证书状态查询系统</w:t>
      </w:r>
      <w:r>
        <w:rPr>
          <w:rFonts w:ascii="仿宋_GB2312" w:eastAsia="仿宋_GB2312" w:hAnsi="仿宋_GB2312" w:cs="仿宋_GB2312" w:hint="eastAsia"/>
          <w:sz w:val="32"/>
          <w:szCs w:val="32"/>
          <w:lang w:eastAsia="zh-CN"/>
        </w:rPr>
        <w:t>的</w:t>
      </w:r>
      <w:r>
        <w:rPr>
          <w:rFonts w:ascii="仿宋_GB2312" w:eastAsia="仿宋_GB2312" w:hAnsi="仿宋_GB2312" w:cs="仿宋_GB2312" w:hint="eastAsia"/>
          <w:sz w:val="32"/>
          <w:szCs w:val="32"/>
        </w:rPr>
        <w:t>运维技术支持服务</w:t>
      </w:r>
      <w:r>
        <w:rPr>
          <w:rFonts w:ascii="仿宋_GB2312" w:eastAsia="仿宋_GB2312" w:hAnsi="仿宋_GB2312" w:cs="仿宋_GB2312" w:hint="eastAsia"/>
          <w:sz w:val="32"/>
          <w:szCs w:val="32"/>
          <w:lang w:eastAsia="zh-CN"/>
        </w:rPr>
        <w:t>。</w:t>
      </w:r>
    </w:p>
    <w:p>
      <w:pPr>
        <w:pStyle w:val="Normal0"/>
        <w:keepNext w:val="0"/>
        <w:keepLines w:val="0"/>
        <w:pageBreakBefore w:val="0"/>
        <w:widowControl w:val="0"/>
        <w:kinsoku/>
        <w:wordWrap/>
        <w:topLinePunct w:val="0"/>
        <w:bidi w:val="0"/>
        <w:snapToGrid/>
        <w:spacing w:line="560" w:lineRule="exact"/>
        <w:ind w:firstLine="640" w:firstLineChars="200"/>
        <w:rPr>
          <w:rFonts w:ascii="仿宋_GB2312" w:eastAsia="仿宋_GB2312" w:hAnsi="仿宋_GB2312" w:cs="仿宋_GB2312" w:hint="eastAsia"/>
          <w:sz w:val="32"/>
          <w:szCs w:val="32"/>
        </w:rPr>
      </w:pPr>
      <w:r>
        <w:rPr>
          <w:rFonts w:ascii="仿宋_GB2312" w:eastAsia="仿宋_GB2312" w:hAnsi="仿宋_GB2312" w:cs="仿宋_GB2312" w:hint="eastAsia"/>
          <w:sz w:val="32"/>
          <w:szCs w:val="32"/>
        </w:rPr>
        <w:t>（4）系统出现故障，接到用户技术支持请求后，立即做出实质性响应，在2小时内提出故障解决方案，4-12小时内恢复系统正常运行。故障解决后48小时内，提交故障处理报告。工程师负责解决总局远程服务人员无法处理的问题。</w:t>
      </w:r>
    </w:p>
    <w:p>
      <w:pPr>
        <w:pStyle w:val="Normal0"/>
        <w:keepNext w:val="0"/>
        <w:keepLines w:val="0"/>
        <w:pageBreakBefore w:val="0"/>
        <w:widowControl w:val="0"/>
        <w:kinsoku/>
        <w:wordWrap/>
        <w:topLinePunct w:val="0"/>
        <w:bidi w:val="0"/>
        <w:snapToGrid/>
        <w:spacing w:line="560" w:lineRule="exact"/>
        <w:ind w:firstLine="640" w:firstLineChars="200"/>
        <w:rPr>
          <w:rFonts w:ascii="仿宋_GB2312" w:eastAsia="仿宋_GB2312" w:hAnsi="仿宋_GB2312" w:cs="仿宋_GB2312" w:hint="eastAsia"/>
          <w:sz w:val="32"/>
          <w:szCs w:val="32"/>
          <w:highlight w:val="none"/>
        </w:rPr>
      </w:pPr>
      <w:r>
        <w:rPr>
          <w:rFonts w:ascii="仿宋_GB2312" w:eastAsia="仿宋_GB2312" w:hAnsi="仿宋_GB2312" w:cs="仿宋_GB2312" w:hint="eastAsia"/>
          <w:sz w:val="32"/>
          <w:szCs w:val="32"/>
          <w:highlight w:val="none"/>
          <w:lang w:val="en-US" w:eastAsia="zh-CN"/>
        </w:rPr>
        <w:t xml:space="preserve">3.3.3 </w:t>
      </w:r>
      <w:r>
        <w:rPr>
          <w:rFonts w:ascii="仿宋_GB2312" w:eastAsia="仿宋_GB2312" w:hAnsi="仿宋_GB2312" w:cs="仿宋_GB2312" w:hint="eastAsia"/>
          <w:sz w:val="32"/>
          <w:szCs w:val="32"/>
          <w:highlight w:val="none"/>
        </w:rPr>
        <w:t>电子签章系统</w:t>
      </w:r>
    </w:p>
    <w:p>
      <w:pPr>
        <w:pStyle w:val="Normal0"/>
        <w:keepNext w:val="0"/>
        <w:keepLines w:val="0"/>
        <w:pageBreakBefore w:val="0"/>
        <w:widowControl w:val="0"/>
        <w:kinsoku/>
        <w:wordWrap/>
        <w:topLinePunct w:val="0"/>
        <w:bidi w:val="0"/>
        <w:snapToGrid/>
        <w:spacing w:line="560" w:lineRule="exact"/>
        <w:ind w:firstLine="640" w:firstLineChars="200"/>
        <w:rPr>
          <w:rFonts w:ascii="仿宋_GB2312" w:eastAsia="仿宋_GB2312" w:hAnsi="仿宋_GB2312" w:cs="仿宋_GB2312" w:hint="eastAsia"/>
          <w:sz w:val="32"/>
          <w:szCs w:val="32"/>
          <w:highlight w:val="none"/>
        </w:rPr>
      </w:pPr>
      <w:r>
        <w:rPr>
          <w:rFonts w:ascii="仿宋_GB2312" w:eastAsia="仿宋_GB2312" w:hAnsi="仿宋_GB2312" w:cs="仿宋_GB2312" w:hint="eastAsia"/>
          <w:iCs/>
          <w:sz w:val="32"/>
          <w:szCs w:val="32"/>
          <w:highlight w:val="none"/>
          <w:lang w:eastAsia="zh-CN"/>
        </w:rPr>
        <w:t>负责</w:t>
      </w:r>
      <w:r>
        <w:rPr>
          <w:rFonts w:ascii="仿宋_GB2312" w:eastAsia="仿宋_GB2312" w:hAnsi="仿宋_GB2312" w:cs="仿宋_GB2312" w:hint="eastAsia"/>
          <w:iCs/>
          <w:sz w:val="32"/>
          <w:szCs w:val="32"/>
          <w:highlight w:val="none"/>
        </w:rPr>
        <w:t>吉林省业务专网区电子签章</w:t>
      </w:r>
      <w:r>
        <w:rPr>
          <w:rFonts w:ascii="仿宋_GB2312" w:eastAsia="仿宋_GB2312" w:hAnsi="仿宋_GB2312" w:cs="仿宋_GB2312" w:hint="eastAsia"/>
          <w:iCs/>
          <w:sz w:val="32"/>
          <w:szCs w:val="32"/>
          <w:highlight w:val="none"/>
          <w:lang w:eastAsia="zh-CN"/>
        </w:rPr>
        <w:t>运维</w:t>
      </w:r>
      <w:r>
        <w:rPr>
          <w:rFonts w:ascii="仿宋_GB2312" w:eastAsia="仿宋_GB2312" w:hAnsi="仿宋_GB2312" w:cs="仿宋_GB2312" w:hint="eastAsia"/>
          <w:iCs/>
          <w:sz w:val="32"/>
          <w:szCs w:val="32"/>
          <w:highlight w:val="none"/>
        </w:rPr>
        <w:t>服务，对该项目所涉及的</w:t>
      </w:r>
      <w:r>
        <w:rPr>
          <w:rFonts w:ascii="仿宋_GB2312" w:eastAsia="仿宋_GB2312" w:hAnsi="仿宋_GB2312" w:cs="仿宋_GB2312" w:hint="eastAsia"/>
          <w:iCs/>
          <w:sz w:val="32"/>
          <w:szCs w:val="32"/>
          <w:highlight w:val="none"/>
          <w:lang w:eastAsia="zh-CN"/>
        </w:rPr>
        <w:t>签章服务器</w:t>
      </w:r>
      <w:r>
        <w:rPr>
          <w:rFonts w:ascii="仿宋_GB2312" w:eastAsia="仿宋_GB2312" w:hAnsi="仿宋_GB2312" w:cs="仿宋_GB2312" w:hint="eastAsia"/>
          <w:iCs/>
          <w:sz w:val="32"/>
          <w:szCs w:val="32"/>
          <w:highlight w:val="none"/>
        </w:rPr>
        <w:t>、</w:t>
      </w:r>
      <w:r>
        <w:rPr>
          <w:rFonts w:ascii="仿宋_GB2312" w:eastAsia="仿宋_GB2312" w:hAnsi="仿宋_GB2312" w:cs="仿宋_GB2312" w:hint="eastAsia"/>
          <w:iCs/>
          <w:sz w:val="32"/>
          <w:szCs w:val="32"/>
          <w:highlight w:val="none"/>
          <w:lang w:eastAsia="zh-CN"/>
        </w:rPr>
        <w:t>密码机、</w:t>
      </w:r>
      <w:r>
        <w:rPr>
          <w:rFonts w:ascii="仿宋_GB2312" w:eastAsia="仿宋_GB2312" w:hAnsi="仿宋_GB2312" w:cs="仿宋_GB2312" w:hint="eastAsia"/>
          <w:iCs/>
          <w:sz w:val="32"/>
          <w:szCs w:val="32"/>
          <w:highlight w:val="none"/>
        </w:rPr>
        <w:t>中间件应用以及业务应用软件平台等进行维护管理和操作，保证电子签章系统</w:t>
      </w:r>
      <w:r>
        <w:rPr>
          <w:rFonts w:ascii="仿宋_GB2312" w:eastAsia="仿宋_GB2312" w:hAnsi="仿宋_GB2312" w:cs="仿宋_GB2312" w:hint="eastAsia"/>
          <w:iCs/>
          <w:sz w:val="32"/>
          <w:szCs w:val="32"/>
          <w:highlight w:val="none"/>
          <w:lang w:eastAsia="zh-CN"/>
        </w:rPr>
        <w:t>运行</w:t>
      </w:r>
      <w:r>
        <w:rPr>
          <w:rFonts w:ascii="仿宋_GB2312" w:eastAsia="仿宋_GB2312" w:hAnsi="仿宋_GB2312" w:cs="仿宋_GB2312" w:hint="eastAsia"/>
          <w:iCs/>
          <w:sz w:val="32"/>
          <w:szCs w:val="32"/>
          <w:highlight w:val="none"/>
        </w:rPr>
        <w:t>稳定、安全，不影响正常业务处理，并按照后续业务优化情况，对系统进行功能升级与测试，确保系统运行平稳、顺畅。</w:t>
      </w:r>
    </w:p>
    <w:p>
      <w:pPr>
        <w:pStyle w:val="Normal0"/>
        <w:keepNext w:val="0"/>
        <w:keepLines w:val="0"/>
        <w:pageBreakBefore w:val="0"/>
        <w:widowControl w:val="0"/>
        <w:kinsoku/>
        <w:wordWrap/>
        <w:topLinePunct w:val="0"/>
        <w:bidi w:val="0"/>
        <w:snapToGrid/>
        <w:spacing w:line="560" w:lineRule="exact"/>
        <w:ind w:firstLine="640" w:firstLineChars="200"/>
        <w:rPr>
          <w:rFonts w:ascii="仿宋_GB2312" w:eastAsia="仿宋_GB2312" w:hAnsi="仿宋_GB2312" w:cs="仿宋_GB2312" w:hint="eastAsia"/>
          <w:sz w:val="32"/>
          <w:szCs w:val="32"/>
          <w:highlight w:val="none"/>
        </w:rPr>
      </w:pPr>
      <w:r>
        <w:rPr>
          <w:rFonts w:ascii="仿宋_GB2312" w:eastAsia="仿宋_GB2312" w:hAnsi="仿宋_GB2312" w:cs="仿宋_GB2312" w:hint="eastAsia"/>
          <w:sz w:val="32"/>
          <w:szCs w:val="32"/>
          <w:highlight w:val="none"/>
          <w:lang w:val="en-US" w:eastAsia="zh-CN"/>
        </w:rPr>
        <w:t xml:space="preserve">3.3.4 </w:t>
      </w:r>
      <w:r>
        <w:rPr>
          <w:rFonts w:ascii="仿宋_GB2312" w:eastAsia="仿宋_GB2312" w:hAnsi="仿宋_GB2312" w:cs="仿宋_GB2312" w:hint="eastAsia"/>
          <w:sz w:val="32"/>
          <w:szCs w:val="32"/>
          <w:highlight w:val="none"/>
        </w:rPr>
        <w:t>税务网络安全态势感知平台</w:t>
      </w:r>
    </w:p>
    <w:p>
      <w:pPr>
        <w:pStyle w:val="Normal0"/>
        <w:keepNext w:val="0"/>
        <w:keepLines w:val="0"/>
        <w:pageBreakBefore w:val="0"/>
        <w:widowControl w:val="0"/>
        <w:kinsoku/>
        <w:wordWrap/>
        <w:topLinePunct w:val="0"/>
        <w:bidi w:val="0"/>
        <w:snapToGrid/>
        <w:spacing w:line="560" w:lineRule="exact"/>
        <w:ind w:firstLine="640" w:firstLineChars="200"/>
        <w:rPr>
          <w:rFonts w:ascii="仿宋_GB2312" w:eastAsia="仿宋_GB2312" w:hAnsi="仿宋_GB2312" w:cs="仿宋_GB2312" w:hint="eastAsia"/>
          <w:sz w:val="32"/>
          <w:szCs w:val="32"/>
          <w:highlight w:val="none"/>
          <w:lang w:val="en-US" w:eastAsia="zh-CN"/>
        </w:rPr>
      </w:pPr>
      <w:r>
        <w:rPr>
          <w:rFonts w:ascii="仿宋_GB2312" w:eastAsia="仿宋_GB2312" w:hAnsi="仿宋_GB2312" w:cs="仿宋_GB2312" w:hint="eastAsia"/>
          <w:sz w:val="32"/>
          <w:szCs w:val="32"/>
          <w:highlight w:val="none"/>
          <w:lang w:val="en-US" w:eastAsia="zh-CN"/>
        </w:rPr>
        <w:t>（1）负责态势感知平台的日常运行监控。每日审查各探针和平台系统的运行情况，深入研究各类网络通信流量的日志信息的采集情况，以快速发现任何异常。当出现问题，立刻组织进行排查和修复工作，确保态势感知平台保持无故障运行。此外实施实时监控、识别和验证安全信息告警，通过有组织的网络攻击事件验证，确保迅速采取风险处置措施，为网络安全提供最强大的防护。</w:t>
      </w:r>
    </w:p>
    <w:p>
      <w:pPr>
        <w:pStyle w:val="Normal0"/>
        <w:keepNext w:val="0"/>
        <w:keepLines w:val="0"/>
        <w:pageBreakBefore w:val="0"/>
        <w:widowControl w:val="0"/>
        <w:kinsoku/>
        <w:wordWrap/>
        <w:topLinePunct w:val="0"/>
        <w:bidi w:val="0"/>
        <w:snapToGrid/>
        <w:spacing w:line="560" w:lineRule="exact"/>
        <w:ind w:firstLine="640" w:firstLineChars="200"/>
        <w:rPr>
          <w:rFonts w:ascii="仿宋_GB2312" w:eastAsia="仿宋_GB2312" w:hAnsi="仿宋_GB2312" w:cs="仿宋_GB2312" w:hint="eastAsia"/>
          <w:sz w:val="32"/>
          <w:szCs w:val="32"/>
          <w:highlight w:val="none"/>
          <w:lang w:val="en-US" w:eastAsia="zh-CN"/>
        </w:rPr>
      </w:pPr>
      <w:r>
        <w:rPr>
          <w:rFonts w:ascii="仿宋_GB2312" w:eastAsia="仿宋_GB2312" w:hAnsi="仿宋_GB2312" w:cs="仿宋_GB2312" w:hint="eastAsia"/>
          <w:sz w:val="32"/>
          <w:szCs w:val="32"/>
          <w:highlight w:val="none"/>
          <w:lang w:val="en-US" w:eastAsia="zh-CN"/>
        </w:rPr>
        <w:t>（2）▲每天维护态势感知平台资产信息。根据实际动态调整更新资产信息，确保平台始终拥有全面准确的基础库信息。</w:t>
      </w:r>
      <w:r>
        <w:rPr>
          <w:rFonts w:ascii="仿宋_GB2312" w:eastAsia="仿宋_GB2312" w:hAnsi="仿宋_GB2312" w:cs="仿宋_GB2312" w:hint="eastAsia"/>
          <w:sz w:val="32"/>
          <w:szCs w:val="32"/>
          <w:lang w:val="en-US" w:eastAsia="zh-CN"/>
        </w:rPr>
        <w:t>（提供服务承诺函）</w:t>
      </w:r>
    </w:p>
    <w:p>
      <w:pPr>
        <w:pStyle w:val="Normal0"/>
        <w:keepNext w:val="0"/>
        <w:keepLines w:val="0"/>
        <w:pageBreakBefore w:val="0"/>
        <w:widowControl w:val="0"/>
        <w:kinsoku/>
        <w:wordWrap/>
        <w:topLinePunct w:val="0"/>
        <w:bidi w:val="0"/>
        <w:snapToGrid/>
        <w:spacing w:line="560" w:lineRule="exact"/>
        <w:ind w:firstLine="640" w:firstLineChars="200"/>
        <w:rPr>
          <w:rFonts w:ascii="仿宋_GB2312" w:eastAsia="仿宋_GB2312" w:hAnsi="仿宋_GB2312" w:cs="仿宋_GB2312" w:hint="eastAsia"/>
          <w:sz w:val="32"/>
          <w:szCs w:val="32"/>
          <w:highlight w:val="none"/>
          <w:lang w:val="en-US" w:eastAsia="zh-CN"/>
        </w:rPr>
      </w:pPr>
      <w:r>
        <w:rPr>
          <w:rFonts w:ascii="仿宋_GB2312" w:eastAsia="仿宋_GB2312" w:hAnsi="仿宋_GB2312" w:cs="仿宋_GB2312" w:hint="eastAsia"/>
          <w:sz w:val="32"/>
          <w:szCs w:val="32"/>
          <w:highlight w:val="none"/>
          <w:lang w:val="en-US" w:eastAsia="zh-CN"/>
        </w:rPr>
        <w:t>（3）每月进行全网段漏洞扫描，将扫描结果及时传输到态势感知平台，并将漏洞及时推送、对漏洞修复情况进行核实验证，确保漏洞得到及时修复和消除。</w:t>
      </w:r>
    </w:p>
    <w:p>
      <w:pPr>
        <w:pStyle w:val="Normal0"/>
        <w:keepNext w:val="0"/>
        <w:keepLines w:val="0"/>
        <w:pageBreakBefore w:val="0"/>
        <w:widowControl w:val="0"/>
        <w:kinsoku/>
        <w:wordWrap/>
        <w:topLinePunct w:val="0"/>
        <w:bidi w:val="0"/>
        <w:snapToGrid/>
        <w:spacing w:line="560" w:lineRule="exact"/>
        <w:ind w:firstLine="640" w:firstLineChars="200"/>
        <w:rPr>
          <w:rFonts w:ascii="仿宋_GB2312" w:eastAsia="仿宋_GB2312" w:hAnsi="仿宋_GB2312" w:cs="仿宋_GB2312" w:hint="eastAsia"/>
          <w:sz w:val="32"/>
          <w:szCs w:val="32"/>
          <w:highlight w:val="none"/>
          <w:lang w:val="en-US" w:eastAsia="zh-CN"/>
        </w:rPr>
      </w:pPr>
      <w:r>
        <w:rPr>
          <w:rFonts w:ascii="仿宋_GB2312" w:eastAsia="仿宋_GB2312" w:hAnsi="仿宋_GB2312" w:cs="仿宋_GB2312" w:hint="eastAsia"/>
          <w:sz w:val="32"/>
          <w:szCs w:val="32"/>
          <w:highlight w:val="none"/>
          <w:lang w:val="en-US" w:eastAsia="zh-CN"/>
        </w:rPr>
        <w:t>（4）每月进行全网资产发现扫描，同时确认扫描结果中未录入态势感知平台的资产信息，如名称、类型、路径、业务区域和责任人等，并将其准确记录，已确保平台拥有完备的资产信息，使资产管理更加有效。</w:t>
      </w:r>
    </w:p>
    <w:p>
      <w:pPr>
        <w:pStyle w:val="Normal0"/>
        <w:keepNext w:val="0"/>
        <w:keepLines w:val="0"/>
        <w:pageBreakBefore w:val="0"/>
        <w:widowControl w:val="0"/>
        <w:kinsoku/>
        <w:wordWrap/>
        <w:topLinePunct w:val="0"/>
        <w:bidi w:val="0"/>
        <w:snapToGrid/>
        <w:spacing w:line="560" w:lineRule="exact"/>
        <w:ind w:firstLine="640" w:firstLineChars="200"/>
        <w:rPr>
          <w:rFonts w:ascii="仿宋_GB2312" w:eastAsia="仿宋_GB2312" w:hAnsi="仿宋_GB2312" w:cs="仿宋_GB2312" w:hint="eastAsia"/>
          <w:sz w:val="32"/>
          <w:szCs w:val="32"/>
          <w:highlight w:val="none"/>
          <w:lang w:val="en-US" w:eastAsia="zh-CN"/>
        </w:rPr>
      </w:pPr>
      <w:r>
        <w:rPr>
          <w:rFonts w:ascii="仿宋_GB2312" w:eastAsia="仿宋_GB2312" w:hAnsi="仿宋_GB2312" w:cs="仿宋_GB2312" w:hint="eastAsia"/>
          <w:sz w:val="32"/>
          <w:szCs w:val="32"/>
          <w:highlight w:val="none"/>
          <w:lang w:val="en-US" w:eastAsia="zh-CN"/>
        </w:rPr>
        <w:t>（5）▲根据采购人要求时限内进行补丁升级，准备并执行升级计划，以保证关键数据完整性。升级后对系统各功能异常情况排查，确保系统稳定运行。</w:t>
      </w:r>
      <w:r>
        <w:rPr>
          <w:rFonts w:ascii="仿宋_GB2312" w:eastAsia="仿宋_GB2312" w:hAnsi="仿宋_GB2312" w:cs="仿宋_GB2312" w:hint="eastAsia"/>
          <w:sz w:val="32"/>
          <w:szCs w:val="32"/>
          <w:lang w:val="en-US" w:eastAsia="zh-CN"/>
        </w:rPr>
        <w:t>（提供服务承诺函）</w:t>
      </w:r>
    </w:p>
    <w:p>
      <w:pPr>
        <w:pStyle w:val="Normal0"/>
        <w:keepNext w:val="0"/>
        <w:keepLines w:val="0"/>
        <w:pageBreakBefore w:val="0"/>
        <w:widowControl w:val="0"/>
        <w:kinsoku/>
        <w:wordWrap/>
        <w:topLinePunct w:val="0"/>
        <w:bidi w:val="0"/>
        <w:snapToGrid/>
        <w:spacing w:line="560" w:lineRule="exact"/>
        <w:ind w:firstLine="640" w:firstLineChars="200"/>
        <w:rPr>
          <w:rFonts w:ascii="仿宋_GB2312" w:eastAsia="仿宋_GB2312" w:hAnsi="仿宋_GB2312" w:cs="仿宋_GB2312" w:hint="eastAsia"/>
          <w:sz w:val="32"/>
          <w:szCs w:val="32"/>
          <w:highlight w:val="none"/>
          <w:lang w:val="en-US" w:eastAsia="zh-CN"/>
        </w:rPr>
      </w:pPr>
      <w:r>
        <w:rPr>
          <w:rFonts w:ascii="仿宋_GB2312" w:eastAsia="仿宋_GB2312" w:hAnsi="仿宋_GB2312" w:cs="仿宋_GB2312" w:hint="eastAsia"/>
          <w:sz w:val="32"/>
          <w:szCs w:val="32"/>
          <w:highlight w:val="none"/>
          <w:lang w:val="en-US" w:eastAsia="zh-CN"/>
        </w:rPr>
        <w:t>（6）每月对态势感知平台相关的探针（僵木蠕、WAF、网络审计、数据库审计等）规则进行升级，确保规则库及时更新，及时发现新威胁确保税务网站安全。</w:t>
      </w:r>
    </w:p>
    <w:p>
      <w:pPr>
        <w:pStyle w:val="Normal0"/>
        <w:keepNext w:val="0"/>
        <w:keepLines w:val="0"/>
        <w:pageBreakBefore w:val="0"/>
        <w:widowControl w:val="0"/>
        <w:kinsoku/>
        <w:wordWrap/>
        <w:overflowPunct w:val="0"/>
        <w:topLinePunct w:val="0"/>
        <w:autoSpaceDE w:val="0"/>
        <w:autoSpaceDN w:val="0"/>
        <w:bidi w:val="0"/>
        <w:adjustRightInd w:val="0"/>
        <w:snapToGrid/>
        <w:spacing w:line="560" w:lineRule="exact"/>
        <w:ind w:firstLine="640" w:firstLineChars="200"/>
        <w:textAlignment w:val="baseline"/>
        <w:rPr>
          <w:rFonts w:ascii="仿宋_GB2312" w:eastAsia="仿宋_GB2312" w:hAnsi="仿宋_GB2312" w:cs="仿宋_GB2312" w:hint="eastAsia"/>
          <w:sz w:val="32"/>
          <w:szCs w:val="32"/>
          <w:highlight w:val="none"/>
          <w:lang w:val="en-US" w:eastAsia="zh-CN"/>
        </w:rPr>
      </w:pPr>
      <w:r>
        <w:rPr>
          <w:rFonts w:ascii="仿宋_GB2312" w:eastAsia="仿宋_GB2312" w:hAnsi="仿宋_GB2312" w:cs="仿宋_GB2312" w:hint="eastAsia"/>
          <w:sz w:val="32"/>
          <w:szCs w:val="32"/>
          <w:highlight w:val="none"/>
          <w:lang w:val="en-US" w:eastAsia="zh-CN"/>
        </w:rPr>
        <w:t>（7）每天生成详尽的工作汇报表，包括互联网威胁行为分析表、互联网风险预警分析表，提供全面的数据，有助于更好地了解和管理网络和数据威胁。</w:t>
      </w:r>
    </w:p>
    <w:p>
      <w:pPr>
        <w:pStyle w:val="Normal0"/>
        <w:keepNext w:val="0"/>
        <w:keepLines w:val="0"/>
        <w:pageBreakBefore w:val="0"/>
        <w:widowControl w:val="0"/>
        <w:kinsoku/>
        <w:wordWrap/>
        <w:overflowPunct w:val="0"/>
        <w:topLinePunct w:val="0"/>
        <w:autoSpaceDE w:val="0"/>
        <w:autoSpaceDN w:val="0"/>
        <w:bidi w:val="0"/>
        <w:adjustRightInd w:val="0"/>
        <w:snapToGrid/>
        <w:spacing w:line="560" w:lineRule="exact"/>
        <w:ind w:firstLine="640" w:firstLineChars="200"/>
        <w:textAlignment w:val="baseline"/>
        <w:rPr>
          <w:rFonts w:ascii="仿宋_GB2312" w:eastAsia="仿宋_GB2312" w:hAnsi="仿宋_GB2312" w:cs="仿宋_GB2312" w:hint="eastAsia"/>
          <w:sz w:val="32"/>
          <w:szCs w:val="32"/>
          <w:highlight w:val="none"/>
          <w:lang w:val="en-US" w:eastAsia="zh-CN"/>
        </w:rPr>
      </w:pPr>
      <w:r>
        <w:rPr>
          <w:rFonts w:ascii="仿宋_GB2312" w:eastAsia="仿宋_GB2312" w:hAnsi="仿宋_GB2312" w:cs="仿宋_GB2312" w:hint="eastAsia"/>
          <w:sz w:val="32"/>
          <w:szCs w:val="32"/>
          <w:highlight w:val="none"/>
          <w:lang w:val="en-US" w:eastAsia="zh-CN"/>
        </w:rPr>
        <w:t xml:space="preserve">（8）做好沟通、积极推进整体性工作，并及时提供反馈。按时处置或回执，通过态势感知平台管理中心下发的通知通告，以确保信息流畅、反馈及时。        </w:t>
      </w:r>
      <w:r>
        <w:rPr>
          <w:rFonts w:ascii="仿宋_GB2312" w:eastAsia="仿宋_GB2312" w:hAnsi="仿宋_GB2312" w:cs="仿宋_GB2312" w:hint="eastAsia"/>
          <w:sz w:val="32"/>
          <w:szCs w:val="32"/>
          <w:highlight w:val="none"/>
          <w:lang w:val="en-US" w:eastAsia="zh-CN"/>
        </w:rPr>
        <w:tab/>
      </w:r>
      <w:r>
        <w:rPr>
          <w:rFonts w:ascii="仿宋_GB2312" w:eastAsia="仿宋_GB2312" w:hAnsi="仿宋_GB2312" w:cs="仿宋_GB2312" w:hint="eastAsia"/>
          <w:sz w:val="32"/>
          <w:szCs w:val="32"/>
          <w:highlight w:val="none"/>
          <w:lang w:val="en-US" w:eastAsia="zh-CN"/>
        </w:rPr>
        <w:t xml:space="preserve"> </w:t>
      </w:r>
    </w:p>
    <w:p>
      <w:pPr>
        <w:pStyle w:val="Normal0"/>
        <w:keepNext w:val="0"/>
        <w:keepLines w:val="0"/>
        <w:pageBreakBefore w:val="0"/>
        <w:widowControl w:val="0"/>
        <w:kinsoku/>
        <w:wordWrap/>
        <w:topLinePunct w:val="0"/>
        <w:bidi w:val="0"/>
        <w:snapToGrid/>
        <w:spacing w:line="560" w:lineRule="exact"/>
        <w:ind w:firstLine="640" w:firstLineChars="200"/>
        <w:rPr>
          <w:rFonts w:ascii="仿宋_GB2312" w:eastAsia="仿宋_GB2312" w:hAnsi="仿宋_GB2312" w:cs="仿宋_GB2312" w:hint="eastAsia"/>
          <w:sz w:val="32"/>
          <w:szCs w:val="32"/>
          <w:highlight w:val="none"/>
        </w:rPr>
      </w:pPr>
      <w:r>
        <w:rPr>
          <w:rFonts w:ascii="仿宋_GB2312" w:eastAsia="仿宋_GB2312" w:hAnsi="仿宋_GB2312" w:cs="仿宋_GB2312" w:hint="eastAsia"/>
          <w:sz w:val="32"/>
          <w:szCs w:val="32"/>
          <w:highlight w:val="none"/>
          <w:lang w:val="en-US" w:eastAsia="zh-CN"/>
        </w:rPr>
        <w:t>3.3.5</w:t>
      </w:r>
      <w:r>
        <w:rPr>
          <w:rFonts w:ascii="仿宋_GB2312" w:eastAsia="仿宋_GB2312" w:hAnsi="仿宋_GB2312" w:cs="仿宋_GB2312" w:hint="eastAsia"/>
          <w:sz w:val="32"/>
          <w:szCs w:val="32"/>
          <w:highlight w:val="none"/>
        </w:rPr>
        <w:t>“双向”安全交换系统和密码</w:t>
      </w:r>
      <w:r>
        <w:rPr>
          <w:rFonts w:ascii="仿宋_GB2312" w:eastAsia="仿宋_GB2312" w:hAnsi="仿宋_GB2312" w:cs="仿宋_GB2312" w:hint="eastAsia"/>
          <w:sz w:val="32"/>
          <w:szCs w:val="32"/>
          <w:highlight w:val="none"/>
          <w:lang w:eastAsia="zh-CN"/>
        </w:rPr>
        <w:t>服务</w:t>
      </w:r>
      <w:r>
        <w:rPr>
          <w:rFonts w:ascii="仿宋_GB2312" w:eastAsia="仿宋_GB2312" w:hAnsi="仿宋_GB2312" w:cs="仿宋_GB2312" w:hint="eastAsia"/>
          <w:sz w:val="32"/>
          <w:szCs w:val="32"/>
          <w:highlight w:val="none"/>
        </w:rPr>
        <w:t>组件</w:t>
      </w:r>
    </w:p>
    <w:p>
      <w:pPr>
        <w:pStyle w:val="Normal0"/>
        <w:keepNext w:val="0"/>
        <w:keepLines w:val="0"/>
        <w:pageBreakBefore w:val="0"/>
        <w:widowControl w:val="0"/>
        <w:kinsoku/>
        <w:wordWrap/>
        <w:topLinePunct w:val="0"/>
        <w:bidi w:val="0"/>
        <w:snapToGrid/>
        <w:spacing w:line="560" w:lineRule="exact"/>
        <w:ind w:firstLine="640" w:firstLineChars="200"/>
        <w:rPr>
          <w:rFonts w:ascii="仿宋_GB2312" w:eastAsia="仿宋_GB2312" w:hAnsi="仿宋_GB2312" w:cs="仿宋_GB2312" w:hint="eastAsia"/>
          <w:sz w:val="32"/>
          <w:szCs w:val="32"/>
          <w:highlight w:val="none"/>
        </w:rPr>
      </w:pPr>
      <w:r>
        <w:rPr>
          <w:rFonts w:ascii="仿宋_GB2312" w:eastAsia="仿宋_GB2312" w:hAnsi="仿宋_GB2312" w:cs="仿宋_GB2312" w:hint="eastAsia"/>
          <w:sz w:val="32"/>
          <w:szCs w:val="32"/>
          <w:highlight w:val="none"/>
        </w:rPr>
        <w:t>主要服务内容为“双向”安全交换系统和密码</w:t>
      </w:r>
      <w:r>
        <w:rPr>
          <w:rFonts w:ascii="仿宋_GB2312" w:eastAsia="仿宋_GB2312" w:hAnsi="仿宋_GB2312" w:cs="仿宋_GB2312" w:hint="eastAsia"/>
          <w:sz w:val="32"/>
          <w:szCs w:val="32"/>
          <w:highlight w:val="none"/>
          <w:lang w:eastAsia="zh-CN"/>
        </w:rPr>
        <w:t>服务</w:t>
      </w:r>
      <w:r>
        <w:rPr>
          <w:rFonts w:ascii="仿宋_GB2312" w:eastAsia="仿宋_GB2312" w:hAnsi="仿宋_GB2312" w:cs="仿宋_GB2312" w:hint="eastAsia"/>
          <w:sz w:val="32"/>
          <w:szCs w:val="32"/>
          <w:highlight w:val="none"/>
        </w:rPr>
        <w:t>组件</w:t>
      </w:r>
    </w:p>
    <w:p>
      <w:pPr>
        <w:pStyle w:val="Normal0"/>
        <w:keepNext w:val="0"/>
        <w:keepLines w:val="0"/>
        <w:pageBreakBefore w:val="0"/>
        <w:widowControl w:val="0"/>
        <w:kinsoku/>
        <w:wordWrap/>
        <w:topLinePunct w:val="0"/>
        <w:bidi w:val="0"/>
        <w:snapToGrid/>
        <w:spacing w:line="560" w:lineRule="exact"/>
        <w:rPr>
          <w:rFonts w:ascii="仿宋_GB2312" w:eastAsia="仿宋_GB2312" w:hAnsi="仿宋_GB2312" w:cs="仿宋_GB2312" w:hint="eastAsia"/>
          <w:sz w:val="32"/>
          <w:szCs w:val="32"/>
          <w:highlight w:val="none"/>
        </w:rPr>
      </w:pPr>
      <w:r>
        <w:rPr>
          <w:rFonts w:ascii="仿宋_GB2312" w:eastAsia="仿宋_GB2312" w:hAnsi="仿宋_GB2312" w:cs="仿宋_GB2312" w:hint="eastAsia"/>
          <w:sz w:val="32"/>
          <w:szCs w:val="32"/>
          <w:highlight w:val="none"/>
        </w:rPr>
        <w:t>系统的日常运维、故障处理、健康检查、版本升级更新，与新建应用系统集成对接等工作，具体内容包括但不限于:</w:t>
      </w:r>
    </w:p>
    <w:p>
      <w:pPr>
        <w:pStyle w:val="Normal0"/>
        <w:keepNext w:val="0"/>
        <w:keepLines w:val="0"/>
        <w:pageBreakBefore w:val="0"/>
        <w:widowControl w:val="0"/>
        <w:kinsoku/>
        <w:wordWrap/>
        <w:topLinePunct w:val="0"/>
        <w:bidi w:val="0"/>
        <w:snapToGrid/>
        <w:spacing w:line="560" w:lineRule="exact"/>
        <w:ind w:firstLine="640" w:firstLineChars="200"/>
        <w:rPr>
          <w:rFonts w:ascii="仿宋_GB2312" w:eastAsia="仿宋_GB2312" w:hAnsi="仿宋_GB2312" w:cs="仿宋_GB2312" w:hint="eastAsia"/>
          <w:sz w:val="32"/>
          <w:szCs w:val="32"/>
          <w:highlight w:val="none"/>
        </w:rPr>
      </w:pPr>
      <w:r>
        <w:rPr>
          <w:rFonts w:ascii="仿宋_GB2312" w:eastAsia="仿宋_GB2312" w:hAnsi="仿宋_GB2312" w:cs="仿宋_GB2312" w:hint="eastAsia"/>
          <w:sz w:val="32"/>
          <w:szCs w:val="32"/>
          <w:highlight w:val="none"/>
        </w:rPr>
        <w:t>（1）</w:t>
      </w:r>
      <w:r>
        <w:rPr>
          <w:rFonts w:ascii="仿宋_GB2312" w:eastAsia="仿宋_GB2312" w:hAnsi="仿宋_GB2312" w:cs="仿宋_GB2312" w:hint="eastAsia"/>
          <w:sz w:val="32"/>
          <w:szCs w:val="32"/>
          <w:highlight w:val="none"/>
          <w:lang w:val="en-US" w:eastAsia="zh-CN"/>
        </w:rPr>
        <w:t>▲</w:t>
      </w:r>
      <w:r>
        <w:rPr>
          <w:rFonts w:ascii="仿宋_GB2312" w:eastAsia="仿宋_GB2312" w:hAnsi="仿宋_GB2312" w:cs="仿宋_GB2312" w:hint="eastAsia"/>
          <w:sz w:val="32"/>
          <w:szCs w:val="32"/>
          <w:highlight w:val="none"/>
        </w:rPr>
        <w:t>每日对双向安全交换系统和密码服务组件系统进行巡检，设备日常巡检通过收集每日运行参数，监控设备硬件运行情况，分析主要业务系统的流量日志，关注安全事件的发展动态，及时发现风险、问题并进行处置并上报。</w:t>
      </w:r>
      <w:r>
        <w:rPr>
          <w:rFonts w:ascii="仿宋_GB2312" w:eastAsia="仿宋_GB2312" w:hAnsi="仿宋_GB2312" w:cs="仿宋_GB2312" w:hint="eastAsia"/>
          <w:sz w:val="32"/>
          <w:szCs w:val="32"/>
          <w:lang w:val="en-US" w:eastAsia="zh-CN"/>
        </w:rPr>
        <w:t>（提供服务承诺函）</w:t>
      </w:r>
    </w:p>
    <w:p>
      <w:pPr>
        <w:pStyle w:val="Normal0"/>
        <w:keepNext w:val="0"/>
        <w:keepLines w:val="0"/>
        <w:pageBreakBefore w:val="0"/>
        <w:widowControl w:val="0"/>
        <w:kinsoku/>
        <w:wordWrap/>
        <w:topLinePunct w:val="0"/>
        <w:bidi w:val="0"/>
        <w:snapToGrid/>
        <w:spacing w:line="560" w:lineRule="exact"/>
        <w:ind w:firstLine="640" w:firstLineChars="200"/>
        <w:rPr>
          <w:rFonts w:ascii="仿宋_GB2312" w:eastAsia="仿宋_GB2312" w:hAnsi="仿宋_GB2312" w:cs="仿宋_GB2312" w:hint="eastAsia"/>
          <w:sz w:val="32"/>
          <w:szCs w:val="32"/>
          <w:highlight w:val="none"/>
        </w:rPr>
      </w:pPr>
      <w:r>
        <w:rPr>
          <w:rFonts w:ascii="仿宋_GB2312" w:eastAsia="仿宋_GB2312" w:hAnsi="仿宋_GB2312" w:cs="仿宋_GB2312" w:hint="eastAsia"/>
          <w:sz w:val="32"/>
          <w:szCs w:val="32"/>
          <w:highlight w:val="none"/>
        </w:rPr>
        <w:t>（2）每月需要将双向安全交换系统和密码服务组件系统健康状态、对接应用系统运行情况、以月报的形式汇报。</w:t>
      </w:r>
    </w:p>
    <w:p>
      <w:pPr>
        <w:pStyle w:val="Normal0"/>
        <w:keepNext w:val="0"/>
        <w:keepLines w:val="0"/>
        <w:pageBreakBefore w:val="0"/>
        <w:widowControl w:val="0"/>
        <w:kinsoku/>
        <w:wordWrap/>
        <w:topLinePunct w:val="0"/>
        <w:bidi w:val="0"/>
        <w:snapToGrid/>
        <w:spacing w:line="560" w:lineRule="exact"/>
        <w:ind w:firstLine="640" w:firstLineChars="200"/>
        <w:rPr>
          <w:rFonts w:ascii="仿宋_GB2312" w:eastAsia="仿宋_GB2312" w:hAnsi="仿宋_GB2312" w:cs="仿宋_GB2312" w:hint="eastAsia"/>
          <w:sz w:val="32"/>
          <w:szCs w:val="32"/>
          <w:highlight w:val="none"/>
        </w:rPr>
      </w:pPr>
      <w:r>
        <w:rPr>
          <w:rFonts w:ascii="仿宋_GB2312" w:eastAsia="仿宋_GB2312" w:hAnsi="仿宋_GB2312" w:cs="仿宋_GB2312" w:hint="eastAsia"/>
          <w:sz w:val="32"/>
          <w:szCs w:val="32"/>
          <w:highlight w:val="none"/>
        </w:rPr>
        <w:t>（3）日常运维：对双向安全交换系统和密码服务组件系统开展日常运行维护工作，包括设备日常维护，设备配置管理，安全日志分析，设备配置优化等运维服务，开展健康     检查，处理系统故障；负责应用策略的开通，确保应用系统的稳定运行，配合应用系统业务故障排查。</w:t>
      </w:r>
    </w:p>
    <w:p>
      <w:pPr>
        <w:pStyle w:val="Normal0"/>
        <w:keepNext w:val="0"/>
        <w:keepLines w:val="0"/>
        <w:pageBreakBefore w:val="0"/>
        <w:widowControl w:val="0"/>
        <w:kinsoku/>
        <w:wordWrap/>
        <w:topLinePunct w:val="0"/>
        <w:bidi w:val="0"/>
        <w:snapToGrid/>
        <w:spacing w:line="560" w:lineRule="exact"/>
        <w:ind w:firstLine="640" w:firstLineChars="200"/>
        <w:rPr>
          <w:rFonts w:ascii="仿宋_GB2312" w:eastAsia="仿宋_GB2312" w:hAnsi="仿宋_GB2312" w:cs="仿宋_GB2312" w:hint="eastAsia"/>
          <w:sz w:val="32"/>
          <w:szCs w:val="32"/>
          <w:highlight w:val="none"/>
        </w:rPr>
      </w:pPr>
      <w:r>
        <w:rPr>
          <w:rFonts w:ascii="仿宋_GB2312" w:eastAsia="仿宋_GB2312" w:hAnsi="仿宋_GB2312" w:cs="仿宋_GB2312" w:hint="eastAsia"/>
          <w:sz w:val="32"/>
          <w:szCs w:val="32"/>
          <w:highlight w:val="none"/>
        </w:rPr>
        <w:t>（4）按照</w:t>
      </w:r>
      <w:r>
        <w:rPr>
          <w:rFonts w:ascii="仿宋_GB2312" w:eastAsia="仿宋_GB2312" w:hAnsi="仿宋_GB2312" w:cs="仿宋_GB2312" w:hint="eastAsia"/>
          <w:sz w:val="32"/>
          <w:szCs w:val="32"/>
          <w:highlight w:val="none"/>
          <w:lang w:eastAsia="zh-CN"/>
        </w:rPr>
        <w:t>业务需求</w:t>
      </w:r>
      <w:r>
        <w:rPr>
          <w:rFonts w:ascii="仿宋_GB2312" w:eastAsia="仿宋_GB2312" w:hAnsi="仿宋_GB2312" w:cs="仿宋_GB2312" w:hint="eastAsia"/>
          <w:sz w:val="32"/>
          <w:szCs w:val="32"/>
          <w:highlight w:val="none"/>
        </w:rPr>
        <w:t>及时将应用系统接入到双向安全交换系统和密码服务组件系统中。</w:t>
      </w:r>
    </w:p>
    <w:p>
      <w:pPr>
        <w:pStyle w:val="Normal0"/>
        <w:keepNext w:val="0"/>
        <w:keepLines w:val="0"/>
        <w:pageBreakBefore w:val="0"/>
        <w:widowControl w:val="0"/>
        <w:kinsoku/>
        <w:wordWrap/>
        <w:topLinePunct w:val="0"/>
        <w:bidi w:val="0"/>
        <w:snapToGrid/>
        <w:spacing w:line="560" w:lineRule="exact"/>
        <w:ind w:firstLine="640" w:firstLineChars="200"/>
        <w:rPr>
          <w:rFonts w:ascii="仿宋_GB2312" w:eastAsia="仿宋_GB2312" w:hAnsi="仿宋_GB2312" w:cs="仿宋_GB2312" w:hint="eastAsia"/>
          <w:sz w:val="32"/>
          <w:szCs w:val="32"/>
          <w:highlight w:val="none"/>
        </w:rPr>
      </w:pPr>
      <w:r>
        <w:rPr>
          <w:rFonts w:ascii="仿宋_GB2312" w:eastAsia="仿宋_GB2312" w:hAnsi="仿宋_GB2312" w:cs="仿宋_GB2312" w:hint="eastAsia"/>
          <w:sz w:val="32"/>
          <w:szCs w:val="32"/>
          <w:highlight w:val="none"/>
        </w:rPr>
        <w:t>（5）告警事件处置：对告警事件进行及时的报告和处理，保障业务正常运行，对硬件故障进行及时的反馈和处理，对业务影响降到最小化。</w:t>
      </w:r>
    </w:p>
    <w:p>
      <w:pPr>
        <w:pStyle w:val="Normal0"/>
        <w:keepNext w:val="0"/>
        <w:keepLines w:val="0"/>
        <w:pageBreakBefore w:val="0"/>
        <w:widowControl w:val="0"/>
        <w:kinsoku/>
        <w:wordWrap/>
        <w:overflowPunct w:val="0"/>
        <w:topLinePunct w:val="0"/>
        <w:autoSpaceDE w:val="0"/>
        <w:autoSpaceDN w:val="0"/>
        <w:bidi w:val="0"/>
        <w:adjustRightInd w:val="0"/>
        <w:snapToGrid/>
        <w:spacing w:line="560" w:lineRule="exact"/>
        <w:ind w:firstLine="640" w:firstLineChars="200"/>
        <w:textAlignment w:val="baseline"/>
        <w:rPr>
          <w:rFonts w:ascii="仿宋_GB2312" w:eastAsia="仿宋_GB2312" w:hAnsi="仿宋_GB2312" w:cs="仿宋_GB2312" w:hint="eastAsia"/>
          <w:sz w:val="32"/>
          <w:szCs w:val="32"/>
          <w:highlight w:val="none"/>
        </w:rPr>
      </w:pPr>
      <w:r>
        <w:rPr>
          <w:rFonts w:ascii="仿宋_GB2312" w:eastAsia="仿宋_GB2312" w:hAnsi="仿宋_GB2312" w:cs="仿宋_GB2312" w:hint="eastAsia"/>
          <w:sz w:val="32"/>
          <w:szCs w:val="32"/>
          <w:highlight w:val="none"/>
        </w:rPr>
        <w:t>（6）</w:t>
      </w:r>
      <w:r>
        <w:rPr>
          <w:rFonts w:ascii="仿宋_GB2312" w:eastAsia="仿宋_GB2312" w:hAnsi="仿宋_GB2312" w:cs="仿宋_GB2312" w:hint="eastAsia"/>
          <w:sz w:val="32"/>
          <w:szCs w:val="32"/>
          <w:highlight w:val="none"/>
          <w:lang w:val="en-US" w:eastAsia="zh-CN"/>
        </w:rPr>
        <w:t>▲</w:t>
      </w:r>
      <w:r>
        <w:rPr>
          <w:rFonts w:ascii="仿宋_GB2312" w:eastAsia="仿宋_GB2312" w:hAnsi="仿宋_GB2312" w:cs="仿宋_GB2312" w:hint="eastAsia"/>
          <w:sz w:val="32"/>
          <w:szCs w:val="32"/>
          <w:highlight w:val="none"/>
        </w:rPr>
        <w:t>确保安全设备在生命周期内稳定运行，</w:t>
      </w:r>
      <w:r>
        <w:rPr>
          <w:rFonts w:ascii="仿宋_GB2312" w:eastAsia="仿宋_GB2312" w:hAnsi="仿宋_GB2312" w:cs="仿宋_GB2312" w:hint="eastAsia"/>
          <w:sz w:val="32"/>
          <w:szCs w:val="32"/>
          <w:highlight w:val="none"/>
          <w:lang w:val="en-US" w:eastAsia="zh-CN"/>
        </w:rPr>
        <w:t>每周</w:t>
      </w:r>
      <w:r>
        <w:rPr>
          <w:rFonts w:ascii="仿宋_GB2312" w:eastAsia="仿宋_GB2312" w:hAnsi="仿宋_GB2312" w:cs="仿宋_GB2312" w:hint="eastAsia"/>
          <w:sz w:val="32"/>
          <w:szCs w:val="32"/>
          <w:highlight w:val="none"/>
        </w:rPr>
        <w:t>进行安全配置梳理以及配置检查，对违规策略进行严格管控，禁止一切未授权的应用访问。</w:t>
      </w:r>
      <w:r>
        <w:rPr>
          <w:rFonts w:ascii="仿宋_GB2312" w:eastAsia="仿宋_GB2312" w:hAnsi="仿宋_GB2312" w:cs="仿宋_GB2312" w:hint="eastAsia"/>
          <w:sz w:val="32"/>
          <w:szCs w:val="32"/>
          <w:lang w:val="en-US" w:eastAsia="zh-CN"/>
        </w:rPr>
        <w:t>（提供服务承诺函）</w:t>
      </w:r>
    </w:p>
    <w:p>
      <w:pPr>
        <w:pStyle w:val="Normal0"/>
        <w:keepNext w:val="0"/>
        <w:keepLines w:val="0"/>
        <w:pageBreakBefore w:val="0"/>
        <w:widowControl w:val="0"/>
        <w:kinsoku/>
        <w:wordWrap/>
        <w:topLinePunct w:val="0"/>
        <w:bidi w:val="0"/>
        <w:snapToGrid/>
        <w:spacing w:line="560" w:lineRule="exact"/>
        <w:ind w:firstLine="640" w:firstLineChars="200"/>
        <w:rPr>
          <w:rFonts w:ascii="仿宋_GB2312" w:eastAsia="仿宋_GB2312" w:hAnsi="仿宋_GB2312" w:cs="仿宋_GB2312" w:hint="eastAsia"/>
          <w:sz w:val="32"/>
          <w:szCs w:val="32"/>
          <w:highlight w:val="none"/>
        </w:rPr>
      </w:pPr>
      <w:r>
        <w:rPr>
          <w:rFonts w:ascii="仿宋_GB2312" w:eastAsia="仿宋_GB2312" w:hAnsi="仿宋_GB2312" w:cs="仿宋_GB2312" w:hint="eastAsia"/>
          <w:sz w:val="32"/>
          <w:szCs w:val="32"/>
          <w:highlight w:val="none"/>
        </w:rPr>
        <w:t>（7）应用系统运行情况监控：对设备上的运行应用进行监控，及时报告和处理应用系统的异常情况。</w:t>
      </w:r>
    </w:p>
    <w:p>
      <w:pPr>
        <w:pStyle w:val="Normal0"/>
        <w:keepNext w:val="0"/>
        <w:keepLines w:val="0"/>
        <w:pageBreakBefore w:val="0"/>
        <w:widowControl w:val="0"/>
        <w:kinsoku/>
        <w:wordWrap/>
        <w:topLinePunct w:val="0"/>
        <w:bidi w:val="0"/>
        <w:snapToGrid/>
        <w:spacing w:line="560" w:lineRule="exact"/>
        <w:ind w:firstLine="640" w:firstLineChars="200"/>
        <w:rPr>
          <w:rFonts w:ascii="仿宋_GB2312" w:eastAsia="仿宋_GB2312" w:hAnsi="仿宋_GB2312" w:cs="仿宋_GB2312" w:hint="eastAsia"/>
          <w:sz w:val="32"/>
          <w:szCs w:val="32"/>
          <w:highlight w:val="none"/>
        </w:rPr>
      </w:pPr>
      <w:r>
        <w:rPr>
          <w:rFonts w:ascii="仿宋_GB2312" w:eastAsia="仿宋_GB2312" w:hAnsi="仿宋_GB2312" w:cs="仿宋_GB2312" w:hint="eastAsia"/>
          <w:sz w:val="32"/>
          <w:szCs w:val="32"/>
          <w:highlight w:val="none"/>
        </w:rPr>
        <w:t>（8）</w:t>
      </w:r>
      <w:r>
        <w:rPr>
          <w:rFonts w:ascii="仿宋_GB2312" w:eastAsia="仿宋_GB2312" w:hAnsi="仿宋_GB2312" w:cs="仿宋_GB2312" w:hint="eastAsia"/>
          <w:sz w:val="32"/>
          <w:szCs w:val="32"/>
          <w:highlight w:val="none"/>
          <w:lang w:val="en-US" w:eastAsia="zh-CN"/>
        </w:rPr>
        <w:t>▲</w:t>
      </w:r>
      <w:r>
        <w:rPr>
          <w:rFonts w:ascii="仿宋_GB2312" w:eastAsia="仿宋_GB2312" w:hAnsi="仿宋_GB2312" w:cs="仿宋_GB2312" w:hint="eastAsia"/>
          <w:sz w:val="32"/>
          <w:szCs w:val="32"/>
          <w:highlight w:val="none"/>
        </w:rPr>
        <w:t>补丁升级：</w:t>
      </w:r>
      <w:r>
        <w:rPr>
          <w:rFonts w:ascii="仿宋_GB2312" w:eastAsia="仿宋_GB2312" w:hAnsi="仿宋_GB2312" w:cs="仿宋_GB2312" w:hint="eastAsia"/>
          <w:sz w:val="32"/>
          <w:szCs w:val="32"/>
          <w:highlight w:val="none"/>
          <w:lang w:val="en-US" w:eastAsia="zh-CN"/>
        </w:rPr>
        <w:t>根据总局系统新版本发布时间，按实际情况进行升级维护，对配套的硬件设备进行补丁修复</w:t>
      </w:r>
      <w:r>
        <w:rPr>
          <w:rFonts w:ascii="仿宋_GB2312" w:eastAsia="仿宋_GB2312" w:hAnsi="仿宋_GB2312" w:cs="仿宋_GB2312" w:hint="eastAsia"/>
          <w:sz w:val="32"/>
          <w:szCs w:val="32"/>
          <w:highlight w:val="none"/>
        </w:rPr>
        <w:t>。</w:t>
      </w:r>
      <w:r>
        <w:rPr>
          <w:rFonts w:ascii="仿宋_GB2312" w:eastAsia="仿宋_GB2312" w:hAnsi="仿宋_GB2312" w:cs="仿宋_GB2312" w:hint="eastAsia"/>
          <w:sz w:val="32"/>
          <w:szCs w:val="32"/>
          <w:lang w:val="en-US" w:eastAsia="zh-CN"/>
        </w:rPr>
        <w:t>（提供服务承诺函）</w:t>
      </w:r>
    </w:p>
    <w:p>
      <w:pPr>
        <w:pStyle w:val="Normal0"/>
        <w:keepNext w:val="0"/>
        <w:keepLines w:val="0"/>
        <w:pageBreakBefore w:val="0"/>
        <w:widowControl w:val="0"/>
        <w:kinsoku/>
        <w:wordWrap/>
        <w:overflowPunct w:val="0"/>
        <w:topLinePunct w:val="0"/>
        <w:autoSpaceDE w:val="0"/>
        <w:autoSpaceDN w:val="0"/>
        <w:bidi w:val="0"/>
        <w:adjustRightInd w:val="0"/>
        <w:snapToGrid/>
        <w:spacing w:line="560" w:lineRule="exact"/>
        <w:ind w:firstLine="640" w:firstLineChars="200"/>
        <w:textAlignment w:val="baseline"/>
        <w:rPr>
          <w:rFonts w:ascii="仿宋_GB2312" w:eastAsia="仿宋_GB2312" w:hAnsi="仿宋_GB2312" w:cs="仿宋_GB2312" w:hint="eastAsia"/>
          <w:sz w:val="32"/>
          <w:szCs w:val="32"/>
          <w:highlight w:val="none"/>
        </w:rPr>
      </w:pPr>
      <w:r>
        <w:rPr>
          <w:rFonts w:ascii="仿宋_GB2312" w:eastAsia="仿宋_GB2312" w:hAnsi="仿宋_GB2312" w:cs="仿宋_GB2312" w:hint="eastAsia"/>
          <w:sz w:val="32"/>
          <w:szCs w:val="32"/>
          <w:highlight w:val="none"/>
        </w:rPr>
        <w:t>（9）双向安全交换系统和密码服务组件系统重要时期安全值守服务：技术加固服务，制定应急响应预案，安全漏洞预警，威胁情报共享，安全事件监控，安全事件处置。</w:t>
      </w:r>
    </w:p>
    <w:p>
      <w:pPr>
        <w:pStyle w:val="Normal0"/>
        <w:keepNext w:val="0"/>
        <w:keepLines w:val="0"/>
        <w:pageBreakBefore w:val="0"/>
        <w:widowControl w:val="0"/>
        <w:kinsoku/>
        <w:wordWrap/>
        <w:topLinePunct w:val="0"/>
        <w:bidi w:val="0"/>
        <w:snapToGrid/>
        <w:spacing w:line="560" w:lineRule="exact"/>
        <w:ind w:firstLine="640" w:firstLineChars="200"/>
        <w:rPr>
          <w:rFonts w:ascii="仿宋_GB2312" w:eastAsia="仿宋_GB2312" w:hAnsi="仿宋_GB2312" w:cs="仿宋_GB2312" w:hint="eastAsia"/>
          <w:sz w:val="32"/>
          <w:szCs w:val="32"/>
          <w:highlight w:val="none"/>
          <w:lang w:val="en-US" w:eastAsia="zh-CN"/>
        </w:rPr>
      </w:pPr>
      <w:r>
        <w:rPr>
          <w:rFonts w:ascii="仿宋_GB2312" w:eastAsia="仿宋_GB2312" w:hAnsi="仿宋_GB2312" w:cs="仿宋_GB2312" w:hint="eastAsia"/>
          <w:sz w:val="32"/>
          <w:szCs w:val="32"/>
          <w:highlight w:val="none"/>
          <w:lang w:val="en-US" w:eastAsia="zh-CN"/>
        </w:rPr>
        <w:t>3.3.6 TCE云平台及云上安全设备及安全系统</w:t>
      </w:r>
    </w:p>
    <w:p>
      <w:pPr>
        <w:pStyle w:val="Normal0"/>
        <w:keepNext w:val="0"/>
        <w:keepLines w:val="0"/>
        <w:pageBreakBefore w:val="0"/>
        <w:widowControl w:val="0"/>
        <w:kinsoku/>
        <w:wordWrap/>
        <w:topLinePunct w:val="0"/>
        <w:bidi w:val="0"/>
        <w:snapToGrid/>
        <w:spacing w:line="560" w:lineRule="exact"/>
        <w:ind w:firstLine="640" w:firstLineChars="200"/>
        <w:rPr>
          <w:rFonts w:ascii="仿宋_GB2312" w:eastAsia="仿宋_GB2312" w:hAnsi="仿宋_GB2312" w:cs="仿宋_GB2312" w:hint="eastAsia"/>
          <w:sz w:val="32"/>
          <w:szCs w:val="32"/>
          <w:highlight w:val="none"/>
          <w:lang w:val="en-US" w:eastAsia="zh-CN"/>
        </w:rPr>
      </w:pPr>
      <w:r>
        <w:rPr>
          <w:rFonts w:ascii="仿宋_GB2312" w:eastAsia="仿宋_GB2312" w:hAnsi="仿宋_GB2312" w:cs="仿宋_GB2312" w:hint="eastAsia"/>
          <w:sz w:val="32"/>
          <w:szCs w:val="32"/>
          <w:highlight w:val="none"/>
          <w:lang w:val="en-US" w:eastAsia="zh-CN"/>
        </w:rPr>
        <w:t>信创云平台互联网区、业务专网区均部署了相关云内安全产品，负责对两个区域信创云内安全产品的日常巡检，运行的可靠性、安全性进行保障。云安全产品的策略优化、规则库升级、设备告警的发现和处置、漏洞的定期扫描及分析等工作，主要包括以下内容：</w:t>
      </w:r>
    </w:p>
    <w:p>
      <w:pPr>
        <w:pStyle w:val="Normal0"/>
        <w:keepNext w:val="0"/>
        <w:keepLines w:val="0"/>
        <w:pageBreakBefore w:val="0"/>
        <w:widowControl w:val="0"/>
        <w:numPr>
          <w:ilvl w:val="0"/>
          <w:numId w:val="8"/>
        </w:numPr>
        <w:kinsoku/>
        <w:wordWrap/>
        <w:topLinePunct w:val="0"/>
        <w:bidi w:val="0"/>
        <w:snapToGrid/>
        <w:spacing w:line="560" w:lineRule="exact"/>
        <w:ind w:firstLine="640" w:firstLineChars="200"/>
        <w:rPr>
          <w:rFonts w:ascii="仿宋_GB2312" w:eastAsia="仿宋_GB2312" w:hAnsi="仿宋_GB2312" w:cs="仿宋_GB2312" w:hint="eastAsia"/>
          <w:sz w:val="32"/>
          <w:szCs w:val="32"/>
          <w:highlight w:val="none"/>
          <w:lang w:val="en-US" w:eastAsia="zh-CN"/>
        </w:rPr>
      </w:pPr>
      <w:r>
        <w:rPr>
          <w:rFonts w:ascii="仿宋_GB2312" w:eastAsia="仿宋_GB2312" w:hAnsi="仿宋_GB2312" w:cs="仿宋_GB2312" w:hint="eastAsia"/>
          <w:sz w:val="32"/>
          <w:szCs w:val="32"/>
          <w:highlight w:val="none"/>
          <w:lang w:val="en-US" w:eastAsia="zh-CN"/>
        </w:rPr>
        <w:t>▲WEB应用防火墙。根据业务系统的运行情况及时优化防护策略、升级规则库，查看攻击日志，分析并处置安全告警，保护云计算平台的 WEB 应用和服务器，确保云计算平台 WEB 应用和服务免受侵害，保障应用系统的稳定运行。</w:t>
      </w:r>
      <w:r>
        <w:rPr>
          <w:rFonts w:ascii="仿宋_GB2312" w:eastAsia="仿宋_GB2312" w:hAnsi="仿宋_GB2312" w:cs="仿宋_GB2312" w:hint="eastAsia"/>
          <w:sz w:val="32"/>
          <w:szCs w:val="32"/>
          <w:lang w:val="en-US" w:eastAsia="zh-CN"/>
        </w:rPr>
        <w:t>（提供服务承诺函）</w:t>
      </w:r>
    </w:p>
    <w:p>
      <w:pPr>
        <w:pStyle w:val="Normal0"/>
        <w:keepNext w:val="0"/>
        <w:keepLines w:val="0"/>
        <w:pageBreakBefore w:val="0"/>
        <w:widowControl w:val="0"/>
        <w:kinsoku/>
        <w:wordWrap/>
        <w:topLinePunct w:val="0"/>
        <w:bidi w:val="0"/>
        <w:snapToGrid/>
        <w:spacing w:line="560" w:lineRule="exact"/>
        <w:ind w:firstLine="640" w:firstLineChars="200"/>
        <w:rPr>
          <w:rFonts w:ascii="仿宋_GB2312" w:eastAsia="仿宋_GB2312" w:hAnsi="仿宋_GB2312" w:cs="仿宋_GB2312" w:hint="eastAsia"/>
          <w:sz w:val="32"/>
          <w:szCs w:val="32"/>
          <w:highlight w:val="none"/>
          <w:lang w:val="en-US" w:eastAsia="zh-CN"/>
        </w:rPr>
      </w:pPr>
      <w:r>
        <w:rPr>
          <w:rFonts w:ascii="仿宋_GB2312" w:eastAsia="仿宋_GB2312" w:hAnsi="仿宋_GB2312" w:cs="仿宋_GB2312" w:hint="eastAsia"/>
          <w:sz w:val="32"/>
          <w:szCs w:val="32"/>
          <w:highlight w:val="none"/>
          <w:lang w:val="en-US" w:eastAsia="zh-CN"/>
        </w:rPr>
        <w:t>（2）▲主机安全（云镜）。监控 CVM 主机的云镜 agent 安装情况，在线/离线情况，如存在未安装客户端以及客户端离线的主机，需确认客户端未安装原因、客户端离线原因。</w:t>
      </w:r>
      <w:r>
        <w:rPr>
          <w:rFonts w:ascii="仿宋_GB2312" w:eastAsia="仿宋_GB2312" w:hAnsi="仿宋_GB2312" w:cs="仿宋_GB2312" w:hint="eastAsia"/>
          <w:sz w:val="32"/>
          <w:szCs w:val="32"/>
          <w:lang w:val="en-US" w:eastAsia="zh-CN"/>
        </w:rPr>
        <w:t>（提供服务承诺函）</w:t>
      </w:r>
    </w:p>
    <w:p>
      <w:pPr>
        <w:pStyle w:val="Normal0"/>
        <w:keepNext w:val="0"/>
        <w:keepLines w:val="0"/>
        <w:pageBreakBefore w:val="0"/>
        <w:widowControl w:val="0"/>
        <w:kinsoku/>
        <w:wordWrap/>
        <w:topLinePunct w:val="0"/>
        <w:bidi w:val="0"/>
        <w:snapToGrid/>
        <w:spacing w:line="560" w:lineRule="exact"/>
        <w:ind w:firstLine="640" w:firstLineChars="200"/>
        <w:rPr>
          <w:rFonts w:ascii="仿宋_GB2312" w:eastAsia="仿宋_GB2312" w:hAnsi="仿宋_GB2312" w:cs="仿宋_GB2312" w:hint="eastAsia"/>
          <w:sz w:val="32"/>
          <w:szCs w:val="32"/>
          <w:highlight w:val="none"/>
          <w:lang w:val="en-US" w:eastAsia="zh-CN"/>
        </w:rPr>
      </w:pPr>
      <w:r>
        <w:rPr>
          <w:rFonts w:ascii="仿宋_GB2312" w:eastAsia="仿宋_GB2312" w:hAnsi="仿宋_GB2312" w:cs="仿宋_GB2312" w:hint="eastAsia"/>
          <w:sz w:val="32"/>
          <w:szCs w:val="32"/>
          <w:highlight w:val="none"/>
          <w:lang w:val="en-US" w:eastAsia="zh-CN"/>
        </w:rPr>
        <w:t>监控文件查杀、异常登录、密码破解、本地提权、反弹 shell、高危命令等告警情况，根据安全告警情况，及时进行分析、处置以及上报。</w:t>
      </w:r>
    </w:p>
    <w:p>
      <w:pPr>
        <w:pStyle w:val="Normal0"/>
        <w:keepNext w:val="0"/>
        <w:keepLines w:val="0"/>
        <w:pageBreakBefore w:val="0"/>
        <w:widowControl w:val="0"/>
        <w:kinsoku/>
        <w:wordWrap/>
        <w:topLinePunct w:val="0"/>
        <w:bidi w:val="0"/>
        <w:snapToGrid/>
        <w:spacing w:line="560" w:lineRule="exact"/>
        <w:ind w:firstLine="640" w:firstLineChars="200"/>
        <w:rPr>
          <w:rFonts w:ascii="仿宋_GB2312" w:eastAsia="仿宋_GB2312" w:hAnsi="仿宋_GB2312" w:cs="仿宋_GB2312" w:hint="eastAsia"/>
          <w:sz w:val="32"/>
          <w:szCs w:val="32"/>
          <w:highlight w:val="none"/>
          <w:lang w:val="en-US" w:eastAsia="zh-CN"/>
        </w:rPr>
      </w:pPr>
      <w:r>
        <w:rPr>
          <w:rFonts w:ascii="仿宋_GB2312" w:eastAsia="仿宋_GB2312" w:hAnsi="仿宋_GB2312" w:cs="仿宋_GB2312" w:hint="eastAsia"/>
          <w:sz w:val="32"/>
          <w:szCs w:val="32"/>
          <w:highlight w:val="none"/>
          <w:lang w:val="en-US" w:eastAsia="zh-CN"/>
        </w:rPr>
        <w:t>监控漏洞情况，根据漏洞统计情况，及时进行处置以及上报局方、各应用厂商进行漏洞修复。</w:t>
      </w:r>
    </w:p>
    <w:p>
      <w:pPr>
        <w:pStyle w:val="Normal0"/>
        <w:keepNext w:val="0"/>
        <w:keepLines w:val="0"/>
        <w:pageBreakBefore w:val="0"/>
        <w:widowControl w:val="0"/>
        <w:kinsoku/>
        <w:wordWrap/>
        <w:topLinePunct w:val="0"/>
        <w:bidi w:val="0"/>
        <w:snapToGrid/>
        <w:spacing w:line="560" w:lineRule="exact"/>
        <w:ind w:firstLine="640" w:firstLineChars="200"/>
        <w:rPr>
          <w:rFonts w:ascii="仿宋_GB2312" w:eastAsia="仿宋_GB2312" w:hAnsi="仿宋_GB2312" w:cs="仿宋_GB2312" w:hint="eastAsia"/>
          <w:sz w:val="32"/>
          <w:szCs w:val="32"/>
          <w:highlight w:val="none"/>
          <w:lang w:val="en-US" w:eastAsia="zh-CN"/>
        </w:rPr>
      </w:pPr>
      <w:r>
        <w:rPr>
          <w:rFonts w:ascii="仿宋_GB2312" w:eastAsia="仿宋_GB2312" w:hAnsi="仿宋_GB2312" w:cs="仿宋_GB2312" w:hint="eastAsia"/>
          <w:sz w:val="32"/>
          <w:szCs w:val="32"/>
          <w:highlight w:val="none"/>
          <w:lang w:val="en-US" w:eastAsia="zh-CN"/>
        </w:rPr>
        <w:t>（3）▲高级威胁检测系统。监控分析并处置安全事件，根据攻击告警信息发现恶意攻击和潜在威胁，及时分析、处置以及上报局方，协助对攻击事件进行分析和溯源，同时定期升级规则库，保证规则库的最新。</w:t>
      </w:r>
      <w:r>
        <w:rPr>
          <w:rFonts w:ascii="仿宋_GB2312" w:eastAsia="仿宋_GB2312" w:hAnsi="仿宋_GB2312" w:cs="仿宋_GB2312" w:hint="eastAsia"/>
          <w:sz w:val="32"/>
          <w:szCs w:val="32"/>
          <w:lang w:val="en-US" w:eastAsia="zh-CN"/>
        </w:rPr>
        <w:t>（提供服务承诺函）</w:t>
      </w:r>
    </w:p>
    <w:p>
      <w:pPr>
        <w:pStyle w:val="Normal0"/>
        <w:keepNext w:val="0"/>
        <w:keepLines w:val="0"/>
        <w:pageBreakBefore w:val="0"/>
        <w:widowControl w:val="0"/>
        <w:kinsoku/>
        <w:wordWrap/>
        <w:topLinePunct w:val="0"/>
        <w:bidi w:val="0"/>
        <w:snapToGrid/>
        <w:spacing w:line="560" w:lineRule="exact"/>
        <w:ind w:firstLine="640" w:firstLineChars="200"/>
        <w:rPr>
          <w:rFonts w:ascii="仿宋_GB2312" w:eastAsia="仿宋_GB2312" w:hAnsi="仿宋_GB2312" w:cs="仿宋_GB2312" w:hint="eastAsia"/>
          <w:b/>
          <w:bCs/>
          <w:sz w:val="32"/>
          <w:szCs w:val="32"/>
          <w:highlight w:val="none"/>
          <w:lang w:val="en-US" w:eastAsia="zh-CN"/>
        </w:rPr>
      </w:pPr>
      <w:r>
        <w:rPr>
          <w:rFonts w:ascii="仿宋_GB2312" w:eastAsia="仿宋_GB2312" w:hAnsi="仿宋_GB2312" w:cs="仿宋_GB2312" w:hint="eastAsia"/>
          <w:sz w:val="32"/>
          <w:szCs w:val="32"/>
          <w:highlight w:val="none"/>
          <w:lang w:val="en-US" w:eastAsia="zh-CN"/>
        </w:rPr>
        <w:t>（4）▲网络入侵防护系统。根据业务系统的访问情况优化规则库，对域名、URL、Cookie、Referer 等字段进行精准访问控制，同时针对0day 漏洞等最新漏洞来不及打补丁情况下进行临时添加热补丁策略先拦截阻断，再推进漏洞修复。</w:t>
      </w:r>
      <w:r>
        <w:rPr>
          <w:rFonts w:ascii="仿宋_GB2312" w:eastAsia="仿宋_GB2312" w:hAnsi="仿宋_GB2312" w:cs="仿宋_GB2312" w:hint="eastAsia"/>
          <w:sz w:val="32"/>
          <w:szCs w:val="32"/>
          <w:lang w:val="en-US" w:eastAsia="zh-CN"/>
        </w:rPr>
        <w:t>（提供服务承诺函）</w:t>
      </w:r>
    </w:p>
    <w:p>
      <w:pPr>
        <w:pStyle w:val="Normal0"/>
        <w:keepNext w:val="0"/>
        <w:keepLines w:val="0"/>
        <w:pageBreakBefore w:val="0"/>
        <w:widowControl w:val="0"/>
        <w:kinsoku/>
        <w:wordWrap/>
        <w:topLinePunct w:val="0"/>
        <w:bidi w:val="0"/>
        <w:snapToGrid/>
        <w:spacing w:line="560" w:lineRule="exact"/>
        <w:ind w:firstLine="640" w:firstLineChars="200"/>
        <w:rPr>
          <w:rFonts w:ascii="仿宋_GB2312" w:eastAsia="仿宋_GB2312" w:hAnsi="仿宋_GB2312" w:cs="仿宋_GB2312" w:hint="eastAsia"/>
          <w:sz w:val="32"/>
          <w:szCs w:val="32"/>
          <w:highlight w:val="none"/>
          <w:lang w:val="en-US" w:eastAsia="zh-CN"/>
        </w:rPr>
      </w:pPr>
      <w:r>
        <w:rPr>
          <w:rFonts w:ascii="仿宋_GB2312" w:eastAsia="仿宋_GB2312" w:hAnsi="仿宋_GB2312" w:cs="仿宋_GB2312" w:hint="eastAsia"/>
          <w:sz w:val="32"/>
          <w:szCs w:val="32"/>
          <w:highlight w:val="none"/>
          <w:lang w:val="en-US" w:eastAsia="zh-CN"/>
        </w:rPr>
        <w:t>（5）▲安全运营中心（SOC）。实时监测安全运营中心的告警事件，定期对租户面的外部攻击和内部潜在风险进行深度检测，及时处置发现的告警事件，提高日志关联分析、威胁情报、态势感知能力。</w:t>
      </w:r>
      <w:r>
        <w:rPr>
          <w:rFonts w:ascii="仿宋_GB2312" w:eastAsia="仿宋_GB2312" w:hAnsi="仿宋_GB2312" w:cs="仿宋_GB2312" w:hint="eastAsia"/>
          <w:sz w:val="32"/>
          <w:szCs w:val="32"/>
          <w:lang w:val="en-US" w:eastAsia="zh-CN"/>
        </w:rPr>
        <w:t>（提供服务承诺函）</w:t>
      </w:r>
    </w:p>
    <w:p>
      <w:pPr>
        <w:pStyle w:val="Normal0"/>
        <w:keepNext w:val="0"/>
        <w:keepLines w:val="0"/>
        <w:pageBreakBefore w:val="0"/>
        <w:widowControl w:val="0"/>
        <w:kinsoku/>
        <w:wordWrap/>
        <w:overflowPunct w:val="0"/>
        <w:topLinePunct w:val="0"/>
        <w:autoSpaceDE w:val="0"/>
        <w:autoSpaceDN w:val="0"/>
        <w:bidi w:val="0"/>
        <w:adjustRightInd w:val="0"/>
        <w:snapToGrid/>
        <w:spacing w:line="560" w:lineRule="exact"/>
        <w:ind w:firstLine="640" w:firstLineChars="200"/>
        <w:textAlignment w:val="baseline"/>
        <w:rPr>
          <w:rFonts w:ascii="仿宋_GB2312" w:eastAsia="仿宋_GB2312" w:hAnsi="仿宋_GB2312" w:cs="仿宋_GB2312" w:hint="eastAsia"/>
          <w:sz w:val="32"/>
          <w:szCs w:val="32"/>
          <w:highlight w:val="none"/>
          <w:lang w:val="en-US" w:eastAsia="zh-CN"/>
        </w:rPr>
      </w:pPr>
      <w:r>
        <w:rPr>
          <w:rFonts w:ascii="仿宋_GB2312" w:eastAsia="仿宋_GB2312" w:hAnsi="仿宋_GB2312" w:cs="仿宋_GB2312" w:hint="eastAsia"/>
          <w:sz w:val="32"/>
          <w:szCs w:val="32"/>
          <w:highlight w:val="none"/>
          <w:lang w:val="en-US" w:eastAsia="zh-CN"/>
        </w:rPr>
        <w:t>（6）▲云防火墙。实时监测云防火墙运行情况，并根据业务访问需求，配置访问控制策略。</w:t>
      </w:r>
      <w:r>
        <w:rPr>
          <w:rFonts w:ascii="仿宋_GB2312" w:eastAsia="仿宋_GB2312" w:hAnsi="仿宋_GB2312" w:cs="仿宋_GB2312" w:hint="eastAsia"/>
          <w:sz w:val="32"/>
          <w:szCs w:val="32"/>
          <w:lang w:val="en-US" w:eastAsia="zh-CN"/>
        </w:rPr>
        <w:t>（提供服务承诺函）</w:t>
      </w:r>
    </w:p>
    <w:p>
      <w:pPr>
        <w:pStyle w:val="Normal0"/>
        <w:keepNext w:val="0"/>
        <w:keepLines w:val="0"/>
        <w:pageBreakBefore w:val="0"/>
        <w:widowControl w:val="0"/>
        <w:kinsoku/>
        <w:wordWrap/>
        <w:topLinePunct w:val="0"/>
        <w:bidi w:val="0"/>
        <w:snapToGrid/>
        <w:spacing w:line="560" w:lineRule="exact"/>
        <w:ind w:firstLine="640" w:firstLineChars="200"/>
        <w:rPr>
          <w:rFonts w:ascii="仿宋_GB2312" w:eastAsia="仿宋_GB2312" w:hAnsi="仿宋_GB2312" w:cs="仿宋_GB2312" w:hint="eastAsia"/>
          <w:sz w:val="32"/>
          <w:szCs w:val="32"/>
          <w:highlight w:val="none"/>
          <w:lang w:val="en-US" w:eastAsia="zh-CN"/>
        </w:rPr>
      </w:pPr>
      <w:r>
        <w:rPr>
          <w:rFonts w:ascii="仿宋_GB2312" w:eastAsia="仿宋_GB2312" w:hAnsi="仿宋_GB2312" w:cs="仿宋_GB2312" w:hint="eastAsia"/>
          <w:sz w:val="32"/>
          <w:szCs w:val="32"/>
          <w:highlight w:val="none"/>
          <w:lang w:val="en-US" w:eastAsia="zh-CN"/>
        </w:rPr>
        <w:t>（7）▲云上漏洞扫描。每月利用云上漏洞扫描工具对云上服务器、中间件、容器等进行漏洞扫描，并提供漏洞统计、漏洞分类、漏洞详情等信息，并对漏洞情况进行交接、修复验证等工作。</w:t>
      </w:r>
      <w:r>
        <w:rPr>
          <w:rFonts w:ascii="仿宋_GB2312" w:eastAsia="仿宋_GB2312" w:hAnsi="仿宋_GB2312" w:cs="仿宋_GB2312" w:hint="eastAsia"/>
          <w:sz w:val="32"/>
          <w:szCs w:val="32"/>
          <w:lang w:val="en-US" w:eastAsia="zh-CN"/>
        </w:rPr>
        <w:t>（提供服务承诺函）</w:t>
      </w:r>
    </w:p>
    <w:p>
      <w:pPr>
        <w:pStyle w:val="Normal0"/>
        <w:keepNext w:val="0"/>
        <w:keepLines w:val="0"/>
        <w:pageBreakBefore w:val="0"/>
        <w:widowControl w:val="0"/>
        <w:kinsoku/>
        <w:wordWrap/>
        <w:topLinePunct w:val="0"/>
        <w:bidi w:val="0"/>
        <w:snapToGrid/>
        <w:spacing w:line="560" w:lineRule="exact"/>
        <w:ind w:firstLine="640" w:firstLineChars="200"/>
        <w:rPr>
          <w:rFonts w:ascii="仿宋_GB2312" w:eastAsia="仿宋_GB2312" w:hAnsi="仿宋_GB2312" w:cs="仿宋_GB2312" w:hint="eastAsia"/>
          <w:sz w:val="32"/>
          <w:szCs w:val="32"/>
          <w:highlight w:val="none"/>
          <w:lang w:val="en-US" w:eastAsia="zh-CN"/>
        </w:rPr>
      </w:pPr>
      <w:r>
        <w:rPr>
          <w:rFonts w:ascii="仿宋_GB2312" w:eastAsia="仿宋_GB2312" w:hAnsi="仿宋_GB2312" w:cs="仿宋_GB2312" w:hint="eastAsia"/>
          <w:sz w:val="32"/>
          <w:szCs w:val="32"/>
          <w:highlight w:val="none"/>
          <w:lang w:val="en-US" w:eastAsia="zh-CN"/>
        </w:rPr>
        <w:t>（8）▲对云桌面系统进行运行维护，升级系统、补丁更新、策略下发及问题处理等工作，保证云桌面的稳定运行。</w:t>
      </w:r>
      <w:r>
        <w:rPr>
          <w:rFonts w:ascii="仿宋_GB2312" w:eastAsia="仿宋_GB2312" w:hAnsi="仿宋_GB2312" w:cs="仿宋_GB2312" w:hint="eastAsia"/>
          <w:sz w:val="32"/>
          <w:szCs w:val="32"/>
          <w:lang w:val="en-US" w:eastAsia="zh-CN"/>
        </w:rPr>
        <w:t>（提供服务承诺函）</w:t>
      </w:r>
    </w:p>
    <w:p>
      <w:pPr>
        <w:pStyle w:val="Normal0"/>
        <w:keepNext w:val="0"/>
        <w:keepLines w:val="0"/>
        <w:pageBreakBefore w:val="0"/>
        <w:widowControl w:val="0"/>
        <w:kinsoku/>
        <w:wordWrap/>
        <w:topLinePunct w:val="0"/>
        <w:bidi w:val="0"/>
        <w:snapToGrid/>
        <w:spacing w:line="560" w:lineRule="exact"/>
        <w:ind w:firstLine="640" w:firstLineChars="200"/>
        <w:rPr>
          <w:rFonts w:ascii="仿宋_GB2312" w:eastAsia="仿宋_GB2312" w:hAnsi="仿宋_GB2312" w:cs="仿宋_GB2312" w:hint="eastAsia"/>
          <w:sz w:val="32"/>
          <w:szCs w:val="32"/>
          <w:highlight w:val="none"/>
          <w:lang w:val="en-US" w:eastAsia="zh-CN"/>
        </w:rPr>
      </w:pPr>
      <w:r>
        <w:rPr>
          <w:rFonts w:ascii="仿宋_GB2312" w:eastAsia="仿宋_GB2312" w:hAnsi="仿宋_GB2312" w:cs="仿宋_GB2312" w:hint="eastAsia"/>
          <w:sz w:val="32"/>
          <w:szCs w:val="32"/>
          <w:highlight w:val="none"/>
          <w:lang w:val="en-US" w:eastAsia="zh-CN"/>
        </w:rPr>
        <w:t>3.3.7 安全管理平台及其延展的网络安全系统</w:t>
      </w:r>
    </w:p>
    <w:p>
      <w:pPr>
        <w:pStyle w:val="Normal0"/>
        <w:keepNext w:val="0"/>
        <w:keepLines w:val="0"/>
        <w:pageBreakBefore w:val="0"/>
        <w:widowControl w:val="0"/>
        <w:kinsoku/>
        <w:wordWrap/>
        <w:topLinePunct w:val="0"/>
        <w:bidi w:val="0"/>
        <w:snapToGrid/>
        <w:spacing w:line="560" w:lineRule="exact"/>
        <w:ind w:firstLine="640" w:firstLineChars="200"/>
        <w:rPr>
          <w:rFonts w:ascii="仿宋_GB2312" w:eastAsia="仿宋_GB2312" w:hAnsi="仿宋_GB2312" w:cs="仿宋_GB2312" w:hint="eastAsia"/>
          <w:sz w:val="32"/>
          <w:szCs w:val="32"/>
          <w:highlight w:val="none"/>
          <w:lang w:val="en-US" w:eastAsia="zh-CN"/>
        </w:rPr>
      </w:pPr>
      <w:r>
        <w:rPr>
          <w:rFonts w:ascii="仿宋_GB2312" w:eastAsia="仿宋_GB2312" w:hAnsi="仿宋_GB2312" w:cs="仿宋_GB2312" w:hint="eastAsia"/>
          <w:sz w:val="32"/>
          <w:szCs w:val="32"/>
          <w:highlight w:val="none"/>
          <w:lang w:val="en-US" w:eastAsia="zh-CN"/>
        </w:rPr>
        <w:t>需要对安全管理平台的功能包括资产管理、安全态势分析、安全防护、检测评估、监测预警、主动防御、事件处置、知识库管理等工作进行维护，包括但不限于：</w:t>
      </w:r>
    </w:p>
    <w:p>
      <w:pPr>
        <w:pStyle w:val="Normal0"/>
        <w:keepNext w:val="0"/>
        <w:keepLines w:val="0"/>
        <w:pageBreakBefore w:val="0"/>
        <w:widowControl w:val="0"/>
        <w:kinsoku/>
        <w:wordWrap/>
        <w:topLinePunct w:val="0"/>
        <w:bidi w:val="0"/>
        <w:snapToGrid/>
        <w:spacing w:line="560" w:lineRule="exact"/>
        <w:ind w:firstLine="640" w:firstLineChars="200"/>
        <w:rPr>
          <w:rFonts w:ascii="仿宋_GB2312" w:eastAsia="仿宋_GB2312" w:hAnsi="仿宋_GB2312" w:cs="仿宋_GB2312" w:hint="eastAsia"/>
          <w:sz w:val="32"/>
          <w:szCs w:val="32"/>
          <w:highlight w:val="none"/>
          <w:lang w:val="en-US" w:eastAsia="zh-CN"/>
        </w:rPr>
      </w:pPr>
      <w:r>
        <w:rPr>
          <w:rFonts w:ascii="仿宋_GB2312" w:eastAsia="仿宋_GB2312" w:hAnsi="仿宋_GB2312" w:cs="仿宋_GB2312" w:hint="eastAsia"/>
          <w:sz w:val="32"/>
          <w:szCs w:val="32"/>
          <w:highlight w:val="none"/>
          <w:lang w:val="en-US" w:eastAsia="zh-CN"/>
        </w:rPr>
        <w:t>（1）协助采购人及时维护信息系统、资产、用户等信息完整、准确，能够第一时间发现并协助定位受威胁资产。</w:t>
      </w:r>
    </w:p>
    <w:p>
      <w:pPr>
        <w:pStyle w:val="Normal0"/>
        <w:keepNext w:val="0"/>
        <w:keepLines w:val="0"/>
        <w:pageBreakBefore w:val="0"/>
        <w:widowControl w:val="0"/>
        <w:kinsoku/>
        <w:wordWrap/>
        <w:topLinePunct w:val="0"/>
        <w:bidi w:val="0"/>
        <w:snapToGrid/>
        <w:spacing w:line="560" w:lineRule="exact"/>
        <w:ind w:firstLine="640" w:firstLineChars="200"/>
        <w:rPr>
          <w:rFonts w:ascii="仿宋_GB2312" w:eastAsia="仿宋_GB2312" w:hAnsi="仿宋_GB2312" w:cs="仿宋_GB2312" w:hint="eastAsia"/>
          <w:sz w:val="32"/>
          <w:szCs w:val="32"/>
          <w:highlight w:val="none"/>
          <w:lang w:val="en-US" w:eastAsia="zh-CN"/>
        </w:rPr>
      </w:pPr>
      <w:r>
        <w:rPr>
          <w:rFonts w:ascii="仿宋_GB2312" w:eastAsia="仿宋_GB2312" w:hAnsi="仿宋_GB2312" w:cs="仿宋_GB2312" w:hint="eastAsia"/>
          <w:sz w:val="32"/>
          <w:szCs w:val="32"/>
          <w:highlight w:val="none"/>
          <w:lang w:val="en-US" w:eastAsia="zh-CN"/>
        </w:rPr>
        <w:t>（2）每月开展不少于1次的漏洞扫描和基线核查。</w:t>
      </w:r>
    </w:p>
    <w:p>
      <w:pPr>
        <w:pStyle w:val="Normal0"/>
        <w:keepNext w:val="0"/>
        <w:keepLines w:val="0"/>
        <w:pageBreakBefore w:val="0"/>
        <w:widowControl w:val="0"/>
        <w:kinsoku/>
        <w:wordWrap/>
        <w:topLinePunct w:val="0"/>
        <w:bidi w:val="0"/>
        <w:snapToGrid/>
        <w:spacing w:line="560" w:lineRule="exact"/>
        <w:ind w:firstLine="640" w:firstLineChars="200"/>
        <w:rPr>
          <w:rFonts w:ascii="仿宋_GB2312" w:eastAsia="仿宋_GB2312" w:hAnsi="仿宋_GB2312" w:cs="仿宋_GB2312" w:hint="eastAsia"/>
          <w:sz w:val="32"/>
          <w:szCs w:val="32"/>
          <w:highlight w:val="none"/>
          <w:lang w:val="en-US" w:eastAsia="zh-CN"/>
        </w:rPr>
      </w:pPr>
      <w:r>
        <w:rPr>
          <w:rFonts w:ascii="仿宋_GB2312" w:eastAsia="仿宋_GB2312" w:hAnsi="仿宋_GB2312" w:cs="仿宋_GB2312" w:hint="eastAsia"/>
          <w:sz w:val="32"/>
          <w:szCs w:val="32"/>
          <w:highlight w:val="none"/>
          <w:lang w:val="en-US" w:eastAsia="zh-CN"/>
        </w:rPr>
        <w:t>（3）做好岗位和工作流程配置、按期反馈通知通告内容、及时查阅风险提示。</w:t>
      </w:r>
    </w:p>
    <w:p>
      <w:pPr>
        <w:pStyle w:val="Normal0"/>
        <w:keepNext w:val="0"/>
        <w:keepLines w:val="0"/>
        <w:pageBreakBefore w:val="0"/>
        <w:widowControl w:val="0"/>
        <w:kinsoku/>
        <w:wordWrap/>
        <w:topLinePunct w:val="0"/>
        <w:bidi w:val="0"/>
        <w:snapToGrid/>
        <w:spacing w:line="560" w:lineRule="exact"/>
        <w:ind w:firstLine="640" w:firstLineChars="200"/>
        <w:rPr>
          <w:rFonts w:ascii="仿宋_GB2312" w:eastAsia="仿宋_GB2312" w:hAnsi="仿宋_GB2312" w:cs="仿宋_GB2312" w:hint="eastAsia"/>
          <w:sz w:val="32"/>
          <w:szCs w:val="32"/>
          <w:highlight w:val="none"/>
          <w:lang w:val="en-US" w:eastAsia="zh-CN"/>
        </w:rPr>
      </w:pPr>
      <w:r>
        <w:rPr>
          <w:rFonts w:ascii="仿宋_GB2312" w:eastAsia="仿宋_GB2312" w:hAnsi="仿宋_GB2312" w:cs="仿宋_GB2312" w:hint="eastAsia"/>
          <w:sz w:val="32"/>
          <w:szCs w:val="32"/>
          <w:highlight w:val="none"/>
          <w:lang w:val="en-US" w:eastAsia="zh-CN"/>
        </w:rPr>
        <w:t>（4）▲实时监测金四案管平台，发现网络和数据安全风险及时推送处置。</w:t>
      </w:r>
      <w:r>
        <w:rPr>
          <w:rFonts w:ascii="仿宋_GB2312" w:eastAsia="仿宋_GB2312" w:hAnsi="仿宋_GB2312" w:cs="仿宋_GB2312" w:hint="eastAsia"/>
          <w:sz w:val="32"/>
          <w:szCs w:val="32"/>
          <w:lang w:val="en-US" w:eastAsia="zh-CN"/>
        </w:rPr>
        <w:t>（提供服务承诺函）</w:t>
      </w:r>
    </w:p>
    <w:p>
      <w:pPr>
        <w:pStyle w:val="Normal0"/>
        <w:keepNext w:val="0"/>
        <w:keepLines w:val="0"/>
        <w:pageBreakBefore w:val="0"/>
        <w:widowControl w:val="0"/>
        <w:kinsoku/>
        <w:wordWrap/>
        <w:topLinePunct w:val="0"/>
        <w:bidi w:val="0"/>
        <w:snapToGrid/>
        <w:spacing w:line="560" w:lineRule="exact"/>
        <w:ind w:firstLine="640" w:firstLineChars="200"/>
        <w:rPr>
          <w:rFonts w:ascii="仿宋_GB2312" w:eastAsia="仿宋_GB2312" w:hAnsi="仿宋_GB2312" w:cs="仿宋_GB2312" w:hint="eastAsia"/>
          <w:sz w:val="32"/>
          <w:szCs w:val="32"/>
          <w:highlight w:val="none"/>
          <w:lang w:val="en-US" w:eastAsia="zh-CN"/>
        </w:rPr>
      </w:pPr>
      <w:r>
        <w:rPr>
          <w:rFonts w:ascii="仿宋_GB2312" w:eastAsia="仿宋_GB2312" w:hAnsi="仿宋_GB2312" w:cs="仿宋_GB2312" w:hint="eastAsia"/>
          <w:sz w:val="32"/>
          <w:szCs w:val="32"/>
          <w:highlight w:val="none"/>
          <w:lang w:val="en-US" w:eastAsia="zh-CN"/>
        </w:rPr>
        <w:t>（5）▲及时做好风险预警分析研判及事件处置，保证风险任务闭环管理。</w:t>
      </w:r>
      <w:r>
        <w:rPr>
          <w:rFonts w:ascii="仿宋_GB2312" w:eastAsia="仿宋_GB2312" w:hAnsi="仿宋_GB2312" w:cs="仿宋_GB2312" w:hint="eastAsia"/>
          <w:sz w:val="32"/>
          <w:szCs w:val="32"/>
          <w:lang w:val="en-US" w:eastAsia="zh-CN"/>
        </w:rPr>
        <w:t>（提供服务承诺函）</w:t>
      </w:r>
    </w:p>
    <w:p>
      <w:pPr>
        <w:pStyle w:val="Normal0"/>
        <w:keepNext w:val="0"/>
        <w:keepLines w:val="0"/>
        <w:pageBreakBefore w:val="0"/>
        <w:widowControl w:val="0"/>
        <w:kinsoku/>
        <w:wordWrap/>
        <w:topLinePunct w:val="0"/>
        <w:bidi w:val="0"/>
        <w:snapToGrid/>
        <w:spacing w:line="560" w:lineRule="exact"/>
        <w:ind w:firstLine="640" w:firstLineChars="200"/>
        <w:rPr>
          <w:rFonts w:ascii="仿宋_GB2312" w:eastAsia="仿宋_GB2312" w:hAnsi="仿宋_GB2312" w:cs="仿宋_GB2312" w:hint="eastAsia"/>
          <w:sz w:val="32"/>
          <w:szCs w:val="32"/>
          <w:highlight w:val="none"/>
          <w:lang w:val="en-US" w:eastAsia="zh-CN"/>
        </w:rPr>
      </w:pPr>
      <w:r>
        <w:rPr>
          <w:rFonts w:ascii="仿宋_GB2312" w:eastAsia="仿宋_GB2312" w:hAnsi="仿宋_GB2312" w:cs="仿宋_GB2312" w:hint="eastAsia"/>
          <w:sz w:val="32"/>
          <w:szCs w:val="32"/>
          <w:highlight w:val="none"/>
          <w:lang w:val="en-US" w:eastAsia="zh-CN"/>
        </w:rPr>
        <w:t>（6）▲研究“云、网、端、管”扩围对接。协助采购人开展全网段全量安全防护设备的SNMP和Syslog对接，监控安全设备运行状态，监控分析内外部安全风险。</w:t>
      </w:r>
      <w:r>
        <w:rPr>
          <w:rFonts w:ascii="仿宋_GB2312" w:eastAsia="仿宋_GB2312" w:hAnsi="仿宋_GB2312" w:cs="仿宋_GB2312" w:hint="eastAsia"/>
          <w:sz w:val="32"/>
          <w:szCs w:val="32"/>
          <w:lang w:val="en-US" w:eastAsia="zh-CN"/>
        </w:rPr>
        <w:t>（提供服务承诺函）</w:t>
      </w:r>
    </w:p>
    <w:p>
      <w:pPr>
        <w:pStyle w:val="Normal0"/>
        <w:keepNext w:val="0"/>
        <w:keepLines w:val="0"/>
        <w:pageBreakBefore w:val="0"/>
        <w:widowControl w:val="0"/>
        <w:kinsoku/>
        <w:wordWrap/>
        <w:overflowPunct w:val="0"/>
        <w:topLinePunct w:val="0"/>
        <w:autoSpaceDE w:val="0"/>
        <w:autoSpaceDN w:val="0"/>
        <w:bidi w:val="0"/>
        <w:adjustRightInd w:val="0"/>
        <w:snapToGrid/>
        <w:spacing w:line="560" w:lineRule="exact"/>
        <w:ind w:firstLine="640" w:firstLineChars="200"/>
        <w:textAlignment w:val="baseline"/>
        <w:rPr>
          <w:rFonts w:ascii="仿宋_GB2312" w:eastAsia="仿宋_GB2312" w:hAnsi="仿宋_GB2312" w:cs="仿宋_GB2312" w:hint="eastAsia"/>
          <w:sz w:val="32"/>
          <w:szCs w:val="32"/>
          <w:highlight w:val="none"/>
          <w:lang w:val="en-US" w:eastAsia="zh-CN"/>
        </w:rPr>
      </w:pPr>
      <w:r>
        <w:rPr>
          <w:rFonts w:ascii="仿宋_GB2312" w:eastAsia="仿宋_GB2312" w:hAnsi="仿宋_GB2312" w:cs="仿宋_GB2312" w:hint="eastAsia"/>
          <w:sz w:val="32"/>
          <w:szCs w:val="32"/>
          <w:highlight w:val="none"/>
          <w:lang w:val="en-US" w:eastAsia="zh-CN"/>
        </w:rPr>
        <w:t>（7）▲研究“外防攻击、内防窃数”优质技术手段。按照采购人要求，对生成“外防攻击、内防窃数”信息的数据源进行梳理，协助采购人搭建规则模型，并持续优化完善。</w:t>
      </w:r>
      <w:r>
        <w:rPr>
          <w:rFonts w:ascii="仿宋_GB2312" w:eastAsia="仿宋_GB2312" w:hAnsi="仿宋_GB2312" w:cs="仿宋_GB2312" w:hint="eastAsia"/>
          <w:sz w:val="32"/>
          <w:szCs w:val="32"/>
          <w:lang w:val="en-US" w:eastAsia="zh-CN"/>
        </w:rPr>
        <w:t>（提供服务承诺函）</w:t>
      </w:r>
    </w:p>
    <w:p>
      <w:pPr>
        <w:pStyle w:val="Normal0"/>
        <w:keepNext w:val="0"/>
        <w:keepLines w:val="0"/>
        <w:pageBreakBefore w:val="0"/>
        <w:widowControl w:val="0"/>
        <w:kinsoku/>
        <w:wordWrap/>
        <w:topLinePunct w:val="0"/>
        <w:bidi w:val="0"/>
        <w:snapToGrid/>
        <w:spacing w:line="560" w:lineRule="exact"/>
        <w:ind w:firstLine="640" w:firstLineChars="200"/>
        <w:rPr>
          <w:rFonts w:ascii="仿宋_GB2312" w:eastAsia="仿宋_GB2312" w:hAnsi="仿宋_GB2312" w:cs="仿宋_GB2312" w:hint="eastAsia"/>
          <w:sz w:val="32"/>
          <w:szCs w:val="32"/>
          <w:highlight w:val="none"/>
          <w:lang w:val="en-US" w:eastAsia="zh-CN"/>
        </w:rPr>
      </w:pPr>
      <w:r>
        <w:rPr>
          <w:rFonts w:ascii="仿宋_GB2312" w:eastAsia="仿宋_GB2312" w:hAnsi="仿宋_GB2312" w:cs="仿宋_GB2312" w:hint="eastAsia"/>
          <w:sz w:val="32"/>
          <w:szCs w:val="32"/>
          <w:highlight w:val="none"/>
          <w:lang w:val="en-US" w:eastAsia="zh-CN"/>
        </w:rPr>
        <w:t xml:space="preserve">3.4 </w:t>
      </w:r>
      <w:r>
        <w:rPr>
          <w:rFonts w:ascii="仿宋_GB2312" w:eastAsia="仿宋_GB2312" w:hAnsi="仿宋_GB2312" w:cs="仿宋_GB2312" w:hint="eastAsia"/>
          <w:sz w:val="32"/>
          <w:szCs w:val="32"/>
          <w:lang w:val="en-US" w:eastAsia="zh-CN"/>
        </w:rPr>
        <w:t>供应链厂商网络安全能力评估服务</w:t>
      </w:r>
    </w:p>
    <w:p>
      <w:pPr>
        <w:pStyle w:val="BodyText0"/>
        <w:keepNext w:val="0"/>
        <w:keepLines w:val="0"/>
        <w:pageBreakBefore w:val="0"/>
        <w:widowControl w:val="0"/>
        <w:kinsoku/>
        <w:wordWrap/>
        <w:topLinePunct w:val="0"/>
        <w:bidi w:val="0"/>
        <w:snapToGrid/>
        <w:spacing w:line="560" w:lineRule="exact"/>
        <w:ind w:firstLine="640" w:firstLineChars="200"/>
        <w:rPr>
          <w:rFonts w:ascii="仿宋_GB2312" w:eastAsia="仿宋_GB2312" w:hAnsi="仿宋_GB2312" w:cs="仿宋_GB2312" w:hint="eastAsia"/>
          <w:kern w:val="0"/>
          <w:sz w:val="32"/>
          <w:szCs w:val="32"/>
          <w:lang w:val="en-US" w:eastAsia="zh-CN" w:bidi="ar-SA"/>
        </w:rPr>
      </w:pPr>
      <w:r>
        <w:rPr>
          <w:rFonts w:ascii="仿宋_GB2312" w:eastAsia="仿宋_GB2312" w:hAnsi="仿宋_GB2312" w:cs="仿宋_GB2312" w:hint="eastAsia"/>
          <w:kern w:val="0"/>
          <w:sz w:val="32"/>
          <w:szCs w:val="32"/>
          <w:lang w:val="en-US" w:eastAsia="zh-CN" w:bidi="ar-SA"/>
        </w:rPr>
        <w:t>围绕信息系统供应链厂商，从人员安全管理、开发建设管理、数据安全管理三方面开展专项供应链厂商网络安全能力评估工作，从以下几方面开展评估：</w:t>
      </w:r>
    </w:p>
    <w:p>
      <w:pPr>
        <w:pStyle w:val="BodyText0"/>
        <w:keepNext w:val="0"/>
        <w:keepLines w:val="0"/>
        <w:pageBreakBefore w:val="0"/>
        <w:widowControl w:val="0"/>
        <w:kinsoku/>
        <w:wordWrap/>
        <w:topLinePunct w:val="0"/>
        <w:bidi w:val="0"/>
        <w:snapToGrid/>
        <w:spacing w:line="560" w:lineRule="exact"/>
        <w:ind w:left="0" w:firstLine="640" w:firstLineChars="200"/>
        <w:rPr>
          <w:rFonts w:ascii="仿宋_GB2312" w:eastAsia="仿宋_GB2312" w:hAnsi="仿宋_GB2312" w:cs="仿宋_GB2312" w:hint="eastAsia"/>
          <w:kern w:val="0"/>
          <w:sz w:val="32"/>
          <w:szCs w:val="32"/>
          <w:lang w:val="en-US" w:eastAsia="zh-CN" w:bidi="ar-SA"/>
        </w:rPr>
      </w:pPr>
      <w:r>
        <w:rPr>
          <w:rFonts w:ascii="仿宋_GB2312" w:eastAsia="仿宋_GB2312" w:hAnsi="仿宋_GB2312" w:cs="仿宋_GB2312" w:hint="eastAsia"/>
          <w:kern w:val="0"/>
          <w:sz w:val="32"/>
          <w:szCs w:val="32"/>
          <w:lang w:val="en-US" w:eastAsia="zh-CN" w:bidi="ar-SA"/>
        </w:rPr>
        <w:t>供应商人员安全管理方面评估包括但不限于背景审查，供应商网络安全组织架构、制度情况、人员网络安全培训及考核，事件应急响应机制、预案和应急演练），开发建设管理方面评估包括但不限于供应商软件研发场所核查，开发测试环境、工具和终端介质管理，供应链产品清单、代码平台安全评估。</w:t>
      </w:r>
    </w:p>
    <w:p>
      <w:pPr>
        <w:pStyle w:val="BodyText0"/>
        <w:keepNext w:val="0"/>
        <w:keepLines w:val="0"/>
        <w:pageBreakBefore w:val="0"/>
        <w:widowControl w:val="0"/>
        <w:kinsoku/>
        <w:wordWrap/>
        <w:topLinePunct w:val="0"/>
        <w:bidi w:val="0"/>
        <w:snapToGrid/>
        <w:spacing w:line="560" w:lineRule="exact"/>
        <w:ind w:left="0" w:firstLine="640" w:firstLineChars="200"/>
        <w:rPr>
          <w:rFonts w:ascii="仿宋_GB2312" w:eastAsia="仿宋_GB2312" w:hAnsi="仿宋_GB2312" w:cs="仿宋_GB2312" w:hint="eastAsia"/>
          <w:kern w:val="0"/>
          <w:sz w:val="32"/>
          <w:szCs w:val="32"/>
          <w:lang w:val="en-US" w:eastAsia="zh-CN" w:bidi="ar-SA"/>
        </w:rPr>
      </w:pPr>
      <w:r>
        <w:rPr>
          <w:rFonts w:ascii="仿宋_GB2312" w:eastAsia="仿宋_GB2312" w:hAnsi="仿宋_GB2312" w:cs="仿宋_GB2312" w:hint="eastAsia"/>
          <w:kern w:val="0"/>
          <w:sz w:val="32"/>
          <w:szCs w:val="32"/>
          <w:lang w:val="en-US" w:eastAsia="zh-CN" w:bidi="ar-SA"/>
        </w:rPr>
        <w:t>供应商数据安全管理评估包括但不限于测试数据脱敏检查、生产数据访问权限检查、系统数据留存检查。</w:t>
      </w:r>
    </w:p>
    <w:p>
      <w:pPr>
        <w:pStyle w:val="BodyText0"/>
        <w:keepNext w:val="0"/>
        <w:keepLines w:val="0"/>
        <w:pageBreakBefore w:val="0"/>
        <w:widowControl w:val="0"/>
        <w:numPr>
          <w:ilvl w:val="0"/>
          <w:numId w:val="0"/>
        </w:numPr>
        <w:kinsoku/>
        <w:wordWrap/>
        <w:topLinePunct w:val="0"/>
        <w:bidi w:val="0"/>
        <w:snapToGrid/>
        <w:spacing w:line="560" w:lineRule="exact"/>
        <w:ind w:left="420" w:firstLine="320" w:leftChars="200" w:firstLineChars="100"/>
        <w:rPr>
          <w:rFonts w:ascii="仿宋_GB2312" w:hAnsi="仿宋_GB2312" w:cs="仿宋_GB2312" w:hint="eastAsia"/>
          <w:kern w:val="0"/>
          <w:sz w:val="32"/>
          <w:szCs w:val="32"/>
          <w:lang w:val="en-US" w:eastAsia="zh-CN" w:bidi="ar-SA"/>
        </w:rPr>
      </w:pPr>
      <w:r>
        <w:rPr>
          <w:rFonts w:ascii="仿宋_GB2312" w:eastAsia="仿宋_GB2312" w:hAnsi="仿宋_GB2312" w:cs="仿宋_GB2312" w:hint="eastAsia"/>
          <w:kern w:val="0"/>
          <w:sz w:val="32"/>
          <w:szCs w:val="32"/>
          <w:lang w:val="en-US" w:eastAsia="zh-CN" w:bidi="ar-SA"/>
        </w:rPr>
        <w:t>（</w:t>
      </w:r>
      <w:r>
        <w:rPr>
          <w:rFonts w:ascii="仿宋_GB2312" w:hAnsi="仿宋_GB2312" w:cs="仿宋_GB2312" w:hint="eastAsia"/>
          <w:kern w:val="0"/>
          <w:sz w:val="32"/>
          <w:szCs w:val="32"/>
          <w:lang w:val="en-US" w:eastAsia="zh-CN" w:bidi="ar-SA"/>
        </w:rPr>
        <w:t>1</w:t>
      </w:r>
      <w:r>
        <w:rPr>
          <w:rFonts w:ascii="仿宋_GB2312" w:eastAsia="仿宋_GB2312" w:hAnsi="仿宋_GB2312" w:cs="仿宋_GB2312" w:hint="eastAsia"/>
          <w:kern w:val="0"/>
          <w:sz w:val="32"/>
          <w:szCs w:val="32"/>
          <w:lang w:val="en-US" w:eastAsia="zh-CN" w:bidi="ar-SA"/>
        </w:rPr>
        <w:t>）评估准备阶段</w:t>
      </w:r>
    </w:p>
    <w:p>
      <w:pPr>
        <w:pStyle w:val="BodyText0"/>
        <w:keepNext w:val="0"/>
        <w:keepLines w:val="0"/>
        <w:pageBreakBefore w:val="0"/>
        <w:widowControl w:val="0"/>
        <w:kinsoku/>
        <w:wordWrap/>
        <w:overflowPunct/>
        <w:topLinePunct w:val="0"/>
        <w:autoSpaceDE/>
        <w:autoSpaceDN/>
        <w:bidi w:val="0"/>
        <w:adjustRightInd/>
        <w:snapToGrid/>
        <w:spacing w:line="560" w:lineRule="exact"/>
        <w:ind w:left="0" w:firstLine="640" w:firstLineChars="200"/>
        <w:textAlignment w:val="auto"/>
        <w:rPr>
          <w:rFonts w:ascii="仿宋_GB2312" w:hAnsi="仿宋_GB2312" w:cs="仿宋_GB2312" w:hint="eastAsia"/>
          <w:kern w:val="0"/>
          <w:sz w:val="32"/>
          <w:szCs w:val="32"/>
          <w:lang w:val="en-US" w:eastAsia="zh-CN" w:bidi="ar-SA"/>
        </w:rPr>
      </w:pPr>
      <w:r>
        <w:rPr>
          <w:rFonts w:ascii="仿宋_GB2312" w:hAnsi="仿宋_GB2312" w:cs="仿宋_GB2312" w:hint="eastAsia"/>
          <w:kern w:val="0"/>
          <w:sz w:val="32"/>
          <w:szCs w:val="32"/>
          <w:lang w:val="en-US" w:eastAsia="zh-CN" w:bidi="ar-SA"/>
        </w:rPr>
        <w:t>在对被评估的供应链厂商进行充分调研的基础上，确定供应链安全评估目标、范围、评估方法和依据，制定供应链安全评估实施方案，并召开项目启动会。</w:t>
      </w:r>
    </w:p>
    <w:p>
      <w:pPr>
        <w:pStyle w:val="BodyText0"/>
        <w:keepNext w:val="0"/>
        <w:keepLines w:val="0"/>
        <w:pageBreakBefore w:val="0"/>
        <w:widowControl w:val="0"/>
        <w:kinsoku/>
        <w:wordWrap/>
        <w:topLinePunct w:val="0"/>
        <w:bidi w:val="0"/>
        <w:snapToGrid/>
        <w:spacing w:line="560" w:lineRule="exact"/>
        <w:ind w:left="0" w:firstLine="640" w:firstLineChars="200"/>
        <w:rPr>
          <w:rFonts w:ascii="仿宋_GB2312" w:eastAsia="仿宋_GB2312" w:hAnsi="仿宋_GB2312" w:cs="仿宋_GB2312" w:hint="eastAsia"/>
          <w:kern w:val="0"/>
          <w:sz w:val="32"/>
          <w:szCs w:val="32"/>
          <w:lang w:val="en-US" w:eastAsia="zh-CN" w:bidi="ar-SA"/>
        </w:rPr>
      </w:pPr>
      <w:r>
        <w:rPr>
          <w:rFonts w:ascii="仿宋_GB2312" w:eastAsia="仿宋_GB2312" w:hAnsi="仿宋_GB2312" w:cs="仿宋_GB2312" w:hint="eastAsia"/>
          <w:kern w:val="0"/>
          <w:sz w:val="32"/>
          <w:szCs w:val="32"/>
          <w:lang w:val="en-US" w:eastAsia="zh-CN" w:bidi="ar-SA"/>
        </w:rPr>
        <w:t>（2）现场评估阶段</w:t>
      </w:r>
    </w:p>
    <w:p>
      <w:pPr>
        <w:pStyle w:val="BodyText0"/>
        <w:keepNext w:val="0"/>
        <w:keepLines w:val="0"/>
        <w:pageBreakBefore w:val="0"/>
        <w:widowControl w:val="0"/>
        <w:kinsoku/>
        <w:wordWrap/>
        <w:topLinePunct w:val="0"/>
        <w:bidi w:val="0"/>
        <w:snapToGrid/>
        <w:spacing w:line="560" w:lineRule="exact"/>
        <w:ind w:left="0" w:firstLine="640" w:firstLineChars="200"/>
        <w:rPr>
          <w:rFonts w:ascii="仿宋_GB2312" w:eastAsia="仿宋_GB2312" w:hAnsi="仿宋_GB2312" w:cs="仿宋_GB2312" w:hint="eastAsia"/>
          <w:kern w:val="0"/>
          <w:sz w:val="32"/>
          <w:szCs w:val="32"/>
          <w:lang w:val="en-US" w:eastAsia="zh-CN" w:bidi="ar-SA"/>
        </w:rPr>
      </w:pPr>
      <w:r>
        <w:rPr>
          <w:rFonts w:ascii="仿宋_GB2312" w:eastAsia="仿宋_GB2312" w:hAnsi="仿宋_GB2312" w:cs="仿宋_GB2312" w:hint="eastAsia"/>
          <w:kern w:val="0"/>
          <w:sz w:val="32"/>
          <w:szCs w:val="32"/>
          <w:lang w:val="en-US" w:eastAsia="zh-CN" w:bidi="ar-SA"/>
        </w:rPr>
        <w:t>人员安全管理评估工作：对供应链厂商及人员开展背景审查；建立网络安全责任人制度，对供应商的网络安全组织架构及制度等进行审查；对供应商人员的安全培训以及人员考核进行检查，考核包括但不限于技能考核、网络安全意识考核、保密常识等方面的内容；审查供应商的应急响应机制，包括应急预案以及供应商应急演练记录等。</w:t>
      </w:r>
    </w:p>
    <w:p>
      <w:pPr>
        <w:pStyle w:val="BodyText0"/>
        <w:keepNext w:val="0"/>
        <w:keepLines w:val="0"/>
        <w:pageBreakBefore w:val="0"/>
        <w:widowControl w:val="0"/>
        <w:kinsoku/>
        <w:wordWrap/>
        <w:overflowPunct/>
        <w:topLinePunct w:val="0"/>
        <w:autoSpaceDE/>
        <w:autoSpaceDN/>
        <w:bidi w:val="0"/>
        <w:adjustRightInd/>
        <w:snapToGrid/>
        <w:spacing w:line="560" w:lineRule="exact"/>
        <w:ind w:left="0" w:firstLine="640" w:firstLineChars="200"/>
        <w:textAlignment w:val="auto"/>
        <w:rPr>
          <w:rFonts w:ascii="仿宋_GB2312" w:eastAsia="仿宋_GB2312" w:hAnsi="仿宋_GB2312" w:cs="仿宋_GB2312" w:hint="eastAsia"/>
          <w:kern w:val="0"/>
          <w:sz w:val="32"/>
          <w:szCs w:val="32"/>
          <w:lang w:val="en-US" w:eastAsia="zh-CN" w:bidi="ar-SA"/>
        </w:rPr>
      </w:pPr>
      <w:r>
        <w:rPr>
          <w:rFonts w:ascii="仿宋_GB2312" w:eastAsia="仿宋_GB2312" w:hAnsi="仿宋_GB2312" w:cs="仿宋_GB2312" w:hint="eastAsia"/>
          <w:kern w:val="0"/>
          <w:sz w:val="32"/>
          <w:szCs w:val="32"/>
          <w:lang w:val="en-US" w:eastAsia="zh-CN" w:bidi="ar-SA"/>
        </w:rPr>
        <w:t>开发建设管理评估工作：对供应商软件开发场所进行审查，确保开发场所安全可控可信；对供应商开发环境进行管理评估，评估内容包括开发测试环境安全可信、开发工具等终端以及移动存储介质检查；对供应链厂商的产品和服务管理进行评估，核查供应链产品清单；对供应链厂商进行第三方组建管理，包括组织供应链厂商开展代码安全评估、代码管理安全评估等。</w:t>
      </w:r>
    </w:p>
    <w:p>
      <w:pPr>
        <w:pStyle w:val="BodyText0"/>
        <w:keepNext w:val="0"/>
        <w:keepLines w:val="0"/>
        <w:pageBreakBefore w:val="0"/>
        <w:widowControl w:val="0"/>
        <w:kinsoku/>
        <w:wordWrap/>
        <w:overflowPunct/>
        <w:topLinePunct w:val="0"/>
        <w:autoSpaceDE/>
        <w:autoSpaceDN/>
        <w:bidi w:val="0"/>
        <w:adjustRightInd/>
        <w:snapToGrid/>
        <w:spacing w:line="560" w:lineRule="exact"/>
        <w:ind w:left="0" w:firstLine="640" w:firstLineChars="200"/>
        <w:textAlignment w:val="auto"/>
        <w:rPr>
          <w:rFonts w:ascii="仿宋_GB2312" w:eastAsia="仿宋_GB2312" w:hAnsi="仿宋_GB2312" w:cs="仿宋_GB2312" w:hint="eastAsia"/>
          <w:kern w:val="0"/>
          <w:sz w:val="32"/>
          <w:szCs w:val="32"/>
          <w:lang w:val="en-US" w:eastAsia="zh-CN" w:bidi="ar-SA"/>
        </w:rPr>
      </w:pPr>
      <w:r>
        <w:rPr>
          <w:rFonts w:ascii="仿宋_GB2312" w:eastAsia="仿宋_GB2312" w:hAnsi="仿宋_GB2312" w:cs="仿宋_GB2312" w:hint="eastAsia"/>
          <w:kern w:val="0"/>
          <w:sz w:val="32"/>
          <w:szCs w:val="32"/>
          <w:lang w:val="en-US" w:eastAsia="zh-CN" w:bidi="ar-SA"/>
        </w:rPr>
        <w:t>供应商数据安全管理评估工作：对供应商提供用于测试的税务数据进行脱敏检查；对于生产数据核查其权限管理落实情况；对供应链厂商的数据安全管理活动开展评估，核查数据留存情况是否符合要求。</w:t>
      </w:r>
    </w:p>
    <w:p>
      <w:pPr>
        <w:pStyle w:val="BodyText0"/>
        <w:keepNext w:val="0"/>
        <w:keepLines w:val="0"/>
        <w:pageBreakBefore w:val="0"/>
        <w:widowControl w:val="0"/>
        <w:kinsoku/>
        <w:wordWrap/>
        <w:topLinePunct w:val="0"/>
        <w:bidi w:val="0"/>
        <w:snapToGrid/>
        <w:spacing w:line="560" w:lineRule="exact"/>
        <w:ind w:left="0" w:firstLine="640" w:firstLineChars="200"/>
        <w:rPr>
          <w:rFonts w:ascii="仿宋_GB2312" w:eastAsia="仿宋_GB2312" w:hAnsi="仿宋_GB2312" w:cs="仿宋_GB2312" w:hint="eastAsia"/>
          <w:kern w:val="0"/>
          <w:sz w:val="32"/>
          <w:szCs w:val="32"/>
          <w:lang w:val="en-US" w:eastAsia="zh-CN" w:bidi="ar-SA"/>
        </w:rPr>
      </w:pPr>
      <w:r>
        <w:rPr>
          <w:rFonts w:ascii="仿宋_GB2312" w:eastAsia="仿宋_GB2312" w:hAnsi="仿宋_GB2312" w:cs="仿宋_GB2312" w:hint="eastAsia"/>
          <w:kern w:val="0"/>
          <w:sz w:val="32"/>
          <w:szCs w:val="32"/>
          <w:lang w:val="en-US" w:eastAsia="zh-CN" w:bidi="ar-SA"/>
        </w:rPr>
        <w:t>（3）报告编制阶段</w:t>
      </w:r>
    </w:p>
    <w:p>
      <w:pPr>
        <w:pStyle w:val="BodyText0"/>
        <w:keepNext w:val="0"/>
        <w:keepLines w:val="0"/>
        <w:pageBreakBefore w:val="0"/>
        <w:widowControl w:val="0"/>
        <w:kinsoku/>
        <w:wordWrap/>
        <w:overflowPunct/>
        <w:topLinePunct w:val="0"/>
        <w:autoSpaceDE/>
        <w:autoSpaceDN/>
        <w:bidi w:val="0"/>
        <w:adjustRightInd/>
        <w:snapToGrid/>
        <w:spacing w:line="560" w:lineRule="exact"/>
        <w:ind w:left="0" w:firstLine="640" w:firstLineChars="200"/>
        <w:textAlignment w:val="auto"/>
        <w:rPr>
          <w:rFonts w:ascii="仿宋_GB2312" w:eastAsia="仿宋_GB2312" w:hAnsi="仿宋_GB2312" w:cs="仿宋_GB2312" w:hint="eastAsia"/>
          <w:kern w:val="0"/>
          <w:sz w:val="32"/>
          <w:szCs w:val="32"/>
          <w:lang w:val="en-US" w:eastAsia="zh-CN" w:bidi="ar-SA"/>
        </w:rPr>
      </w:pPr>
      <w:r>
        <w:rPr>
          <w:rFonts w:ascii="仿宋_GB2312" w:eastAsia="仿宋_GB2312" w:hAnsi="仿宋_GB2312" w:cs="仿宋_GB2312" w:hint="eastAsia"/>
          <w:kern w:val="0"/>
          <w:sz w:val="32"/>
          <w:szCs w:val="32"/>
          <w:lang w:val="en-US" w:eastAsia="zh-CN" w:bidi="ar-SA"/>
        </w:rPr>
        <w:t>测评报告编制：汇总供应链厂商及人员安全管理评估结果、开发建设管理评估结果、供应商数据安全管理评估结果，形成供应链产品清单、供应链安全评估报告。</w:t>
      </w:r>
    </w:p>
    <w:p>
      <w:pPr>
        <w:pStyle w:val="BodyText0"/>
        <w:keepNext w:val="0"/>
        <w:keepLines w:val="0"/>
        <w:pageBreakBefore w:val="0"/>
        <w:widowControl w:val="0"/>
        <w:kinsoku/>
        <w:wordWrap/>
        <w:topLinePunct w:val="0"/>
        <w:bidi w:val="0"/>
        <w:snapToGrid/>
        <w:spacing w:line="560" w:lineRule="exact"/>
        <w:ind w:left="0" w:firstLine="640" w:firstLineChars="200"/>
        <w:rPr>
          <w:rFonts w:ascii="仿宋_GB2312" w:eastAsia="仿宋_GB2312" w:hAnsi="仿宋_GB2312" w:cs="仿宋_GB2312" w:hint="eastAsia"/>
          <w:kern w:val="0"/>
          <w:sz w:val="32"/>
          <w:szCs w:val="32"/>
          <w:lang w:val="en-US" w:eastAsia="zh-CN" w:bidi="ar-SA"/>
        </w:rPr>
      </w:pPr>
      <w:r>
        <w:rPr>
          <w:rFonts w:ascii="仿宋_GB2312" w:eastAsia="仿宋_GB2312" w:hAnsi="仿宋_GB2312" w:cs="仿宋_GB2312" w:hint="eastAsia"/>
          <w:kern w:val="0"/>
          <w:sz w:val="32"/>
          <w:szCs w:val="32"/>
          <w:lang w:val="en-US" w:eastAsia="zh-CN" w:bidi="ar-SA"/>
        </w:rPr>
        <w:t>（4）安全服务要求</w:t>
      </w:r>
    </w:p>
    <w:p>
      <w:pPr>
        <w:pStyle w:val="BodyText0"/>
        <w:keepNext w:val="0"/>
        <w:keepLines w:val="0"/>
        <w:pageBreakBefore w:val="0"/>
        <w:widowControl w:val="0"/>
        <w:kinsoku/>
        <w:wordWrap/>
        <w:topLinePunct w:val="0"/>
        <w:bidi w:val="0"/>
        <w:snapToGrid/>
        <w:spacing w:line="560" w:lineRule="exact"/>
        <w:ind w:left="0" w:firstLine="640" w:firstLineChars="200"/>
        <w:rPr>
          <w:rFonts w:ascii="仿宋_GB2312" w:eastAsia="仿宋_GB2312" w:hAnsi="仿宋_GB2312" w:cs="仿宋_GB2312" w:hint="eastAsia"/>
          <w:kern w:val="0"/>
          <w:sz w:val="32"/>
          <w:szCs w:val="32"/>
          <w:lang w:val="en-US" w:eastAsia="zh-CN" w:bidi="ar-SA"/>
        </w:rPr>
      </w:pPr>
      <w:r>
        <w:rPr>
          <w:rFonts w:ascii="仿宋_GB2312" w:eastAsia="仿宋_GB2312" w:hAnsi="仿宋_GB2312" w:cs="仿宋_GB2312" w:hint="eastAsia"/>
          <w:kern w:val="0"/>
          <w:sz w:val="32"/>
          <w:szCs w:val="32"/>
          <w:lang w:val="en-US" w:eastAsia="zh-CN" w:bidi="ar-SA"/>
        </w:rPr>
        <w:t>投标人应依据供应商评估具体要求和指标，结合我局对于信息系统供应链厂商安全要求开展评估工作：测评机构应保守在测评活动中知悉的国家秘密、工作秘密、数据和个人隐私，对所出具的评估报告负责。</w:t>
      </w:r>
    </w:p>
    <w:p>
      <w:pPr>
        <w:pStyle w:val="BodyText0"/>
        <w:keepNext w:val="0"/>
        <w:keepLines w:val="0"/>
        <w:pageBreakBefore w:val="0"/>
        <w:widowControl w:val="0"/>
        <w:kinsoku/>
        <w:wordWrap/>
        <w:topLinePunct w:val="0"/>
        <w:bidi w:val="0"/>
        <w:snapToGrid/>
        <w:spacing w:line="560" w:lineRule="exact"/>
        <w:ind w:firstLine="640" w:firstLineChars="200"/>
        <w:rPr>
          <w:rFonts w:ascii="仿宋_GB2312" w:eastAsia="仿宋_GB2312" w:hAnsi="仿宋_GB2312" w:cs="仿宋_GB2312" w:hint="default"/>
          <w:color w:val="auto"/>
          <w:sz w:val="32"/>
          <w:szCs w:val="32"/>
          <w:highlight w:val="none"/>
          <w:lang w:val="en-US" w:eastAsia="zh-CN"/>
        </w:rPr>
      </w:pPr>
      <w:r>
        <w:rPr>
          <w:rFonts w:ascii="仿宋_GB2312" w:hAnsi="仿宋_GB2312" w:cs="仿宋_GB2312" w:hint="eastAsia"/>
          <w:color w:val="auto"/>
          <w:sz w:val="32"/>
          <w:szCs w:val="32"/>
          <w:highlight w:val="none"/>
          <w:lang w:val="en-US" w:eastAsia="zh-CN"/>
        </w:rPr>
        <w:t xml:space="preserve">3.5 </w:t>
      </w:r>
      <w:r>
        <w:rPr>
          <w:rFonts w:ascii="仿宋_GB2312" w:eastAsia="仿宋_GB2312" w:hAnsi="仿宋_GB2312" w:cs="仿宋_GB2312" w:hint="eastAsia"/>
          <w:color w:val="auto"/>
          <w:sz w:val="32"/>
          <w:szCs w:val="32"/>
          <w:highlight w:val="none"/>
          <w:lang w:val="en-US" w:eastAsia="zh-CN"/>
        </w:rPr>
        <w:t>数据安全风险评估服务</w:t>
      </w:r>
    </w:p>
    <w:p>
      <w:pPr>
        <w:pStyle w:val="Normal0"/>
        <w:keepNext w:val="0"/>
        <w:keepLines w:val="0"/>
        <w:pageBreakBefore w:val="0"/>
        <w:widowControl w:val="0"/>
        <w:kinsoku/>
        <w:wordWrap/>
        <w:overflowPunct w:val="0"/>
        <w:topLinePunct w:val="0"/>
        <w:autoSpaceDE w:val="0"/>
        <w:autoSpaceDN w:val="0"/>
        <w:bidi w:val="0"/>
        <w:adjustRightInd w:val="0"/>
        <w:snapToGrid/>
        <w:spacing w:line="560" w:lineRule="exact"/>
        <w:ind w:firstLine="640" w:firstLineChars="200"/>
        <w:textAlignment w:val="baseline"/>
        <w:rPr>
          <w:rFonts w:ascii="仿宋_GB2312" w:eastAsia="仿宋_GB2312" w:hAnsi="仿宋_GB2312" w:cs="仿宋_GB2312" w:hint="default"/>
          <w:color w:val="auto"/>
          <w:sz w:val="32"/>
          <w:szCs w:val="32"/>
          <w:highlight w:val="none"/>
          <w:lang w:val="en-US" w:eastAsia="zh-CN"/>
        </w:rPr>
      </w:pPr>
      <w:r>
        <w:rPr>
          <w:rFonts w:ascii="仿宋_GB2312" w:eastAsia="仿宋_GB2312" w:hAnsi="仿宋_GB2312" w:cs="仿宋_GB2312" w:hint="eastAsia"/>
          <w:color w:val="auto"/>
          <w:sz w:val="32"/>
          <w:szCs w:val="32"/>
          <w:highlight w:val="none"/>
          <w:lang w:val="en-US" w:eastAsia="zh-CN"/>
        </w:rPr>
        <w:t>依据（TSZBA 001—2023）《数据安全合规评估方法》，GB/T 20984-2022《信息安全技术 信息安全风险评估方法》，围绕数据安全需求，从以下方面开展风险评估：基于黑盒的漏洞扫描和渗透测试；基于白盒的源代码安全审计、源代码成分分析、源代码第三方组件漏洞分析(省自行开发部分)；基于灰盒的接口访问安全和数据安全评估；数据资源外泄监控评估（数据权限安全、数据加密安全、数据脱敏安全等)；系统和数据权限管理评估；围绕全流程税务数据安全开展评估工作，包括数据的收集安全、存储安全、使用安全、加工安全、传输安全、提供安全、公开安全、删除安全，根据数据的重要性和敏感性，从证书认证、通道加密、内容加密、数据水印、数据防泄漏、数据防篡改、数据备份、数据脱敏、数据抗抵赖、数据运维和管理等方面进行综合评估。</w:t>
      </w:r>
    </w:p>
    <w:p>
      <w:pPr>
        <w:pStyle w:val="Normal0"/>
        <w:keepNext w:val="0"/>
        <w:keepLines w:val="0"/>
        <w:pageBreakBefore w:val="0"/>
        <w:widowControl w:val="0"/>
        <w:kinsoku/>
        <w:wordWrap/>
        <w:overflowPunct w:val="0"/>
        <w:topLinePunct w:val="0"/>
        <w:autoSpaceDE w:val="0"/>
        <w:autoSpaceDN w:val="0"/>
        <w:bidi w:val="0"/>
        <w:adjustRightInd w:val="0"/>
        <w:snapToGrid/>
        <w:spacing w:line="560" w:lineRule="exact"/>
        <w:ind w:firstLine="640" w:firstLineChars="200"/>
        <w:textAlignment w:val="baseline"/>
        <w:rPr>
          <w:rFonts w:ascii="仿宋_GB2312" w:eastAsia="仿宋_GB2312" w:hAnsi="仿宋_GB2312" w:cs="仿宋_GB2312" w:hint="eastAsia"/>
          <w:color w:val="auto"/>
          <w:sz w:val="32"/>
          <w:szCs w:val="32"/>
          <w:highlight w:val="none"/>
          <w:lang w:val="en-US" w:eastAsia="zh-CN"/>
        </w:rPr>
      </w:pPr>
      <w:r>
        <w:rPr>
          <w:rFonts w:ascii="仿宋_GB2312" w:hAnsi="仿宋_GB2312" w:cs="仿宋_GB2312" w:hint="eastAsia"/>
          <w:color w:val="auto"/>
          <w:sz w:val="32"/>
          <w:szCs w:val="32"/>
          <w:highlight w:val="none"/>
          <w:lang w:val="en-US" w:eastAsia="zh-CN"/>
        </w:rPr>
        <w:t>3.5.</w:t>
      </w:r>
      <w:r>
        <w:rPr>
          <w:rFonts w:ascii="仿宋_GB2312" w:eastAsia="仿宋_GB2312" w:hAnsi="仿宋_GB2312" w:cs="仿宋_GB2312" w:hint="eastAsia"/>
          <w:color w:val="auto"/>
          <w:sz w:val="32"/>
          <w:szCs w:val="32"/>
          <w:highlight w:val="none"/>
          <w:lang w:val="en-US" w:eastAsia="zh-CN"/>
        </w:rPr>
        <w:t>1 数据安全风险评估准备</w:t>
      </w:r>
    </w:p>
    <w:p>
      <w:pPr>
        <w:pStyle w:val="Normal0"/>
        <w:keepNext w:val="0"/>
        <w:keepLines w:val="0"/>
        <w:pageBreakBefore w:val="0"/>
        <w:widowControl w:val="0"/>
        <w:kinsoku/>
        <w:wordWrap/>
        <w:overflowPunct w:val="0"/>
        <w:topLinePunct w:val="0"/>
        <w:autoSpaceDE w:val="0"/>
        <w:autoSpaceDN w:val="0"/>
        <w:bidi w:val="0"/>
        <w:adjustRightInd w:val="0"/>
        <w:snapToGrid/>
        <w:spacing w:line="560" w:lineRule="exact"/>
        <w:ind w:firstLine="640" w:firstLineChars="200"/>
        <w:textAlignment w:val="baseline"/>
        <w:rPr>
          <w:rFonts w:ascii="仿宋_GB2312" w:eastAsia="仿宋_GB2312" w:hAnsi="仿宋_GB2312" w:cs="仿宋_GB2312" w:hint="eastAsia"/>
          <w:color w:val="auto"/>
          <w:sz w:val="32"/>
          <w:szCs w:val="32"/>
          <w:highlight w:val="none"/>
          <w:lang w:val="en-US" w:eastAsia="zh-CN"/>
        </w:rPr>
      </w:pPr>
      <w:r>
        <w:rPr>
          <w:rFonts w:ascii="仿宋_GB2312" w:eastAsia="仿宋_GB2312" w:hAnsi="仿宋_GB2312" w:cs="仿宋_GB2312" w:hint="eastAsia"/>
          <w:color w:val="auto"/>
          <w:sz w:val="32"/>
          <w:szCs w:val="32"/>
          <w:highlight w:val="none"/>
          <w:lang w:val="en-US" w:eastAsia="zh-CN"/>
        </w:rPr>
        <w:t>在对被评估的数据资产进行充分调研的基础上，确定数据安全评估范围、评估方式和依据，并配合采购人组织相关人员、并召开项目启动会，制定数据安全评估方案。</w:t>
      </w:r>
    </w:p>
    <w:p>
      <w:pPr>
        <w:pStyle w:val="Normal0"/>
        <w:keepNext w:val="0"/>
        <w:keepLines w:val="0"/>
        <w:pageBreakBefore w:val="0"/>
        <w:widowControl w:val="0"/>
        <w:kinsoku/>
        <w:wordWrap/>
        <w:overflowPunct w:val="0"/>
        <w:topLinePunct w:val="0"/>
        <w:autoSpaceDE w:val="0"/>
        <w:autoSpaceDN w:val="0"/>
        <w:bidi w:val="0"/>
        <w:adjustRightInd w:val="0"/>
        <w:snapToGrid/>
        <w:spacing w:line="560" w:lineRule="exact"/>
        <w:ind w:firstLine="640" w:firstLineChars="200"/>
        <w:textAlignment w:val="baseline"/>
        <w:rPr>
          <w:rFonts w:ascii="仿宋_GB2312" w:eastAsia="仿宋_GB2312" w:hAnsi="仿宋_GB2312" w:cs="仿宋_GB2312" w:hint="eastAsia"/>
          <w:color w:val="auto"/>
          <w:sz w:val="32"/>
          <w:szCs w:val="32"/>
          <w:highlight w:val="none"/>
          <w:lang w:val="en-US" w:eastAsia="zh-CN"/>
        </w:rPr>
      </w:pPr>
      <w:r>
        <w:rPr>
          <w:rFonts w:ascii="仿宋_GB2312" w:hAnsi="仿宋_GB2312" w:cs="仿宋_GB2312" w:hint="eastAsia"/>
          <w:color w:val="auto"/>
          <w:sz w:val="32"/>
          <w:szCs w:val="32"/>
          <w:highlight w:val="none"/>
          <w:lang w:val="en-US" w:eastAsia="zh-CN"/>
        </w:rPr>
        <w:t>3.5.</w:t>
      </w:r>
      <w:r>
        <w:rPr>
          <w:rFonts w:ascii="仿宋_GB2312" w:eastAsia="仿宋_GB2312" w:hAnsi="仿宋_GB2312" w:cs="仿宋_GB2312" w:hint="eastAsia"/>
          <w:color w:val="auto"/>
          <w:sz w:val="32"/>
          <w:szCs w:val="32"/>
          <w:highlight w:val="none"/>
          <w:lang w:val="en-US" w:eastAsia="zh-CN"/>
        </w:rPr>
        <w:t>2 数据安全风险识别阶段</w:t>
      </w:r>
    </w:p>
    <w:p>
      <w:pPr>
        <w:pStyle w:val="Normal0"/>
        <w:keepNext w:val="0"/>
        <w:keepLines w:val="0"/>
        <w:pageBreakBefore w:val="0"/>
        <w:widowControl w:val="0"/>
        <w:kinsoku/>
        <w:wordWrap/>
        <w:overflowPunct w:val="0"/>
        <w:topLinePunct w:val="0"/>
        <w:autoSpaceDE w:val="0"/>
        <w:autoSpaceDN w:val="0"/>
        <w:bidi w:val="0"/>
        <w:adjustRightInd w:val="0"/>
        <w:snapToGrid/>
        <w:spacing w:line="560" w:lineRule="exact"/>
        <w:ind w:firstLine="640" w:firstLineChars="200"/>
        <w:textAlignment w:val="baseline"/>
        <w:rPr>
          <w:rFonts w:ascii="仿宋_GB2312" w:eastAsia="仿宋_GB2312" w:hAnsi="仿宋_GB2312" w:cs="仿宋_GB2312" w:hint="eastAsia"/>
          <w:color w:val="auto"/>
          <w:sz w:val="32"/>
          <w:szCs w:val="32"/>
          <w:highlight w:val="none"/>
          <w:lang w:val="en-US" w:eastAsia="zh-CN"/>
        </w:rPr>
      </w:pPr>
      <w:r>
        <w:rPr>
          <w:rFonts w:ascii="仿宋_GB2312" w:eastAsia="仿宋_GB2312" w:hAnsi="仿宋_GB2312" w:cs="仿宋_GB2312" w:hint="eastAsia"/>
          <w:color w:val="auto"/>
          <w:sz w:val="32"/>
          <w:szCs w:val="32"/>
          <w:highlight w:val="none"/>
          <w:lang w:val="en-US" w:eastAsia="zh-CN"/>
        </w:rPr>
        <w:t>资产识别分析：调研分析，进行资产分类、资产赋值（保密性赋值、完整性赋值、可用性赋值、资产重要性等级）。</w:t>
      </w:r>
    </w:p>
    <w:p>
      <w:pPr>
        <w:pStyle w:val="Normal0"/>
        <w:keepNext w:val="0"/>
        <w:keepLines w:val="0"/>
        <w:pageBreakBefore w:val="0"/>
        <w:widowControl w:val="0"/>
        <w:kinsoku/>
        <w:wordWrap/>
        <w:overflowPunct w:val="0"/>
        <w:topLinePunct w:val="0"/>
        <w:autoSpaceDE w:val="0"/>
        <w:autoSpaceDN w:val="0"/>
        <w:bidi w:val="0"/>
        <w:adjustRightInd w:val="0"/>
        <w:snapToGrid/>
        <w:spacing w:line="560" w:lineRule="exact"/>
        <w:ind w:firstLine="640" w:firstLineChars="200"/>
        <w:textAlignment w:val="baseline"/>
        <w:rPr>
          <w:rFonts w:ascii="仿宋_GB2312" w:eastAsia="仿宋_GB2312" w:hAnsi="仿宋_GB2312" w:cs="仿宋_GB2312" w:hint="eastAsia"/>
          <w:color w:val="auto"/>
          <w:sz w:val="32"/>
          <w:szCs w:val="32"/>
          <w:highlight w:val="none"/>
          <w:lang w:val="en-US" w:eastAsia="zh-CN"/>
        </w:rPr>
      </w:pPr>
      <w:r>
        <w:rPr>
          <w:rFonts w:ascii="仿宋_GB2312" w:eastAsia="仿宋_GB2312" w:hAnsi="仿宋_GB2312" w:cs="仿宋_GB2312" w:hint="eastAsia"/>
          <w:color w:val="auto"/>
          <w:sz w:val="32"/>
          <w:szCs w:val="32"/>
          <w:highlight w:val="none"/>
          <w:lang w:val="en-US" w:eastAsia="zh-CN"/>
        </w:rPr>
        <w:t>威胁识别分析：依据资产确定威胁识别对象，进行威胁分类、威胁赋值。</w:t>
      </w:r>
    </w:p>
    <w:p>
      <w:pPr>
        <w:pStyle w:val="Normal0"/>
        <w:keepNext w:val="0"/>
        <w:keepLines w:val="0"/>
        <w:pageBreakBefore w:val="0"/>
        <w:widowControl w:val="0"/>
        <w:kinsoku/>
        <w:wordWrap/>
        <w:overflowPunct w:val="0"/>
        <w:topLinePunct w:val="0"/>
        <w:autoSpaceDE w:val="0"/>
        <w:autoSpaceDN w:val="0"/>
        <w:bidi w:val="0"/>
        <w:adjustRightInd w:val="0"/>
        <w:snapToGrid/>
        <w:spacing w:line="560" w:lineRule="exact"/>
        <w:ind w:firstLine="640" w:firstLineChars="200"/>
        <w:textAlignment w:val="baseline"/>
        <w:rPr>
          <w:rFonts w:ascii="仿宋_GB2312" w:eastAsia="仿宋_GB2312" w:hAnsi="仿宋_GB2312" w:cs="仿宋_GB2312" w:hint="eastAsia"/>
          <w:color w:val="auto"/>
          <w:sz w:val="32"/>
          <w:szCs w:val="32"/>
          <w:highlight w:val="none"/>
          <w:lang w:val="en-US" w:eastAsia="zh-CN"/>
        </w:rPr>
      </w:pPr>
      <w:r>
        <w:rPr>
          <w:rFonts w:ascii="仿宋_GB2312" w:eastAsia="仿宋_GB2312" w:hAnsi="仿宋_GB2312" w:cs="仿宋_GB2312" w:hint="eastAsia"/>
          <w:color w:val="auto"/>
          <w:sz w:val="32"/>
          <w:szCs w:val="32"/>
          <w:highlight w:val="none"/>
          <w:lang w:val="en-US" w:eastAsia="zh-CN"/>
        </w:rPr>
        <w:t>脆弱性识别分析：针对税务相关业务系统，利用人员访谈、资料核查、技术手段核查、系统测评等方法，围绕数据全生命周期安全，进行脆弱性识别内容确定、脆弱性赋值。通过文档查阅、漏洞扫描、人工核查等对各资产进行检查和测试，分为技术和管理两个方面进行脆弱性识别分析。脆弱性识别是风险评估过程中最重要的环节。</w:t>
      </w:r>
    </w:p>
    <w:p>
      <w:pPr>
        <w:pStyle w:val="Normal0"/>
        <w:keepNext w:val="0"/>
        <w:keepLines w:val="0"/>
        <w:pageBreakBefore w:val="0"/>
        <w:widowControl w:val="0"/>
        <w:kinsoku/>
        <w:wordWrap/>
        <w:overflowPunct w:val="0"/>
        <w:topLinePunct w:val="0"/>
        <w:autoSpaceDE w:val="0"/>
        <w:autoSpaceDN w:val="0"/>
        <w:bidi w:val="0"/>
        <w:adjustRightInd w:val="0"/>
        <w:snapToGrid/>
        <w:spacing w:line="560" w:lineRule="exact"/>
        <w:ind w:firstLine="640" w:firstLineChars="200"/>
        <w:textAlignment w:val="baseline"/>
        <w:rPr>
          <w:rFonts w:ascii="仿宋_GB2312" w:eastAsia="仿宋_GB2312" w:hAnsi="仿宋_GB2312" w:cs="仿宋_GB2312" w:hint="eastAsia"/>
          <w:color w:val="auto"/>
          <w:sz w:val="32"/>
          <w:szCs w:val="32"/>
          <w:highlight w:val="none"/>
          <w:lang w:val="en-US" w:eastAsia="zh-CN"/>
        </w:rPr>
      </w:pPr>
      <w:r>
        <w:rPr>
          <w:rFonts w:ascii="仿宋_GB2312" w:eastAsia="仿宋_GB2312" w:hAnsi="仿宋_GB2312" w:cs="仿宋_GB2312" w:hint="eastAsia"/>
          <w:color w:val="auto"/>
          <w:sz w:val="32"/>
          <w:szCs w:val="32"/>
          <w:highlight w:val="none"/>
          <w:lang w:val="en-US" w:eastAsia="zh-CN"/>
        </w:rPr>
        <w:t>根据分析情况出具资产调研报告、资产识别报告、威胁识别报告、脆弱性识别报告。</w:t>
      </w:r>
    </w:p>
    <w:p>
      <w:pPr>
        <w:pStyle w:val="Normal0"/>
        <w:keepNext w:val="0"/>
        <w:keepLines w:val="0"/>
        <w:pageBreakBefore w:val="0"/>
        <w:widowControl w:val="0"/>
        <w:kinsoku/>
        <w:wordWrap/>
        <w:overflowPunct w:val="0"/>
        <w:topLinePunct w:val="0"/>
        <w:autoSpaceDE w:val="0"/>
        <w:autoSpaceDN w:val="0"/>
        <w:bidi w:val="0"/>
        <w:adjustRightInd w:val="0"/>
        <w:snapToGrid/>
        <w:spacing w:line="560" w:lineRule="exact"/>
        <w:ind w:firstLine="640" w:firstLineChars="200"/>
        <w:textAlignment w:val="baseline"/>
        <w:rPr>
          <w:rFonts w:ascii="仿宋_GB2312" w:eastAsia="仿宋_GB2312" w:hAnsi="仿宋_GB2312" w:cs="仿宋_GB2312" w:hint="eastAsia"/>
          <w:color w:val="auto"/>
          <w:sz w:val="32"/>
          <w:szCs w:val="32"/>
          <w:highlight w:val="none"/>
          <w:lang w:val="en-US" w:eastAsia="zh-CN"/>
        </w:rPr>
      </w:pPr>
      <w:r>
        <w:rPr>
          <w:rFonts w:ascii="仿宋_GB2312" w:hAnsi="仿宋_GB2312" w:cs="仿宋_GB2312" w:hint="eastAsia"/>
          <w:color w:val="auto"/>
          <w:sz w:val="32"/>
          <w:szCs w:val="32"/>
          <w:highlight w:val="none"/>
          <w:lang w:val="en-US" w:eastAsia="zh-CN"/>
        </w:rPr>
        <w:t>3.5.</w:t>
      </w:r>
      <w:r>
        <w:rPr>
          <w:rFonts w:ascii="仿宋_GB2312" w:eastAsia="仿宋_GB2312" w:hAnsi="仿宋_GB2312" w:cs="仿宋_GB2312" w:hint="eastAsia"/>
          <w:color w:val="auto"/>
          <w:sz w:val="32"/>
          <w:szCs w:val="32"/>
          <w:highlight w:val="none"/>
          <w:lang w:val="en-US" w:eastAsia="zh-CN"/>
        </w:rPr>
        <w:t>3 数据安全风险分析与评价阶段</w:t>
      </w:r>
    </w:p>
    <w:p>
      <w:pPr>
        <w:pStyle w:val="Normal0"/>
        <w:keepNext w:val="0"/>
        <w:keepLines w:val="0"/>
        <w:pageBreakBefore w:val="0"/>
        <w:widowControl w:val="0"/>
        <w:kinsoku/>
        <w:wordWrap/>
        <w:overflowPunct w:val="0"/>
        <w:topLinePunct w:val="0"/>
        <w:autoSpaceDE w:val="0"/>
        <w:autoSpaceDN w:val="0"/>
        <w:bidi w:val="0"/>
        <w:adjustRightInd w:val="0"/>
        <w:snapToGrid/>
        <w:spacing w:line="560" w:lineRule="exact"/>
        <w:ind w:firstLine="640" w:firstLineChars="200"/>
        <w:textAlignment w:val="baseline"/>
        <w:rPr>
          <w:rFonts w:ascii="仿宋_GB2312" w:eastAsia="仿宋_GB2312" w:hAnsi="仿宋_GB2312" w:cs="仿宋_GB2312" w:hint="eastAsia"/>
          <w:color w:val="auto"/>
          <w:sz w:val="32"/>
          <w:szCs w:val="32"/>
          <w:highlight w:val="none"/>
          <w:lang w:val="en-US" w:eastAsia="zh-CN"/>
        </w:rPr>
      </w:pPr>
      <w:r>
        <w:rPr>
          <w:rFonts w:ascii="仿宋_GB2312" w:eastAsia="仿宋_GB2312" w:hAnsi="仿宋_GB2312" w:cs="仿宋_GB2312" w:hint="eastAsia"/>
          <w:color w:val="auto"/>
          <w:sz w:val="32"/>
          <w:szCs w:val="32"/>
          <w:highlight w:val="none"/>
          <w:lang w:val="en-US" w:eastAsia="zh-CN"/>
        </w:rPr>
        <w:t>在识别脆弱性的同时，对已采取的安全措施的有效性进行确认，并评估其有效性，并出具安全措施确认报告。中标供应商须从脆弱性评估开始，对被评估系统不可接受风险的资产残余进行再评估，在对照安全措施前后的脆弱性状况后，再次计算风险值，对于残余风险仍处于不可接受的范围内，中标供应商须继续提供相应安全措施，直至不可接受风险的资产处于可接受的范围内。</w:t>
      </w:r>
    </w:p>
    <w:p>
      <w:pPr>
        <w:pStyle w:val="Normal0"/>
        <w:keepNext w:val="0"/>
        <w:keepLines w:val="0"/>
        <w:pageBreakBefore w:val="0"/>
        <w:widowControl w:val="0"/>
        <w:kinsoku/>
        <w:wordWrap/>
        <w:overflowPunct w:val="0"/>
        <w:topLinePunct w:val="0"/>
        <w:autoSpaceDE w:val="0"/>
        <w:autoSpaceDN w:val="0"/>
        <w:bidi w:val="0"/>
        <w:adjustRightInd w:val="0"/>
        <w:snapToGrid/>
        <w:spacing w:line="560" w:lineRule="exact"/>
        <w:ind w:firstLine="640" w:firstLineChars="200"/>
        <w:textAlignment w:val="baseline"/>
        <w:rPr>
          <w:rFonts w:ascii="仿宋_GB2312" w:eastAsia="仿宋_GB2312" w:hAnsi="仿宋_GB2312" w:cs="仿宋_GB2312" w:hint="eastAsia"/>
          <w:color w:val="auto"/>
          <w:sz w:val="32"/>
          <w:szCs w:val="32"/>
          <w:highlight w:val="none"/>
          <w:lang w:val="en-US" w:eastAsia="zh-CN"/>
        </w:rPr>
      </w:pPr>
      <w:r>
        <w:rPr>
          <w:rFonts w:ascii="仿宋_GB2312" w:hAnsi="仿宋_GB2312" w:cs="仿宋_GB2312" w:hint="eastAsia"/>
          <w:color w:val="auto"/>
          <w:sz w:val="32"/>
          <w:szCs w:val="32"/>
          <w:highlight w:val="none"/>
          <w:lang w:val="en-US" w:eastAsia="zh-CN"/>
        </w:rPr>
        <w:t>3.5.</w:t>
      </w:r>
      <w:r>
        <w:rPr>
          <w:rFonts w:ascii="仿宋_GB2312" w:eastAsia="仿宋_GB2312" w:hAnsi="仿宋_GB2312" w:cs="仿宋_GB2312" w:hint="eastAsia"/>
          <w:color w:val="auto"/>
          <w:sz w:val="32"/>
          <w:szCs w:val="32"/>
          <w:highlight w:val="none"/>
          <w:lang w:val="en-US" w:eastAsia="zh-CN"/>
        </w:rPr>
        <w:t>4 报告编制与评审</w:t>
      </w:r>
    </w:p>
    <w:p>
      <w:pPr>
        <w:pStyle w:val="Normal0"/>
        <w:keepNext w:val="0"/>
        <w:keepLines w:val="0"/>
        <w:pageBreakBefore w:val="0"/>
        <w:widowControl w:val="0"/>
        <w:kinsoku/>
        <w:wordWrap/>
        <w:overflowPunct w:val="0"/>
        <w:topLinePunct w:val="0"/>
        <w:autoSpaceDE w:val="0"/>
        <w:autoSpaceDN w:val="0"/>
        <w:bidi w:val="0"/>
        <w:adjustRightInd w:val="0"/>
        <w:snapToGrid/>
        <w:spacing w:line="560" w:lineRule="exact"/>
        <w:ind w:firstLine="640" w:firstLineChars="200"/>
        <w:textAlignment w:val="baseline"/>
        <w:rPr>
          <w:rFonts w:ascii="仿宋_GB2312" w:eastAsia="仿宋_GB2312" w:hAnsi="仿宋_GB2312" w:cs="仿宋_GB2312" w:hint="eastAsia"/>
          <w:color w:val="auto"/>
          <w:sz w:val="32"/>
          <w:szCs w:val="32"/>
          <w:highlight w:val="none"/>
          <w:lang w:val="en-US" w:eastAsia="zh-CN"/>
        </w:rPr>
      </w:pPr>
      <w:r>
        <w:rPr>
          <w:rFonts w:ascii="仿宋_GB2312" w:eastAsia="仿宋_GB2312" w:hAnsi="仿宋_GB2312" w:cs="仿宋_GB2312" w:hint="eastAsia"/>
          <w:color w:val="auto"/>
          <w:sz w:val="32"/>
          <w:szCs w:val="32"/>
          <w:highlight w:val="none"/>
          <w:lang w:val="en-US" w:eastAsia="zh-CN"/>
        </w:rPr>
        <w:t>评估后形成漏洞扫描和渗透测试报告、源代码安全审计报告、第三方组件使用清单，以及第三方组件安全分析报告。汇总数据安全评估结果，编制数据安全风险评估报告。</w:t>
      </w:r>
    </w:p>
    <w:p>
      <w:pPr>
        <w:pStyle w:val="Normal0"/>
        <w:keepNext w:val="0"/>
        <w:keepLines w:val="0"/>
        <w:pageBreakBefore w:val="0"/>
        <w:widowControl w:val="0"/>
        <w:kinsoku/>
        <w:wordWrap/>
        <w:overflowPunct w:val="0"/>
        <w:topLinePunct w:val="0"/>
        <w:autoSpaceDE w:val="0"/>
        <w:autoSpaceDN w:val="0"/>
        <w:bidi w:val="0"/>
        <w:adjustRightInd w:val="0"/>
        <w:snapToGrid/>
        <w:spacing w:line="560" w:lineRule="exact"/>
        <w:ind w:firstLine="640" w:firstLineChars="200"/>
        <w:textAlignment w:val="baseline"/>
        <w:rPr>
          <w:rFonts w:ascii="仿宋_GB2312" w:eastAsia="仿宋_GB2312" w:hAnsi="仿宋_GB2312" w:cs="仿宋_GB2312" w:hint="eastAsia"/>
          <w:color w:val="auto"/>
          <w:sz w:val="32"/>
          <w:szCs w:val="32"/>
          <w:highlight w:val="none"/>
          <w:lang w:val="en-US" w:eastAsia="zh-CN"/>
        </w:rPr>
      </w:pPr>
      <w:r>
        <w:rPr>
          <w:rFonts w:ascii="仿宋_GB2312" w:hAnsi="仿宋_GB2312" w:cs="仿宋_GB2312" w:hint="eastAsia"/>
          <w:color w:val="auto"/>
          <w:sz w:val="32"/>
          <w:szCs w:val="32"/>
          <w:highlight w:val="none"/>
          <w:lang w:val="en-US" w:eastAsia="zh-CN"/>
        </w:rPr>
        <w:t>3.5.</w:t>
      </w:r>
      <w:r>
        <w:rPr>
          <w:rFonts w:ascii="仿宋_GB2312" w:eastAsia="仿宋_GB2312" w:hAnsi="仿宋_GB2312" w:cs="仿宋_GB2312" w:hint="eastAsia"/>
          <w:color w:val="auto"/>
          <w:sz w:val="32"/>
          <w:szCs w:val="32"/>
          <w:highlight w:val="none"/>
          <w:lang w:val="en-US" w:eastAsia="zh-CN"/>
        </w:rPr>
        <w:t>5 安全服务要求</w:t>
      </w:r>
    </w:p>
    <w:p>
      <w:pPr>
        <w:pStyle w:val="Normal0"/>
        <w:keepNext w:val="0"/>
        <w:keepLines w:val="0"/>
        <w:pageBreakBefore w:val="0"/>
        <w:widowControl w:val="0"/>
        <w:kinsoku/>
        <w:wordWrap/>
        <w:overflowPunct w:val="0"/>
        <w:topLinePunct w:val="0"/>
        <w:autoSpaceDE w:val="0"/>
        <w:autoSpaceDN w:val="0"/>
        <w:bidi w:val="0"/>
        <w:adjustRightInd w:val="0"/>
        <w:snapToGrid/>
        <w:spacing w:line="560" w:lineRule="exact"/>
        <w:ind w:firstLine="640" w:firstLineChars="200"/>
        <w:textAlignment w:val="baseline"/>
        <w:rPr>
          <w:rFonts w:ascii="仿宋_GB2312" w:eastAsia="仿宋_GB2312" w:hAnsi="仿宋_GB2312" w:cs="仿宋_GB2312" w:hint="eastAsia"/>
          <w:color w:val="auto"/>
          <w:sz w:val="32"/>
          <w:szCs w:val="32"/>
          <w:highlight w:val="none"/>
          <w:lang w:val="en-US" w:eastAsia="zh-CN"/>
        </w:rPr>
      </w:pPr>
      <w:r>
        <w:rPr>
          <w:rFonts w:ascii="仿宋_GB2312" w:eastAsia="仿宋_GB2312" w:hAnsi="仿宋_GB2312" w:cs="仿宋_GB2312" w:hint="eastAsia"/>
          <w:color w:val="auto"/>
          <w:sz w:val="32"/>
          <w:szCs w:val="32"/>
          <w:highlight w:val="none"/>
          <w:lang w:val="en-US" w:eastAsia="zh-CN"/>
        </w:rPr>
        <w:t>投标人应依据风险评估方法，结合我局对于数据安全需求开展评估工作：测评机构应保守在测评活动中知悉的国家秘密、商业秘密和个人隐私，对所出具的风险评估报告负责。</w:t>
      </w:r>
    </w:p>
    <w:p>
      <w:pPr>
        <w:pStyle w:val="Heading10"/>
        <w:keepNext w:val="0"/>
        <w:keepLines w:val="0"/>
        <w:pageBreakBefore w:val="0"/>
        <w:widowControl w:val="0"/>
        <w:numPr>
          <w:ilvl w:val="0"/>
          <w:numId w:val="0"/>
        </w:numPr>
        <w:kinsoku/>
        <w:wordWrap/>
        <w:overflowPunct w:val="0"/>
        <w:topLinePunct w:val="0"/>
        <w:autoSpaceDE w:val="0"/>
        <w:autoSpaceDN w:val="0"/>
        <w:bidi w:val="0"/>
        <w:adjustRightInd w:val="0"/>
        <w:snapToGrid/>
        <w:ind w:left="420" w:leftChars="200"/>
        <w:textAlignment w:val="baseline"/>
        <w:rPr>
          <w:rFonts w:ascii="黑体" w:eastAsia="黑体" w:hAnsi="黑体" w:cs="黑体" w:hint="eastAsia"/>
          <w:sz w:val="32"/>
          <w:szCs w:val="32"/>
          <w:lang w:val="en-US" w:eastAsia="zh-CN"/>
        </w:rPr>
      </w:pPr>
      <w:r>
        <w:rPr>
          <w:rFonts w:ascii="黑体" w:hAnsi="黑体" w:cs="黑体" w:hint="eastAsia"/>
          <w:sz w:val="32"/>
          <w:szCs w:val="32"/>
          <w:lang w:val="en-US" w:eastAsia="zh-CN"/>
        </w:rPr>
        <w:t>4.</w:t>
      </w:r>
      <w:r>
        <w:rPr>
          <w:rFonts w:ascii="黑体" w:eastAsia="黑体" w:hAnsi="黑体" w:cs="黑体" w:hint="eastAsia"/>
          <w:sz w:val="32"/>
          <w:szCs w:val="32"/>
          <w:lang w:val="en-US" w:eastAsia="zh-CN"/>
        </w:rPr>
        <w:t>技术支持服务要求</w:t>
      </w:r>
    </w:p>
    <w:p>
      <w:pPr>
        <w:pStyle w:val="11"/>
        <w:keepNext w:val="0"/>
        <w:keepLines w:val="0"/>
        <w:pageBreakBefore w:val="0"/>
        <w:widowControl w:val="0"/>
        <w:kinsoku/>
        <w:wordWrap/>
        <w:topLinePunct w:val="0"/>
        <w:bidi w:val="0"/>
        <w:spacing w:line="560" w:lineRule="exact"/>
        <w:ind w:firstLine="640" w:firstLineChars="200"/>
        <w:contextualSpacing/>
        <w:outlineLvl w:val="1"/>
        <w:rPr>
          <w:rFonts w:ascii="仿宋_GB2312" w:eastAsia="仿宋_GB2312" w:hAnsi="仿宋_GB2312" w:cs="仿宋_GB2312" w:hint="eastAsia"/>
          <w:kern w:val="0"/>
          <w:sz w:val="32"/>
          <w:szCs w:val="32"/>
          <w:lang w:val="en-US" w:eastAsia="zh-CN" w:bidi="ar-SA"/>
        </w:rPr>
      </w:pPr>
      <w:r>
        <w:rPr>
          <w:rFonts w:ascii="仿宋_GB2312" w:eastAsia="仿宋_GB2312" w:hAnsi="仿宋_GB2312" w:cs="仿宋_GB2312" w:hint="eastAsia"/>
          <w:kern w:val="0"/>
          <w:sz w:val="32"/>
          <w:szCs w:val="32"/>
          <w:lang w:val="en-US" w:eastAsia="zh-CN" w:bidi="ar-SA"/>
        </w:rPr>
        <w:t>4.1 服务期限要求</w:t>
      </w:r>
    </w:p>
    <w:p>
      <w:pPr>
        <w:pStyle w:val="Normal0"/>
        <w:keepNext w:val="0"/>
        <w:keepLines w:val="0"/>
        <w:pageBreakBefore w:val="0"/>
        <w:widowControl w:val="0"/>
        <w:kinsoku/>
        <w:wordWrap/>
        <w:topLinePunct w:val="0"/>
        <w:bidi w:val="0"/>
        <w:spacing w:line="560" w:lineRule="exact"/>
        <w:ind w:firstLine="640" w:firstLineChars="200"/>
        <w:rPr>
          <w:rFonts w:ascii="仿宋_GB2312" w:eastAsia="仿宋_GB2312" w:hAnsi="仿宋_GB2312" w:cs="仿宋_GB2312" w:hint="default"/>
          <w:color w:val="auto"/>
          <w:kern w:val="2"/>
          <w:sz w:val="32"/>
          <w:szCs w:val="32"/>
          <w:lang w:val="en-US" w:eastAsia="zh-CN" w:bidi="ar-SA"/>
        </w:rPr>
      </w:pPr>
      <w:r>
        <w:rPr>
          <w:rFonts w:ascii="仿宋_GB2312" w:eastAsia="仿宋_GB2312" w:hAnsi="仿宋_GB2312" w:cs="仿宋_GB2312" w:hint="eastAsia"/>
          <w:color w:val="auto"/>
          <w:kern w:val="2"/>
          <w:sz w:val="32"/>
          <w:szCs w:val="32"/>
          <w:lang w:val="en-US" w:eastAsia="zh-CN" w:bidi="ar-SA"/>
        </w:rPr>
        <w:t>本项目日常性网络安全运维、7*24小时安全检测、网络安全系统运维的第一年服务期：自合同签订之日起至2025年11月30日；第二年服务期：2025年12月1日至2026年8月31日。数据安全风险评估和供应链厂商网络安全能力评估服务为合同签订后180日完成评估。</w:t>
      </w:r>
    </w:p>
    <w:p>
      <w:pPr>
        <w:pStyle w:val="11"/>
        <w:keepNext w:val="0"/>
        <w:keepLines w:val="0"/>
        <w:pageBreakBefore w:val="0"/>
        <w:widowControl w:val="0"/>
        <w:kinsoku/>
        <w:wordWrap/>
        <w:topLinePunct w:val="0"/>
        <w:bidi w:val="0"/>
        <w:spacing w:line="560" w:lineRule="exact"/>
        <w:ind w:firstLine="640" w:firstLineChars="200"/>
        <w:contextualSpacing/>
        <w:outlineLvl w:val="1"/>
        <w:rPr>
          <w:rFonts w:ascii="仿宋_GB2312" w:eastAsia="仿宋_GB2312" w:hAnsi="仿宋_GB2312" w:cs="仿宋_GB2312" w:hint="eastAsia"/>
          <w:kern w:val="0"/>
          <w:sz w:val="32"/>
          <w:szCs w:val="32"/>
          <w:lang w:val="en-US" w:eastAsia="zh-CN" w:bidi="ar-SA"/>
        </w:rPr>
      </w:pPr>
      <w:r>
        <w:rPr>
          <w:rFonts w:ascii="仿宋_GB2312" w:eastAsia="仿宋_GB2312" w:hAnsi="仿宋_GB2312" w:cs="仿宋_GB2312" w:hint="eastAsia"/>
          <w:kern w:val="0"/>
          <w:sz w:val="32"/>
          <w:szCs w:val="32"/>
          <w:lang w:val="en-US" w:eastAsia="zh-CN" w:bidi="ar-SA"/>
        </w:rPr>
        <w:t>4.2服务响应要求</w:t>
      </w:r>
    </w:p>
    <w:p>
      <w:pPr>
        <w:pStyle w:val="Normal0"/>
        <w:keepNext w:val="0"/>
        <w:keepLines w:val="0"/>
        <w:pageBreakBefore w:val="0"/>
        <w:widowControl w:val="0"/>
        <w:kinsoku/>
        <w:wordWrap/>
        <w:topLinePunct w:val="0"/>
        <w:bidi w:val="0"/>
        <w:spacing w:line="560" w:lineRule="exact"/>
        <w:ind w:firstLine="640" w:firstLineChars="200"/>
        <w:rPr>
          <w:rFonts w:ascii="仿宋_GB2312" w:eastAsia="仿宋_GB2312" w:hAnsi="仿宋_GB2312" w:cs="仿宋_GB2312" w:hint="default"/>
          <w:color w:val="auto"/>
          <w:kern w:val="2"/>
          <w:sz w:val="32"/>
          <w:szCs w:val="32"/>
          <w:lang w:val="en-US" w:eastAsia="zh-CN" w:bidi="ar-SA"/>
        </w:rPr>
      </w:pPr>
      <w:r>
        <w:rPr>
          <w:rFonts w:ascii="仿宋_GB2312" w:eastAsia="仿宋_GB2312" w:hAnsi="仿宋_GB2312" w:cs="仿宋_GB2312" w:hint="eastAsia"/>
          <w:color w:val="auto"/>
          <w:kern w:val="2"/>
          <w:sz w:val="32"/>
          <w:szCs w:val="32"/>
          <w:lang w:val="en-US" w:eastAsia="zh-CN" w:bidi="ar-SA"/>
        </w:rPr>
        <w:t>中标供应商需依据需求内容提供7*24小时技术响应服务。日常性网络安全运维、7*24小时安全监测、网络安全系统运维须对系统操作问题在现场进行及时解答、日常升级于2个工作日内完成、大版本升级于3个工作日内完成；针对发生的网络安全事件须于半小时内做出响应、1小时内到达现场，2小时内提出排查方案，8小时内解决问题，48小时提供事件处理报告；针对系统和设备故障，须于1小时内做出响应，并于2小时内恢复系统和4小时内恢复设备运行，并于48小时内提供处理报告。</w:t>
      </w:r>
    </w:p>
    <w:p>
      <w:pPr>
        <w:pStyle w:val="Normal0"/>
        <w:keepNext w:val="0"/>
        <w:keepLines w:val="0"/>
        <w:pageBreakBefore w:val="0"/>
        <w:widowControl w:val="0"/>
        <w:kinsoku/>
        <w:wordWrap/>
        <w:topLinePunct w:val="0"/>
        <w:bidi w:val="0"/>
        <w:spacing w:line="560" w:lineRule="exact"/>
        <w:ind w:firstLine="640" w:firstLineChars="200"/>
        <w:outlineLvl w:val="1"/>
        <w:rPr>
          <w:rFonts w:ascii="仿宋_GB2312" w:eastAsia="仿宋_GB2312" w:hAnsi="仿宋_GB2312" w:cs="仿宋_GB2312" w:hint="eastAsia"/>
          <w:color w:val="auto"/>
          <w:kern w:val="2"/>
          <w:sz w:val="32"/>
          <w:szCs w:val="32"/>
          <w:lang w:val="en-US" w:eastAsia="zh-CN" w:bidi="ar-SA"/>
        </w:rPr>
      </w:pPr>
      <w:r>
        <w:rPr>
          <w:rFonts w:ascii="仿宋_GB2312" w:eastAsia="仿宋_GB2312" w:hAnsi="仿宋_GB2312" w:cs="仿宋_GB2312" w:hint="eastAsia"/>
          <w:color w:val="auto"/>
          <w:kern w:val="2"/>
          <w:sz w:val="32"/>
          <w:szCs w:val="32"/>
          <w:lang w:val="en-US" w:eastAsia="zh-CN" w:bidi="ar-SA"/>
        </w:rPr>
        <w:t>4.3 服务培训要求</w:t>
      </w:r>
    </w:p>
    <w:p>
      <w:pPr>
        <w:pStyle w:val="Normal0"/>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rPr>
          <w:rFonts w:ascii="仿宋_GB2312" w:eastAsia="仿宋_GB2312" w:hAnsi="仿宋_GB2312" w:cs="仿宋_GB2312" w:hint="eastAsia"/>
          <w:snapToGrid/>
          <w:kern w:val="0"/>
          <w:sz w:val="32"/>
          <w:szCs w:val="32"/>
          <w:lang w:val="en-US" w:eastAsia="zh-CN" w:bidi="ar"/>
        </w:rPr>
      </w:pPr>
      <w:r>
        <w:rPr>
          <w:rFonts w:ascii="仿宋_GB2312" w:eastAsia="仿宋_GB2312" w:hAnsi="仿宋_GB2312" w:cs="仿宋_GB2312" w:hint="eastAsia"/>
          <w:snapToGrid/>
          <w:kern w:val="0"/>
          <w:sz w:val="32"/>
          <w:szCs w:val="32"/>
          <w:lang w:val="en-US" w:eastAsia="zh-CN" w:bidi="ar"/>
        </w:rPr>
        <w:t>中标供应商应通过服务培训帮助项目采购人中的管理人员、技术维护人员更好熟悉各系统网络安全设备，提高设备管理的人员设备操作、故障处理等能力，最终通过培训考核，达到独立运维的工作要求：</w:t>
      </w:r>
    </w:p>
    <w:p>
      <w:pPr>
        <w:pStyle w:val="Normal0"/>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rPr>
          <w:rFonts w:ascii="仿宋_GB2312" w:eastAsia="仿宋_GB2312" w:hAnsi="仿宋_GB2312" w:cs="仿宋_GB2312" w:hint="eastAsia"/>
          <w:snapToGrid/>
          <w:kern w:val="0"/>
          <w:sz w:val="32"/>
          <w:szCs w:val="32"/>
          <w:lang w:val="en-US" w:eastAsia="zh-CN" w:bidi="ar"/>
        </w:rPr>
      </w:pPr>
      <w:r>
        <w:rPr>
          <w:rFonts w:ascii="仿宋_GB2312" w:eastAsia="仿宋_GB2312" w:hAnsi="仿宋_GB2312" w:cs="仿宋_GB2312" w:hint="eastAsia"/>
          <w:snapToGrid/>
          <w:kern w:val="0"/>
          <w:sz w:val="32"/>
          <w:szCs w:val="32"/>
          <w:lang w:val="en-US" w:eastAsia="zh-CN" w:bidi="ar"/>
        </w:rPr>
        <w:t>（1）达到了解各类网络安全设备/系统的技术性能，熟练掌握设备的操作和正确维护。</w:t>
      </w:r>
    </w:p>
    <w:p>
      <w:pPr>
        <w:pStyle w:val="Normal0"/>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rPr>
          <w:rFonts w:ascii="仿宋_GB2312" w:eastAsia="仿宋_GB2312" w:hAnsi="仿宋_GB2312" w:cs="仿宋_GB2312" w:hint="eastAsia"/>
          <w:snapToGrid/>
          <w:kern w:val="0"/>
          <w:sz w:val="32"/>
          <w:szCs w:val="32"/>
          <w:lang w:val="en-US" w:eastAsia="zh-CN" w:bidi="ar"/>
        </w:rPr>
      </w:pPr>
      <w:r>
        <w:rPr>
          <w:rFonts w:ascii="仿宋_GB2312" w:eastAsia="仿宋_GB2312" w:hAnsi="仿宋_GB2312" w:cs="仿宋_GB2312" w:hint="eastAsia"/>
          <w:snapToGrid/>
          <w:kern w:val="0"/>
          <w:sz w:val="32"/>
          <w:szCs w:val="32"/>
          <w:lang w:val="en-US" w:eastAsia="zh-CN" w:bidi="ar"/>
        </w:rPr>
        <w:t>（2）能够排除各类网络安全设备/系统的一般故障，掌握设备的维修技术及日常保养，达到培训要求。</w:t>
      </w:r>
    </w:p>
    <w:p>
      <w:pPr>
        <w:pStyle w:val="Normal0"/>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rPr>
          <w:rFonts w:ascii="仿宋_GB2312" w:eastAsia="仿宋_GB2312" w:hAnsi="仿宋_GB2312" w:cs="仿宋_GB2312" w:hint="eastAsia"/>
          <w:snapToGrid/>
          <w:kern w:val="0"/>
          <w:sz w:val="32"/>
          <w:szCs w:val="32"/>
          <w:lang w:val="en-US" w:eastAsia="zh-CN" w:bidi="ar"/>
        </w:rPr>
      </w:pPr>
      <w:r>
        <w:rPr>
          <w:rFonts w:ascii="仿宋_GB2312" w:eastAsia="仿宋_GB2312" w:hAnsi="仿宋_GB2312" w:cs="仿宋_GB2312" w:hint="eastAsia"/>
          <w:snapToGrid/>
          <w:kern w:val="0"/>
          <w:sz w:val="32"/>
          <w:szCs w:val="32"/>
          <w:lang w:val="en-US" w:eastAsia="zh-CN" w:bidi="ar"/>
        </w:rPr>
        <w:t>（3）对各类网络安全设备/系统的构造、性能、原理和操作有详细透彻的的理解。</w:t>
      </w:r>
    </w:p>
    <w:p>
      <w:pPr>
        <w:pStyle w:val="Normal0"/>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rPr>
          <w:rFonts w:ascii="仿宋_GB2312" w:eastAsia="仿宋_GB2312" w:hAnsi="仿宋_GB2312" w:cs="仿宋_GB2312" w:hint="eastAsia"/>
          <w:snapToGrid/>
          <w:kern w:val="0"/>
          <w:sz w:val="32"/>
          <w:szCs w:val="32"/>
          <w:lang w:val="en-US" w:eastAsia="zh-CN" w:bidi="ar"/>
        </w:rPr>
      </w:pPr>
      <w:r>
        <w:rPr>
          <w:rFonts w:ascii="仿宋_GB2312" w:eastAsia="仿宋_GB2312" w:hAnsi="仿宋_GB2312" w:cs="仿宋_GB2312" w:hint="eastAsia"/>
          <w:snapToGrid/>
          <w:kern w:val="0"/>
          <w:sz w:val="32"/>
          <w:szCs w:val="32"/>
          <w:lang w:val="en-US" w:eastAsia="zh-CN" w:bidi="ar"/>
        </w:rPr>
        <w:t>（4）能够准确的发现网络安全设备/系统出现的和隐藏的问题，并能及时沟通联系安全运维人员/中标供应商，使问题得到及时解决。</w:t>
      </w:r>
    </w:p>
    <w:p>
      <w:pPr>
        <w:pStyle w:val="11"/>
        <w:keepNext w:val="0"/>
        <w:keepLines w:val="0"/>
        <w:pageBreakBefore w:val="0"/>
        <w:widowControl w:val="0"/>
        <w:kinsoku/>
        <w:wordWrap/>
        <w:topLinePunct w:val="0"/>
        <w:bidi w:val="0"/>
        <w:spacing w:line="560" w:lineRule="exact"/>
        <w:ind w:firstLine="640" w:firstLineChars="200"/>
        <w:contextualSpacing/>
        <w:outlineLvl w:val="1"/>
        <w:rPr>
          <w:rFonts w:ascii="仿宋_GB2312" w:eastAsia="仿宋_GB2312" w:hAnsi="仿宋_GB2312" w:cs="仿宋_GB2312" w:hint="eastAsia"/>
          <w:kern w:val="0"/>
          <w:sz w:val="32"/>
          <w:szCs w:val="32"/>
          <w:lang w:val="en-US" w:eastAsia="zh-CN" w:bidi="ar-SA"/>
        </w:rPr>
      </w:pPr>
      <w:r>
        <w:rPr>
          <w:rFonts w:ascii="仿宋_GB2312" w:eastAsia="仿宋_GB2312" w:hAnsi="仿宋_GB2312" w:cs="仿宋_GB2312" w:hint="eastAsia"/>
          <w:kern w:val="0"/>
          <w:sz w:val="32"/>
          <w:szCs w:val="32"/>
          <w:lang w:val="en-US" w:eastAsia="zh-CN" w:bidi="ar-SA"/>
        </w:rPr>
        <w:t>4.4服务考核要求</w:t>
      </w:r>
    </w:p>
    <w:p>
      <w:pPr>
        <w:pStyle w:val="Normal0"/>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rPr>
          <w:rFonts w:ascii="仿宋_GB2312" w:eastAsia="仿宋_GB2312" w:hAnsi="仿宋_GB2312" w:cs="仿宋_GB2312" w:hint="eastAsia"/>
          <w:snapToGrid/>
          <w:kern w:val="0"/>
          <w:sz w:val="32"/>
          <w:szCs w:val="32"/>
          <w:lang w:val="en-US" w:eastAsia="zh-CN" w:bidi="ar"/>
        </w:rPr>
      </w:pPr>
      <w:r>
        <w:rPr>
          <w:rFonts w:ascii="仿宋_GB2312" w:eastAsia="仿宋_GB2312" w:hAnsi="仿宋_GB2312" w:cs="仿宋_GB2312" w:hint="eastAsia"/>
          <w:snapToGrid/>
          <w:kern w:val="0"/>
          <w:sz w:val="32"/>
          <w:szCs w:val="32"/>
          <w:lang w:val="en-US" w:eastAsia="zh-CN" w:bidi="ar"/>
        </w:rPr>
        <w:t>中标供应商提供的网络安全系统运维服务需满足税务总局关于态势感知平台、双向安全交换系统、税务数字证书系统、密码组件服务系统等相关绩效考评要求，确保绩效考评不失分。</w:t>
      </w:r>
    </w:p>
    <w:p>
      <w:pPr>
        <w:pStyle w:val="Normal0"/>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rPr>
          <w:rFonts w:ascii="仿宋_GB2312" w:eastAsia="仿宋_GB2312" w:hAnsi="仿宋_GB2312" w:cs="仿宋_GB2312" w:hint="default"/>
          <w:snapToGrid/>
          <w:kern w:val="0"/>
          <w:sz w:val="32"/>
          <w:szCs w:val="32"/>
          <w:lang w:val="en-US" w:eastAsia="zh-CN" w:bidi="ar"/>
        </w:rPr>
      </w:pPr>
      <w:r>
        <w:rPr>
          <w:rFonts w:ascii="仿宋_GB2312" w:eastAsia="仿宋_GB2312" w:hAnsi="仿宋_GB2312" w:cs="仿宋_GB2312" w:hint="eastAsia"/>
          <w:snapToGrid/>
          <w:kern w:val="0"/>
          <w:sz w:val="32"/>
          <w:szCs w:val="32"/>
          <w:lang w:val="en-US" w:eastAsia="zh-CN" w:bidi="ar"/>
        </w:rPr>
        <w:t>中标供应商须如期提供供应链厂商网络安全能力评估报告、数据安全风险评估报告，满足税务总局关于数据安全评估、供应链厂商网络安全能力评估的绩效考评相关要求，确保考核不失分。</w:t>
      </w:r>
    </w:p>
    <w:p>
      <w:pPr>
        <w:pStyle w:val="11"/>
        <w:keepNext w:val="0"/>
        <w:keepLines w:val="0"/>
        <w:pageBreakBefore w:val="0"/>
        <w:widowControl w:val="0"/>
        <w:kinsoku/>
        <w:wordWrap/>
        <w:topLinePunct w:val="0"/>
        <w:bidi w:val="0"/>
        <w:spacing w:line="560" w:lineRule="exact"/>
        <w:ind w:firstLine="640" w:firstLineChars="200"/>
        <w:contextualSpacing/>
        <w:outlineLvl w:val="1"/>
        <w:rPr>
          <w:rFonts w:ascii="仿宋_GB2312" w:eastAsia="仿宋_GB2312" w:hAnsi="仿宋_GB2312" w:cs="仿宋_GB2312" w:hint="eastAsia"/>
          <w:kern w:val="0"/>
          <w:sz w:val="32"/>
          <w:szCs w:val="32"/>
          <w:lang w:bidi="ar-SA"/>
        </w:rPr>
      </w:pPr>
      <w:r>
        <w:rPr>
          <w:rFonts w:ascii="仿宋_GB2312" w:eastAsia="仿宋_GB2312" w:hAnsi="仿宋_GB2312" w:cs="仿宋_GB2312" w:hint="eastAsia"/>
          <w:kern w:val="0"/>
          <w:sz w:val="32"/>
          <w:szCs w:val="32"/>
          <w:lang w:val="en-US" w:eastAsia="zh-CN" w:bidi="ar-SA"/>
        </w:rPr>
        <w:t>4.5违约责任</w:t>
      </w:r>
    </w:p>
    <w:p>
      <w:pPr>
        <w:pStyle w:val="Normal0"/>
        <w:keepNext w:val="0"/>
        <w:keepLines w:val="0"/>
        <w:pageBreakBefore w:val="0"/>
        <w:widowControl w:val="0"/>
        <w:kinsoku/>
        <w:wordWrap/>
        <w:topLinePunct w:val="0"/>
        <w:bidi w:val="0"/>
        <w:spacing w:line="560" w:lineRule="exact"/>
        <w:ind w:firstLine="640" w:firstLineChars="200"/>
        <w:rPr>
          <w:rFonts w:ascii="仿宋_GB2312" w:hAnsi="仿宋_GB2312" w:hint="eastAsia"/>
          <w:color w:val="000000"/>
        </w:rPr>
      </w:pPr>
      <w:r>
        <w:rPr>
          <w:rFonts w:ascii="仿宋_GB2312" w:eastAsia="仿宋_GB2312" w:hAnsi="仿宋_GB2312" w:cs="仿宋_GB2312" w:hint="eastAsia"/>
          <w:color w:val="auto"/>
          <w:kern w:val="2"/>
          <w:sz w:val="32"/>
          <w:szCs w:val="32"/>
          <w:lang w:val="en-US" w:eastAsia="zh-CN" w:bidi="ar-SA"/>
        </w:rPr>
        <w:t>中标供应商违约责任情况要求，在中标供应商应提供7*24小时技术响应服务。日常性网络安全运维、7*24小时安全监测、网络安全系统运维须对系统操作问题在现场进行及时解答、日常升级于2个工作日内完成、大版本升级于3个工作日内完成；针对发生的网络安全事件须于半小时内做出响应、1小时内到达现场，2小时内提出排查方案，8小时内解决问题，48小时提供事件处理报告；针对系统和设备故障，须于1小时内做出响应，并于2小时内恢复系统和4小时内恢复设备运行，并于48小时内提供处理报告。项目内容单项服务如不能在规定时间内完成，扣除中标供应商项目内容中单项（</w:t>
      </w:r>
      <w:r>
        <w:rPr>
          <w:rFonts w:ascii="仿宋_GB2312" w:eastAsia="仿宋_GB2312" w:hAnsi="仿宋_GB2312" w:cs="仿宋_GB2312" w:hint="eastAsia"/>
          <w:sz w:val="32"/>
          <w:szCs w:val="32"/>
          <w:lang w:val="en-US" w:eastAsia="zh-CN"/>
        </w:rPr>
        <w:t>日常性网络安全运维、7*24小时安全监测、网络安全系统运维、</w:t>
      </w:r>
      <w:r>
        <w:rPr>
          <w:rFonts w:ascii="仿宋_GB2312" w:eastAsia="仿宋_GB2312" w:hAnsi="仿宋_GB2312" w:cs="仿宋_GB2312" w:hint="eastAsia"/>
          <w:color w:val="auto"/>
          <w:kern w:val="2"/>
          <w:sz w:val="32"/>
          <w:szCs w:val="32"/>
          <w:lang w:val="en-US" w:eastAsia="zh-CN" w:bidi="ar-SA"/>
        </w:rPr>
        <w:t>）服务项目的5%费用。</w:t>
      </w:r>
    </w:p>
    <w:p>
      <w:pPr>
        <w:pStyle w:val="BodyText0"/>
        <w:keepNext w:val="0"/>
        <w:keepLines w:val="0"/>
        <w:pageBreakBefore w:val="0"/>
        <w:widowControl w:val="0"/>
        <w:kinsoku/>
        <w:wordWrap/>
        <w:topLinePunct w:val="0"/>
        <w:bidi w:val="0"/>
        <w:spacing w:line="560" w:lineRule="exact"/>
        <w:ind w:firstLine="640" w:firstLineChars="200"/>
        <w:rPr>
          <w:rFonts w:ascii="仿宋_GB2312" w:hAnsi="仿宋_GB2312" w:hint="eastAsia"/>
          <w:color w:val="000000"/>
          <w:highlight w:val="none"/>
        </w:rPr>
      </w:pPr>
      <w:r>
        <w:rPr>
          <w:rFonts w:ascii="仿宋_GB2312" w:hAnsi="仿宋_GB2312" w:hint="eastAsia"/>
          <w:color w:val="000000"/>
        </w:rPr>
        <w:t>中标供应商违反</w:t>
      </w:r>
      <w:r>
        <w:rPr>
          <w:rFonts w:ascii="仿宋_GB2312" w:hAnsi="仿宋_GB2312" w:hint="eastAsia"/>
          <w:color w:val="000000"/>
          <w:lang w:val="en-US" w:eastAsia="zh-CN"/>
        </w:rPr>
        <w:t>服务期限</w:t>
      </w:r>
      <w:r>
        <w:rPr>
          <w:rFonts w:ascii="仿宋_GB2312" w:hAnsi="仿宋_GB2312" w:hint="eastAsia"/>
          <w:color w:val="000000"/>
        </w:rPr>
        <w:t>要求，</w:t>
      </w:r>
      <w:r>
        <w:rPr>
          <w:rFonts w:ascii="仿宋_GB2312" w:hAnsi="仿宋_GB2312" w:hint="eastAsia"/>
          <w:color w:val="000000"/>
          <w:lang w:val="en-US" w:eastAsia="zh-CN"/>
        </w:rPr>
        <w:t>并且</w:t>
      </w:r>
      <w:r>
        <w:rPr>
          <w:rFonts w:ascii="仿宋_GB2312" w:hAnsi="仿宋_GB2312" w:hint="eastAsia"/>
          <w:color w:val="000000"/>
        </w:rPr>
        <w:t>没有在规定时间完成</w:t>
      </w:r>
      <w:r>
        <w:rPr>
          <w:rFonts w:ascii="仿宋_GB2312" w:eastAsia="仿宋_GB2312" w:hAnsi="仿宋_GB2312" w:cs="仿宋_GB2312" w:hint="eastAsia"/>
          <w:sz w:val="32"/>
          <w:szCs w:val="32"/>
          <w:lang w:val="en-US" w:eastAsia="zh-CN"/>
        </w:rPr>
        <w:t>供应链厂商网络安全能力评估服务和数据安全风险评估服务</w:t>
      </w:r>
      <w:r>
        <w:rPr>
          <w:rFonts w:ascii="仿宋_GB2312" w:hAnsi="仿宋_GB2312" w:hint="eastAsia"/>
          <w:color w:val="000000"/>
        </w:rPr>
        <w:t>相关服务，扣除中标供应商服务项目</w:t>
      </w:r>
      <w:r>
        <w:rPr>
          <w:rFonts w:ascii="仿宋_GB2312" w:hAnsi="仿宋_GB2312" w:hint="eastAsia"/>
          <w:color w:val="000000"/>
          <w:lang w:val="en-US" w:eastAsia="zh-CN"/>
        </w:rPr>
        <w:t>内容</w:t>
      </w:r>
      <w:r>
        <w:rPr>
          <w:rFonts w:ascii="仿宋_GB2312" w:hAnsi="仿宋_GB2312" w:hint="eastAsia"/>
          <w:color w:val="000000"/>
        </w:rPr>
        <w:t>的</w:t>
      </w:r>
      <w:r>
        <w:rPr>
          <w:rFonts w:ascii="仿宋_GB2312" w:hAnsi="仿宋_GB2312" w:hint="eastAsia"/>
          <w:color w:val="000000"/>
          <w:highlight w:val="none"/>
          <w:lang w:val="en-US" w:eastAsia="zh-CN"/>
        </w:rPr>
        <w:t>5</w:t>
      </w:r>
      <w:r>
        <w:rPr>
          <w:rFonts w:ascii="仿宋_GB2312" w:hAnsi="仿宋_GB2312" w:hint="eastAsia"/>
          <w:color w:val="000000"/>
          <w:highlight w:val="none"/>
        </w:rPr>
        <w:t>%。</w:t>
      </w:r>
    </w:p>
    <w:p>
      <w:pPr>
        <w:pStyle w:val="Heading10"/>
        <w:keepNext w:val="0"/>
        <w:keepLines w:val="0"/>
        <w:pageBreakBefore w:val="0"/>
        <w:widowControl w:val="0"/>
        <w:numPr>
          <w:ilvl w:val="0"/>
          <w:numId w:val="0"/>
        </w:numPr>
        <w:kinsoku/>
        <w:wordWrap/>
        <w:overflowPunct w:val="0"/>
        <w:topLinePunct w:val="0"/>
        <w:autoSpaceDE w:val="0"/>
        <w:autoSpaceDN w:val="0"/>
        <w:bidi w:val="0"/>
        <w:adjustRightInd w:val="0"/>
        <w:snapToGrid/>
        <w:ind w:left="420" w:firstLine="320" w:leftChars="200" w:firstLineChars="100"/>
        <w:textAlignment w:val="baseline"/>
        <w:rPr>
          <w:rFonts w:ascii="黑体" w:eastAsia="黑体" w:hAnsi="黑体" w:cs="黑体" w:hint="eastAsia"/>
          <w:sz w:val="32"/>
          <w:szCs w:val="32"/>
          <w:lang w:val="en-US" w:eastAsia="zh-CN"/>
        </w:rPr>
      </w:pPr>
      <w:r>
        <w:rPr>
          <w:rFonts w:ascii="黑体" w:eastAsia="黑体" w:hAnsi="黑体" w:cs="黑体" w:hint="eastAsia"/>
          <w:sz w:val="32"/>
          <w:szCs w:val="32"/>
          <w:lang w:val="en-US" w:eastAsia="zh-CN"/>
        </w:rPr>
        <w:t>5.项目管理和实施要求</w:t>
      </w:r>
    </w:p>
    <w:p>
      <w:pPr>
        <w:pStyle w:val="Normal0"/>
        <w:keepNext w:val="0"/>
        <w:keepLines w:val="0"/>
        <w:pageBreakBefore w:val="0"/>
        <w:widowControl w:val="0"/>
        <w:kinsoku/>
        <w:wordWrap/>
        <w:topLinePunct w:val="0"/>
        <w:bidi w:val="0"/>
        <w:spacing w:line="560" w:lineRule="exact"/>
        <w:ind w:firstLine="640" w:firstLineChars="200"/>
        <w:rPr>
          <w:rFonts w:ascii="仿宋_GB2312" w:eastAsia="仿宋_GB2312" w:hAnsi="仿宋_GB2312" w:cs="仿宋_GB2312" w:hint="eastAsia"/>
          <w:b w:val="0"/>
          <w:bCs w:val="0"/>
          <w:color w:val="auto"/>
          <w:sz w:val="32"/>
          <w:szCs w:val="32"/>
        </w:rPr>
      </w:pPr>
      <w:r>
        <w:rPr>
          <w:rFonts w:ascii="仿宋_GB2312" w:eastAsia="仿宋_GB2312" w:hAnsi="仿宋_GB2312" w:cs="仿宋_GB2312" w:hint="eastAsia"/>
          <w:b w:val="0"/>
          <w:bCs w:val="0"/>
          <w:color w:val="auto"/>
          <w:sz w:val="32"/>
          <w:szCs w:val="32"/>
          <w:lang w:val="en-US" w:eastAsia="zh-CN"/>
        </w:rPr>
        <w:t>5.1</w:t>
      </w:r>
      <w:r>
        <w:rPr>
          <w:rFonts w:ascii="仿宋_GB2312" w:eastAsia="仿宋_GB2312" w:hAnsi="仿宋_GB2312" w:cs="仿宋_GB2312" w:hint="eastAsia"/>
          <w:b w:val="0"/>
          <w:bCs w:val="0"/>
          <w:color w:val="auto"/>
          <w:sz w:val="32"/>
          <w:szCs w:val="32"/>
        </w:rPr>
        <w:t>项目实施要求</w:t>
      </w:r>
    </w:p>
    <w:p>
      <w:pPr>
        <w:pStyle w:val="Normal0"/>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rPr>
          <w:rFonts w:ascii="仿宋_GB2312" w:eastAsia="仿宋_GB2312" w:hAnsi="仿宋_GB2312" w:cs="仿宋_GB2312" w:hint="eastAsia"/>
          <w:snapToGrid/>
          <w:kern w:val="0"/>
          <w:sz w:val="32"/>
          <w:szCs w:val="32"/>
          <w:lang w:val="en-US" w:eastAsia="zh-CN" w:bidi="ar"/>
        </w:rPr>
      </w:pPr>
      <w:r>
        <w:rPr>
          <w:rFonts w:ascii="仿宋_GB2312" w:eastAsia="仿宋_GB2312" w:hAnsi="仿宋_GB2312" w:cs="仿宋_GB2312" w:hint="eastAsia"/>
          <w:snapToGrid/>
          <w:kern w:val="0"/>
          <w:sz w:val="32"/>
          <w:szCs w:val="32"/>
          <w:lang w:val="en-US" w:eastAsia="zh-CN" w:bidi="ar"/>
        </w:rPr>
        <w:t>中标供应商须制定清晰的岗位职责、明确服务流程和规范，对服务团队建立绩效考核机制，确保满足采购方需求，确保响应效率及服务质量。当本项目现服务人员无法完成相关工作时，中标供应商应及时协调资源确保及时完成。</w:t>
      </w:r>
    </w:p>
    <w:p>
      <w:pPr>
        <w:pStyle w:val="BodyText0"/>
        <w:keepNext w:val="0"/>
        <w:keepLines w:val="0"/>
        <w:pageBreakBefore w:val="0"/>
        <w:widowControl w:val="0"/>
        <w:kinsoku/>
        <w:wordWrap/>
        <w:topLinePunct w:val="0"/>
        <w:bidi w:val="0"/>
        <w:spacing w:line="560" w:lineRule="exact"/>
        <w:ind w:firstLine="640" w:firstLineChars="200"/>
        <w:rPr>
          <w:rFonts w:ascii="仿宋_GB2312" w:eastAsia="仿宋_GB2312" w:hAnsi="仿宋_GB2312" w:cs="仿宋_GB2312" w:hint="default"/>
          <w:i w:val="0"/>
          <w:iCs w:val="0"/>
          <w:caps w:val="0"/>
          <w:color w:val="auto"/>
          <w:spacing w:val="5"/>
          <w:sz w:val="32"/>
          <w:szCs w:val="32"/>
          <w:shd w:val="clear" w:color="auto" w:fill="FFFFFF"/>
          <w:vertAlign w:val="baseline"/>
          <w:lang w:val="en-US"/>
        </w:rPr>
      </w:pPr>
      <w:r>
        <w:rPr>
          <w:rFonts w:ascii="仿宋_GB2312" w:eastAsia="仿宋_GB2312" w:hAnsi="仿宋_GB2312" w:cs="仿宋_GB2312" w:hint="eastAsia"/>
          <w:b w:val="0"/>
          <w:bCs w:val="0"/>
          <w:color w:val="auto"/>
          <w:sz w:val="32"/>
          <w:szCs w:val="32"/>
          <w:lang w:val="en-US" w:eastAsia="zh-CN"/>
        </w:rPr>
        <w:t>5.</w:t>
      </w:r>
      <w:r>
        <w:rPr>
          <w:rFonts w:ascii="仿宋_GB2312" w:hAnsi="仿宋_GB2312" w:cs="仿宋_GB2312" w:hint="eastAsia"/>
          <w:b w:val="0"/>
          <w:bCs w:val="0"/>
          <w:color w:val="auto"/>
          <w:sz w:val="32"/>
          <w:szCs w:val="32"/>
          <w:lang w:val="en-US" w:eastAsia="zh-CN"/>
        </w:rPr>
        <w:t>2 项目人员要求</w:t>
      </w:r>
    </w:p>
    <w:p>
      <w:pPr>
        <w:pStyle w:val="Normal0"/>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rPr>
          <w:rFonts w:ascii="仿宋_GB2312" w:eastAsia="仿宋_GB2312" w:hAnsi="仿宋_GB2312" w:cs="仿宋_GB2312" w:hint="eastAsia"/>
          <w:snapToGrid/>
          <w:kern w:val="0"/>
          <w:sz w:val="32"/>
          <w:szCs w:val="32"/>
          <w:lang w:val="en-US" w:eastAsia="zh-CN" w:bidi="ar"/>
        </w:rPr>
      </w:pPr>
      <w:r>
        <w:rPr>
          <w:rFonts w:ascii="仿宋_GB2312" w:eastAsia="仿宋_GB2312" w:hAnsi="仿宋_GB2312" w:cs="仿宋_GB2312" w:hint="eastAsia"/>
          <w:snapToGrid/>
          <w:kern w:val="0"/>
          <w:sz w:val="32"/>
          <w:szCs w:val="32"/>
          <w:lang w:val="en-US" w:eastAsia="zh-CN" w:bidi="ar"/>
        </w:rPr>
        <w:t>（1）应为本项目日常性网络安全运维、7*24小时安全监测、网络安全系统运维组建不少于14人的驻场服务团队（3人为日常性网络安全运维，4人为7*24小时监测服务，7人为网络安全系统运维），为本项目数据安全风险评估和供应链厂商网络安全能力评估组建不少于5人的评估团队。</w:t>
      </w:r>
    </w:p>
    <w:p>
      <w:pPr>
        <w:pStyle w:val="Normal0"/>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rPr>
          <w:rFonts w:ascii="仿宋_GB2312" w:eastAsia="仿宋_GB2312" w:hAnsi="仿宋_GB2312" w:cs="仿宋_GB2312" w:hint="eastAsia"/>
          <w:snapToGrid/>
          <w:kern w:val="0"/>
          <w:sz w:val="32"/>
          <w:szCs w:val="32"/>
          <w:lang w:val="en-US" w:eastAsia="zh-CN" w:bidi="ar"/>
        </w:rPr>
      </w:pPr>
      <w:r>
        <w:rPr>
          <w:rFonts w:ascii="仿宋_GB2312" w:eastAsia="仿宋_GB2312" w:hAnsi="仿宋_GB2312" w:cs="仿宋_GB2312" w:hint="eastAsia"/>
          <w:snapToGrid/>
          <w:kern w:val="0"/>
          <w:sz w:val="32"/>
          <w:szCs w:val="32"/>
          <w:lang w:val="en-US" w:eastAsia="zh-CN" w:bidi="ar"/>
        </w:rPr>
        <w:t>（2）项目实施期间确保团队人员的稳定性，如更换服务人员需经采购方书面同意，工作交接时间不少于2个月。应为本项目配备不少于5年网络安全工作经验的项目经理。驻场技术人员应接受采购方的管理，并遵守相关工作规范。</w:t>
      </w:r>
    </w:p>
    <w:p>
      <w:pPr>
        <w:pStyle w:val="Normal0"/>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rPr>
          <w:rFonts w:ascii="仿宋_GB2312" w:eastAsia="仿宋_GB2312" w:hAnsi="仿宋_GB2312" w:cs="仿宋_GB2312" w:hint="eastAsia"/>
          <w:snapToGrid/>
          <w:kern w:val="0"/>
          <w:sz w:val="32"/>
          <w:szCs w:val="32"/>
          <w:lang w:val="en-US" w:eastAsia="zh-CN" w:bidi="ar"/>
        </w:rPr>
      </w:pPr>
      <w:r>
        <w:rPr>
          <w:rFonts w:ascii="仿宋_GB2312" w:eastAsia="仿宋_GB2312" w:hAnsi="仿宋_GB2312" w:cs="仿宋_GB2312" w:hint="eastAsia"/>
          <w:snapToGrid/>
          <w:kern w:val="0"/>
          <w:sz w:val="32"/>
          <w:szCs w:val="32"/>
          <w:lang w:val="en-US" w:eastAsia="zh-CN" w:bidi="ar"/>
        </w:rPr>
        <w:t>（3）本项目日常性网络安全运维驻场人员须有3年以上网络安全工作经验，且具有注册信息安全专业人员证书（CISP），了解税务网络安全标准和技术要求，熟练使用主流安全厂商的设备和软件，能够独立完成日常网络安全运维、故障排查、安全事件分析、应急处置等相关工作，具备技术文档编写能力和良好沟通能力。</w:t>
      </w:r>
    </w:p>
    <w:p>
      <w:pPr>
        <w:pStyle w:val="Normal0"/>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rPr>
          <w:rFonts w:ascii="仿宋_GB2312" w:eastAsia="仿宋_GB2312" w:hAnsi="仿宋_GB2312" w:cs="仿宋_GB2312" w:hint="eastAsia"/>
          <w:snapToGrid/>
          <w:kern w:val="0"/>
          <w:sz w:val="32"/>
          <w:szCs w:val="32"/>
          <w:lang w:val="en-US" w:eastAsia="zh-CN" w:bidi="ar"/>
        </w:rPr>
      </w:pPr>
      <w:r>
        <w:rPr>
          <w:rFonts w:ascii="仿宋_GB2312" w:eastAsia="仿宋_GB2312" w:hAnsi="仿宋_GB2312" w:cs="仿宋_GB2312" w:hint="eastAsia"/>
          <w:snapToGrid/>
          <w:kern w:val="0"/>
          <w:sz w:val="32"/>
          <w:szCs w:val="32"/>
          <w:lang w:val="en-US" w:eastAsia="zh-CN" w:bidi="ar"/>
        </w:rPr>
        <w:t>（4）本项目7*24小时监测人员至少有2年以上网络安全工作经验，熟悉网络安全主流监测设备，具备应对网络攻击的快速响应和应急处置能力。</w:t>
      </w:r>
    </w:p>
    <w:p>
      <w:pPr>
        <w:pStyle w:val="Normal0"/>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rPr>
          <w:rFonts w:ascii="仿宋_GB2312" w:eastAsia="仿宋_GB2312" w:hAnsi="仿宋_GB2312" w:cs="仿宋_GB2312" w:hint="eastAsia"/>
          <w:snapToGrid/>
          <w:kern w:val="0"/>
          <w:sz w:val="32"/>
          <w:szCs w:val="32"/>
          <w:lang w:val="en-US" w:eastAsia="zh-CN" w:bidi="ar"/>
        </w:rPr>
      </w:pPr>
      <w:r>
        <w:rPr>
          <w:rFonts w:ascii="仿宋_GB2312" w:eastAsia="仿宋_GB2312" w:hAnsi="仿宋_GB2312" w:cs="仿宋_GB2312" w:hint="eastAsia"/>
          <w:snapToGrid/>
          <w:kern w:val="0"/>
          <w:sz w:val="32"/>
          <w:szCs w:val="32"/>
          <w:lang w:val="en-US" w:eastAsia="zh-CN" w:bidi="ar"/>
        </w:rPr>
        <w:t>（5）本项目网络安全系统运维人员应至少具备3年以上信息系统运维工作经验，需熟悉主流中间件及数据库运维操作，熟悉税务网络安全信息系统前后台操作。</w:t>
      </w:r>
    </w:p>
    <w:p>
      <w:pPr>
        <w:pStyle w:val="Normal0"/>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rPr>
          <w:rFonts w:ascii="仿宋_GB2312" w:eastAsia="仿宋_GB2312" w:hAnsi="仿宋_GB2312" w:cs="仿宋_GB2312" w:hint="default"/>
          <w:snapToGrid/>
          <w:kern w:val="0"/>
          <w:sz w:val="32"/>
          <w:szCs w:val="32"/>
          <w:lang w:val="en-US" w:eastAsia="zh-CN" w:bidi="ar"/>
        </w:rPr>
      </w:pPr>
      <w:r>
        <w:rPr>
          <w:rFonts w:ascii="仿宋_GB2312" w:eastAsia="仿宋_GB2312" w:hAnsi="仿宋_GB2312" w:cs="仿宋_GB2312" w:hint="eastAsia"/>
          <w:snapToGrid/>
          <w:kern w:val="0"/>
          <w:sz w:val="32"/>
          <w:szCs w:val="32"/>
          <w:lang w:val="en-US" w:eastAsia="zh-CN" w:bidi="ar"/>
        </w:rPr>
        <w:t>（6）同一驻场运维人员在同一服务期内不得为两个或以上信息化项目提供驻场服务。</w:t>
      </w:r>
    </w:p>
    <w:p>
      <w:pPr>
        <w:pStyle w:val="Heading10"/>
        <w:keepNext w:val="0"/>
        <w:keepLines w:val="0"/>
        <w:pageBreakBefore w:val="0"/>
        <w:widowControl w:val="0"/>
        <w:numPr>
          <w:ilvl w:val="0"/>
          <w:numId w:val="0"/>
        </w:numPr>
        <w:kinsoku/>
        <w:wordWrap/>
        <w:overflowPunct w:val="0"/>
        <w:topLinePunct w:val="0"/>
        <w:autoSpaceDE w:val="0"/>
        <w:autoSpaceDN w:val="0"/>
        <w:bidi w:val="0"/>
        <w:adjustRightInd w:val="0"/>
        <w:snapToGrid/>
        <w:ind w:left="420" w:firstLine="320" w:leftChars="200" w:firstLineChars="100"/>
        <w:textAlignment w:val="baseline"/>
        <w:rPr>
          <w:rFonts w:ascii="黑体" w:eastAsia="黑体" w:hAnsi="黑体" w:cs="黑体" w:hint="eastAsia"/>
          <w:sz w:val="32"/>
          <w:szCs w:val="32"/>
          <w:lang w:val="en-US" w:eastAsia="zh-CN"/>
        </w:rPr>
      </w:pPr>
      <w:r>
        <w:rPr>
          <w:rFonts w:ascii="黑体" w:eastAsia="黑体" w:hAnsi="黑体" w:cs="黑体" w:hint="eastAsia"/>
          <w:sz w:val="32"/>
          <w:szCs w:val="32"/>
          <w:lang w:val="en-US" w:eastAsia="zh-CN"/>
        </w:rPr>
        <w:t>6.验收要求</w:t>
      </w:r>
    </w:p>
    <w:p>
      <w:pPr>
        <w:pStyle w:val="Normal0"/>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baseline"/>
        <w:rPr>
          <w:rFonts w:ascii="仿宋_GB2312" w:eastAsia="仿宋_GB2312" w:hAnsi="仿宋_GB2312" w:cs="仿宋_GB2312" w:hint="eastAsia"/>
          <w:snapToGrid/>
          <w:kern w:val="0"/>
          <w:sz w:val="32"/>
          <w:szCs w:val="32"/>
          <w:lang w:val="en-US" w:eastAsia="zh-CN" w:bidi="ar"/>
        </w:rPr>
      </w:pPr>
      <w:r>
        <w:rPr>
          <w:rFonts w:ascii="仿宋_GB2312" w:eastAsia="仿宋_GB2312" w:hAnsi="仿宋_GB2312" w:cs="仿宋_GB2312" w:hint="eastAsia"/>
          <w:snapToGrid/>
          <w:kern w:val="0"/>
          <w:sz w:val="32"/>
          <w:szCs w:val="32"/>
          <w:lang w:val="en-US" w:eastAsia="zh-CN" w:bidi="ar"/>
        </w:rPr>
        <w:t>项目服务期满后，由中标供应商提出项目验收申请，项目使用部门按照相关要求组织验收，中标供应商应按照采购方验收要求，提交相关验收资料，按照合同要求考察服务满意度、应急响应情况、文档交付情况、专业技术能力和服务整体质量等方面，须出具齐全项目验收资料，验收通过后出具项目验收报告。验收资料包括但不限于：</w:t>
      </w:r>
    </w:p>
    <w:p>
      <w:pPr>
        <w:pStyle w:val="Normal0"/>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baseline"/>
        <w:rPr>
          <w:rFonts w:ascii="仿宋_GB2312" w:eastAsia="仿宋_GB2312" w:hAnsi="仿宋_GB2312" w:cs="仿宋_GB2312" w:hint="eastAsia"/>
          <w:snapToGrid/>
          <w:kern w:val="0"/>
          <w:sz w:val="32"/>
          <w:szCs w:val="32"/>
          <w:lang w:val="en-US" w:eastAsia="zh-CN" w:bidi="ar"/>
        </w:rPr>
      </w:pPr>
      <w:r>
        <w:rPr>
          <w:rFonts w:ascii="仿宋_GB2312" w:eastAsia="仿宋_GB2312" w:hAnsi="仿宋_GB2312" w:cs="仿宋_GB2312" w:hint="eastAsia"/>
          <w:snapToGrid/>
          <w:kern w:val="0"/>
          <w:sz w:val="32"/>
          <w:szCs w:val="32"/>
          <w:lang w:val="en-US" w:eastAsia="zh-CN" w:bidi="ar"/>
        </w:rPr>
        <w:t>（1）《7*24小时网络安全运维报告》</w:t>
      </w:r>
    </w:p>
    <w:p>
      <w:pPr>
        <w:pStyle w:val="Normal0"/>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baseline"/>
        <w:rPr>
          <w:rFonts w:ascii="仿宋_GB2312" w:eastAsia="仿宋_GB2312" w:hAnsi="仿宋_GB2312" w:cs="仿宋_GB2312" w:hint="eastAsia"/>
          <w:snapToGrid/>
          <w:kern w:val="0"/>
          <w:sz w:val="32"/>
          <w:szCs w:val="32"/>
          <w:lang w:val="en-US" w:eastAsia="zh-CN" w:bidi="ar"/>
        </w:rPr>
      </w:pPr>
      <w:r>
        <w:rPr>
          <w:rFonts w:ascii="仿宋_GB2312" w:eastAsia="仿宋_GB2312" w:hAnsi="仿宋_GB2312" w:cs="仿宋_GB2312" w:hint="eastAsia"/>
          <w:snapToGrid/>
          <w:kern w:val="0"/>
          <w:sz w:val="32"/>
          <w:szCs w:val="32"/>
          <w:lang w:val="en-US" w:eastAsia="zh-CN" w:bidi="ar"/>
        </w:rPr>
        <w:t>（2）《网络安全漏洞扫描报告》</w:t>
      </w:r>
    </w:p>
    <w:p>
      <w:pPr>
        <w:pStyle w:val="Normal0"/>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baseline"/>
        <w:rPr>
          <w:rFonts w:ascii="仿宋_GB2312" w:eastAsia="仿宋_GB2312" w:hAnsi="仿宋_GB2312" w:cs="仿宋_GB2312" w:hint="eastAsia"/>
          <w:snapToGrid/>
          <w:kern w:val="0"/>
          <w:sz w:val="32"/>
          <w:szCs w:val="32"/>
          <w:lang w:val="en-US" w:eastAsia="zh-CN" w:bidi="ar"/>
        </w:rPr>
      </w:pPr>
      <w:r>
        <w:rPr>
          <w:rFonts w:ascii="仿宋_GB2312" w:eastAsia="仿宋_GB2312" w:hAnsi="仿宋_GB2312" w:cs="仿宋_GB2312" w:hint="eastAsia"/>
          <w:snapToGrid/>
          <w:kern w:val="0"/>
          <w:sz w:val="32"/>
          <w:szCs w:val="32"/>
          <w:lang w:val="en-US" w:eastAsia="zh-CN" w:bidi="ar"/>
        </w:rPr>
        <w:t>（3）《网络安全漏洞交接单》</w:t>
      </w:r>
    </w:p>
    <w:p>
      <w:pPr>
        <w:pStyle w:val="Normal0"/>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baseline"/>
        <w:rPr>
          <w:rFonts w:ascii="仿宋_GB2312" w:eastAsia="仿宋_GB2312" w:hAnsi="仿宋_GB2312" w:cs="仿宋_GB2312" w:hint="eastAsia"/>
          <w:snapToGrid/>
          <w:kern w:val="0"/>
          <w:sz w:val="32"/>
          <w:szCs w:val="32"/>
          <w:lang w:val="en-US" w:eastAsia="zh-CN" w:bidi="ar"/>
        </w:rPr>
      </w:pPr>
      <w:r>
        <w:rPr>
          <w:rFonts w:ascii="仿宋_GB2312" w:eastAsia="仿宋_GB2312" w:hAnsi="仿宋_GB2312" w:cs="仿宋_GB2312" w:hint="eastAsia"/>
          <w:snapToGrid/>
          <w:kern w:val="0"/>
          <w:sz w:val="32"/>
          <w:szCs w:val="32"/>
          <w:lang w:val="en-US" w:eastAsia="zh-CN" w:bidi="ar"/>
        </w:rPr>
        <w:t>（4）《运维系统审计报告》</w:t>
      </w:r>
    </w:p>
    <w:p>
      <w:pPr>
        <w:pStyle w:val="Normal0"/>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baseline"/>
        <w:rPr>
          <w:rFonts w:ascii="仿宋_GB2312" w:eastAsia="仿宋_GB2312" w:hAnsi="仿宋_GB2312" w:cs="仿宋_GB2312" w:hint="eastAsia"/>
          <w:snapToGrid/>
          <w:kern w:val="0"/>
          <w:sz w:val="32"/>
          <w:szCs w:val="32"/>
          <w:lang w:val="en-US" w:eastAsia="zh-CN" w:bidi="ar"/>
        </w:rPr>
      </w:pPr>
      <w:r>
        <w:rPr>
          <w:rFonts w:ascii="仿宋_GB2312" w:eastAsia="仿宋_GB2312" w:hAnsi="仿宋_GB2312" w:cs="仿宋_GB2312" w:hint="eastAsia"/>
          <w:snapToGrid/>
          <w:kern w:val="0"/>
          <w:sz w:val="32"/>
          <w:szCs w:val="32"/>
          <w:lang w:val="en-US" w:eastAsia="zh-CN" w:bidi="ar"/>
        </w:rPr>
        <w:t>（5）《数据库审计报告》</w:t>
      </w:r>
    </w:p>
    <w:p>
      <w:pPr>
        <w:pStyle w:val="Normal0"/>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baseline"/>
        <w:rPr>
          <w:rFonts w:ascii="仿宋_GB2312" w:eastAsia="仿宋_GB2312" w:hAnsi="仿宋_GB2312" w:cs="仿宋_GB2312" w:hint="eastAsia"/>
          <w:snapToGrid/>
          <w:kern w:val="0"/>
          <w:sz w:val="32"/>
          <w:szCs w:val="32"/>
          <w:lang w:val="en-US" w:eastAsia="zh-CN" w:bidi="ar"/>
        </w:rPr>
      </w:pPr>
      <w:r>
        <w:rPr>
          <w:rFonts w:ascii="仿宋_GB2312" w:eastAsia="仿宋_GB2312" w:hAnsi="仿宋_GB2312" w:cs="仿宋_GB2312" w:hint="eastAsia"/>
          <w:snapToGrid/>
          <w:kern w:val="0"/>
          <w:sz w:val="32"/>
          <w:szCs w:val="32"/>
          <w:lang w:val="en-US" w:eastAsia="zh-CN" w:bidi="ar"/>
        </w:rPr>
        <w:t>（6）《日志审计统计表》</w:t>
      </w:r>
    </w:p>
    <w:p>
      <w:pPr>
        <w:pStyle w:val="Normal0"/>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baseline"/>
        <w:rPr>
          <w:rFonts w:ascii="仿宋_GB2312" w:eastAsia="仿宋_GB2312" w:hAnsi="仿宋_GB2312" w:cs="仿宋_GB2312" w:hint="eastAsia"/>
          <w:snapToGrid/>
          <w:kern w:val="0"/>
          <w:sz w:val="32"/>
          <w:szCs w:val="32"/>
          <w:lang w:val="en-US" w:eastAsia="zh-CN" w:bidi="ar"/>
        </w:rPr>
      </w:pPr>
      <w:r>
        <w:rPr>
          <w:rFonts w:ascii="仿宋_GB2312" w:eastAsia="仿宋_GB2312" w:hAnsi="仿宋_GB2312" w:cs="仿宋_GB2312" w:hint="eastAsia"/>
          <w:snapToGrid/>
          <w:kern w:val="0"/>
          <w:sz w:val="32"/>
          <w:szCs w:val="32"/>
          <w:lang w:val="en-US" w:eastAsia="zh-CN" w:bidi="ar"/>
        </w:rPr>
        <w:t>（7）《日志审计工作报告》</w:t>
      </w:r>
    </w:p>
    <w:p>
      <w:pPr>
        <w:pStyle w:val="Normal0"/>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baseline"/>
        <w:rPr>
          <w:rFonts w:ascii="仿宋_GB2312" w:eastAsia="仿宋_GB2312" w:hAnsi="仿宋_GB2312" w:cs="仿宋_GB2312" w:hint="eastAsia"/>
          <w:snapToGrid/>
          <w:kern w:val="0"/>
          <w:sz w:val="32"/>
          <w:szCs w:val="32"/>
          <w:lang w:val="en-US" w:eastAsia="zh-CN" w:bidi="ar"/>
        </w:rPr>
      </w:pPr>
      <w:r>
        <w:rPr>
          <w:rFonts w:ascii="仿宋_GB2312" w:eastAsia="仿宋_GB2312" w:hAnsi="仿宋_GB2312" w:cs="仿宋_GB2312" w:hint="eastAsia"/>
          <w:snapToGrid/>
          <w:kern w:val="0"/>
          <w:sz w:val="32"/>
          <w:szCs w:val="32"/>
          <w:lang w:val="en-US" w:eastAsia="zh-CN" w:bidi="ar"/>
        </w:rPr>
        <w:t>（8）《网络安全情况统计表》</w:t>
      </w:r>
    </w:p>
    <w:p>
      <w:pPr>
        <w:pStyle w:val="Normal0"/>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baseline"/>
        <w:rPr>
          <w:rFonts w:ascii="仿宋_GB2312" w:eastAsia="仿宋_GB2312" w:hAnsi="仿宋_GB2312" w:cs="仿宋_GB2312" w:hint="eastAsia"/>
          <w:snapToGrid/>
          <w:kern w:val="0"/>
          <w:sz w:val="32"/>
          <w:szCs w:val="32"/>
          <w:lang w:val="en-US" w:eastAsia="zh-CN" w:bidi="ar"/>
        </w:rPr>
      </w:pPr>
      <w:r>
        <w:rPr>
          <w:rFonts w:ascii="仿宋_GB2312" w:eastAsia="仿宋_GB2312" w:hAnsi="仿宋_GB2312" w:cs="仿宋_GB2312" w:hint="eastAsia"/>
          <w:snapToGrid/>
          <w:kern w:val="0"/>
          <w:sz w:val="32"/>
          <w:szCs w:val="32"/>
          <w:lang w:val="en-US" w:eastAsia="zh-CN" w:bidi="ar"/>
        </w:rPr>
        <w:t>（9）《网络安全情况半月报》</w:t>
      </w:r>
    </w:p>
    <w:p>
      <w:pPr>
        <w:pStyle w:val="Normal0"/>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baseline"/>
        <w:rPr>
          <w:rFonts w:ascii="仿宋_GB2312" w:eastAsia="仿宋_GB2312" w:hAnsi="仿宋_GB2312" w:cs="仿宋_GB2312" w:hint="eastAsia"/>
          <w:snapToGrid/>
          <w:kern w:val="0"/>
          <w:sz w:val="32"/>
          <w:szCs w:val="32"/>
          <w:lang w:val="en-US" w:eastAsia="zh-CN" w:bidi="ar"/>
        </w:rPr>
      </w:pPr>
      <w:r>
        <w:rPr>
          <w:rFonts w:ascii="仿宋_GB2312" w:eastAsia="仿宋_GB2312" w:hAnsi="仿宋_GB2312" w:cs="仿宋_GB2312" w:hint="eastAsia"/>
          <w:snapToGrid/>
          <w:kern w:val="0"/>
          <w:sz w:val="32"/>
          <w:szCs w:val="32"/>
          <w:lang w:val="en-US" w:eastAsia="zh-CN" w:bidi="ar"/>
        </w:rPr>
        <w:t>（10）《网络安全运维周报》</w:t>
      </w:r>
    </w:p>
    <w:p>
      <w:pPr>
        <w:pStyle w:val="Normal0"/>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baseline"/>
        <w:rPr>
          <w:rFonts w:ascii="仿宋_GB2312" w:eastAsia="仿宋_GB2312" w:hAnsi="仿宋_GB2312" w:cs="仿宋_GB2312" w:hint="eastAsia"/>
          <w:snapToGrid/>
          <w:kern w:val="0"/>
          <w:sz w:val="32"/>
          <w:szCs w:val="32"/>
          <w:lang w:val="en-US" w:eastAsia="zh-CN" w:bidi="ar"/>
        </w:rPr>
      </w:pPr>
      <w:r>
        <w:rPr>
          <w:rFonts w:ascii="仿宋_GB2312" w:eastAsia="仿宋_GB2312" w:hAnsi="仿宋_GB2312" w:cs="仿宋_GB2312" w:hint="eastAsia"/>
          <w:snapToGrid/>
          <w:kern w:val="0"/>
          <w:sz w:val="32"/>
          <w:szCs w:val="32"/>
          <w:lang w:val="en-US" w:eastAsia="zh-CN" w:bidi="ar"/>
        </w:rPr>
        <w:t>（11）《网络安全运维月报》</w:t>
      </w:r>
    </w:p>
    <w:p>
      <w:pPr>
        <w:pStyle w:val="Normal0"/>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baseline"/>
        <w:rPr>
          <w:rFonts w:ascii="仿宋_GB2312" w:eastAsia="仿宋_GB2312" w:hAnsi="仿宋_GB2312" w:cs="仿宋_GB2312" w:hint="eastAsia"/>
          <w:snapToGrid/>
          <w:kern w:val="0"/>
          <w:sz w:val="32"/>
          <w:szCs w:val="32"/>
          <w:lang w:val="en-US" w:eastAsia="zh-CN" w:bidi="ar"/>
        </w:rPr>
      </w:pPr>
      <w:r>
        <w:rPr>
          <w:rFonts w:ascii="仿宋_GB2312" w:eastAsia="仿宋_GB2312" w:hAnsi="仿宋_GB2312" w:cs="仿宋_GB2312" w:hint="eastAsia"/>
          <w:snapToGrid/>
          <w:kern w:val="0"/>
          <w:sz w:val="32"/>
          <w:szCs w:val="32"/>
          <w:lang w:val="en-US" w:eastAsia="zh-CN" w:bidi="ar"/>
        </w:rPr>
        <w:t>（12）《税务数字证书系统运维服务月报》</w:t>
      </w:r>
    </w:p>
    <w:p>
      <w:pPr>
        <w:pStyle w:val="Normal0"/>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baseline"/>
        <w:rPr>
          <w:rFonts w:ascii="仿宋_GB2312" w:eastAsia="仿宋_GB2312" w:hAnsi="仿宋_GB2312" w:cs="仿宋_GB2312" w:hint="eastAsia"/>
          <w:snapToGrid/>
          <w:kern w:val="0"/>
          <w:sz w:val="32"/>
          <w:szCs w:val="32"/>
          <w:lang w:val="en-US" w:eastAsia="zh-CN" w:bidi="ar"/>
        </w:rPr>
      </w:pPr>
      <w:r>
        <w:rPr>
          <w:rFonts w:ascii="仿宋_GB2312" w:eastAsia="仿宋_GB2312" w:hAnsi="仿宋_GB2312" w:cs="仿宋_GB2312" w:hint="eastAsia"/>
          <w:snapToGrid/>
          <w:kern w:val="0"/>
          <w:sz w:val="32"/>
          <w:szCs w:val="32"/>
          <w:lang w:val="en-US" w:eastAsia="zh-CN" w:bidi="ar"/>
        </w:rPr>
        <w:t>（13）《税务数字证书系统问题处置记录》</w:t>
      </w:r>
    </w:p>
    <w:p>
      <w:pPr>
        <w:pStyle w:val="Normal0"/>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baseline"/>
        <w:rPr>
          <w:rFonts w:ascii="仿宋_GB2312" w:eastAsia="仿宋_GB2312" w:hAnsi="仿宋_GB2312" w:cs="仿宋_GB2312" w:hint="eastAsia"/>
          <w:snapToGrid/>
          <w:kern w:val="0"/>
          <w:sz w:val="32"/>
          <w:szCs w:val="32"/>
          <w:lang w:val="en-US" w:eastAsia="zh-CN" w:bidi="ar"/>
        </w:rPr>
      </w:pPr>
      <w:r>
        <w:rPr>
          <w:rFonts w:ascii="仿宋_GB2312" w:eastAsia="仿宋_GB2312" w:hAnsi="仿宋_GB2312" w:cs="仿宋_GB2312" w:hint="eastAsia"/>
          <w:snapToGrid/>
          <w:kern w:val="0"/>
          <w:sz w:val="32"/>
          <w:szCs w:val="32"/>
          <w:lang w:val="en-US" w:eastAsia="zh-CN" w:bidi="ar"/>
        </w:rPr>
        <w:t>（14）《金税三期应用安全支撑平台运维服务月报》</w:t>
      </w:r>
    </w:p>
    <w:p>
      <w:pPr>
        <w:pStyle w:val="Normal0"/>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baseline"/>
        <w:rPr>
          <w:rFonts w:ascii="仿宋_GB2312" w:eastAsia="仿宋_GB2312" w:hAnsi="仿宋_GB2312" w:cs="仿宋_GB2312" w:hint="eastAsia"/>
          <w:snapToGrid/>
          <w:kern w:val="0"/>
          <w:sz w:val="32"/>
          <w:szCs w:val="32"/>
          <w:lang w:val="en-US" w:eastAsia="zh-CN" w:bidi="ar"/>
        </w:rPr>
      </w:pPr>
      <w:r>
        <w:rPr>
          <w:rFonts w:ascii="仿宋_GB2312" w:eastAsia="仿宋_GB2312" w:hAnsi="仿宋_GB2312" w:cs="仿宋_GB2312" w:hint="eastAsia"/>
          <w:snapToGrid/>
          <w:kern w:val="0"/>
          <w:sz w:val="32"/>
          <w:szCs w:val="32"/>
          <w:lang w:val="en-US" w:eastAsia="zh-CN" w:bidi="ar"/>
        </w:rPr>
        <w:t>（15）《金税三期应用安全支撑平台问题处置记录》</w:t>
      </w:r>
    </w:p>
    <w:p>
      <w:pPr>
        <w:pStyle w:val="Normal0"/>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baseline"/>
        <w:rPr>
          <w:rFonts w:ascii="仿宋_GB2312" w:eastAsia="仿宋_GB2312" w:hAnsi="仿宋_GB2312" w:cs="仿宋_GB2312" w:hint="eastAsia"/>
          <w:snapToGrid/>
          <w:kern w:val="0"/>
          <w:sz w:val="32"/>
          <w:szCs w:val="32"/>
          <w:lang w:val="en-US" w:eastAsia="zh-CN" w:bidi="ar"/>
        </w:rPr>
      </w:pPr>
      <w:r>
        <w:rPr>
          <w:rFonts w:ascii="仿宋_GB2312" w:eastAsia="仿宋_GB2312" w:hAnsi="仿宋_GB2312" w:cs="仿宋_GB2312" w:hint="eastAsia"/>
          <w:snapToGrid/>
          <w:kern w:val="0"/>
          <w:sz w:val="32"/>
          <w:szCs w:val="32"/>
          <w:lang w:val="en-US" w:eastAsia="zh-CN" w:bidi="ar"/>
        </w:rPr>
        <w:t>（16）《税务系统态势感知平台运维服务月报》</w:t>
      </w:r>
    </w:p>
    <w:p>
      <w:pPr>
        <w:pStyle w:val="Normal0"/>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baseline"/>
        <w:rPr>
          <w:rFonts w:ascii="仿宋_GB2312" w:eastAsia="仿宋_GB2312" w:hAnsi="仿宋_GB2312" w:cs="仿宋_GB2312" w:hint="eastAsia"/>
          <w:snapToGrid/>
          <w:kern w:val="0"/>
          <w:sz w:val="32"/>
          <w:szCs w:val="32"/>
          <w:lang w:val="en-US" w:eastAsia="zh-CN" w:bidi="ar"/>
        </w:rPr>
      </w:pPr>
      <w:r>
        <w:rPr>
          <w:rFonts w:ascii="仿宋_GB2312" w:eastAsia="仿宋_GB2312" w:hAnsi="仿宋_GB2312" w:cs="仿宋_GB2312" w:hint="eastAsia"/>
          <w:snapToGrid/>
          <w:kern w:val="0"/>
          <w:sz w:val="32"/>
          <w:szCs w:val="32"/>
          <w:lang w:val="en-US" w:eastAsia="zh-CN" w:bidi="ar"/>
        </w:rPr>
        <w:t>（17）《税务系统态势感知平台问题处置记录》</w:t>
      </w:r>
    </w:p>
    <w:p>
      <w:pPr>
        <w:pStyle w:val="Normal0"/>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baseline"/>
        <w:rPr>
          <w:rFonts w:ascii="仿宋_GB2312" w:eastAsia="仿宋_GB2312" w:hAnsi="仿宋_GB2312" w:cs="仿宋_GB2312" w:hint="eastAsia"/>
          <w:snapToGrid/>
          <w:spacing w:val="-20"/>
          <w:kern w:val="0"/>
          <w:sz w:val="32"/>
          <w:szCs w:val="32"/>
          <w:lang w:val="en-US" w:eastAsia="zh-CN" w:bidi="ar"/>
        </w:rPr>
      </w:pPr>
      <w:r>
        <w:rPr>
          <w:rFonts w:ascii="仿宋_GB2312" w:eastAsia="仿宋_GB2312" w:hAnsi="仿宋_GB2312" w:cs="仿宋_GB2312" w:hint="eastAsia"/>
          <w:snapToGrid/>
          <w:kern w:val="0"/>
          <w:sz w:val="32"/>
          <w:szCs w:val="32"/>
          <w:lang w:val="en-US" w:eastAsia="zh-CN" w:bidi="ar"/>
        </w:rPr>
        <w:t>（18）</w:t>
      </w:r>
      <w:r>
        <w:rPr>
          <w:rFonts w:ascii="仿宋_GB2312" w:eastAsia="仿宋_GB2312" w:hAnsi="仿宋_GB2312" w:cs="仿宋_GB2312" w:hint="eastAsia"/>
          <w:snapToGrid/>
          <w:spacing w:val="-20"/>
          <w:kern w:val="0"/>
          <w:sz w:val="32"/>
          <w:szCs w:val="32"/>
          <w:lang w:val="en-US" w:eastAsia="zh-CN" w:bidi="ar"/>
        </w:rPr>
        <w:t>《“双向”安全交换系统和密码组件系统运维服务月报》</w:t>
      </w:r>
    </w:p>
    <w:p>
      <w:pPr>
        <w:pStyle w:val="Normal0"/>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baseline"/>
        <w:rPr>
          <w:rFonts w:ascii="仿宋_GB2312" w:eastAsia="仿宋_GB2312" w:hAnsi="仿宋_GB2312" w:cs="仿宋_GB2312" w:hint="eastAsia"/>
          <w:snapToGrid/>
          <w:spacing w:val="-20"/>
          <w:kern w:val="0"/>
          <w:sz w:val="32"/>
          <w:szCs w:val="32"/>
          <w:lang w:val="en-US" w:eastAsia="zh-CN" w:bidi="ar"/>
        </w:rPr>
      </w:pPr>
      <w:r>
        <w:rPr>
          <w:rFonts w:ascii="仿宋_GB2312" w:eastAsia="仿宋_GB2312" w:hAnsi="仿宋_GB2312" w:cs="仿宋_GB2312" w:hint="eastAsia"/>
          <w:snapToGrid/>
          <w:kern w:val="0"/>
          <w:sz w:val="32"/>
          <w:szCs w:val="32"/>
          <w:lang w:val="en-US" w:eastAsia="zh-CN" w:bidi="ar"/>
        </w:rPr>
        <w:t>（19）</w:t>
      </w:r>
      <w:r>
        <w:rPr>
          <w:rFonts w:ascii="仿宋_GB2312" w:eastAsia="仿宋_GB2312" w:hAnsi="仿宋_GB2312" w:cs="仿宋_GB2312" w:hint="eastAsia"/>
          <w:snapToGrid/>
          <w:spacing w:val="-20"/>
          <w:kern w:val="0"/>
          <w:sz w:val="32"/>
          <w:szCs w:val="32"/>
          <w:lang w:val="en-US" w:eastAsia="zh-CN" w:bidi="ar"/>
        </w:rPr>
        <w:t>《“双向”安全交换系统和密码组件系统问题处置记录》</w:t>
      </w:r>
    </w:p>
    <w:p>
      <w:pPr>
        <w:pStyle w:val="Normal0"/>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baseline"/>
        <w:rPr>
          <w:rFonts w:ascii="仿宋_GB2312" w:eastAsia="仿宋_GB2312" w:hAnsi="仿宋_GB2312" w:cs="仿宋_GB2312" w:hint="eastAsia"/>
          <w:snapToGrid/>
          <w:kern w:val="0"/>
          <w:sz w:val="32"/>
          <w:szCs w:val="32"/>
          <w:lang w:val="en-US" w:eastAsia="zh-CN" w:bidi="ar"/>
        </w:rPr>
      </w:pPr>
      <w:r>
        <w:rPr>
          <w:rFonts w:ascii="仿宋_GB2312" w:eastAsia="仿宋_GB2312" w:hAnsi="仿宋_GB2312" w:cs="仿宋_GB2312" w:hint="eastAsia"/>
          <w:snapToGrid/>
          <w:kern w:val="0"/>
          <w:sz w:val="32"/>
          <w:szCs w:val="32"/>
          <w:lang w:val="en-US" w:eastAsia="zh-CN" w:bidi="ar"/>
        </w:rPr>
        <w:t>（20）《安全管理平台运维服务月报》</w:t>
      </w:r>
    </w:p>
    <w:p>
      <w:pPr>
        <w:pStyle w:val="Normal0"/>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baseline"/>
        <w:rPr>
          <w:rFonts w:ascii="仿宋_GB2312" w:eastAsia="仿宋_GB2312" w:hAnsi="仿宋_GB2312" w:cs="仿宋_GB2312" w:hint="eastAsia"/>
          <w:snapToGrid/>
          <w:kern w:val="0"/>
          <w:sz w:val="32"/>
          <w:szCs w:val="32"/>
          <w:lang w:val="en-US" w:eastAsia="zh-CN" w:bidi="ar"/>
        </w:rPr>
      </w:pPr>
      <w:r>
        <w:rPr>
          <w:rFonts w:ascii="仿宋_GB2312" w:eastAsia="仿宋_GB2312" w:hAnsi="仿宋_GB2312" w:cs="仿宋_GB2312" w:hint="eastAsia"/>
          <w:snapToGrid/>
          <w:kern w:val="0"/>
          <w:sz w:val="32"/>
          <w:szCs w:val="32"/>
          <w:lang w:val="en-US" w:eastAsia="zh-CN" w:bidi="ar"/>
        </w:rPr>
        <w:t>（21）《安全管理平台问题处置记录》</w:t>
      </w:r>
    </w:p>
    <w:p>
      <w:pPr>
        <w:pStyle w:val="Normal0"/>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baseline"/>
        <w:rPr>
          <w:rFonts w:ascii="仿宋_GB2312" w:eastAsia="仿宋_GB2312" w:hAnsi="仿宋_GB2312" w:cs="仿宋_GB2312" w:hint="eastAsia"/>
          <w:snapToGrid/>
          <w:kern w:val="0"/>
          <w:sz w:val="32"/>
          <w:szCs w:val="32"/>
          <w:lang w:val="en-US" w:eastAsia="zh-CN" w:bidi="ar"/>
        </w:rPr>
      </w:pPr>
      <w:r>
        <w:rPr>
          <w:rFonts w:ascii="仿宋_GB2312" w:eastAsia="仿宋_GB2312" w:hAnsi="仿宋_GB2312" w:cs="仿宋_GB2312" w:hint="eastAsia"/>
          <w:snapToGrid/>
          <w:kern w:val="0"/>
          <w:sz w:val="32"/>
          <w:szCs w:val="32"/>
          <w:lang w:val="en-US" w:eastAsia="zh-CN" w:bidi="ar"/>
        </w:rPr>
        <w:t>（22）《TCE云平台运维服务月报》</w:t>
      </w:r>
    </w:p>
    <w:p>
      <w:pPr>
        <w:pStyle w:val="Normal0"/>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baseline"/>
        <w:rPr>
          <w:rFonts w:ascii="仿宋_GB2312" w:eastAsia="仿宋_GB2312" w:hAnsi="仿宋_GB2312" w:cs="仿宋_GB2312" w:hint="eastAsia"/>
          <w:snapToGrid/>
          <w:kern w:val="0"/>
          <w:sz w:val="32"/>
          <w:szCs w:val="32"/>
          <w:lang w:val="en-US" w:eastAsia="zh-CN" w:bidi="ar"/>
        </w:rPr>
      </w:pPr>
      <w:r>
        <w:rPr>
          <w:rFonts w:ascii="仿宋_GB2312" w:eastAsia="仿宋_GB2312" w:hAnsi="仿宋_GB2312" w:cs="仿宋_GB2312" w:hint="eastAsia"/>
          <w:snapToGrid/>
          <w:kern w:val="0"/>
          <w:sz w:val="32"/>
          <w:szCs w:val="32"/>
          <w:lang w:val="en-US" w:eastAsia="zh-CN" w:bidi="ar"/>
        </w:rPr>
        <w:t>（23）《TCE云平台问题处置记录》</w:t>
      </w:r>
    </w:p>
    <w:p>
      <w:pPr>
        <w:pStyle w:val="Normal0"/>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baseline"/>
        <w:rPr>
          <w:rFonts w:ascii="仿宋_GB2312" w:eastAsia="仿宋_GB2312" w:hAnsi="仿宋_GB2312" w:cs="仿宋_GB2312" w:hint="eastAsia"/>
          <w:snapToGrid/>
          <w:kern w:val="0"/>
          <w:sz w:val="32"/>
          <w:szCs w:val="32"/>
          <w:lang w:val="en-US" w:eastAsia="zh-CN" w:bidi="ar"/>
        </w:rPr>
      </w:pPr>
      <w:r>
        <w:rPr>
          <w:rFonts w:ascii="仿宋_GB2312" w:eastAsia="仿宋_GB2312" w:hAnsi="仿宋_GB2312" w:cs="仿宋_GB2312" w:hint="eastAsia"/>
          <w:snapToGrid/>
          <w:kern w:val="0"/>
          <w:sz w:val="32"/>
          <w:szCs w:val="32"/>
          <w:lang w:val="en-US" w:eastAsia="zh-CN" w:bidi="ar"/>
        </w:rPr>
        <w:t>（24）《税务数字证书系统运维服务年度总结》</w:t>
      </w:r>
    </w:p>
    <w:p>
      <w:pPr>
        <w:pStyle w:val="Normal0"/>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baseline"/>
        <w:rPr>
          <w:rFonts w:ascii="仿宋_GB2312" w:eastAsia="仿宋_GB2312" w:hAnsi="仿宋_GB2312" w:cs="仿宋_GB2312" w:hint="eastAsia"/>
          <w:snapToGrid/>
          <w:kern w:val="0"/>
          <w:sz w:val="32"/>
          <w:szCs w:val="32"/>
          <w:lang w:val="en-US" w:eastAsia="zh-CN" w:bidi="ar"/>
        </w:rPr>
      </w:pPr>
      <w:r>
        <w:rPr>
          <w:rFonts w:ascii="仿宋_GB2312" w:eastAsia="仿宋_GB2312" w:hAnsi="仿宋_GB2312" w:cs="仿宋_GB2312" w:hint="eastAsia"/>
          <w:snapToGrid/>
          <w:kern w:val="0"/>
          <w:sz w:val="32"/>
          <w:szCs w:val="32"/>
          <w:lang w:val="en-US" w:eastAsia="zh-CN" w:bidi="ar"/>
        </w:rPr>
        <w:t>（25）《“双向”安全交换系统和密码组件系统运维服务年度总结》</w:t>
      </w:r>
    </w:p>
    <w:p>
      <w:pPr>
        <w:pStyle w:val="Normal0"/>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baseline"/>
        <w:rPr>
          <w:rFonts w:ascii="仿宋_GB2312" w:eastAsia="仿宋_GB2312" w:hAnsi="仿宋_GB2312" w:cs="仿宋_GB2312" w:hint="eastAsia"/>
          <w:snapToGrid/>
          <w:kern w:val="0"/>
          <w:sz w:val="32"/>
          <w:szCs w:val="32"/>
          <w:lang w:val="en-US" w:eastAsia="zh-CN" w:bidi="ar"/>
        </w:rPr>
      </w:pPr>
      <w:r>
        <w:rPr>
          <w:rFonts w:ascii="仿宋_GB2312" w:eastAsia="仿宋_GB2312" w:hAnsi="仿宋_GB2312" w:cs="仿宋_GB2312" w:hint="eastAsia"/>
          <w:snapToGrid/>
          <w:kern w:val="0"/>
          <w:sz w:val="32"/>
          <w:szCs w:val="32"/>
          <w:lang w:val="en-US" w:eastAsia="zh-CN" w:bidi="ar"/>
        </w:rPr>
        <w:t>（26）《金税三期应用安全支撑平台运维服务年度总结》</w:t>
      </w:r>
    </w:p>
    <w:p>
      <w:pPr>
        <w:pStyle w:val="Normal0"/>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baseline"/>
        <w:rPr>
          <w:rFonts w:ascii="仿宋_GB2312" w:eastAsia="仿宋_GB2312" w:hAnsi="仿宋_GB2312" w:cs="仿宋_GB2312" w:hint="eastAsia"/>
          <w:snapToGrid/>
          <w:kern w:val="0"/>
          <w:sz w:val="32"/>
          <w:szCs w:val="32"/>
          <w:lang w:val="en-US" w:eastAsia="zh-CN" w:bidi="ar"/>
        </w:rPr>
      </w:pPr>
      <w:r>
        <w:rPr>
          <w:rFonts w:ascii="仿宋_GB2312" w:eastAsia="仿宋_GB2312" w:hAnsi="仿宋_GB2312" w:cs="仿宋_GB2312" w:hint="eastAsia"/>
          <w:snapToGrid/>
          <w:kern w:val="0"/>
          <w:sz w:val="32"/>
          <w:szCs w:val="32"/>
          <w:lang w:val="en-US" w:eastAsia="zh-CN" w:bidi="ar"/>
        </w:rPr>
        <w:t>（27）《税务系统态势感知平台运维服务年度总结》</w:t>
      </w:r>
    </w:p>
    <w:p>
      <w:pPr>
        <w:pStyle w:val="Normal0"/>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baseline"/>
        <w:rPr>
          <w:rFonts w:ascii="仿宋_GB2312" w:eastAsia="仿宋_GB2312" w:hAnsi="仿宋_GB2312" w:cs="仿宋_GB2312" w:hint="eastAsia"/>
          <w:snapToGrid/>
          <w:kern w:val="0"/>
          <w:sz w:val="32"/>
          <w:szCs w:val="32"/>
          <w:lang w:val="en-US" w:eastAsia="zh-CN" w:bidi="ar"/>
        </w:rPr>
      </w:pPr>
      <w:r>
        <w:rPr>
          <w:rFonts w:ascii="仿宋_GB2312" w:eastAsia="仿宋_GB2312" w:hAnsi="仿宋_GB2312" w:cs="仿宋_GB2312" w:hint="eastAsia"/>
          <w:snapToGrid/>
          <w:kern w:val="0"/>
          <w:sz w:val="32"/>
          <w:szCs w:val="32"/>
          <w:lang w:val="en-US" w:eastAsia="zh-CN" w:bidi="ar"/>
        </w:rPr>
        <w:t>（28）《安全管理平台运维服务年度总结》</w:t>
      </w:r>
    </w:p>
    <w:p>
      <w:pPr>
        <w:pStyle w:val="Normal0"/>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baseline"/>
        <w:rPr>
          <w:rFonts w:ascii="仿宋_GB2312" w:eastAsia="仿宋_GB2312" w:hAnsi="仿宋_GB2312" w:cs="仿宋_GB2312" w:hint="eastAsia"/>
          <w:snapToGrid/>
          <w:kern w:val="0"/>
          <w:sz w:val="32"/>
          <w:szCs w:val="32"/>
          <w:lang w:val="en-US" w:eastAsia="zh-CN" w:bidi="ar"/>
        </w:rPr>
      </w:pPr>
      <w:r>
        <w:rPr>
          <w:rFonts w:ascii="仿宋_GB2312" w:eastAsia="仿宋_GB2312" w:hAnsi="仿宋_GB2312" w:cs="仿宋_GB2312" w:hint="eastAsia"/>
          <w:snapToGrid/>
          <w:kern w:val="0"/>
          <w:sz w:val="32"/>
          <w:szCs w:val="32"/>
          <w:lang w:val="en-US" w:eastAsia="zh-CN" w:bidi="ar"/>
        </w:rPr>
        <w:t>（29）《TCE云平台运维服务年度总结》</w:t>
      </w:r>
    </w:p>
    <w:p>
      <w:pPr>
        <w:pStyle w:val="Normal0"/>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baseline"/>
        <w:rPr>
          <w:rFonts w:ascii="仿宋_GB2312" w:eastAsia="仿宋_GB2312" w:hAnsi="仿宋_GB2312" w:cs="仿宋_GB2312" w:hint="eastAsia"/>
          <w:snapToGrid/>
          <w:kern w:val="0"/>
          <w:sz w:val="32"/>
          <w:szCs w:val="32"/>
          <w:lang w:val="en-US" w:eastAsia="zh-CN" w:bidi="ar"/>
        </w:rPr>
      </w:pPr>
      <w:r>
        <w:rPr>
          <w:rFonts w:ascii="仿宋_GB2312" w:eastAsia="仿宋_GB2312" w:hAnsi="仿宋_GB2312" w:cs="仿宋_GB2312" w:hint="eastAsia"/>
          <w:snapToGrid/>
          <w:kern w:val="0"/>
          <w:sz w:val="32"/>
          <w:szCs w:val="32"/>
          <w:lang w:val="en-US" w:eastAsia="zh-CN" w:bidi="ar"/>
        </w:rPr>
        <w:t>（30）《源代码安全审计报告》</w:t>
      </w:r>
    </w:p>
    <w:p>
      <w:pPr>
        <w:pStyle w:val="Normal0"/>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baseline"/>
        <w:rPr>
          <w:rFonts w:ascii="仿宋_GB2312" w:eastAsia="仿宋_GB2312" w:hAnsi="仿宋_GB2312" w:cs="仿宋_GB2312" w:hint="eastAsia"/>
          <w:snapToGrid/>
          <w:kern w:val="0"/>
          <w:sz w:val="32"/>
          <w:szCs w:val="32"/>
          <w:lang w:val="en-US" w:eastAsia="zh-CN" w:bidi="ar"/>
        </w:rPr>
      </w:pPr>
      <w:r>
        <w:rPr>
          <w:rFonts w:ascii="仿宋_GB2312" w:eastAsia="仿宋_GB2312" w:hAnsi="仿宋_GB2312" w:cs="仿宋_GB2312" w:hint="eastAsia"/>
          <w:snapToGrid/>
          <w:kern w:val="0"/>
          <w:sz w:val="32"/>
          <w:szCs w:val="32"/>
          <w:lang w:val="en-US" w:eastAsia="zh-CN" w:bidi="ar"/>
        </w:rPr>
        <w:t>（31）《第三方组件使用清单及安全分析报告》</w:t>
      </w:r>
    </w:p>
    <w:p>
      <w:pPr>
        <w:pStyle w:val="Normal0"/>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baseline"/>
        <w:rPr>
          <w:rFonts w:ascii="仿宋_GB2312" w:eastAsia="仿宋_GB2312" w:hAnsi="仿宋_GB2312" w:cs="仿宋_GB2312" w:hint="eastAsia"/>
          <w:snapToGrid/>
          <w:kern w:val="0"/>
          <w:sz w:val="32"/>
          <w:szCs w:val="32"/>
          <w:lang w:val="en-US" w:eastAsia="zh-CN" w:bidi="ar"/>
        </w:rPr>
      </w:pPr>
      <w:r>
        <w:rPr>
          <w:rFonts w:ascii="仿宋_GB2312" w:eastAsia="仿宋_GB2312" w:hAnsi="仿宋_GB2312" w:cs="仿宋_GB2312" w:hint="eastAsia"/>
          <w:snapToGrid/>
          <w:kern w:val="0"/>
          <w:sz w:val="32"/>
          <w:szCs w:val="32"/>
          <w:lang w:val="en-US" w:eastAsia="zh-CN" w:bidi="ar"/>
        </w:rPr>
        <w:t>（32）《漏洞扫描和渗透测试报告》</w:t>
      </w:r>
    </w:p>
    <w:p>
      <w:pPr>
        <w:pStyle w:val="Normal0"/>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baseline"/>
        <w:rPr>
          <w:rFonts w:ascii="仿宋_GB2312" w:eastAsia="仿宋_GB2312" w:hAnsi="仿宋_GB2312" w:cs="仿宋_GB2312" w:hint="eastAsia"/>
          <w:snapToGrid/>
          <w:kern w:val="0"/>
          <w:sz w:val="32"/>
          <w:szCs w:val="32"/>
          <w:lang w:val="en-US" w:eastAsia="zh-CN" w:bidi="ar"/>
        </w:rPr>
      </w:pPr>
      <w:r>
        <w:rPr>
          <w:rFonts w:ascii="仿宋_GB2312" w:eastAsia="仿宋_GB2312" w:hAnsi="仿宋_GB2312" w:cs="仿宋_GB2312" w:hint="eastAsia"/>
          <w:snapToGrid/>
          <w:kern w:val="0"/>
          <w:sz w:val="32"/>
          <w:szCs w:val="32"/>
          <w:lang w:val="en-US" w:eastAsia="zh-CN" w:bidi="ar"/>
        </w:rPr>
        <w:t>（33）《数据安全风险评估报告》</w:t>
      </w:r>
    </w:p>
    <w:p>
      <w:pPr>
        <w:pStyle w:val="Normal0"/>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baseline"/>
        <w:rPr>
          <w:rFonts w:ascii="仿宋_GB2312" w:eastAsia="仿宋_GB2312" w:hAnsi="仿宋_GB2312" w:cs="仿宋_GB2312" w:hint="eastAsia"/>
          <w:snapToGrid/>
          <w:kern w:val="0"/>
          <w:sz w:val="32"/>
          <w:szCs w:val="32"/>
          <w:lang w:val="en-US" w:eastAsia="zh-CN" w:bidi="ar"/>
        </w:rPr>
      </w:pPr>
      <w:r>
        <w:rPr>
          <w:rFonts w:ascii="仿宋_GB2312" w:eastAsia="仿宋_GB2312" w:hAnsi="仿宋_GB2312" w:cs="仿宋_GB2312" w:hint="eastAsia"/>
          <w:snapToGrid/>
          <w:kern w:val="0"/>
          <w:sz w:val="32"/>
          <w:szCs w:val="32"/>
          <w:lang w:val="en-US" w:eastAsia="zh-CN" w:bidi="ar"/>
        </w:rPr>
        <w:t>（34）《供应链厂商网络安全能力评估报告》</w:t>
      </w:r>
    </w:p>
    <w:p>
      <w:pPr>
        <w:pStyle w:val="Normal0"/>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baseline"/>
        <w:rPr>
          <w:rFonts w:ascii="仿宋_GB2312" w:eastAsia="仿宋_GB2312" w:hAnsi="仿宋_GB2312" w:cs="仿宋_GB2312" w:hint="eastAsia"/>
          <w:snapToGrid/>
          <w:kern w:val="0"/>
          <w:sz w:val="32"/>
          <w:szCs w:val="32"/>
          <w:lang w:val="en-US" w:eastAsia="zh-CN" w:bidi="ar"/>
        </w:rPr>
      </w:pPr>
      <w:r>
        <w:rPr>
          <w:rFonts w:ascii="仿宋_GB2312" w:eastAsia="仿宋_GB2312" w:hAnsi="仿宋_GB2312" w:cs="仿宋_GB2312" w:hint="eastAsia"/>
          <w:snapToGrid/>
          <w:kern w:val="0"/>
          <w:sz w:val="32"/>
          <w:szCs w:val="32"/>
          <w:lang w:val="en-US" w:eastAsia="zh-CN" w:bidi="ar"/>
        </w:rPr>
        <w:t>中标供应商须知</w:t>
      </w:r>
      <w:r>
        <w:rPr>
          <w:rFonts w:ascii="仿宋_GB2312" w:eastAsia="仿宋_GB2312" w:hAnsi="仿宋_GB2312" w:cs="仿宋_GB2312" w:hint="default"/>
          <w:snapToGrid/>
          <w:kern w:val="0"/>
          <w:sz w:val="32"/>
          <w:szCs w:val="32"/>
          <w:lang w:val="en-US" w:eastAsia="zh-CN" w:bidi="ar"/>
        </w:rPr>
        <w:t>对验收中发现的问题</w:t>
      </w:r>
      <w:r>
        <w:rPr>
          <w:rFonts w:ascii="仿宋_GB2312" w:eastAsia="仿宋_GB2312" w:hAnsi="仿宋_GB2312" w:cs="仿宋_GB2312" w:hint="eastAsia"/>
          <w:snapToGrid/>
          <w:kern w:val="0"/>
          <w:sz w:val="32"/>
          <w:szCs w:val="32"/>
          <w:lang w:val="en-US" w:eastAsia="zh-CN" w:bidi="ar"/>
        </w:rPr>
        <w:t>按照采购人要求进行整改。网络安全运维验收服务过程中发现的运维服务问题，如基础设施隐患、软件安全漏洞、数据安全风险、访问控制不严、应急响应不足、运维记录缺失等问题时，应按照招标文件的要求及标准，出具有效解决办法和措施，经采购人同意后进行补充、完善；网络安全运维服务验收文档不全，网络安全运维服务过程的记录不完整、不清晰，或未按照招标文件规定的交付物和要求生成的方案、报告、图表等；应及时按招标文件要求的内容尽快补充、完善相关验收资料。</w:t>
      </w:r>
    </w:p>
    <w:p>
      <w:pPr>
        <w:pStyle w:val="Heading10"/>
        <w:keepNext w:val="0"/>
        <w:keepLines w:val="0"/>
        <w:pageBreakBefore w:val="0"/>
        <w:widowControl w:val="0"/>
        <w:numPr>
          <w:ilvl w:val="0"/>
          <w:numId w:val="0"/>
        </w:numPr>
        <w:kinsoku/>
        <w:wordWrap/>
        <w:overflowPunct w:val="0"/>
        <w:topLinePunct w:val="0"/>
        <w:autoSpaceDE w:val="0"/>
        <w:autoSpaceDN w:val="0"/>
        <w:bidi w:val="0"/>
        <w:adjustRightInd w:val="0"/>
        <w:snapToGrid/>
        <w:ind w:left="420" w:firstLine="320" w:leftChars="200" w:firstLineChars="100"/>
        <w:textAlignment w:val="baseline"/>
        <w:rPr>
          <w:rFonts w:ascii="黑体" w:eastAsia="黑体" w:hAnsi="黑体" w:cs="黑体" w:hint="eastAsia"/>
          <w:sz w:val="32"/>
          <w:szCs w:val="32"/>
          <w:lang w:eastAsia="zh-CN"/>
        </w:rPr>
      </w:pPr>
      <w:r>
        <w:rPr>
          <w:rFonts w:ascii="黑体" w:eastAsia="黑体" w:hAnsi="黑体" w:cs="黑体" w:hint="eastAsia"/>
          <w:sz w:val="32"/>
          <w:szCs w:val="32"/>
          <w:lang w:val="en-US" w:eastAsia="zh-CN"/>
        </w:rPr>
        <w:t>7.</w:t>
      </w:r>
      <w:r>
        <w:rPr>
          <w:rFonts w:ascii="黑体" w:eastAsia="黑体" w:hAnsi="黑体" w:cs="黑体" w:hint="eastAsia"/>
          <w:sz w:val="32"/>
          <w:szCs w:val="32"/>
          <w:lang w:eastAsia="zh-CN"/>
        </w:rPr>
        <w:t>税收信息化项目开发和应用管理工作要求</w:t>
      </w:r>
    </w:p>
    <w:p>
      <w:pPr>
        <w:pStyle w:val="Normal0"/>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rPr>
          <w:rFonts w:ascii="仿宋_GB2312" w:eastAsia="仿宋_GB2312" w:hAnsi="仿宋_GB2312" w:cs="仿宋_GB2312" w:hint="default"/>
          <w:snapToGrid/>
          <w:kern w:val="0"/>
          <w:sz w:val="32"/>
          <w:szCs w:val="32"/>
          <w:lang w:val="en-US" w:eastAsia="zh-CN" w:bidi="ar"/>
        </w:rPr>
      </w:pPr>
      <w:r>
        <w:rPr>
          <w:rFonts w:ascii="仿宋_GB2312" w:eastAsia="仿宋_GB2312" w:hAnsi="仿宋_GB2312" w:cs="仿宋_GB2312" w:hint="eastAsia"/>
          <w:snapToGrid/>
          <w:kern w:val="0"/>
          <w:sz w:val="32"/>
          <w:szCs w:val="32"/>
          <w:lang w:val="en-US" w:eastAsia="zh-CN" w:bidi="ar"/>
        </w:rPr>
        <w:t>中标供应商服务期内须严格按照合同要求完成相关工作，按时提交各阶段文档，应遵循开发管理的过程监理、中期报告审议、验收资料审议等相关要求。供应商在投标或响应时承诺已知悉并遵守《税务系统信息化服务商失信行为记录名单制度（试行）》相关规定，并承担相应后果，对于违约失信行为，将纳入信息化服务商失信行为记录名单。</w:t>
      </w:r>
    </w:p>
    <w:p>
      <w:pPr>
        <w:pStyle w:val="Heading10"/>
        <w:keepNext w:val="0"/>
        <w:keepLines w:val="0"/>
        <w:pageBreakBefore w:val="0"/>
        <w:widowControl w:val="0"/>
        <w:numPr>
          <w:ilvl w:val="0"/>
          <w:numId w:val="0"/>
        </w:numPr>
        <w:kinsoku/>
        <w:wordWrap/>
        <w:overflowPunct w:val="0"/>
        <w:topLinePunct w:val="0"/>
        <w:autoSpaceDE w:val="0"/>
        <w:autoSpaceDN w:val="0"/>
        <w:bidi w:val="0"/>
        <w:adjustRightInd w:val="0"/>
        <w:snapToGrid/>
        <w:ind w:left="420" w:firstLine="320" w:leftChars="200" w:firstLineChars="100"/>
        <w:textAlignment w:val="baseline"/>
        <w:rPr>
          <w:rFonts w:ascii="黑体" w:eastAsia="黑体" w:hAnsi="黑体" w:cs="黑体" w:hint="eastAsia"/>
          <w:sz w:val="32"/>
          <w:szCs w:val="32"/>
          <w:lang w:val="en-US"/>
        </w:rPr>
      </w:pPr>
      <w:bookmarkStart w:id="4" w:name="其他要求_Block"/>
      <w:r>
        <w:rPr>
          <w:rFonts w:ascii="黑体" w:eastAsia="黑体" w:hAnsi="黑体" w:cs="黑体" w:hint="eastAsia"/>
          <w:sz w:val="32"/>
          <w:szCs w:val="32"/>
          <w:lang w:val="en-US" w:eastAsia="zh-CN"/>
        </w:rPr>
        <w:t>8.</w:t>
      </w:r>
      <w:r>
        <w:rPr>
          <w:rFonts w:ascii="黑体" w:eastAsia="黑体" w:hAnsi="黑体" w:cs="黑体" w:hint="eastAsia"/>
          <w:sz w:val="32"/>
          <w:szCs w:val="32"/>
          <w:lang w:eastAsia="zh-CN"/>
        </w:rPr>
        <w:t>其他要求</w:t>
      </w:r>
      <w:bookmarkEnd w:id="4"/>
    </w:p>
    <w:p>
      <w:pPr>
        <w:pStyle w:val="Heading20"/>
        <w:keepNext w:val="0"/>
        <w:keepLines w:val="0"/>
        <w:pageBreakBefore w:val="0"/>
        <w:widowControl w:val="0"/>
        <w:numPr>
          <w:ilvl w:val="1"/>
          <w:numId w:val="0"/>
        </w:numPr>
        <w:kinsoku/>
        <w:wordWrap/>
        <w:topLinePunct w:val="0"/>
        <w:bidi w:val="0"/>
        <w:spacing w:line="560" w:lineRule="exact"/>
        <w:ind w:left="0" w:firstLine="800" w:firstLineChars="250"/>
        <w:rPr>
          <w:rFonts w:ascii="仿宋_GB2312" w:eastAsia="仿宋_GB2312" w:hAnsi="Arial" w:cs="仿宋_GB2312" w:hint="eastAsia"/>
          <w:b w:val="0"/>
          <w:bCs w:val="0"/>
          <w:lang w:val="en-US" w:eastAsia="zh-CN"/>
        </w:rPr>
      </w:pPr>
      <w:r>
        <w:rPr>
          <w:rFonts w:ascii="仿宋_GB2312" w:eastAsia="仿宋_GB2312" w:hAnsi="Arial" w:cs="仿宋_GB2312" w:hint="eastAsia"/>
          <w:b w:val="0"/>
          <w:bCs w:val="0"/>
          <w:lang w:val="en-US" w:eastAsia="zh-CN"/>
        </w:rPr>
        <w:t>8.1</w:t>
      </w:r>
      <w:r>
        <w:rPr>
          <w:rFonts w:ascii="仿宋_GB2312" w:eastAsia="仿宋_GB2312" w:hAnsi="Arial" w:cs="仿宋_GB2312" w:hint="eastAsia"/>
          <w:b w:val="0"/>
          <w:bCs w:val="0"/>
          <w:lang w:eastAsia="zh-CN"/>
        </w:rPr>
        <w:t>保密要求</w:t>
      </w:r>
    </w:p>
    <w:p>
      <w:pPr>
        <w:pStyle w:val="Normal0"/>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rPr>
          <w:rFonts w:ascii="仿宋_GB2312" w:eastAsia="仿宋_GB2312" w:hAnsi="仿宋_GB2312" w:cs="仿宋_GB2312" w:hint="eastAsia"/>
          <w:lang w:val="en-US"/>
        </w:rPr>
      </w:pPr>
      <w:r>
        <w:rPr>
          <w:rFonts w:ascii="仿宋_GB2312" w:eastAsia="仿宋_GB2312" w:hAnsi="仿宋_GB2312" w:cs="仿宋_GB2312" w:hint="eastAsia"/>
          <w:snapToGrid/>
          <w:kern w:val="0"/>
          <w:sz w:val="32"/>
          <w:szCs w:val="32"/>
          <w:lang w:val="en-US" w:eastAsia="zh-CN" w:bidi="ar"/>
        </w:rPr>
        <w:t>甲乙双方应对在合同签订或履行过程中所接触的对方信息，包括但不限于知识产权、技术资料、技术诀窍、内部管理及其他相关信息，负有保密义务。</w:t>
      </w:r>
    </w:p>
    <w:p>
      <w:pPr>
        <w:pStyle w:val="Normal0"/>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rPr>
          <w:rFonts w:ascii="仿宋_GB2312" w:eastAsia="仿宋_GB2312" w:hAnsi="仿宋_GB2312" w:cs="仿宋_GB2312" w:hint="eastAsia"/>
          <w:lang w:val="en-US"/>
        </w:rPr>
      </w:pPr>
      <w:r>
        <w:rPr>
          <w:rFonts w:ascii="仿宋_GB2312" w:eastAsia="仿宋_GB2312" w:hAnsi="仿宋_GB2312" w:cs="仿宋_GB2312" w:hint="eastAsia"/>
          <w:snapToGrid/>
          <w:kern w:val="0"/>
          <w:sz w:val="32"/>
          <w:szCs w:val="32"/>
          <w:lang w:val="en-US" w:eastAsia="zh-CN" w:bidi="ar"/>
        </w:rPr>
        <w:t>乙方在使用甲方为乙方及其工作人员提供的数据、程序、用户名、口令、资料及甲方相关的业务和技术文档，包括税收政策、方案设计细节、程序文件、数据结构，以及相关业务系统的硬软件、文档、测试和测试产生的数据时，应遵循以下约定：</w:t>
      </w:r>
    </w:p>
    <w:p>
      <w:pPr>
        <w:pStyle w:val="Normal0"/>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rPr>
          <w:rFonts w:ascii="仿宋_GB2312" w:eastAsia="仿宋_GB2312" w:hAnsi="仿宋_GB2312" w:cs="仿宋_GB2312" w:hint="eastAsia"/>
          <w:lang w:val="en-US"/>
        </w:rPr>
      </w:pPr>
      <w:r>
        <w:rPr>
          <w:rFonts w:ascii="仿宋_GB2312" w:eastAsia="仿宋_GB2312" w:hAnsi="仿宋_GB2312" w:cs="仿宋_GB2312" w:hint="eastAsia"/>
          <w:snapToGrid/>
          <w:kern w:val="0"/>
          <w:sz w:val="32"/>
          <w:szCs w:val="32"/>
          <w:lang w:val="en-US" w:eastAsia="zh-CN" w:bidi="ar"/>
        </w:rPr>
        <w:t>(1)应以审慎态度避免泄露、公开或传播甲方的信息；</w:t>
      </w:r>
    </w:p>
    <w:p>
      <w:pPr>
        <w:pStyle w:val="Normal0"/>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rPr>
          <w:rFonts w:ascii="仿宋_GB2312" w:eastAsia="仿宋_GB2312" w:hAnsi="仿宋_GB2312" w:cs="仿宋_GB2312" w:hint="eastAsia"/>
          <w:lang w:val="en-US"/>
        </w:rPr>
      </w:pPr>
      <w:r>
        <w:rPr>
          <w:rFonts w:ascii="仿宋_GB2312" w:eastAsia="仿宋_GB2312" w:hAnsi="仿宋_GB2312" w:cs="仿宋_GB2312" w:hint="eastAsia"/>
          <w:snapToGrid/>
          <w:kern w:val="0"/>
          <w:sz w:val="32"/>
          <w:szCs w:val="32"/>
          <w:lang w:val="en-US" w:eastAsia="zh-CN" w:bidi="ar"/>
        </w:rPr>
        <w:t>(2)未经甲方书面许可，不得对有关信息进行修改、补充、复制；</w:t>
      </w:r>
    </w:p>
    <w:p>
      <w:pPr>
        <w:pStyle w:val="Normal0"/>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rPr>
          <w:rFonts w:ascii="仿宋_GB2312" w:eastAsia="仿宋_GB2312" w:hAnsi="仿宋_GB2312" w:cs="仿宋_GB2312" w:hint="eastAsia"/>
          <w:lang w:val="en-US"/>
        </w:rPr>
      </w:pPr>
      <w:r>
        <w:rPr>
          <w:rFonts w:ascii="仿宋_GB2312" w:eastAsia="仿宋_GB2312" w:hAnsi="仿宋_GB2312" w:cs="仿宋_GB2312" w:hint="eastAsia"/>
          <w:snapToGrid/>
          <w:kern w:val="0"/>
          <w:sz w:val="32"/>
          <w:szCs w:val="32"/>
          <w:lang w:val="en-US" w:eastAsia="zh-CN" w:bidi="ar"/>
        </w:rPr>
        <w:t>(3)未经甲方书面许可，不得将信息以任何方式(如E－mail)携带出甲方场所；</w:t>
      </w:r>
    </w:p>
    <w:p>
      <w:pPr>
        <w:pStyle w:val="Normal0"/>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rPr>
          <w:rFonts w:ascii="仿宋_GB2312" w:eastAsia="仿宋_GB2312" w:hAnsi="仿宋_GB2312" w:cs="仿宋_GB2312" w:hint="eastAsia"/>
          <w:lang w:val="en-US"/>
        </w:rPr>
      </w:pPr>
      <w:r>
        <w:rPr>
          <w:rFonts w:ascii="仿宋_GB2312" w:eastAsia="仿宋_GB2312" w:hAnsi="仿宋_GB2312" w:cs="仿宋_GB2312" w:hint="eastAsia"/>
          <w:snapToGrid/>
          <w:kern w:val="0"/>
          <w:sz w:val="32"/>
          <w:szCs w:val="32"/>
          <w:lang w:val="en-US" w:eastAsia="zh-CN" w:bidi="ar"/>
        </w:rPr>
        <w:t>(4)未经甲方书面许可，不得将信息透露给任何其他人；</w:t>
      </w:r>
    </w:p>
    <w:p>
      <w:pPr>
        <w:pStyle w:val="Normal0"/>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rPr>
          <w:rFonts w:ascii="仿宋_GB2312" w:eastAsia="仿宋_GB2312" w:hAnsi="仿宋_GB2312" w:cs="仿宋_GB2312" w:hint="eastAsia"/>
          <w:lang w:val="en-US"/>
        </w:rPr>
      </w:pPr>
      <w:r>
        <w:rPr>
          <w:rFonts w:ascii="仿宋_GB2312" w:eastAsia="仿宋_GB2312" w:hAnsi="仿宋_GB2312" w:cs="仿宋_GB2312" w:hint="eastAsia"/>
          <w:snapToGrid/>
          <w:kern w:val="0"/>
          <w:sz w:val="32"/>
          <w:szCs w:val="32"/>
          <w:lang w:val="en-US" w:eastAsia="zh-CN" w:bidi="ar"/>
        </w:rPr>
        <w:t>(5)甲方以书面形式提出的其他保密措施。</w:t>
      </w:r>
    </w:p>
    <w:p>
      <w:pPr>
        <w:pStyle w:val="Normal0"/>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rPr>
          <w:rFonts w:ascii="仿宋_GB2312" w:eastAsia="仿宋_GB2312" w:hAnsi="仿宋_GB2312" w:cs="仿宋_GB2312" w:hint="eastAsia"/>
          <w:lang w:val="en-US"/>
        </w:rPr>
      </w:pPr>
      <w:r>
        <w:rPr>
          <w:rFonts w:ascii="仿宋_GB2312" w:eastAsia="仿宋_GB2312" w:hAnsi="仿宋_GB2312" w:cs="仿宋_GB2312" w:hint="eastAsia"/>
          <w:snapToGrid/>
          <w:kern w:val="0"/>
          <w:sz w:val="32"/>
          <w:szCs w:val="32"/>
          <w:lang w:val="en-US" w:eastAsia="zh-CN" w:bidi="ar"/>
        </w:rPr>
        <w:t>保密期限不受合同有效期限制，合同有效期结束后信息接受方仍应承担保密义务，直至该等信息成为公开信息。</w:t>
      </w:r>
    </w:p>
    <w:p>
      <w:pPr>
        <w:pStyle w:val="Heading20"/>
        <w:keepNext w:val="0"/>
        <w:keepLines w:val="0"/>
        <w:pageBreakBefore w:val="0"/>
        <w:widowControl w:val="0"/>
        <w:numPr>
          <w:ilvl w:val="0"/>
          <w:numId w:val="0"/>
        </w:numPr>
        <w:kinsoku/>
        <w:wordWrap/>
        <w:topLinePunct w:val="0"/>
        <w:bidi w:val="0"/>
        <w:spacing w:line="560" w:lineRule="exact"/>
        <w:ind w:left="0" w:firstLine="640" w:firstLineChars="200"/>
        <w:rPr>
          <w:rFonts w:ascii="仿宋_GB2312" w:eastAsia="仿宋_GB2312" w:cs="仿宋_GB2312" w:hint="eastAsia"/>
          <w:b w:val="0"/>
          <w:bCs w:val="0"/>
          <w:lang w:val="en-US"/>
        </w:rPr>
      </w:pPr>
      <w:r>
        <w:rPr>
          <w:rFonts w:ascii="仿宋_GB2312" w:eastAsia="仿宋_GB2312" w:cs="仿宋_GB2312" w:hint="eastAsia"/>
          <w:b w:val="0"/>
          <w:bCs w:val="0"/>
          <w:lang w:val="en-US"/>
        </w:rPr>
        <w:t>8.2</w:t>
      </w:r>
      <w:r>
        <w:rPr>
          <w:rFonts w:ascii="仿宋_GB2312" w:eastAsia="仿宋_GB2312" w:cs="仿宋_GB2312" w:hint="eastAsia"/>
          <w:b w:val="0"/>
          <w:bCs w:val="0"/>
          <w:lang w:eastAsia="zh-CN"/>
        </w:rPr>
        <w:t>知识产权要求：</w:t>
      </w:r>
    </w:p>
    <w:p>
      <w:pPr>
        <w:pStyle w:val="Normal0"/>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rPr>
          <w:rFonts w:ascii="仿宋_GB2312" w:eastAsia="仿宋_GB2312" w:hAnsi="仿宋_GB2312" w:cs="仿宋_GB2312" w:hint="eastAsia"/>
          <w:lang w:val="en-US"/>
        </w:rPr>
      </w:pPr>
      <w:r>
        <w:rPr>
          <w:rFonts w:ascii="仿宋_GB2312" w:eastAsia="仿宋_GB2312" w:hAnsi="仿宋_GB2312" w:cs="仿宋_GB2312" w:hint="eastAsia"/>
          <w:snapToGrid/>
          <w:kern w:val="0"/>
          <w:sz w:val="32"/>
          <w:szCs w:val="32"/>
          <w:lang w:val="en-US" w:eastAsia="zh-CN" w:bidi="ar"/>
        </w:rPr>
        <w:t>中标供应商需保证所提供的服务不侵犯第三方的知识产权（专利权、商标权、版权等），因侵害第三方知识产权而产生的法律责任，全部由中标供应商承担。</w:t>
      </w:r>
    </w:p>
    <w:p>
      <w:pPr>
        <w:pStyle w:val="Normal0"/>
        <w:keepNext w:val="0"/>
        <w:keepLines w:val="0"/>
        <w:pageBreakBefore w:val="0"/>
        <w:widowControl w:val="0"/>
        <w:suppressLineNumbers w:val="0"/>
        <w:kinsoku/>
        <w:wordWrap/>
        <w:topLinePunct w:val="0"/>
        <w:bidi w:val="0"/>
        <w:snapToGrid w:val="0"/>
        <w:spacing w:before="0" w:beforeAutospacing="0" w:after="0" w:afterAutospacing="0" w:line="560" w:lineRule="exact"/>
        <w:ind w:left="0" w:right="0" w:firstLine="640" w:firstLineChars="200"/>
        <w:jc w:val="both"/>
        <w:rPr>
          <w:rFonts w:ascii="仿宋_GB2312" w:eastAsia="仿宋_GB2312" w:hAnsi="仿宋_GB2312" w:cs="仿宋_GB2312" w:hint="eastAsia"/>
          <w:lang w:val="en-US"/>
        </w:rPr>
      </w:pPr>
      <w:r>
        <w:rPr>
          <w:rFonts w:ascii="仿宋_GB2312" w:eastAsia="仿宋_GB2312" w:hAnsi="仿宋_GB2312" w:cs="仿宋_GB2312" w:hint="eastAsia"/>
          <w:snapToGrid/>
          <w:kern w:val="0"/>
          <w:sz w:val="32"/>
          <w:szCs w:val="32"/>
          <w:lang w:val="en-US" w:eastAsia="zh-CN" w:bidi="ar"/>
        </w:rPr>
        <w:t>中标供应商禁止另行开发合同业务需求范围内、供纳税人、缴费人使用的软件；禁止在合同履行期间“围猎”税务人员，对违反以上规定的，将纳入失信名单；对于违反网络安全规定行为造成不良后果的中标供应商，3年内限制参加税务系统政府采购活动；中标供应商应建立防止违法违规聘用离职税务人员风险控制制度，如出现违法违规聘用离职税务人员行为，采购人有权对中标供应商采取以下措施：限期改正、要求支付违约金、解除合同、3年内限制参加所聘人员原单位及下属单位信息化项目政府采购活动等措施。投标人针对以上内容提供承诺函。</w:t>
      </w:r>
    </w:p>
    <w:p>
      <w:pPr>
        <w:pStyle w:val="Heading20"/>
        <w:keepNext w:val="0"/>
        <w:keepLines w:val="0"/>
        <w:pageBreakBefore w:val="0"/>
        <w:widowControl w:val="0"/>
        <w:numPr>
          <w:ilvl w:val="0"/>
          <w:numId w:val="0"/>
        </w:numPr>
        <w:kinsoku/>
        <w:wordWrap/>
        <w:topLinePunct w:val="0"/>
        <w:bidi w:val="0"/>
        <w:spacing w:line="560" w:lineRule="exact"/>
        <w:ind w:left="0" w:firstLine="480" w:firstLineChars="150"/>
        <w:rPr>
          <w:rFonts w:ascii="仿宋_GB2312" w:eastAsia="仿宋_GB2312" w:cs="仿宋_GB2312" w:hint="eastAsia"/>
          <w:b w:val="0"/>
          <w:bCs w:val="0"/>
          <w:lang w:val="en-US"/>
        </w:rPr>
      </w:pPr>
      <w:bookmarkStart w:id="5" w:name="OLE_LINK1"/>
      <w:r>
        <w:rPr>
          <w:rFonts w:ascii="仿宋_GB2312" w:eastAsia="仿宋_GB2312" w:cs="仿宋_GB2312" w:hint="eastAsia"/>
          <w:b w:val="0"/>
          <w:bCs w:val="0"/>
          <w:lang w:val="en-US"/>
        </w:rPr>
        <w:t>8.3.</w:t>
      </w:r>
      <w:bookmarkEnd w:id="5"/>
      <w:r>
        <w:rPr>
          <w:rFonts w:ascii="仿宋_GB2312" w:eastAsia="仿宋_GB2312" w:cs="仿宋_GB2312" w:hint="eastAsia"/>
          <w:b w:val="0"/>
          <w:bCs w:val="0"/>
          <w:lang w:eastAsia="zh-CN"/>
        </w:rPr>
        <w:t>其他要求</w:t>
      </w:r>
    </w:p>
    <w:p>
      <w:pPr>
        <w:pStyle w:val="a6"/>
        <w:keepNext w:val="0"/>
        <w:keepLines w:val="0"/>
        <w:pageBreakBefore w:val="0"/>
        <w:widowControl w:val="0"/>
        <w:kinsoku/>
        <w:wordWrap/>
        <w:topLinePunct w:val="0"/>
        <w:bidi w:val="0"/>
        <w:spacing w:before="0" w:beforeAutospacing="0" w:after="0" w:afterAutospacing="0" w:line="560" w:lineRule="exact"/>
        <w:ind w:left="0" w:right="0" w:firstLine="640" w:rightChars="0"/>
        <w:rPr>
          <w:rFonts w:ascii="仿宋_GB2312" w:eastAsia="仿宋_GB2312" w:hAnsi="仿宋_GB2312" w:cs="仿宋_GB2312" w:hint="eastAsia"/>
          <w:sz w:val="32"/>
          <w:szCs w:val="32"/>
          <w:lang w:val="en-US"/>
        </w:rPr>
      </w:pPr>
      <w:r>
        <w:rPr>
          <w:rFonts w:ascii="仿宋_GB2312" w:eastAsia="仿宋_GB2312" w:hAnsi="仿宋_GB2312" w:cs="仿宋_GB2312" w:hint="eastAsia"/>
          <w:sz w:val="32"/>
          <w:szCs w:val="32"/>
          <w:lang w:eastAsia="zh-CN"/>
        </w:rPr>
        <w:t>投标人需对以下内容逐一承诺（格式自拟）：</w:t>
      </w:r>
    </w:p>
    <w:p>
      <w:pPr>
        <w:pStyle w:val="a6"/>
        <w:keepNext w:val="0"/>
        <w:keepLines w:val="0"/>
        <w:pageBreakBefore w:val="0"/>
        <w:widowControl w:val="0"/>
        <w:kinsoku/>
        <w:wordWrap/>
        <w:topLinePunct w:val="0"/>
        <w:bidi w:val="0"/>
        <w:spacing w:before="0" w:beforeAutospacing="0" w:after="0" w:afterAutospacing="0" w:line="560" w:lineRule="exact"/>
        <w:ind w:left="0" w:right="0" w:firstLine="640" w:rightChars="0"/>
        <w:rPr>
          <w:rFonts w:ascii="仿宋_GB2312" w:eastAsia="仿宋_GB2312" w:hAnsi="仿宋_GB2312" w:cs="仿宋_GB2312" w:hint="eastAsia"/>
          <w:sz w:val="32"/>
          <w:szCs w:val="32"/>
          <w:lang w:val="en-US"/>
        </w:rPr>
      </w:pPr>
      <w:r>
        <w:rPr>
          <w:rFonts w:ascii="仿宋_GB2312" w:eastAsia="仿宋_GB2312" w:hAnsi="仿宋_GB2312" w:cs="仿宋_GB2312" w:hint="eastAsia"/>
          <w:sz w:val="32"/>
          <w:szCs w:val="32"/>
          <w:lang w:val="en-US"/>
        </w:rPr>
        <w:t>1.</w:t>
      </w:r>
      <w:r>
        <w:rPr>
          <w:rFonts w:ascii="仿宋_GB2312" w:eastAsia="仿宋_GB2312" w:hAnsi="仿宋_GB2312" w:cs="仿宋_GB2312" w:hint="eastAsia"/>
          <w:sz w:val="32"/>
          <w:szCs w:val="32"/>
          <w:lang w:eastAsia="zh-CN"/>
        </w:rPr>
        <w:t>依据《国家税务总局办公厅关于修订</w:t>
      </w:r>
      <w:r>
        <w:rPr>
          <w:rFonts w:ascii="仿宋_GB2312" w:eastAsia="仿宋_GB2312" w:hAnsi="仿宋_GB2312" w:cs="仿宋_GB2312" w:hint="eastAsia"/>
          <w:sz w:val="32"/>
          <w:szCs w:val="32"/>
          <w:lang w:val="en-US"/>
        </w:rPr>
        <w:t>&lt;</w:t>
      </w:r>
      <w:r>
        <w:rPr>
          <w:rFonts w:ascii="仿宋_GB2312" w:eastAsia="仿宋_GB2312" w:hAnsi="仿宋_GB2312" w:cs="仿宋_GB2312" w:hint="eastAsia"/>
          <w:sz w:val="32"/>
          <w:szCs w:val="32"/>
          <w:lang w:eastAsia="zh-CN"/>
        </w:rPr>
        <w:t>税务系统信息化服务商失信行为记录名单制度</w:t>
      </w:r>
      <w:r>
        <w:rPr>
          <w:rFonts w:ascii="仿宋_GB2312" w:eastAsia="仿宋_GB2312" w:hAnsi="仿宋_GB2312" w:cs="仿宋_GB2312" w:hint="eastAsia"/>
          <w:sz w:val="32"/>
          <w:szCs w:val="32"/>
          <w:lang w:val="en-US"/>
        </w:rPr>
        <w:t>(</w:t>
      </w:r>
      <w:r>
        <w:rPr>
          <w:rFonts w:ascii="仿宋_GB2312" w:eastAsia="仿宋_GB2312" w:hAnsi="仿宋_GB2312" w:cs="仿宋_GB2312" w:hint="eastAsia"/>
          <w:sz w:val="32"/>
          <w:szCs w:val="32"/>
          <w:lang w:eastAsia="zh-CN"/>
        </w:rPr>
        <w:t>试行</w:t>
      </w:r>
      <w:r>
        <w:rPr>
          <w:rFonts w:ascii="仿宋_GB2312" w:eastAsia="仿宋_GB2312" w:hAnsi="仿宋_GB2312" w:cs="仿宋_GB2312" w:hint="eastAsia"/>
          <w:sz w:val="32"/>
          <w:szCs w:val="32"/>
          <w:lang w:val="en-US"/>
        </w:rPr>
        <w:t>)&gt;</w:t>
      </w:r>
      <w:r>
        <w:rPr>
          <w:rFonts w:ascii="仿宋_GB2312" w:eastAsia="仿宋_GB2312" w:hAnsi="仿宋_GB2312" w:cs="仿宋_GB2312" w:hint="eastAsia"/>
          <w:sz w:val="32"/>
          <w:szCs w:val="32"/>
          <w:lang w:eastAsia="zh-CN"/>
        </w:rPr>
        <w:t>的通知》（税总办征科发〔</w:t>
      </w:r>
      <w:r>
        <w:rPr>
          <w:rFonts w:ascii="仿宋_GB2312" w:eastAsia="仿宋_GB2312" w:hAnsi="仿宋_GB2312" w:cs="仿宋_GB2312" w:hint="eastAsia"/>
          <w:sz w:val="32"/>
          <w:szCs w:val="32"/>
          <w:lang w:val="en-US"/>
        </w:rPr>
        <w:t>2022</w:t>
      </w:r>
      <w:r>
        <w:rPr>
          <w:rFonts w:ascii="仿宋_GB2312" w:eastAsia="仿宋_GB2312" w:hAnsi="仿宋_GB2312" w:cs="仿宋_GB2312" w:hint="eastAsia"/>
          <w:sz w:val="32"/>
          <w:szCs w:val="32"/>
          <w:lang w:eastAsia="zh-CN"/>
        </w:rPr>
        <w:t>〕</w:t>
      </w:r>
      <w:r>
        <w:rPr>
          <w:rFonts w:ascii="仿宋_GB2312" w:eastAsia="仿宋_GB2312" w:hAnsi="仿宋_GB2312" w:cs="仿宋_GB2312" w:hint="eastAsia"/>
          <w:sz w:val="32"/>
          <w:szCs w:val="32"/>
          <w:lang w:val="en-US"/>
        </w:rPr>
        <w:t>1</w:t>
      </w:r>
      <w:r>
        <w:rPr>
          <w:rFonts w:ascii="仿宋_GB2312" w:eastAsia="仿宋_GB2312" w:hAnsi="仿宋_GB2312" w:cs="仿宋_GB2312" w:hint="eastAsia"/>
          <w:sz w:val="32"/>
          <w:szCs w:val="32"/>
          <w:lang w:eastAsia="zh-CN"/>
        </w:rPr>
        <w:t>号）相关规定，本项目不采购税务系统失信记录名单中的服务提供商提供的产品及服务。</w:t>
      </w:r>
    </w:p>
    <w:p>
      <w:pPr>
        <w:pStyle w:val="a6"/>
        <w:keepNext w:val="0"/>
        <w:keepLines w:val="0"/>
        <w:pageBreakBefore w:val="0"/>
        <w:widowControl w:val="0"/>
        <w:kinsoku/>
        <w:wordWrap/>
        <w:topLinePunct w:val="0"/>
        <w:bidi w:val="0"/>
        <w:spacing w:before="0" w:beforeAutospacing="0" w:after="0" w:afterAutospacing="0" w:line="560" w:lineRule="exact"/>
        <w:ind w:left="0" w:right="0" w:firstLine="640" w:rightChars="0"/>
        <w:rPr>
          <w:rFonts w:ascii="仿宋_GB2312" w:eastAsia="仿宋_GB2312" w:hAnsi="仿宋_GB2312" w:cs="仿宋_GB2312" w:hint="eastAsia"/>
          <w:sz w:val="32"/>
          <w:szCs w:val="32"/>
          <w:lang w:val="en-US"/>
        </w:rPr>
      </w:pPr>
      <w:r>
        <w:rPr>
          <w:rFonts w:ascii="仿宋_GB2312" w:eastAsia="仿宋_GB2312" w:hAnsi="仿宋_GB2312" w:cs="仿宋_GB2312" w:hint="eastAsia"/>
          <w:sz w:val="32"/>
          <w:szCs w:val="32"/>
          <w:lang w:eastAsia="zh-CN"/>
        </w:rPr>
        <w:t>通知文件互联网链接：　　　</w:t>
      </w:r>
    </w:p>
    <w:p>
      <w:pPr>
        <w:pStyle w:val="a6"/>
        <w:keepNext w:val="0"/>
        <w:keepLines w:val="0"/>
        <w:pageBreakBefore w:val="0"/>
        <w:widowControl w:val="0"/>
        <w:kinsoku/>
        <w:wordWrap/>
        <w:topLinePunct w:val="0"/>
        <w:bidi w:val="0"/>
        <w:spacing w:before="0" w:beforeAutospacing="0" w:after="0" w:afterAutospacing="0" w:line="560" w:lineRule="exact"/>
        <w:ind w:left="0" w:right="0" w:firstLine="640" w:rightChars="0"/>
        <w:rPr>
          <w:rFonts w:ascii="仿宋_GB2312" w:eastAsia="仿宋_GB2312" w:hAnsi="仿宋_GB2312" w:cs="仿宋_GB2312" w:hint="eastAsia"/>
          <w:sz w:val="32"/>
          <w:szCs w:val="32"/>
          <w:lang w:val="en-US"/>
        </w:rPr>
      </w:pPr>
      <w:r>
        <w:rPr>
          <w:rFonts w:ascii="仿宋_GB2312" w:eastAsia="仿宋_GB2312" w:hAnsi="仿宋_GB2312" w:cs="仿宋_GB2312" w:hint="eastAsia"/>
          <w:sz w:val="32"/>
          <w:szCs w:val="32"/>
          <w:lang w:val="en-US"/>
        </w:rPr>
        <w:t>http://www.chinatax.gov.cn/chinatax/n810341/n810825/c101434/c5172093/content.html</w:t>
      </w:r>
    </w:p>
    <w:p>
      <w:pPr>
        <w:pStyle w:val="a6"/>
        <w:keepNext w:val="0"/>
        <w:keepLines w:val="0"/>
        <w:pageBreakBefore w:val="0"/>
        <w:widowControl w:val="0"/>
        <w:kinsoku/>
        <w:wordWrap/>
        <w:topLinePunct w:val="0"/>
        <w:bidi w:val="0"/>
        <w:spacing w:before="0" w:beforeAutospacing="0" w:after="0" w:afterAutospacing="0" w:line="560" w:lineRule="exact"/>
        <w:ind w:left="0" w:right="0" w:firstLine="640" w:rightChars="0"/>
        <w:rPr>
          <w:rFonts w:ascii="仿宋_GB2312" w:eastAsia="仿宋_GB2312" w:hAnsi="仿宋_GB2312" w:cs="仿宋_GB2312" w:hint="eastAsia"/>
          <w:sz w:val="32"/>
          <w:szCs w:val="32"/>
          <w:lang w:val="en-US"/>
        </w:rPr>
      </w:pPr>
      <w:r>
        <w:rPr>
          <w:rFonts w:ascii="仿宋_GB2312" w:eastAsia="仿宋_GB2312" w:hAnsi="仿宋_GB2312" w:cs="仿宋_GB2312" w:hint="eastAsia"/>
          <w:sz w:val="32"/>
          <w:szCs w:val="32"/>
          <w:lang w:val="en-US"/>
        </w:rPr>
        <w:t>2.</w:t>
      </w:r>
      <w:r>
        <w:rPr>
          <w:rFonts w:ascii="仿宋_GB2312" w:eastAsia="仿宋_GB2312" w:hAnsi="仿宋_GB2312" w:cs="仿宋_GB2312" w:hint="eastAsia"/>
          <w:sz w:val="32"/>
          <w:szCs w:val="32"/>
          <w:lang w:eastAsia="zh-CN"/>
        </w:rPr>
        <w:t>信息化项目使用的供应链产品提供要满足国家网络安全规范和认证要求。</w:t>
      </w:r>
    </w:p>
    <w:p>
      <w:pPr>
        <w:pStyle w:val="a6"/>
        <w:keepNext w:val="0"/>
        <w:keepLines w:val="0"/>
        <w:pageBreakBefore w:val="0"/>
        <w:widowControl w:val="0"/>
        <w:kinsoku/>
        <w:wordWrap/>
        <w:topLinePunct w:val="0"/>
        <w:bidi w:val="0"/>
        <w:spacing w:before="0" w:beforeAutospacing="0" w:after="0" w:afterAutospacing="0" w:line="560" w:lineRule="exact"/>
        <w:ind w:left="0" w:right="0" w:firstLine="640" w:rightChars="0"/>
        <w:rPr>
          <w:rFonts w:ascii="仿宋_GB2312" w:eastAsia="仿宋_GB2312" w:hAnsi="仿宋_GB2312" w:cs="仿宋_GB2312" w:hint="eastAsia"/>
          <w:sz w:val="32"/>
          <w:szCs w:val="32"/>
          <w:lang w:val="en-US"/>
        </w:rPr>
      </w:pPr>
      <w:r>
        <w:rPr>
          <w:rFonts w:ascii="仿宋_GB2312" w:eastAsia="仿宋_GB2312" w:hAnsi="仿宋_GB2312" w:cs="仿宋_GB2312" w:hint="eastAsia"/>
          <w:sz w:val="32"/>
          <w:szCs w:val="32"/>
          <w:lang w:val="en-US"/>
        </w:rPr>
        <w:t xml:space="preserve">3. </w:t>
      </w:r>
      <w:r>
        <w:rPr>
          <w:rFonts w:ascii="仿宋_GB2312" w:eastAsia="仿宋_GB2312" w:hAnsi="仿宋_GB2312" w:cs="仿宋_GB2312" w:hint="eastAsia"/>
          <w:sz w:val="32"/>
          <w:szCs w:val="32"/>
          <w:lang w:eastAsia="zh-CN"/>
        </w:rPr>
        <w:t>中标人要建立网络安全负责人制度。每个项目均要设置网络安全负责人，组织落实各项网络安全要求。</w:t>
      </w:r>
    </w:p>
    <w:p>
      <w:pPr>
        <w:pStyle w:val="a6"/>
        <w:keepNext w:val="0"/>
        <w:keepLines w:val="0"/>
        <w:pageBreakBefore w:val="0"/>
        <w:widowControl w:val="0"/>
        <w:kinsoku/>
        <w:wordWrap/>
        <w:topLinePunct w:val="0"/>
        <w:bidi w:val="0"/>
        <w:spacing w:before="0" w:beforeAutospacing="0" w:after="0" w:afterAutospacing="0" w:line="560" w:lineRule="exact"/>
        <w:ind w:left="0" w:right="0" w:firstLine="640" w:rightChars="0"/>
        <w:rPr>
          <w:rFonts w:ascii="仿宋_GB2312" w:eastAsia="仿宋_GB2312" w:hAnsi="仿宋_GB2312" w:cs="仿宋_GB2312" w:hint="eastAsia"/>
          <w:sz w:val="32"/>
          <w:szCs w:val="32"/>
          <w:lang w:val="en-US"/>
        </w:rPr>
      </w:pPr>
      <w:r>
        <w:rPr>
          <w:rFonts w:ascii="仿宋_GB2312" w:eastAsia="仿宋_GB2312" w:hAnsi="仿宋_GB2312" w:cs="仿宋_GB2312" w:hint="eastAsia"/>
          <w:sz w:val="32"/>
          <w:szCs w:val="32"/>
          <w:lang w:val="en-US"/>
        </w:rPr>
        <w:t xml:space="preserve">4. </w:t>
      </w:r>
      <w:r>
        <w:rPr>
          <w:rFonts w:ascii="仿宋_GB2312" w:eastAsia="仿宋_GB2312" w:hAnsi="仿宋_GB2312" w:cs="仿宋_GB2312" w:hint="eastAsia"/>
          <w:sz w:val="32"/>
          <w:szCs w:val="32"/>
          <w:lang w:eastAsia="zh-CN"/>
        </w:rPr>
        <w:t>投标人应提高安全责任意识，严控产品安全质量；建立清晰的软件供应链安全策略，明确相关的管理目标、工作流程、检查内容、责任部门等；严控上游，尤其重点管控开源代码的使用，确保使用的开源代码符合开源许可协议，形成第三方组件清单和安全分析报告，禁止使用存在高安全风险或已停止维护的第三方组件；严控自主开发代码的质量，采用软件源代码安全分析工具，持续检测和修复软件源代码中的安全缺陷和漏洞；建立完善的产品漏洞响应机制，包括产品漏洞信息的收集、漏洞报告渠道的建立和维护、漏洞补丁的开发和发布、客户端漏洞应急响应和修复支持等。发现网络安全漏洞、缺陷、数据泄露或其他重大网络安全风险，及时向采购人进行报告，不得擅自公开或向第三方提供。</w:t>
      </w:r>
    </w:p>
    <w:p>
      <w:pPr>
        <w:pStyle w:val="a6"/>
        <w:keepNext w:val="0"/>
        <w:keepLines w:val="0"/>
        <w:pageBreakBefore w:val="0"/>
        <w:widowControl w:val="0"/>
        <w:kinsoku/>
        <w:wordWrap/>
        <w:topLinePunct w:val="0"/>
        <w:bidi w:val="0"/>
        <w:spacing w:before="0" w:beforeAutospacing="0" w:after="0" w:afterAutospacing="0" w:line="560" w:lineRule="exact"/>
        <w:ind w:left="0" w:right="0" w:firstLine="640" w:rightChars="0"/>
        <w:rPr>
          <w:rFonts w:ascii="仿宋_GB2312" w:eastAsia="仿宋_GB2312" w:hAnsi="仿宋_GB2312" w:cs="仿宋_GB2312" w:hint="eastAsia"/>
          <w:sz w:val="32"/>
          <w:szCs w:val="32"/>
          <w:lang w:val="en-US"/>
        </w:rPr>
      </w:pPr>
      <w:r>
        <w:rPr>
          <w:rFonts w:ascii="仿宋_GB2312" w:eastAsia="仿宋_GB2312" w:hAnsi="仿宋_GB2312" w:cs="仿宋_GB2312" w:hint="eastAsia"/>
          <w:sz w:val="32"/>
          <w:szCs w:val="32"/>
          <w:lang w:val="en-US"/>
        </w:rPr>
        <w:t>5.</w:t>
      </w:r>
      <w:r>
        <w:rPr>
          <w:rFonts w:ascii="仿宋_GB2312" w:eastAsia="仿宋_GB2312" w:hAnsi="仿宋_GB2312" w:cs="仿宋_GB2312" w:hint="eastAsia"/>
          <w:sz w:val="32"/>
          <w:szCs w:val="32"/>
          <w:lang w:eastAsia="zh-CN"/>
        </w:rPr>
        <w:t>项目实施前及实施期间，中标人要对参与项目人员进行网络和数据安全、技能等方面培训、考核、警示教育等。</w:t>
      </w:r>
    </w:p>
    <w:p>
      <w:pPr>
        <w:pStyle w:val="a6"/>
        <w:keepNext w:val="0"/>
        <w:keepLines w:val="0"/>
        <w:pageBreakBefore w:val="0"/>
        <w:widowControl w:val="0"/>
        <w:kinsoku/>
        <w:wordWrap/>
        <w:topLinePunct w:val="0"/>
        <w:bidi w:val="0"/>
        <w:spacing w:before="0" w:beforeAutospacing="0" w:after="0" w:afterAutospacing="0" w:line="560" w:lineRule="exact"/>
        <w:ind w:left="0" w:right="0" w:firstLine="640" w:rightChars="0"/>
        <w:rPr>
          <w:rFonts w:ascii="仿宋_GB2312" w:eastAsia="仿宋_GB2312" w:hAnsi="仿宋_GB2312" w:cs="仿宋_GB2312" w:hint="eastAsia"/>
          <w:sz w:val="32"/>
          <w:szCs w:val="32"/>
          <w:lang w:val="en-US"/>
        </w:rPr>
      </w:pPr>
      <w:r>
        <w:rPr>
          <w:rFonts w:ascii="仿宋_GB2312" w:eastAsia="仿宋_GB2312" w:hAnsi="仿宋_GB2312" w:cs="仿宋_GB2312" w:hint="eastAsia"/>
          <w:sz w:val="32"/>
          <w:szCs w:val="32"/>
          <w:lang w:val="en-US"/>
        </w:rPr>
        <w:t>6.</w:t>
      </w:r>
      <w:r>
        <w:rPr>
          <w:rFonts w:ascii="仿宋_GB2312" w:eastAsia="仿宋_GB2312" w:hAnsi="仿宋_GB2312" w:cs="仿宋_GB2312" w:hint="eastAsia"/>
          <w:sz w:val="32"/>
          <w:szCs w:val="32"/>
          <w:lang w:eastAsia="zh-CN"/>
        </w:rPr>
        <w:t>应用系统上线前，中标人要进行安全功能测试（包括漏洞扫描、渗透测试、源代码审计、基线核查）。</w:t>
      </w:r>
    </w:p>
    <w:p>
      <w:pPr>
        <w:pStyle w:val="a6"/>
        <w:keepNext w:val="0"/>
        <w:keepLines w:val="0"/>
        <w:pageBreakBefore w:val="0"/>
        <w:widowControl w:val="0"/>
        <w:kinsoku/>
        <w:wordWrap/>
        <w:topLinePunct w:val="0"/>
        <w:bidi w:val="0"/>
        <w:spacing w:before="0" w:beforeAutospacing="0" w:after="0" w:afterAutospacing="0" w:line="560" w:lineRule="exact"/>
        <w:ind w:left="0" w:right="0" w:firstLine="640" w:rightChars="0"/>
        <w:rPr>
          <w:rFonts w:ascii="仿宋_GB2312" w:eastAsia="仿宋_GB2312" w:hAnsi="仿宋_GB2312" w:cs="仿宋_GB2312" w:hint="eastAsia"/>
          <w:sz w:val="32"/>
          <w:szCs w:val="32"/>
          <w:lang w:val="en-US"/>
        </w:rPr>
      </w:pPr>
      <w:r>
        <w:rPr>
          <w:rFonts w:ascii="仿宋_GB2312" w:eastAsia="仿宋_GB2312" w:hAnsi="仿宋_GB2312" w:cs="仿宋_GB2312" w:hint="eastAsia"/>
          <w:sz w:val="32"/>
          <w:szCs w:val="32"/>
          <w:lang w:val="en-US"/>
        </w:rPr>
        <w:t>7.</w:t>
      </w:r>
      <w:r>
        <w:rPr>
          <w:rFonts w:ascii="仿宋_GB2312" w:eastAsia="仿宋_GB2312" w:hAnsi="仿宋_GB2312" w:cs="仿宋_GB2312" w:hint="eastAsia"/>
          <w:sz w:val="32"/>
          <w:szCs w:val="32"/>
          <w:lang w:eastAsia="zh-CN"/>
        </w:rPr>
        <w:t>应用系统上线前，中标人要提交供应链产品清单、第三方组件使用清单、安全测试报告、源代码审计报告、等保测评报告、供应链安全自查报告等。</w:t>
      </w:r>
    </w:p>
    <w:p>
      <w:pPr>
        <w:pStyle w:val="a6"/>
        <w:keepNext w:val="0"/>
        <w:keepLines w:val="0"/>
        <w:pageBreakBefore w:val="0"/>
        <w:widowControl w:val="0"/>
        <w:kinsoku/>
        <w:wordWrap/>
        <w:topLinePunct w:val="0"/>
        <w:bidi w:val="0"/>
        <w:spacing w:before="0" w:beforeAutospacing="0" w:after="0" w:afterAutospacing="0" w:line="560" w:lineRule="exact"/>
        <w:ind w:left="0" w:right="0" w:firstLine="640" w:rightChars="0"/>
        <w:rPr>
          <w:rFonts w:ascii="仿宋_GB2312" w:eastAsia="仿宋_GB2312" w:hAnsi="仿宋_GB2312" w:cs="仿宋_GB2312" w:hint="eastAsia"/>
          <w:sz w:val="32"/>
          <w:szCs w:val="32"/>
          <w:lang w:val="en-US"/>
        </w:rPr>
      </w:pPr>
      <w:r>
        <w:rPr>
          <w:rFonts w:ascii="仿宋_GB2312" w:eastAsia="仿宋_GB2312" w:hAnsi="仿宋_GB2312" w:cs="仿宋_GB2312" w:hint="eastAsia"/>
          <w:sz w:val="32"/>
          <w:szCs w:val="32"/>
          <w:lang w:val="en-US"/>
        </w:rPr>
        <w:t>8.</w:t>
      </w:r>
      <w:r>
        <w:rPr>
          <w:rFonts w:ascii="仿宋_GB2312" w:eastAsia="仿宋_GB2312" w:hAnsi="仿宋_GB2312" w:cs="仿宋_GB2312" w:hint="eastAsia"/>
          <w:sz w:val="32"/>
          <w:szCs w:val="32"/>
          <w:lang w:eastAsia="zh-CN"/>
        </w:rPr>
        <w:t>采购人要对中标人方参与项目人员开展背景审查，中标人需项目人员提供无犯罪记录证明，公司和个人均签署保密协议、网络安全承诺书等。</w:t>
      </w:r>
    </w:p>
    <w:p>
      <w:pPr>
        <w:pStyle w:val="a6"/>
        <w:keepNext w:val="0"/>
        <w:keepLines w:val="0"/>
        <w:pageBreakBefore w:val="0"/>
        <w:widowControl w:val="0"/>
        <w:kinsoku/>
        <w:wordWrap/>
        <w:topLinePunct w:val="0"/>
        <w:bidi w:val="0"/>
        <w:spacing w:before="0" w:beforeAutospacing="0" w:after="0" w:afterAutospacing="0" w:line="560" w:lineRule="exact"/>
        <w:ind w:left="0" w:right="0" w:firstLine="640" w:rightChars="0"/>
        <w:rPr>
          <w:rFonts w:ascii="仿宋_GB2312" w:eastAsia="仿宋_GB2312" w:hAnsi="仿宋_GB2312" w:cs="仿宋_GB2312" w:hint="eastAsia"/>
          <w:sz w:val="32"/>
          <w:szCs w:val="32"/>
          <w:lang w:val="en-US"/>
        </w:rPr>
      </w:pPr>
      <w:r>
        <w:rPr>
          <w:rFonts w:ascii="仿宋_GB2312" w:eastAsia="仿宋_GB2312" w:hAnsi="仿宋_GB2312" w:cs="仿宋_GB2312" w:hint="eastAsia"/>
          <w:sz w:val="32"/>
          <w:szCs w:val="32"/>
          <w:lang w:val="en-US"/>
        </w:rPr>
        <w:t>9.</w:t>
      </w:r>
      <w:r>
        <w:rPr>
          <w:rFonts w:ascii="仿宋_GB2312" w:eastAsia="仿宋_GB2312" w:hAnsi="仿宋_GB2312" w:cs="仿宋_GB2312" w:hint="eastAsia"/>
          <w:sz w:val="32"/>
          <w:szCs w:val="32"/>
          <w:lang w:eastAsia="zh-CN"/>
        </w:rPr>
        <w:t>中标人应配置独立的内部代码管理平台，且不与互联网链接。严禁将源代码上传第三方平台，严禁使用互联网代码托管平台。</w:t>
      </w:r>
    </w:p>
    <w:p>
      <w:pPr>
        <w:pStyle w:val="a6"/>
        <w:keepNext w:val="0"/>
        <w:keepLines w:val="0"/>
        <w:pageBreakBefore w:val="0"/>
        <w:widowControl w:val="0"/>
        <w:kinsoku/>
        <w:wordWrap/>
        <w:topLinePunct w:val="0"/>
        <w:bidi w:val="0"/>
        <w:spacing w:before="0" w:beforeAutospacing="0" w:after="0" w:afterAutospacing="0" w:line="560" w:lineRule="exact"/>
        <w:ind w:left="0" w:right="0" w:firstLine="640" w:rightChars="0"/>
        <w:rPr>
          <w:rFonts w:ascii="仿宋_GB2312" w:eastAsia="仿宋_GB2312" w:hAnsi="仿宋_GB2312" w:cs="仿宋_GB2312" w:hint="eastAsia"/>
          <w:sz w:val="32"/>
          <w:szCs w:val="32"/>
          <w:lang w:val="en-US"/>
        </w:rPr>
      </w:pPr>
      <w:r>
        <w:rPr>
          <w:rFonts w:ascii="仿宋_GB2312" w:eastAsia="仿宋_GB2312" w:hAnsi="仿宋_GB2312" w:cs="仿宋_GB2312" w:hint="eastAsia"/>
          <w:spacing w:val="-11"/>
          <w:sz w:val="32"/>
          <w:szCs w:val="32"/>
          <w:lang w:val="en-US"/>
        </w:rPr>
        <w:t>10.</w:t>
      </w:r>
      <w:r>
        <w:rPr>
          <w:rFonts w:ascii="仿宋_GB2312" w:eastAsia="仿宋_GB2312" w:hAnsi="仿宋_GB2312" w:cs="仿宋_GB2312" w:hint="eastAsia"/>
          <w:spacing w:val="-11"/>
          <w:sz w:val="32"/>
          <w:szCs w:val="32"/>
          <w:lang w:eastAsia="zh-CN"/>
        </w:rPr>
        <w:t>中标人不得另行开发合同业务需求范围内，供纳税人、缴费人使用的软件。不得利用产品和服务的便利条件非法获取数据、非法控制和操纵设备，无正当理由不中断产品供应或必要技术支持服务等，如违反上述条款，将被纳入失信名单。</w:t>
      </w:r>
    </w:p>
    <w:p>
      <w:pPr>
        <w:pStyle w:val="a6"/>
        <w:keepNext w:val="0"/>
        <w:keepLines w:val="0"/>
        <w:pageBreakBefore w:val="0"/>
        <w:widowControl w:val="0"/>
        <w:kinsoku/>
        <w:wordWrap/>
        <w:topLinePunct w:val="0"/>
        <w:bidi w:val="0"/>
        <w:spacing w:before="0" w:beforeAutospacing="0" w:after="0" w:afterAutospacing="0" w:line="560" w:lineRule="exact"/>
        <w:ind w:left="0" w:right="0" w:firstLine="640" w:rightChars="0"/>
        <w:rPr>
          <w:rFonts w:ascii="仿宋_GB2312" w:eastAsia="仿宋_GB2312" w:hAnsi="仿宋_GB2312" w:cs="仿宋_GB2312" w:hint="eastAsia"/>
          <w:sz w:val="32"/>
          <w:szCs w:val="32"/>
          <w:lang w:val="en-US"/>
        </w:rPr>
      </w:pPr>
      <w:r>
        <w:rPr>
          <w:rFonts w:ascii="仿宋_GB2312" w:eastAsia="仿宋_GB2312" w:hAnsi="仿宋_GB2312" w:cs="仿宋_GB2312" w:hint="eastAsia"/>
          <w:sz w:val="32"/>
          <w:szCs w:val="32"/>
          <w:lang w:val="en-US"/>
        </w:rPr>
        <w:t>11.</w:t>
      </w:r>
      <w:r>
        <w:rPr>
          <w:rFonts w:ascii="仿宋_GB2312" w:eastAsia="仿宋_GB2312" w:hAnsi="仿宋_GB2312" w:cs="仿宋_GB2312" w:hint="eastAsia"/>
          <w:sz w:val="32"/>
          <w:szCs w:val="32"/>
          <w:lang w:eastAsia="zh-CN"/>
        </w:rPr>
        <w:t>中标人违反国家税务总局吉林省税务局及其上级主管部门制定的网络安全规定行为造成不良后果的，将被纳入失信名单，</w:t>
      </w:r>
      <w:r>
        <w:rPr>
          <w:rFonts w:ascii="仿宋_GB2312" w:eastAsia="仿宋_GB2312" w:hAnsi="仿宋_GB2312" w:cs="仿宋_GB2312" w:hint="eastAsia"/>
          <w:sz w:val="32"/>
          <w:szCs w:val="32"/>
          <w:lang w:val="en-US"/>
        </w:rPr>
        <w:t>3</w:t>
      </w:r>
      <w:r>
        <w:rPr>
          <w:rFonts w:ascii="仿宋_GB2312" w:eastAsia="仿宋_GB2312" w:hAnsi="仿宋_GB2312" w:cs="仿宋_GB2312" w:hint="eastAsia"/>
          <w:sz w:val="32"/>
          <w:szCs w:val="32"/>
          <w:lang w:eastAsia="zh-CN"/>
        </w:rPr>
        <w:t>年内限制参加税务系统政府采购活动。</w:t>
      </w:r>
    </w:p>
    <w:p>
      <w:pPr>
        <w:pStyle w:val="a6"/>
        <w:keepNext w:val="0"/>
        <w:keepLines w:val="0"/>
        <w:pageBreakBefore w:val="0"/>
        <w:widowControl w:val="0"/>
        <w:kinsoku/>
        <w:wordWrap/>
        <w:topLinePunct w:val="0"/>
        <w:bidi w:val="0"/>
        <w:spacing w:before="0" w:beforeAutospacing="0" w:after="0" w:afterAutospacing="0" w:line="560" w:lineRule="exact"/>
        <w:ind w:left="0" w:right="0" w:firstLine="640" w:rightChars="0"/>
        <w:rPr>
          <w:rFonts w:ascii="仿宋_GB2312" w:eastAsia="仿宋_GB2312" w:hAnsi="仿宋_GB2312" w:cs="仿宋_GB2312" w:hint="eastAsia"/>
          <w:sz w:val="32"/>
          <w:szCs w:val="32"/>
          <w:lang w:val="en-US"/>
        </w:rPr>
      </w:pPr>
      <w:r>
        <w:rPr>
          <w:rFonts w:ascii="仿宋_GB2312" w:eastAsia="仿宋_GB2312" w:hAnsi="仿宋_GB2312" w:cs="仿宋_GB2312" w:hint="eastAsia"/>
          <w:sz w:val="32"/>
          <w:szCs w:val="32"/>
          <w:lang w:val="en-US"/>
        </w:rPr>
        <w:t>12.</w:t>
      </w:r>
      <w:r>
        <w:rPr>
          <w:rFonts w:ascii="仿宋_GB2312" w:eastAsia="仿宋_GB2312" w:hAnsi="仿宋_GB2312" w:cs="仿宋_GB2312" w:hint="eastAsia"/>
          <w:sz w:val="32"/>
          <w:szCs w:val="32"/>
          <w:lang w:eastAsia="zh-CN"/>
        </w:rPr>
        <w:t>中标人不得在合同履行期间“围猎”税务人员。如违反上述条款，将被纳入失信名单，</w:t>
      </w:r>
      <w:r>
        <w:rPr>
          <w:rFonts w:ascii="仿宋_GB2312" w:eastAsia="仿宋_GB2312" w:hAnsi="仿宋_GB2312" w:cs="仿宋_GB2312" w:hint="eastAsia"/>
          <w:sz w:val="32"/>
          <w:szCs w:val="32"/>
          <w:lang w:val="en-US"/>
        </w:rPr>
        <w:t>3</w:t>
      </w:r>
      <w:r>
        <w:rPr>
          <w:rFonts w:ascii="仿宋_GB2312" w:eastAsia="仿宋_GB2312" w:hAnsi="仿宋_GB2312" w:cs="仿宋_GB2312" w:hint="eastAsia"/>
          <w:sz w:val="32"/>
          <w:szCs w:val="32"/>
          <w:lang w:eastAsia="zh-CN"/>
        </w:rPr>
        <w:t>年内限制参加税务系统政府采购活动。</w:t>
      </w:r>
    </w:p>
    <w:p>
      <w:pPr>
        <w:pStyle w:val="a6"/>
        <w:keepNext w:val="0"/>
        <w:keepLines w:val="0"/>
        <w:pageBreakBefore w:val="0"/>
        <w:widowControl w:val="0"/>
        <w:kinsoku/>
        <w:wordWrap/>
        <w:topLinePunct w:val="0"/>
        <w:bidi w:val="0"/>
        <w:spacing w:before="0" w:beforeAutospacing="0" w:after="0" w:afterAutospacing="0" w:line="560" w:lineRule="exact"/>
        <w:ind w:left="0" w:right="0" w:firstLine="640" w:rightChars="0"/>
        <w:rPr>
          <w:lang w:val="en-US"/>
        </w:rPr>
      </w:pPr>
      <w:r>
        <w:rPr>
          <w:rFonts w:ascii="仿宋_GB2312" w:eastAsia="仿宋_GB2312" w:hAnsi="仿宋_GB2312" w:cs="仿宋_GB2312" w:hint="eastAsia"/>
          <w:sz w:val="32"/>
          <w:szCs w:val="32"/>
          <w:lang w:val="en-US"/>
        </w:rPr>
        <w:t>13.</w:t>
      </w:r>
      <w:r>
        <w:rPr>
          <w:rFonts w:ascii="仿宋_GB2312" w:eastAsia="仿宋_GB2312" w:hAnsi="仿宋_GB2312" w:cs="仿宋_GB2312" w:hint="eastAsia"/>
          <w:sz w:val="32"/>
          <w:szCs w:val="32"/>
          <w:lang w:eastAsia="zh-CN"/>
        </w:rPr>
        <w:t>中标人应建立防止违法违规聘用离职税务人员风险控制制度，如出现违法违规聘用离职税务人员行为，采购人有权采取以下措施：要求限期改正、要求支付违约金、解除合同、</w:t>
      </w:r>
      <w:r>
        <w:rPr>
          <w:rFonts w:ascii="仿宋_GB2312" w:eastAsia="仿宋_GB2312" w:hAnsi="仿宋_GB2312" w:cs="仿宋_GB2312" w:hint="eastAsia"/>
          <w:sz w:val="32"/>
          <w:szCs w:val="32"/>
          <w:lang w:val="en-US"/>
        </w:rPr>
        <w:t>3</w:t>
      </w:r>
      <w:r>
        <w:rPr>
          <w:rFonts w:ascii="仿宋_GB2312" w:eastAsia="仿宋_GB2312" w:hAnsi="仿宋_GB2312" w:cs="仿宋_GB2312" w:hint="eastAsia"/>
          <w:sz w:val="32"/>
          <w:szCs w:val="32"/>
          <w:lang w:eastAsia="zh-CN"/>
        </w:rPr>
        <w:t>年内限制参加所聘人员原单位及下属单位信息化项目政府采购活动等。</w:t>
      </w:r>
    </w:p>
    <w:p>
      <w:pPr>
        <w:ind w:firstLine="800" w:firstLineChars="250"/>
        <w:jc w:val="both"/>
        <w:rPr>
          <w:rFonts w:ascii="方正小标宋_GBK" w:eastAsia="方正小标宋_GBK" w:hAnsi="方正小标宋_GBK" w:cs="方正小标宋_GBK" w:hint="eastAsia"/>
          <w:b w:val="0"/>
          <w:bCs w:val="0"/>
          <w:color w:val="auto"/>
          <w:sz w:val="32"/>
          <w:szCs w:val="32"/>
          <w:highlight w:val="none"/>
          <w:lang w:val="en-US" w:eastAsia="zh-CN"/>
        </w:rPr>
      </w:pPr>
    </w:p>
    <w:p>
      <w:pPr>
        <w:ind w:firstLine="800" w:firstLineChars="250"/>
        <w:jc w:val="both"/>
        <w:rPr>
          <w:rFonts w:ascii="方正小标宋_GBK" w:eastAsia="方正小标宋_GBK" w:hAnsi="方正小标宋_GBK" w:cs="方正小标宋_GBK" w:hint="eastAsia"/>
          <w:b w:val="0"/>
          <w:bCs w:val="0"/>
          <w:color w:val="auto"/>
          <w:sz w:val="32"/>
          <w:szCs w:val="32"/>
          <w:highlight w:val="none"/>
          <w:lang w:val="en-US" w:eastAsia="zh-CN"/>
        </w:rPr>
      </w:pPr>
      <w:bookmarkStart w:id="6" w:name="_GoBack"/>
      <w:bookmarkEnd w:id="6"/>
      <w:r>
        <w:rPr>
          <w:rFonts w:ascii="方正小标宋_GBK" w:eastAsia="方正小标宋_GBK" w:hAnsi="方正小标宋_GBK" w:cs="方正小标宋_GBK" w:hint="eastAsia"/>
          <w:b w:val="0"/>
          <w:bCs w:val="0"/>
          <w:color w:val="auto"/>
          <w:sz w:val="32"/>
          <w:szCs w:val="32"/>
          <w:highlight w:val="none"/>
          <w:lang w:val="en-US" w:eastAsia="zh-CN"/>
        </w:rPr>
        <w:t xml:space="preserve"> “满足指标要求情况”内容</w:t>
      </w:r>
      <w:r>
        <w:rPr>
          <w:rFonts w:ascii="方正小标宋_GBK" w:eastAsia="方正小标宋_GBK" w:hAnsi="方正小标宋_GBK" w:cs="方正小标宋_GBK" w:hint="default"/>
          <w:b w:val="0"/>
          <w:bCs w:val="0"/>
          <w:color w:val="auto"/>
          <w:sz w:val="32"/>
          <w:szCs w:val="32"/>
          <w:highlight w:val="none"/>
          <w:lang w:val="en-US" w:eastAsia="zh-CN"/>
        </w:rPr>
        <w:t>（</w:t>
      </w:r>
      <w:r>
        <w:rPr>
          <w:rFonts w:ascii="方正小标宋_GBK" w:eastAsia="方正小标宋_GBK" w:hAnsi="方正小标宋_GBK" w:cs="方正小标宋_GBK" w:hint="eastAsia"/>
          <w:b w:val="0"/>
          <w:bCs w:val="0"/>
          <w:color w:val="auto"/>
          <w:sz w:val="32"/>
          <w:szCs w:val="32"/>
          <w:highlight w:val="none"/>
          <w:lang w:val="en-US" w:eastAsia="zh-CN"/>
        </w:rPr>
        <w:t>网络安全运维</w:t>
      </w:r>
      <w:r>
        <w:rPr>
          <w:rFonts w:ascii="方正小标宋_GBK" w:eastAsia="方正小标宋_GBK" w:hAnsi="方正小标宋_GBK" w:cs="方正小标宋_GBK" w:hint="default"/>
          <w:b w:val="0"/>
          <w:bCs w:val="0"/>
          <w:color w:val="auto"/>
          <w:sz w:val="32"/>
          <w:szCs w:val="32"/>
          <w:highlight w:val="none"/>
          <w:lang w:val="en-US" w:eastAsia="zh-CN"/>
        </w:rPr>
        <w:t>）</w:t>
      </w:r>
    </w:p>
    <w:tbl>
      <w:tblPr>
        <w:tblStyle w:val="TableNormal"/>
        <w:tblpPr w:leftFromText="180" w:rightFromText="180" w:vertAnchor="text" w:horzAnchor="page" w:tblpXSpec="center" w:tblpY="384"/>
        <w:tblOverlap w:val="never"/>
        <w:tblW w:w="838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Pr>
      <w:tblGrid>
        <w:gridCol w:w="428"/>
        <w:gridCol w:w="720"/>
        <w:gridCol w:w="681"/>
        <w:gridCol w:w="770"/>
        <w:gridCol w:w="4849"/>
        <w:gridCol w:w="935"/>
      </w:tblGrid>
      <w:tr>
        <w:tblPrEx>
          <w:tblW w:w="838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PrEx>
        <w:trPr>
          <w:trHeight w:hRule="exact" w:val="2130"/>
          <w:jc w:val="center"/>
        </w:trPr>
        <w:tc>
          <w:tcPr>
            <w:tcW w:w="428" w:type="dxa"/>
            <w:noWrap w:val="0"/>
            <w:vAlign w:val="top"/>
          </w:tcPr>
          <w:p>
            <w:pPr>
              <w:adjustRightInd w:val="0"/>
              <w:snapToGrid w:val="0"/>
              <w:spacing w:line="360" w:lineRule="auto"/>
              <w:jc w:val="center"/>
              <w:rPr>
                <w:rFonts w:ascii="仿宋_GB2312" w:eastAsia="仿宋_GB2312" w:hAnsi="仿宋_GB2312" w:cs="仿宋_GB2312" w:hint="eastAsia"/>
                <w:kern w:val="2"/>
                <w:sz w:val="18"/>
                <w:szCs w:val="18"/>
                <w:lang w:val="en-US" w:eastAsia="zh-CN" w:bidi="ar-SA"/>
              </w:rPr>
            </w:pPr>
          </w:p>
          <w:p>
            <w:pPr>
              <w:adjustRightInd w:val="0"/>
              <w:snapToGrid w:val="0"/>
              <w:spacing w:line="360" w:lineRule="auto"/>
              <w:jc w:val="center"/>
              <w:rPr>
                <w:rFonts w:ascii="仿宋_GB2312" w:eastAsia="仿宋_GB2312" w:hAnsi="仿宋_GB2312" w:cs="仿宋_GB2312" w:hint="eastAsia"/>
                <w:kern w:val="2"/>
                <w:sz w:val="18"/>
                <w:szCs w:val="18"/>
                <w:lang w:val="en-US" w:eastAsia="zh-CN" w:bidi="ar-SA"/>
              </w:rPr>
            </w:pPr>
            <w:r>
              <w:rPr>
                <w:rFonts w:ascii="仿宋_GB2312" w:eastAsia="仿宋_GB2312" w:hAnsi="仿宋_GB2312" w:cs="仿宋_GB2312" w:hint="eastAsia"/>
                <w:kern w:val="2"/>
                <w:sz w:val="18"/>
                <w:szCs w:val="18"/>
                <w:lang w:val="en-US" w:eastAsia="zh-CN" w:bidi="ar-SA"/>
              </w:rPr>
              <w:t>序号</w:t>
            </w:r>
          </w:p>
        </w:tc>
        <w:tc>
          <w:tcPr>
            <w:tcW w:w="720" w:type="dxa"/>
            <w:noWrap w:val="0"/>
            <w:vAlign w:val="top"/>
          </w:tcPr>
          <w:p>
            <w:pPr>
              <w:adjustRightInd w:val="0"/>
              <w:snapToGrid w:val="0"/>
              <w:spacing w:line="360" w:lineRule="auto"/>
              <w:jc w:val="center"/>
              <w:rPr>
                <w:rFonts w:ascii="仿宋_GB2312" w:eastAsia="仿宋_GB2312" w:hAnsi="仿宋_GB2312" w:cs="仿宋_GB2312" w:hint="eastAsia"/>
                <w:kern w:val="2"/>
                <w:sz w:val="18"/>
                <w:szCs w:val="18"/>
                <w:lang w:val="en-US" w:eastAsia="zh-CN" w:bidi="ar-SA"/>
              </w:rPr>
            </w:pPr>
          </w:p>
          <w:p>
            <w:pPr>
              <w:adjustRightInd w:val="0"/>
              <w:snapToGrid w:val="0"/>
              <w:spacing w:line="360" w:lineRule="auto"/>
              <w:jc w:val="center"/>
              <w:rPr>
                <w:rFonts w:ascii="仿宋_GB2312" w:eastAsia="仿宋_GB2312" w:hAnsi="仿宋_GB2312" w:cs="仿宋_GB2312" w:hint="eastAsia"/>
                <w:kern w:val="2"/>
                <w:sz w:val="18"/>
                <w:szCs w:val="18"/>
                <w:lang w:val="en-US" w:eastAsia="zh-CN" w:bidi="ar-SA"/>
              </w:rPr>
            </w:pPr>
            <w:r>
              <w:rPr>
                <w:rFonts w:ascii="仿宋_GB2312" w:eastAsia="仿宋_GB2312" w:hAnsi="仿宋_GB2312" w:cs="仿宋_GB2312" w:hint="eastAsia"/>
                <w:kern w:val="2"/>
                <w:sz w:val="18"/>
                <w:szCs w:val="18"/>
                <w:lang w:val="en-US" w:eastAsia="zh-CN" w:bidi="ar-SA"/>
              </w:rPr>
              <w:t>产品名称</w:t>
            </w:r>
          </w:p>
        </w:tc>
        <w:tc>
          <w:tcPr>
            <w:tcW w:w="681" w:type="dxa"/>
            <w:noWrap w:val="0"/>
            <w:vAlign w:val="center"/>
          </w:tcPr>
          <w:p>
            <w:pPr>
              <w:adjustRightInd w:val="0"/>
              <w:snapToGrid w:val="0"/>
              <w:spacing w:line="360" w:lineRule="auto"/>
              <w:jc w:val="center"/>
              <w:rPr>
                <w:rFonts w:ascii="仿宋_GB2312" w:eastAsia="仿宋_GB2312" w:hAnsi="仿宋_GB2312" w:cs="仿宋_GB2312" w:hint="eastAsia"/>
                <w:kern w:val="2"/>
                <w:sz w:val="18"/>
                <w:szCs w:val="18"/>
                <w:lang w:val="en-US" w:eastAsia="zh-CN" w:bidi="ar-SA"/>
              </w:rPr>
            </w:pPr>
            <w:r>
              <w:rPr>
                <w:rFonts w:ascii="仿宋_GB2312" w:eastAsia="仿宋_GB2312" w:hAnsi="仿宋_GB2312" w:cs="仿宋_GB2312" w:hint="eastAsia"/>
                <w:kern w:val="2"/>
                <w:sz w:val="18"/>
                <w:szCs w:val="18"/>
                <w:lang w:val="en-US" w:eastAsia="zh-CN" w:bidi="ar-SA"/>
              </w:rPr>
              <w:t>指标种类</w:t>
            </w:r>
          </w:p>
        </w:tc>
        <w:tc>
          <w:tcPr>
            <w:tcW w:w="770" w:type="dxa"/>
            <w:noWrap w:val="0"/>
            <w:vAlign w:val="center"/>
          </w:tcPr>
          <w:p>
            <w:pPr>
              <w:adjustRightInd w:val="0"/>
              <w:snapToGrid w:val="0"/>
              <w:spacing w:line="360" w:lineRule="auto"/>
              <w:jc w:val="center"/>
              <w:rPr>
                <w:rFonts w:ascii="仿宋_GB2312" w:eastAsia="仿宋_GB2312" w:hAnsi="仿宋_GB2312" w:cs="仿宋_GB2312" w:hint="eastAsia"/>
                <w:kern w:val="2"/>
                <w:sz w:val="18"/>
                <w:szCs w:val="18"/>
                <w:lang w:val="en-US" w:eastAsia="zh-CN" w:bidi="ar-SA"/>
              </w:rPr>
            </w:pPr>
            <w:r>
              <w:rPr>
                <w:rFonts w:ascii="仿宋_GB2312" w:eastAsia="仿宋_GB2312" w:hAnsi="仿宋_GB2312" w:cs="仿宋_GB2312" w:hint="eastAsia"/>
                <w:kern w:val="2"/>
                <w:sz w:val="18"/>
                <w:szCs w:val="18"/>
                <w:lang w:val="en-US" w:eastAsia="zh-CN" w:bidi="ar-SA"/>
              </w:rPr>
              <w:t>指标名称</w:t>
            </w:r>
          </w:p>
        </w:tc>
        <w:tc>
          <w:tcPr>
            <w:tcW w:w="4849" w:type="dxa"/>
            <w:noWrap w:val="0"/>
            <w:vAlign w:val="center"/>
          </w:tcPr>
          <w:p>
            <w:pPr>
              <w:adjustRightInd w:val="0"/>
              <w:snapToGrid w:val="0"/>
              <w:spacing w:line="360" w:lineRule="auto"/>
              <w:jc w:val="center"/>
              <w:rPr>
                <w:rFonts w:ascii="仿宋_GB2312" w:eastAsia="仿宋_GB2312" w:hAnsi="仿宋_GB2312" w:cs="仿宋_GB2312" w:hint="eastAsia"/>
                <w:kern w:val="2"/>
                <w:sz w:val="18"/>
                <w:szCs w:val="18"/>
                <w:lang w:val="en-US" w:eastAsia="zh-CN" w:bidi="ar-SA"/>
              </w:rPr>
            </w:pPr>
            <w:r>
              <w:rPr>
                <w:rFonts w:ascii="仿宋_GB2312" w:eastAsia="仿宋_GB2312" w:hAnsi="仿宋_GB2312" w:cs="仿宋_GB2312" w:hint="eastAsia"/>
                <w:kern w:val="2"/>
                <w:sz w:val="18"/>
                <w:szCs w:val="18"/>
                <w:lang w:val="en-US" w:eastAsia="zh-CN" w:bidi="ar-SA"/>
              </w:rPr>
              <w:t>指标内容</w:t>
            </w:r>
          </w:p>
        </w:tc>
        <w:tc>
          <w:tcPr>
            <w:tcW w:w="935" w:type="dxa"/>
            <w:noWrap w:val="0"/>
            <w:vAlign w:val="top"/>
          </w:tcPr>
          <w:p>
            <w:pPr>
              <w:adjustRightInd w:val="0"/>
              <w:snapToGrid w:val="0"/>
              <w:spacing w:line="360" w:lineRule="auto"/>
              <w:jc w:val="center"/>
              <w:rPr>
                <w:rFonts w:ascii="仿宋_GB2312" w:eastAsia="仿宋_GB2312" w:hAnsi="仿宋_GB2312" w:cs="仿宋_GB2312" w:hint="eastAsia"/>
                <w:kern w:val="2"/>
                <w:sz w:val="18"/>
                <w:szCs w:val="18"/>
                <w:lang w:val="en-US" w:eastAsia="zh-CN" w:bidi="ar-SA"/>
              </w:rPr>
            </w:pPr>
          </w:p>
          <w:p>
            <w:pPr>
              <w:adjustRightInd w:val="0"/>
              <w:snapToGrid w:val="0"/>
              <w:spacing w:line="360" w:lineRule="auto"/>
              <w:jc w:val="center"/>
              <w:rPr>
                <w:rFonts w:ascii="仿宋_GB2312" w:eastAsia="仿宋_GB2312" w:hAnsi="仿宋_GB2312" w:cs="仿宋_GB2312" w:hint="eastAsia"/>
                <w:kern w:val="2"/>
                <w:sz w:val="18"/>
                <w:szCs w:val="18"/>
                <w:lang w:val="en-US" w:eastAsia="zh-CN" w:bidi="ar-SA"/>
              </w:rPr>
            </w:pPr>
            <w:r>
              <w:rPr>
                <w:rFonts w:ascii="仿宋_GB2312" w:eastAsia="仿宋_GB2312" w:hAnsi="仿宋_GB2312" w:cs="仿宋_GB2312" w:hint="eastAsia"/>
                <w:kern w:val="2"/>
                <w:sz w:val="18"/>
                <w:szCs w:val="18"/>
                <w:lang w:val="en-US" w:eastAsia="zh-CN" w:bidi="ar-SA"/>
              </w:rPr>
              <w:t>证明材料要求（官网截图或产品说明书或白皮书或承诺书等证明材料）</w:t>
            </w:r>
          </w:p>
        </w:tc>
      </w:tr>
      <w:tr>
        <w:tblPrEx>
          <w:tblW w:w="8383" w:type="dxa"/>
          <w:jc w:val="center"/>
          <w:tblLayout w:type="fixed"/>
          <w:tblCellMar>
            <w:top w:w="0" w:type="dxa"/>
            <w:left w:w="108" w:type="dxa"/>
            <w:bottom w:w="0" w:type="dxa"/>
            <w:right w:w="108" w:type="dxa"/>
          </w:tblCellMar>
        </w:tblPrEx>
        <w:trPr>
          <w:trHeight w:hRule="exact" w:val="2510"/>
          <w:jc w:val="center"/>
        </w:trPr>
        <w:tc>
          <w:tcPr>
            <w:tcW w:w="428" w:type="dxa"/>
            <w:noWrap w:val="0"/>
            <w:vAlign w:val="top"/>
          </w:tcPr>
          <w:p>
            <w:pPr>
              <w:adjustRightInd w:val="0"/>
              <w:snapToGrid w:val="0"/>
              <w:spacing w:line="360" w:lineRule="auto"/>
              <w:jc w:val="center"/>
              <w:rPr>
                <w:rFonts w:ascii="仿宋_GB2312" w:eastAsia="仿宋_GB2312" w:hAnsi="仿宋_GB2312" w:cs="仿宋_GB2312" w:hint="default"/>
                <w:kern w:val="2"/>
                <w:sz w:val="18"/>
                <w:szCs w:val="18"/>
                <w:lang w:val="en-US" w:eastAsia="zh-CN" w:bidi="ar-SA"/>
              </w:rPr>
            </w:pPr>
            <w:r>
              <w:rPr>
                <w:rFonts w:ascii="仿宋_GB2312" w:eastAsia="仿宋_GB2312" w:hAnsi="仿宋_GB2312" w:cs="仿宋_GB2312" w:hint="eastAsia"/>
                <w:kern w:val="2"/>
                <w:sz w:val="18"/>
                <w:szCs w:val="18"/>
                <w:lang w:val="en-US" w:eastAsia="zh-CN" w:bidi="ar-SA"/>
              </w:rPr>
              <w:t>1</w:t>
            </w:r>
          </w:p>
        </w:tc>
        <w:tc>
          <w:tcPr>
            <w:tcW w:w="720" w:type="dxa"/>
            <w:noWrap w:val="0"/>
            <w:vAlign w:val="top"/>
          </w:tcPr>
          <w:p>
            <w:pPr>
              <w:adjustRightInd w:val="0"/>
              <w:snapToGrid w:val="0"/>
              <w:spacing w:line="360" w:lineRule="auto"/>
              <w:jc w:val="center"/>
              <w:rPr>
                <w:rFonts w:ascii="仿宋_GB2312" w:eastAsia="仿宋_GB2312" w:hAnsi="仿宋_GB2312" w:cs="仿宋_GB2312" w:hint="eastAsia"/>
                <w:kern w:val="2"/>
                <w:sz w:val="18"/>
                <w:szCs w:val="18"/>
                <w:lang w:val="en-US" w:eastAsia="zh-CN" w:bidi="ar-SA"/>
              </w:rPr>
            </w:pPr>
          </w:p>
        </w:tc>
        <w:tc>
          <w:tcPr>
            <w:tcW w:w="681" w:type="dxa"/>
            <w:noWrap w:val="0"/>
            <w:vAlign w:val="center"/>
          </w:tcPr>
          <w:p>
            <w:pPr>
              <w:adjustRightInd w:val="0"/>
              <w:snapToGrid w:val="0"/>
              <w:spacing w:line="360" w:lineRule="auto"/>
              <w:jc w:val="center"/>
              <w:rPr>
                <w:rFonts w:ascii="仿宋_GB2312" w:eastAsia="仿宋_GB2312" w:hAnsi="仿宋_GB2312" w:cs="仿宋_GB2312" w:hint="eastAsia"/>
                <w:kern w:val="2"/>
                <w:sz w:val="18"/>
                <w:szCs w:val="18"/>
                <w:lang w:val="en-US" w:eastAsia="zh-CN" w:bidi="ar-SA"/>
              </w:rPr>
            </w:pPr>
            <w:r>
              <w:rPr>
                <w:rFonts w:ascii="仿宋_GB2312" w:eastAsia="仿宋_GB2312" w:hAnsi="仿宋_GB2312" w:cs="仿宋_GB2312" w:hint="eastAsia"/>
                <w:color w:val="000000"/>
                <w:sz w:val="18"/>
                <w:szCs w:val="18"/>
                <w:lang w:val="en-US" w:eastAsia="zh-CN"/>
              </w:rPr>
              <w:t>▲</w:t>
            </w:r>
          </w:p>
        </w:tc>
        <w:tc>
          <w:tcPr>
            <w:tcW w:w="770" w:type="dxa"/>
            <w:noWrap w:val="0"/>
            <w:vAlign w:val="center"/>
          </w:tcPr>
          <w:p>
            <w:pPr>
              <w:keepNext w:val="0"/>
              <w:keepLines w:val="0"/>
              <w:pageBreakBefore w:val="0"/>
              <w:widowControl w:val="0"/>
              <w:kinsoku/>
              <w:wordWrap/>
              <w:overflowPunct w:val="0"/>
              <w:topLinePunct w:val="0"/>
              <w:autoSpaceDE w:val="0"/>
              <w:autoSpaceDN w:val="0"/>
              <w:bidi w:val="0"/>
              <w:adjustRightInd w:val="0"/>
              <w:snapToGrid/>
              <w:spacing w:line="560" w:lineRule="exact"/>
              <w:textAlignment w:val="baseline"/>
              <w:rPr>
                <w:rFonts w:ascii="仿宋_GB2312" w:eastAsia="仿宋_GB2312" w:hAnsi="仿宋_GB2312" w:cs="仿宋_GB2312" w:hint="default"/>
                <w:kern w:val="2"/>
                <w:sz w:val="18"/>
                <w:szCs w:val="18"/>
                <w:lang w:val="en-US" w:eastAsia="zh-CN" w:bidi="ar-SA"/>
              </w:rPr>
            </w:pPr>
            <w:r>
              <w:rPr>
                <w:rFonts w:ascii="仿宋_GB2312" w:eastAsia="仿宋_GB2312" w:hAnsi="仿宋_GB2312" w:cs="仿宋_GB2312" w:hint="eastAsia"/>
                <w:kern w:val="2"/>
                <w:sz w:val="18"/>
                <w:szCs w:val="18"/>
                <w:lang w:val="en-US" w:eastAsia="zh-CN" w:bidi="ar-SA"/>
              </w:rPr>
              <w:t>3.1 日常性网络安全运维</w:t>
            </w:r>
          </w:p>
          <w:p>
            <w:pPr>
              <w:keepNext w:val="0"/>
              <w:keepLines w:val="0"/>
              <w:pageBreakBefore w:val="0"/>
              <w:widowControl w:val="0"/>
              <w:kinsoku/>
              <w:wordWrap/>
              <w:overflowPunct w:val="0"/>
              <w:topLinePunct w:val="0"/>
              <w:autoSpaceDE w:val="0"/>
              <w:autoSpaceDN w:val="0"/>
              <w:bidi w:val="0"/>
              <w:adjustRightInd w:val="0"/>
              <w:snapToGrid/>
              <w:spacing w:line="560" w:lineRule="exact"/>
              <w:ind w:firstLine="360" w:firstLineChars="200"/>
              <w:textAlignment w:val="baseline"/>
              <w:rPr>
                <w:rFonts w:ascii="仿宋_GB2312" w:eastAsia="仿宋_GB2312" w:hAnsi="仿宋_GB2312" w:cs="仿宋_GB2312" w:hint="eastAsia"/>
                <w:kern w:val="2"/>
                <w:sz w:val="18"/>
                <w:szCs w:val="18"/>
                <w:lang w:val="en-US" w:eastAsia="zh-CN" w:bidi="ar-SA"/>
              </w:rPr>
            </w:pPr>
          </w:p>
        </w:tc>
        <w:tc>
          <w:tcPr>
            <w:tcW w:w="4849" w:type="dxa"/>
            <w:noWrap w:val="0"/>
            <w:vAlign w:val="center"/>
          </w:tcPr>
          <w:p>
            <w:pPr>
              <w:keepNext w:val="0"/>
              <w:keepLines w:val="0"/>
              <w:pageBreakBefore w:val="0"/>
              <w:widowControl w:val="0"/>
              <w:kinsoku/>
              <w:wordWrap/>
              <w:overflowPunct w:val="0"/>
              <w:topLinePunct w:val="0"/>
              <w:autoSpaceDE w:val="0"/>
              <w:autoSpaceDN w:val="0"/>
              <w:bidi w:val="0"/>
              <w:adjustRightInd w:val="0"/>
              <w:snapToGrid/>
              <w:spacing w:line="560" w:lineRule="exact"/>
              <w:ind w:firstLine="360" w:firstLineChars="200"/>
              <w:textAlignment w:val="baseline"/>
              <w:rPr>
                <w:rFonts w:ascii="仿宋_GB2312" w:eastAsia="仿宋_GB2312" w:hAnsi="仿宋_GB2312" w:cs="仿宋_GB2312" w:hint="default"/>
                <w:kern w:val="2"/>
                <w:sz w:val="18"/>
                <w:szCs w:val="18"/>
                <w:lang w:val="en-US" w:eastAsia="zh-CN" w:bidi="ar-SA"/>
              </w:rPr>
            </w:pPr>
            <w:r>
              <w:rPr>
                <w:rFonts w:ascii="仿宋_GB2312" w:eastAsia="仿宋_GB2312" w:hAnsi="仿宋_GB2312" w:cs="仿宋_GB2312" w:hint="eastAsia"/>
                <w:kern w:val="2"/>
                <w:sz w:val="18"/>
                <w:szCs w:val="18"/>
                <w:lang w:val="en-US" w:eastAsia="zh-CN" w:bidi="ar-SA"/>
              </w:rPr>
              <w:t>负责吉林省税务局互联网区、业务专网区和横向联网区、金四云上等区域共计120余个应用系统，包含400余台物理机、2700余台虚拟化主机的网络安全漏洞管理工作，包含但不限于网络安全漏洞预警、扫描、交接、修复验证等工作。</w:t>
            </w:r>
          </w:p>
        </w:tc>
        <w:tc>
          <w:tcPr>
            <w:tcW w:w="935" w:type="dxa"/>
            <w:noWrap w:val="0"/>
            <w:vAlign w:val="top"/>
          </w:tcPr>
          <w:p>
            <w:pPr>
              <w:adjustRightInd w:val="0"/>
              <w:snapToGrid w:val="0"/>
              <w:spacing w:line="360" w:lineRule="auto"/>
              <w:jc w:val="center"/>
              <w:rPr>
                <w:rFonts w:ascii="仿宋_GB2312" w:eastAsia="仿宋_GB2312" w:hAnsi="仿宋_GB2312" w:cs="仿宋_GB2312" w:hint="eastAsia"/>
                <w:kern w:val="2"/>
                <w:sz w:val="18"/>
                <w:szCs w:val="18"/>
                <w:lang w:val="en-US" w:eastAsia="zh-CN" w:bidi="ar-SA"/>
              </w:rPr>
            </w:pPr>
          </w:p>
        </w:tc>
      </w:tr>
      <w:tr>
        <w:tblPrEx>
          <w:tblW w:w="8383" w:type="dxa"/>
          <w:jc w:val="center"/>
          <w:tblLayout w:type="fixed"/>
          <w:tblCellMar>
            <w:top w:w="0" w:type="dxa"/>
            <w:left w:w="108" w:type="dxa"/>
            <w:bottom w:w="0" w:type="dxa"/>
            <w:right w:w="108" w:type="dxa"/>
          </w:tblCellMar>
        </w:tblPrEx>
        <w:trPr>
          <w:trHeight w:hRule="exact" w:val="1865"/>
          <w:jc w:val="center"/>
        </w:trPr>
        <w:tc>
          <w:tcPr>
            <w:tcW w:w="428" w:type="dxa"/>
            <w:noWrap w:val="0"/>
            <w:vAlign w:val="top"/>
          </w:tcPr>
          <w:p>
            <w:pPr>
              <w:numPr>
                <w:ilvl w:val="0"/>
                <w:numId w:val="0"/>
              </w:numPr>
              <w:adjustRightInd w:val="0"/>
              <w:snapToGrid w:val="0"/>
              <w:spacing w:line="360" w:lineRule="auto"/>
              <w:ind w:leftChars="0"/>
              <w:jc w:val="both"/>
              <w:rPr>
                <w:rFonts w:ascii="仿宋_GB2312" w:eastAsia="仿宋_GB2312" w:hAnsi="仿宋_GB2312" w:cs="仿宋_GB2312" w:hint="default"/>
                <w:kern w:val="2"/>
                <w:sz w:val="18"/>
                <w:szCs w:val="18"/>
                <w:lang w:val="en-US" w:eastAsia="zh-CN" w:bidi="ar-SA"/>
              </w:rPr>
            </w:pPr>
            <w:r>
              <w:rPr>
                <w:rFonts w:ascii="仿宋_GB2312" w:eastAsia="仿宋_GB2312" w:hAnsi="仿宋_GB2312" w:cs="仿宋_GB2312" w:hint="eastAsia"/>
                <w:kern w:val="2"/>
                <w:sz w:val="18"/>
                <w:szCs w:val="18"/>
                <w:lang w:val="en-US" w:eastAsia="zh-CN" w:bidi="ar-SA"/>
              </w:rPr>
              <w:t>2</w:t>
            </w:r>
          </w:p>
        </w:tc>
        <w:tc>
          <w:tcPr>
            <w:tcW w:w="720" w:type="dxa"/>
            <w:vMerge w:val="restart"/>
            <w:noWrap w:val="0"/>
            <w:vAlign w:val="top"/>
          </w:tcPr>
          <w:p>
            <w:pPr>
              <w:pStyle w:val="Heading1"/>
              <w:keepNext w:val="0"/>
              <w:keepLines w:val="0"/>
              <w:pageBreakBefore w:val="0"/>
              <w:widowControl w:val="0"/>
              <w:numPr>
                <w:ilvl w:val="0"/>
                <w:numId w:val="0"/>
              </w:numPr>
              <w:kinsoku/>
              <w:wordWrap/>
              <w:overflowPunct w:val="0"/>
              <w:topLinePunct w:val="0"/>
              <w:autoSpaceDE w:val="0"/>
              <w:autoSpaceDN w:val="0"/>
              <w:bidi w:val="0"/>
              <w:adjustRightInd w:val="0"/>
              <w:snapToGrid/>
              <w:ind w:left="420" w:leftChars="200"/>
              <w:textAlignment w:val="baseline"/>
              <w:rPr>
                <w:rFonts w:ascii="黑体" w:eastAsia="黑体" w:hAnsi="黑体" w:cs="黑体" w:hint="eastAsia"/>
                <w:sz w:val="18"/>
                <w:szCs w:val="18"/>
                <w:lang w:val="en-US" w:eastAsia="zh-CN"/>
              </w:rPr>
            </w:pPr>
            <w:r>
              <w:rPr>
                <w:rFonts w:ascii="黑体" w:eastAsia="黑体" w:hAnsi="黑体" w:cs="黑体" w:hint="eastAsia"/>
                <w:sz w:val="18"/>
                <w:szCs w:val="18"/>
                <w:lang w:val="en-US" w:eastAsia="zh-CN"/>
              </w:rPr>
              <w:t>技术支持服务要求</w:t>
            </w:r>
          </w:p>
          <w:p>
            <w:pPr>
              <w:bidi w:val="0"/>
              <w:rPr>
                <w:rFonts w:ascii="仿宋_GB2312" w:eastAsia="仿宋_GB2312" w:hAnsi="仿宋_GB2312" w:cs="仿宋_GB2312" w:hint="default"/>
                <w:kern w:val="2"/>
                <w:sz w:val="18"/>
                <w:szCs w:val="18"/>
                <w:lang w:val="en-US" w:eastAsia="zh-CN" w:bidi="ar-SA"/>
              </w:rPr>
            </w:pPr>
            <w:r>
              <w:rPr>
                <w:rFonts w:ascii="宋体" w:eastAsia="宋体" w:hAnsi="宋体" w:cs="宋体" w:hint="eastAsia"/>
                <w:b w:val="0"/>
                <w:bCs w:val="0"/>
                <w:sz w:val="18"/>
                <w:szCs w:val="18"/>
                <w:lang w:val="en-US" w:eastAsia="zh-CN"/>
              </w:rPr>
              <w:t>国家税务总局吉林省税务局网络安全运维服务项目</w:t>
            </w:r>
          </w:p>
        </w:tc>
        <w:tc>
          <w:tcPr>
            <w:tcW w:w="681" w:type="dxa"/>
            <w:noWrap w:val="0"/>
            <w:vAlign w:val="center"/>
          </w:tcPr>
          <w:p>
            <w:pPr>
              <w:adjustRightInd w:val="0"/>
              <w:snapToGrid w:val="0"/>
              <w:spacing w:line="360" w:lineRule="auto"/>
              <w:jc w:val="center"/>
              <w:rPr>
                <w:rFonts w:ascii="仿宋_GB2312" w:eastAsia="仿宋_GB2312" w:hAnsi="仿宋_GB2312" w:cs="仿宋_GB2312" w:hint="eastAsia"/>
                <w:kern w:val="2"/>
                <w:sz w:val="18"/>
                <w:szCs w:val="18"/>
                <w:lang w:val="en-US" w:eastAsia="zh-CN" w:bidi="ar-SA"/>
              </w:rPr>
            </w:pPr>
            <w:r>
              <w:rPr>
                <w:rFonts w:ascii="仿宋_GB2312" w:eastAsia="仿宋_GB2312" w:hAnsi="仿宋_GB2312" w:cs="仿宋_GB2312" w:hint="eastAsia"/>
                <w:kern w:val="2"/>
                <w:sz w:val="18"/>
                <w:szCs w:val="18"/>
                <w:lang w:val="en-US" w:eastAsia="zh-CN" w:bidi="ar-SA"/>
              </w:rPr>
              <w:t>▲</w:t>
            </w:r>
          </w:p>
        </w:tc>
        <w:tc>
          <w:tcPr>
            <w:tcW w:w="770" w:type="dxa"/>
            <w:vMerge w:val="restart"/>
            <w:noWrap w:val="0"/>
            <w:vAlign w:val="center"/>
          </w:tcPr>
          <w:p>
            <w:pPr>
              <w:adjustRightInd w:val="0"/>
              <w:snapToGrid w:val="0"/>
              <w:spacing w:line="360" w:lineRule="auto"/>
              <w:jc w:val="center"/>
              <w:rPr>
                <w:rFonts w:ascii="仿宋_GB2312" w:eastAsia="仿宋_GB2312" w:hAnsi="仿宋_GB2312" w:cs="仿宋_GB2312" w:hint="eastAsia"/>
                <w:kern w:val="2"/>
                <w:sz w:val="18"/>
                <w:szCs w:val="18"/>
                <w:lang w:val="en-US" w:eastAsia="zh-CN" w:bidi="ar-SA"/>
              </w:rPr>
            </w:pPr>
            <w:r>
              <w:rPr>
                <w:rFonts w:ascii="仿宋_GB2312" w:eastAsia="仿宋_GB2312" w:hAnsi="仿宋_GB2312" w:cs="仿宋_GB2312" w:hint="eastAsia"/>
                <w:kern w:val="2"/>
                <w:sz w:val="18"/>
                <w:szCs w:val="18"/>
                <w:lang w:val="en-US" w:eastAsia="zh-CN" w:bidi="ar-SA"/>
              </w:rPr>
              <w:t>3.3.2 税务数字证书注册、发布系统</w:t>
            </w:r>
          </w:p>
          <w:p>
            <w:pPr>
              <w:adjustRightInd w:val="0"/>
              <w:snapToGrid w:val="0"/>
              <w:spacing w:line="360" w:lineRule="auto"/>
              <w:jc w:val="center"/>
              <w:rPr>
                <w:rFonts w:ascii="仿宋_GB2312" w:eastAsia="仿宋_GB2312" w:hAnsi="仿宋_GB2312" w:cs="仿宋_GB2312" w:hint="eastAsia"/>
                <w:kern w:val="2"/>
                <w:sz w:val="18"/>
                <w:szCs w:val="18"/>
                <w:lang w:val="en-US" w:eastAsia="zh-CN" w:bidi="ar-SA"/>
              </w:rPr>
            </w:pPr>
          </w:p>
          <w:p>
            <w:pPr>
              <w:adjustRightInd w:val="0"/>
              <w:snapToGrid w:val="0"/>
              <w:spacing w:line="360" w:lineRule="auto"/>
              <w:jc w:val="center"/>
              <w:rPr>
                <w:rFonts w:ascii="仿宋_GB2312" w:eastAsia="仿宋_GB2312" w:hAnsi="仿宋_GB2312" w:cs="仿宋_GB2312" w:hint="eastAsia"/>
                <w:kern w:val="2"/>
                <w:sz w:val="18"/>
                <w:szCs w:val="18"/>
                <w:lang w:val="en-US" w:eastAsia="zh-CN" w:bidi="ar-SA"/>
              </w:rPr>
            </w:pPr>
          </w:p>
        </w:tc>
        <w:tc>
          <w:tcPr>
            <w:tcW w:w="4849" w:type="dxa"/>
            <w:noWrap w:val="0"/>
            <w:vAlign w:val="center"/>
          </w:tcPr>
          <w:p>
            <w:pPr>
              <w:keepNext w:val="0"/>
              <w:keepLines w:val="0"/>
              <w:pageBreakBefore w:val="0"/>
              <w:widowControl w:val="0"/>
              <w:kinsoku/>
              <w:wordWrap/>
              <w:topLinePunct w:val="0"/>
              <w:bidi w:val="0"/>
              <w:snapToGrid/>
              <w:spacing w:line="360" w:lineRule="auto"/>
              <w:rPr>
                <w:rFonts w:ascii="仿宋_GB2312" w:eastAsia="仿宋_GB2312" w:hAnsi="仿宋_GB2312" w:cs="仿宋_GB2312" w:hint="eastAsia"/>
                <w:color w:val="000000"/>
                <w:sz w:val="18"/>
                <w:szCs w:val="18"/>
              </w:rPr>
            </w:pPr>
            <w:r>
              <w:rPr>
                <w:rFonts w:ascii="仿宋_GB2312" w:eastAsia="仿宋_GB2312" w:hAnsi="仿宋_GB2312" w:cs="仿宋_GB2312" w:hint="eastAsia"/>
                <w:color w:val="000000"/>
                <w:sz w:val="18"/>
                <w:szCs w:val="18"/>
              </w:rPr>
              <w:t>（1）</w:t>
            </w:r>
            <w:r>
              <w:rPr>
                <w:rFonts w:ascii="仿宋_GB2312" w:eastAsia="仿宋_GB2312" w:hAnsi="仿宋_GB2312" w:cs="仿宋_GB2312" w:hint="eastAsia"/>
                <w:color w:val="000000"/>
                <w:sz w:val="18"/>
                <w:szCs w:val="18"/>
                <w:lang w:val="en-US" w:eastAsia="zh-CN"/>
              </w:rPr>
              <w:t>负责</w:t>
            </w:r>
            <w:r>
              <w:rPr>
                <w:rFonts w:ascii="仿宋_GB2312" w:eastAsia="仿宋_GB2312" w:hAnsi="仿宋_GB2312" w:cs="仿宋_GB2312" w:hint="eastAsia"/>
                <w:color w:val="000000"/>
                <w:sz w:val="18"/>
                <w:szCs w:val="18"/>
              </w:rPr>
              <w:t>税务数字证书系统的运行支持保障，</w:t>
            </w:r>
            <w:r>
              <w:rPr>
                <w:rFonts w:ascii="仿宋_GB2312" w:eastAsia="仿宋_GB2312" w:hAnsi="仿宋_GB2312" w:cs="仿宋_GB2312" w:hint="eastAsia"/>
                <w:color w:val="000000"/>
                <w:sz w:val="18"/>
                <w:szCs w:val="18"/>
                <w:lang w:val="en-US" w:eastAsia="zh-CN"/>
              </w:rPr>
              <w:t>每天</w:t>
            </w:r>
            <w:r>
              <w:rPr>
                <w:rFonts w:ascii="仿宋_GB2312" w:eastAsia="仿宋_GB2312" w:hAnsi="仿宋_GB2312" w:cs="仿宋_GB2312" w:hint="eastAsia"/>
                <w:color w:val="000000"/>
                <w:sz w:val="18"/>
                <w:szCs w:val="18"/>
              </w:rPr>
              <w:t>对该项目所涉及的服务器、中间件应用以及业务应用软件平台等进行维护管理和操作，并按照后续业务优化情况，对系统</w:t>
            </w:r>
            <w:r>
              <w:rPr>
                <w:rFonts w:ascii="仿宋_GB2312" w:eastAsia="仿宋_GB2312" w:hAnsi="仿宋_GB2312" w:cs="仿宋_GB2312" w:hint="eastAsia"/>
                <w:color w:val="000000"/>
                <w:sz w:val="18"/>
                <w:szCs w:val="18"/>
                <w:lang w:val="en-US" w:eastAsia="zh-CN"/>
              </w:rPr>
              <w:t>官网</w:t>
            </w:r>
            <w:r>
              <w:rPr>
                <w:rFonts w:ascii="仿宋_GB2312" w:eastAsia="仿宋_GB2312" w:hAnsi="仿宋_GB2312" w:cs="仿宋_GB2312" w:hint="eastAsia"/>
                <w:color w:val="000000"/>
                <w:sz w:val="18"/>
                <w:szCs w:val="18"/>
              </w:rPr>
              <w:t>进行</w:t>
            </w:r>
            <w:r>
              <w:rPr>
                <w:rFonts w:ascii="仿宋_GB2312" w:eastAsia="仿宋_GB2312" w:hAnsi="仿宋_GB2312" w:cs="仿宋_GB2312" w:hint="eastAsia"/>
                <w:color w:val="000000"/>
                <w:sz w:val="18"/>
                <w:szCs w:val="18"/>
                <w:lang w:val="en-US" w:eastAsia="zh-CN"/>
              </w:rPr>
              <w:t>更新内容查看，及时进行</w:t>
            </w:r>
            <w:r>
              <w:rPr>
                <w:rFonts w:ascii="仿宋_GB2312" w:eastAsia="仿宋_GB2312" w:hAnsi="仿宋_GB2312" w:cs="仿宋_GB2312" w:hint="eastAsia"/>
                <w:color w:val="000000"/>
                <w:sz w:val="18"/>
                <w:szCs w:val="18"/>
              </w:rPr>
              <w:t>功能升级。</w:t>
            </w:r>
          </w:p>
          <w:p>
            <w:pPr>
              <w:adjustRightInd w:val="0"/>
              <w:snapToGrid w:val="0"/>
              <w:spacing w:line="360" w:lineRule="auto"/>
              <w:jc w:val="left"/>
              <w:rPr>
                <w:rFonts w:ascii="仿宋_GB2312" w:eastAsia="仿宋_GB2312" w:hAnsi="仿宋_GB2312" w:cs="仿宋_GB2312" w:hint="eastAsia"/>
                <w:color w:val="0000FF"/>
                <w:kern w:val="2"/>
                <w:sz w:val="18"/>
                <w:szCs w:val="18"/>
                <w:lang w:val="en-US" w:eastAsia="zh-CN" w:bidi="ar-SA"/>
              </w:rPr>
            </w:pPr>
          </w:p>
        </w:tc>
        <w:tc>
          <w:tcPr>
            <w:tcW w:w="935" w:type="dxa"/>
            <w:noWrap w:val="0"/>
            <w:vAlign w:val="center"/>
          </w:tcPr>
          <w:p>
            <w:pPr>
              <w:adjustRightInd w:val="0"/>
              <w:snapToGrid w:val="0"/>
              <w:spacing w:line="360" w:lineRule="auto"/>
              <w:jc w:val="center"/>
              <w:rPr>
                <w:rFonts w:ascii="仿宋_GB2312" w:eastAsia="仿宋_GB2312" w:hAnsi="仿宋_GB2312" w:cs="仿宋_GB2312" w:hint="eastAsia"/>
                <w:kern w:val="2"/>
                <w:sz w:val="18"/>
                <w:szCs w:val="18"/>
                <w:lang w:val="en-US" w:eastAsia="zh-CN" w:bidi="ar-SA"/>
              </w:rPr>
            </w:pPr>
          </w:p>
        </w:tc>
      </w:tr>
      <w:tr>
        <w:tblPrEx>
          <w:tblW w:w="8383" w:type="dxa"/>
          <w:jc w:val="center"/>
          <w:tblLayout w:type="fixed"/>
          <w:tblCellMar>
            <w:top w:w="0" w:type="dxa"/>
            <w:left w:w="108" w:type="dxa"/>
            <w:bottom w:w="0" w:type="dxa"/>
            <w:right w:w="108" w:type="dxa"/>
          </w:tblCellMar>
        </w:tblPrEx>
        <w:trPr>
          <w:trHeight w:hRule="exact" w:val="1319"/>
          <w:jc w:val="center"/>
        </w:trPr>
        <w:tc>
          <w:tcPr>
            <w:tcW w:w="428" w:type="dxa"/>
            <w:noWrap w:val="0"/>
            <w:vAlign w:val="top"/>
          </w:tcPr>
          <w:p>
            <w:pPr>
              <w:numPr>
                <w:ilvl w:val="0"/>
                <w:numId w:val="0"/>
              </w:numPr>
              <w:adjustRightInd w:val="0"/>
              <w:snapToGrid w:val="0"/>
              <w:spacing w:line="360" w:lineRule="auto"/>
              <w:ind w:leftChars="0"/>
              <w:jc w:val="both"/>
              <w:rPr>
                <w:rFonts w:ascii="仿宋_GB2312" w:eastAsia="仿宋_GB2312" w:hAnsi="仿宋_GB2312" w:cs="仿宋_GB2312" w:hint="default"/>
                <w:kern w:val="2"/>
                <w:sz w:val="18"/>
                <w:szCs w:val="18"/>
                <w:lang w:val="en-US" w:eastAsia="zh-CN" w:bidi="ar-SA"/>
              </w:rPr>
            </w:pPr>
            <w:r>
              <w:rPr>
                <w:rFonts w:ascii="仿宋_GB2312" w:eastAsia="仿宋_GB2312" w:hAnsi="仿宋_GB2312" w:cs="仿宋_GB2312" w:hint="eastAsia"/>
                <w:kern w:val="2"/>
                <w:sz w:val="18"/>
                <w:szCs w:val="18"/>
                <w:lang w:val="en-US" w:eastAsia="zh-CN" w:bidi="ar-SA"/>
              </w:rPr>
              <w:t>3</w:t>
            </w:r>
          </w:p>
        </w:tc>
        <w:tc>
          <w:tcPr>
            <w:tcW w:w="720" w:type="dxa"/>
            <w:vMerge/>
            <w:noWrap w:val="0"/>
            <w:vAlign w:val="top"/>
          </w:tcPr>
          <w:p>
            <w:pPr>
              <w:adjustRightInd w:val="0"/>
              <w:snapToGrid w:val="0"/>
              <w:spacing w:line="360" w:lineRule="auto"/>
              <w:jc w:val="center"/>
              <w:rPr>
                <w:rFonts w:ascii="仿宋_GB2312" w:eastAsia="仿宋_GB2312" w:hAnsi="仿宋_GB2312" w:cs="仿宋_GB2312" w:hint="eastAsia"/>
                <w:kern w:val="2"/>
                <w:sz w:val="18"/>
                <w:szCs w:val="18"/>
                <w:lang w:val="en-US" w:eastAsia="zh-CN" w:bidi="ar-SA"/>
              </w:rPr>
            </w:pPr>
          </w:p>
        </w:tc>
        <w:tc>
          <w:tcPr>
            <w:tcW w:w="681" w:type="dxa"/>
            <w:noWrap w:val="0"/>
            <w:vAlign w:val="center"/>
          </w:tcPr>
          <w:p>
            <w:pPr>
              <w:adjustRightInd w:val="0"/>
              <w:snapToGrid w:val="0"/>
              <w:spacing w:line="360" w:lineRule="auto"/>
              <w:jc w:val="center"/>
              <w:rPr>
                <w:rFonts w:ascii="仿宋_GB2312" w:eastAsia="仿宋_GB2312" w:hAnsi="仿宋_GB2312" w:cs="仿宋_GB2312" w:hint="eastAsia"/>
                <w:kern w:val="2"/>
                <w:sz w:val="18"/>
                <w:szCs w:val="18"/>
                <w:lang w:val="en-US" w:eastAsia="zh-CN" w:bidi="ar-SA"/>
              </w:rPr>
            </w:pPr>
            <w:r>
              <w:rPr>
                <w:rFonts w:ascii="仿宋_GB2312" w:eastAsia="仿宋_GB2312" w:hAnsi="仿宋_GB2312" w:cs="仿宋_GB2312" w:hint="eastAsia"/>
                <w:kern w:val="2"/>
                <w:sz w:val="18"/>
                <w:szCs w:val="18"/>
                <w:lang w:val="en-US" w:eastAsia="zh-CN" w:bidi="ar-SA"/>
              </w:rPr>
              <w:t>▲</w:t>
            </w:r>
          </w:p>
        </w:tc>
        <w:tc>
          <w:tcPr>
            <w:tcW w:w="770" w:type="dxa"/>
            <w:vMerge/>
            <w:noWrap w:val="0"/>
            <w:vAlign w:val="center"/>
          </w:tcPr>
          <w:p>
            <w:pPr>
              <w:adjustRightInd w:val="0"/>
              <w:snapToGrid w:val="0"/>
              <w:spacing w:line="360" w:lineRule="auto"/>
              <w:jc w:val="center"/>
              <w:rPr>
                <w:rFonts w:ascii="仿宋_GB2312" w:eastAsia="仿宋_GB2312" w:hAnsi="仿宋_GB2312" w:cs="仿宋_GB2312" w:hint="eastAsia"/>
                <w:kern w:val="2"/>
                <w:sz w:val="18"/>
                <w:szCs w:val="18"/>
                <w:lang w:val="en-US" w:eastAsia="zh-CN" w:bidi="ar-SA"/>
              </w:rPr>
            </w:pPr>
          </w:p>
        </w:tc>
        <w:tc>
          <w:tcPr>
            <w:tcW w:w="4849" w:type="dxa"/>
            <w:noWrap w:val="0"/>
            <w:vAlign w:val="center"/>
          </w:tcPr>
          <w:p>
            <w:pPr>
              <w:adjustRightInd w:val="0"/>
              <w:snapToGrid w:val="0"/>
              <w:spacing w:line="360" w:lineRule="auto"/>
              <w:jc w:val="left"/>
              <w:rPr>
                <w:rFonts w:ascii="仿宋_GB2312" w:eastAsia="仿宋_GB2312" w:hAnsi="仿宋_GB2312" w:cs="仿宋_GB2312" w:hint="eastAsia"/>
                <w:color w:val="0000FF"/>
                <w:kern w:val="2"/>
                <w:sz w:val="18"/>
                <w:szCs w:val="18"/>
                <w:lang w:val="en-US" w:eastAsia="zh-CN" w:bidi="ar-SA"/>
              </w:rPr>
            </w:pPr>
            <w:r>
              <w:rPr>
                <w:rFonts w:ascii="仿宋_GB2312" w:eastAsia="仿宋_GB2312" w:hAnsi="仿宋_GB2312" w:cs="仿宋_GB2312" w:hint="eastAsia"/>
                <w:color w:val="000000"/>
                <w:sz w:val="18"/>
                <w:szCs w:val="18"/>
                <w:lang w:val="en-US" w:eastAsia="zh-CN"/>
              </w:rPr>
              <w:t>（2）故障定位和问题处理。每天查看、检查网络连接的问题，如防火墙策略限制、网络通畅性、操作系统版本环境兼容性、计算机USB接口或证书介质硬件可使用性、证书有效性等问题；</w:t>
            </w:r>
          </w:p>
        </w:tc>
        <w:tc>
          <w:tcPr>
            <w:tcW w:w="935" w:type="dxa"/>
            <w:noWrap w:val="0"/>
            <w:vAlign w:val="center"/>
          </w:tcPr>
          <w:p>
            <w:pPr>
              <w:adjustRightInd w:val="0"/>
              <w:snapToGrid w:val="0"/>
              <w:spacing w:line="360" w:lineRule="auto"/>
              <w:jc w:val="center"/>
              <w:rPr>
                <w:rFonts w:ascii="仿宋_GB2312" w:eastAsia="仿宋_GB2312" w:hAnsi="仿宋_GB2312" w:cs="仿宋_GB2312" w:hint="eastAsia"/>
                <w:kern w:val="2"/>
                <w:sz w:val="18"/>
                <w:szCs w:val="18"/>
                <w:lang w:val="en-US" w:eastAsia="zh-CN" w:bidi="ar-SA"/>
              </w:rPr>
            </w:pPr>
          </w:p>
        </w:tc>
      </w:tr>
      <w:tr>
        <w:tblPrEx>
          <w:tblW w:w="8383" w:type="dxa"/>
          <w:jc w:val="center"/>
          <w:tblLayout w:type="fixed"/>
          <w:tblCellMar>
            <w:top w:w="0" w:type="dxa"/>
            <w:left w:w="108" w:type="dxa"/>
            <w:bottom w:w="0" w:type="dxa"/>
            <w:right w:w="108" w:type="dxa"/>
          </w:tblCellMar>
        </w:tblPrEx>
        <w:trPr>
          <w:trHeight w:hRule="exact" w:val="793"/>
          <w:jc w:val="center"/>
        </w:trPr>
        <w:tc>
          <w:tcPr>
            <w:tcW w:w="428" w:type="dxa"/>
            <w:noWrap w:val="0"/>
            <w:vAlign w:val="top"/>
          </w:tcPr>
          <w:p>
            <w:pPr>
              <w:numPr>
                <w:ilvl w:val="0"/>
                <w:numId w:val="0"/>
              </w:numPr>
              <w:adjustRightInd w:val="0"/>
              <w:snapToGrid w:val="0"/>
              <w:spacing w:line="360" w:lineRule="auto"/>
              <w:ind w:leftChars="0"/>
              <w:jc w:val="both"/>
              <w:rPr>
                <w:rFonts w:ascii="仿宋_GB2312" w:eastAsia="仿宋_GB2312" w:hAnsi="仿宋_GB2312" w:cs="仿宋_GB2312" w:hint="eastAsia"/>
                <w:kern w:val="2"/>
                <w:sz w:val="18"/>
                <w:szCs w:val="18"/>
                <w:lang w:val="en-US" w:eastAsia="zh-CN" w:bidi="ar-SA"/>
              </w:rPr>
            </w:pPr>
            <w:r>
              <w:rPr>
                <w:rFonts w:ascii="仿宋_GB2312" w:eastAsia="仿宋_GB2312" w:hAnsi="仿宋_GB2312" w:cs="仿宋_GB2312" w:hint="eastAsia"/>
                <w:kern w:val="2"/>
                <w:sz w:val="18"/>
                <w:szCs w:val="18"/>
                <w:lang w:val="en-US" w:eastAsia="zh-CN" w:bidi="ar-SA"/>
              </w:rPr>
              <w:t>4</w:t>
            </w:r>
          </w:p>
        </w:tc>
        <w:tc>
          <w:tcPr>
            <w:tcW w:w="720" w:type="dxa"/>
            <w:vMerge/>
            <w:noWrap w:val="0"/>
            <w:vAlign w:val="top"/>
          </w:tcPr>
          <w:p>
            <w:pPr>
              <w:adjustRightInd w:val="0"/>
              <w:snapToGrid w:val="0"/>
              <w:spacing w:line="360" w:lineRule="auto"/>
              <w:jc w:val="center"/>
              <w:rPr>
                <w:rFonts w:ascii="仿宋_GB2312" w:eastAsia="仿宋_GB2312" w:hAnsi="仿宋_GB2312" w:cs="仿宋_GB2312" w:hint="eastAsia"/>
                <w:kern w:val="2"/>
                <w:sz w:val="18"/>
                <w:szCs w:val="18"/>
                <w:lang w:val="en-US" w:eastAsia="zh-CN" w:bidi="ar-SA"/>
              </w:rPr>
            </w:pPr>
          </w:p>
        </w:tc>
        <w:tc>
          <w:tcPr>
            <w:tcW w:w="681" w:type="dxa"/>
            <w:noWrap w:val="0"/>
            <w:vAlign w:val="center"/>
          </w:tcPr>
          <w:p>
            <w:pPr>
              <w:adjustRightInd w:val="0"/>
              <w:snapToGrid w:val="0"/>
              <w:spacing w:line="360" w:lineRule="auto"/>
              <w:jc w:val="center"/>
              <w:rPr>
                <w:rFonts w:ascii="仿宋_GB2312" w:eastAsia="仿宋_GB2312" w:hAnsi="仿宋_GB2312" w:cs="仿宋_GB2312" w:hint="eastAsia"/>
                <w:kern w:val="2"/>
                <w:sz w:val="18"/>
                <w:szCs w:val="18"/>
                <w:lang w:val="en-US" w:eastAsia="zh-CN" w:bidi="ar-SA"/>
              </w:rPr>
            </w:pPr>
            <w:r>
              <w:rPr>
                <w:rFonts w:ascii="仿宋_GB2312" w:eastAsia="仿宋_GB2312" w:hAnsi="仿宋_GB2312" w:cs="仿宋_GB2312" w:hint="eastAsia"/>
                <w:kern w:val="2"/>
                <w:sz w:val="18"/>
                <w:szCs w:val="18"/>
                <w:lang w:val="en-US" w:eastAsia="zh-CN" w:bidi="ar-SA"/>
              </w:rPr>
              <w:t>▲</w:t>
            </w:r>
          </w:p>
        </w:tc>
        <w:tc>
          <w:tcPr>
            <w:tcW w:w="770" w:type="dxa"/>
            <w:vMerge w:val="restart"/>
            <w:noWrap w:val="0"/>
            <w:vAlign w:val="center"/>
          </w:tcPr>
          <w:p>
            <w:pPr>
              <w:adjustRightInd w:val="0"/>
              <w:snapToGrid w:val="0"/>
              <w:spacing w:line="360" w:lineRule="auto"/>
              <w:jc w:val="center"/>
              <w:rPr>
                <w:rFonts w:ascii="仿宋_GB2312" w:eastAsia="仿宋_GB2312" w:hAnsi="仿宋_GB2312" w:cs="仿宋_GB2312" w:hint="eastAsia"/>
                <w:kern w:val="2"/>
                <w:sz w:val="18"/>
                <w:szCs w:val="18"/>
                <w:lang w:val="en-US" w:eastAsia="zh-CN" w:bidi="ar-SA"/>
              </w:rPr>
            </w:pPr>
            <w:r>
              <w:rPr>
                <w:rFonts w:ascii="仿宋_GB2312" w:eastAsia="仿宋_GB2312" w:hAnsi="仿宋_GB2312" w:cs="仿宋_GB2312" w:hint="eastAsia"/>
                <w:kern w:val="2"/>
                <w:sz w:val="18"/>
                <w:szCs w:val="18"/>
                <w:lang w:val="en-US" w:eastAsia="zh-CN" w:bidi="ar-SA"/>
              </w:rPr>
              <w:t>3.3.4 税务网络安全态势感知平台</w:t>
            </w:r>
          </w:p>
        </w:tc>
        <w:tc>
          <w:tcPr>
            <w:tcW w:w="4849" w:type="dxa"/>
            <w:noWrap w:val="0"/>
            <w:vAlign w:val="center"/>
          </w:tcPr>
          <w:p>
            <w:pPr>
              <w:adjustRightInd w:val="0"/>
              <w:snapToGrid w:val="0"/>
              <w:spacing w:line="360" w:lineRule="auto"/>
              <w:jc w:val="left"/>
              <w:rPr>
                <w:rFonts w:ascii="仿宋_GB2312" w:eastAsia="仿宋_GB2312" w:hAnsi="仿宋_GB2312" w:cs="仿宋_GB2312" w:hint="eastAsia"/>
                <w:kern w:val="2"/>
                <w:sz w:val="18"/>
                <w:szCs w:val="18"/>
                <w:lang w:val="en-US" w:eastAsia="zh-CN" w:bidi="ar-SA"/>
              </w:rPr>
            </w:pPr>
            <w:r>
              <w:rPr>
                <w:rFonts w:ascii="仿宋_GB2312" w:eastAsia="仿宋_GB2312" w:hAnsi="仿宋_GB2312" w:cs="仿宋_GB2312" w:hint="eastAsia"/>
                <w:kern w:val="2"/>
                <w:sz w:val="18"/>
                <w:szCs w:val="18"/>
                <w:lang w:val="en-US" w:eastAsia="zh-CN" w:bidi="ar-SA"/>
              </w:rPr>
              <w:t>（2）每天维护态势感知平台资产信息。根据实际动态调整更新资产信息，确保平台始终拥有全面准确的基础库信息。</w:t>
            </w:r>
          </w:p>
        </w:tc>
        <w:tc>
          <w:tcPr>
            <w:tcW w:w="935" w:type="dxa"/>
            <w:noWrap w:val="0"/>
            <w:vAlign w:val="center"/>
          </w:tcPr>
          <w:p>
            <w:pPr>
              <w:adjustRightInd w:val="0"/>
              <w:snapToGrid w:val="0"/>
              <w:spacing w:line="360" w:lineRule="auto"/>
              <w:jc w:val="center"/>
              <w:rPr>
                <w:rFonts w:ascii="仿宋_GB2312" w:eastAsia="仿宋_GB2312" w:hAnsi="仿宋_GB2312" w:cs="仿宋_GB2312" w:hint="eastAsia"/>
                <w:kern w:val="2"/>
                <w:sz w:val="18"/>
                <w:szCs w:val="18"/>
                <w:lang w:val="en-US" w:eastAsia="zh-CN" w:bidi="ar-SA"/>
              </w:rPr>
            </w:pPr>
          </w:p>
        </w:tc>
      </w:tr>
      <w:tr>
        <w:tblPrEx>
          <w:tblW w:w="8383" w:type="dxa"/>
          <w:jc w:val="center"/>
          <w:tblLayout w:type="fixed"/>
          <w:tblCellMar>
            <w:top w:w="0" w:type="dxa"/>
            <w:left w:w="108" w:type="dxa"/>
            <w:bottom w:w="0" w:type="dxa"/>
            <w:right w:w="108" w:type="dxa"/>
          </w:tblCellMar>
        </w:tblPrEx>
        <w:trPr>
          <w:trHeight w:hRule="exact" w:val="1152"/>
          <w:jc w:val="center"/>
        </w:trPr>
        <w:tc>
          <w:tcPr>
            <w:tcW w:w="428" w:type="dxa"/>
            <w:noWrap w:val="0"/>
            <w:vAlign w:val="top"/>
          </w:tcPr>
          <w:p>
            <w:pPr>
              <w:numPr>
                <w:ilvl w:val="0"/>
                <w:numId w:val="0"/>
              </w:numPr>
              <w:adjustRightInd w:val="0"/>
              <w:snapToGrid w:val="0"/>
              <w:spacing w:line="360" w:lineRule="auto"/>
              <w:ind w:leftChars="0"/>
              <w:jc w:val="both"/>
              <w:rPr>
                <w:rFonts w:ascii="仿宋_GB2312" w:eastAsia="仿宋_GB2312" w:hAnsi="仿宋_GB2312" w:cs="仿宋_GB2312" w:hint="eastAsia"/>
                <w:kern w:val="2"/>
                <w:sz w:val="18"/>
                <w:szCs w:val="18"/>
                <w:lang w:val="en-US" w:eastAsia="zh-CN" w:bidi="ar-SA"/>
              </w:rPr>
            </w:pPr>
            <w:r>
              <w:rPr>
                <w:rFonts w:ascii="仿宋_GB2312" w:eastAsia="仿宋_GB2312" w:hAnsi="仿宋_GB2312" w:cs="仿宋_GB2312" w:hint="eastAsia"/>
                <w:kern w:val="2"/>
                <w:sz w:val="18"/>
                <w:szCs w:val="18"/>
                <w:lang w:val="en-US" w:eastAsia="zh-CN" w:bidi="ar-SA"/>
              </w:rPr>
              <w:t>5</w:t>
            </w:r>
          </w:p>
        </w:tc>
        <w:tc>
          <w:tcPr>
            <w:tcW w:w="720" w:type="dxa"/>
            <w:vMerge/>
            <w:noWrap w:val="0"/>
            <w:vAlign w:val="top"/>
          </w:tcPr>
          <w:p>
            <w:pPr>
              <w:adjustRightInd w:val="0"/>
              <w:snapToGrid w:val="0"/>
              <w:spacing w:line="360" w:lineRule="auto"/>
              <w:jc w:val="center"/>
              <w:rPr>
                <w:rFonts w:ascii="仿宋_GB2312" w:eastAsia="仿宋_GB2312" w:hAnsi="仿宋_GB2312" w:cs="仿宋_GB2312" w:hint="eastAsia"/>
                <w:kern w:val="2"/>
                <w:sz w:val="18"/>
                <w:szCs w:val="18"/>
                <w:lang w:val="en-US" w:eastAsia="zh-CN" w:bidi="ar-SA"/>
              </w:rPr>
            </w:pPr>
          </w:p>
        </w:tc>
        <w:tc>
          <w:tcPr>
            <w:tcW w:w="681" w:type="dxa"/>
            <w:noWrap w:val="0"/>
            <w:vAlign w:val="center"/>
          </w:tcPr>
          <w:p>
            <w:pPr>
              <w:adjustRightInd w:val="0"/>
              <w:snapToGrid w:val="0"/>
              <w:spacing w:line="360" w:lineRule="auto"/>
              <w:jc w:val="center"/>
              <w:rPr>
                <w:rFonts w:ascii="仿宋_GB2312" w:eastAsia="仿宋_GB2312" w:hAnsi="仿宋_GB2312" w:cs="仿宋_GB2312" w:hint="eastAsia"/>
                <w:kern w:val="2"/>
                <w:sz w:val="18"/>
                <w:szCs w:val="18"/>
                <w:lang w:val="en-US" w:eastAsia="zh-CN" w:bidi="ar-SA"/>
              </w:rPr>
            </w:pPr>
            <w:r>
              <w:rPr>
                <w:rFonts w:ascii="仿宋_GB2312" w:eastAsia="仿宋_GB2312" w:hAnsi="仿宋_GB2312" w:cs="仿宋_GB2312" w:hint="eastAsia"/>
                <w:kern w:val="2"/>
                <w:sz w:val="18"/>
                <w:szCs w:val="18"/>
                <w:lang w:val="en-US" w:eastAsia="zh-CN" w:bidi="ar-SA"/>
              </w:rPr>
              <w:t>▲</w:t>
            </w:r>
          </w:p>
        </w:tc>
        <w:tc>
          <w:tcPr>
            <w:tcW w:w="770" w:type="dxa"/>
            <w:vMerge/>
            <w:noWrap w:val="0"/>
            <w:vAlign w:val="center"/>
          </w:tcPr>
          <w:p>
            <w:pPr>
              <w:adjustRightInd w:val="0"/>
              <w:snapToGrid w:val="0"/>
              <w:spacing w:line="360" w:lineRule="auto"/>
              <w:jc w:val="center"/>
              <w:rPr>
                <w:rFonts w:ascii="仿宋_GB2312" w:eastAsia="仿宋_GB2312" w:hAnsi="仿宋_GB2312" w:cs="仿宋_GB2312" w:hint="eastAsia"/>
                <w:kern w:val="2"/>
                <w:sz w:val="18"/>
                <w:szCs w:val="18"/>
                <w:lang w:val="en-US" w:eastAsia="zh-CN" w:bidi="ar-SA"/>
              </w:rPr>
            </w:pPr>
          </w:p>
        </w:tc>
        <w:tc>
          <w:tcPr>
            <w:tcW w:w="4849" w:type="dxa"/>
            <w:noWrap w:val="0"/>
            <w:vAlign w:val="center"/>
          </w:tcPr>
          <w:p>
            <w:pPr>
              <w:adjustRightInd w:val="0"/>
              <w:snapToGrid w:val="0"/>
              <w:spacing w:line="360" w:lineRule="auto"/>
              <w:jc w:val="left"/>
              <w:rPr>
                <w:rFonts w:ascii="仿宋_GB2312" w:eastAsia="仿宋_GB2312" w:hAnsi="仿宋_GB2312" w:cs="仿宋_GB2312" w:hint="eastAsia"/>
                <w:kern w:val="2"/>
                <w:sz w:val="18"/>
                <w:szCs w:val="18"/>
                <w:lang w:val="en-US" w:eastAsia="zh-CN" w:bidi="ar-SA"/>
              </w:rPr>
            </w:pPr>
            <w:r>
              <w:rPr>
                <w:rFonts w:ascii="仿宋_GB2312" w:eastAsia="仿宋_GB2312" w:hAnsi="仿宋_GB2312" w:cs="仿宋_GB2312" w:hint="eastAsia"/>
                <w:color w:val="000000"/>
                <w:kern w:val="2"/>
                <w:sz w:val="18"/>
                <w:szCs w:val="18"/>
                <w:lang w:val="en-US" w:eastAsia="zh-CN" w:bidi="ar-SA"/>
              </w:rPr>
              <w:t>（5）根据采购人要求时限内进行补丁升级，准备并执行升级计划，以保证关键数据完整性。升级后对系统各功能异常情况排查，确保系统稳定运行。</w:t>
            </w:r>
          </w:p>
        </w:tc>
        <w:tc>
          <w:tcPr>
            <w:tcW w:w="935" w:type="dxa"/>
            <w:noWrap w:val="0"/>
            <w:vAlign w:val="center"/>
          </w:tcPr>
          <w:p>
            <w:pPr>
              <w:adjustRightInd w:val="0"/>
              <w:snapToGrid w:val="0"/>
              <w:spacing w:line="360" w:lineRule="auto"/>
              <w:jc w:val="center"/>
              <w:rPr>
                <w:rFonts w:ascii="仿宋_GB2312" w:eastAsia="仿宋_GB2312" w:hAnsi="仿宋_GB2312" w:cs="仿宋_GB2312" w:hint="eastAsia"/>
                <w:kern w:val="2"/>
                <w:sz w:val="18"/>
                <w:szCs w:val="18"/>
                <w:lang w:val="en-US" w:eastAsia="zh-CN" w:bidi="ar-SA"/>
              </w:rPr>
            </w:pPr>
          </w:p>
        </w:tc>
      </w:tr>
      <w:tr>
        <w:tblPrEx>
          <w:tblW w:w="8383" w:type="dxa"/>
          <w:jc w:val="center"/>
          <w:tblLayout w:type="fixed"/>
          <w:tblCellMar>
            <w:top w:w="0" w:type="dxa"/>
            <w:left w:w="108" w:type="dxa"/>
            <w:bottom w:w="0" w:type="dxa"/>
            <w:right w:w="108" w:type="dxa"/>
          </w:tblCellMar>
        </w:tblPrEx>
        <w:trPr>
          <w:trHeight w:hRule="exact" w:val="1636"/>
          <w:jc w:val="center"/>
        </w:trPr>
        <w:tc>
          <w:tcPr>
            <w:tcW w:w="428" w:type="dxa"/>
            <w:noWrap w:val="0"/>
            <w:vAlign w:val="top"/>
          </w:tcPr>
          <w:p>
            <w:pPr>
              <w:numPr>
                <w:ilvl w:val="0"/>
                <w:numId w:val="0"/>
              </w:numPr>
              <w:adjustRightInd w:val="0"/>
              <w:snapToGrid w:val="0"/>
              <w:spacing w:line="360" w:lineRule="auto"/>
              <w:ind w:leftChars="0"/>
              <w:jc w:val="both"/>
              <w:rPr>
                <w:rFonts w:ascii="仿宋_GB2312" w:eastAsia="仿宋_GB2312" w:hAnsi="仿宋_GB2312" w:cs="仿宋_GB2312" w:hint="eastAsia"/>
                <w:kern w:val="2"/>
                <w:sz w:val="18"/>
                <w:szCs w:val="18"/>
                <w:lang w:val="en-US" w:eastAsia="zh-CN" w:bidi="ar-SA"/>
              </w:rPr>
            </w:pPr>
            <w:r>
              <w:rPr>
                <w:rFonts w:ascii="仿宋_GB2312" w:eastAsia="仿宋_GB2312" w:hAnsi="仿宋_GB2312" w:cs="仿宋_GB2312" w:hint="eastAsia"/>
                <w:kern w:val="2"/>
                <w:sz w:val="18"/>
                <w:szCs w:val="18"/>
                <w:lang w:val="en-US" w:eastAsia="zh-CN" w:bidi="ar-SA"/>
              </w:rPr>
              <w:t>6</w:t>
            </w:r>
          </w:p>
        </w:tc>
        <w:tc>
          <w:tcPr>
            <w:tcW w:w="720" w:type="dxa"/>
            <w:vMerge/>
            <w:noWrap w:val="0"/>
            <w:vAlign w:val="top"/>
          </w:tcPr>
          <w:p>
            <w:pPr>
              <w:adjustRightInd w:val="0"/>
              <w:snapToGrid w:val="0"/>
              <w:spacing w:line="360" w:lineRule="auto"/>
              <w:jc w:val="center"/>
              <w:rPr>
                <w:rFonts w:ascii="仿宋_GB2312" w:eastAsia="仿宋_GB2312" w:hAnsi="仿宋_GB2312" w:cs="仿宋_GB2312" w:hint="eastAsia"/>
                <w:kern w:val="2"/>
                <w:sz w:val="18"/>
                <w:szCs w:val="18"/>
                <w:lang w:val="en-US" w:eastAsia="zh-CN" w:bidi="ar-SA"/>
              </w:rPr>
            </w:pPr>
          </w:p>
        </w:tc>
        <w:tc>
          <w:tcPr>
            <w:tcW w:w="681" w:type="dxa"/>
            <w:noWrap w:val="0"/>
            <w:vAlign w:val="center"/>
          </w:tcPr>
          <w:p>
            <w:pPr>
              <w:adjustRightInd w:val="0"/>
              <w:snapToGrid w:val="0"/>
              <w:spacing w:line="360" w:lineRule="auto"/>
              <w:jc w:val="center"/>
              <w:rPr>
                <w:rFonts w:ascii="仿宋_GB2312" w:eastAsia="仿宋_GB2312" w:hAnsi="仿宋_GB2312" w:cs="仿宋_GB2312" w:hint="eastAsia"/>
                <w:kern w:val="2"/>
                <w:sz w:val="18"/>
                <w:szCs w:val="18"/>
                <w:lang w:val="en-US" w:eastAsia="zh-CN" w:bidi="ar-SA"/>
              </w:rPr>
            </w:pPr>
            <w:r>
              <w:rPr>
                <w:rFonts w:ascii="仿宋_GB2312" w:eastAsia="仿宋_GB2312" w:hAnsi="仿宋_GB2312" w:cs="仿宋_GB2312" w:hint="eastAsia"/>
                <w:kern w:val="2"/>
                <w:sz w:val="18"/>
                <w:szCs w:val="18"/>
                <w:lang w:val="en-US" w:eastAsia="zh-CN" w:bidi="ar-SA"/>
              </w:rPr>
              <w:t>▲</w:t>
            </w:r>
          </w:p>
        </w:tc>
        <w:tc>
          <w:tcPr>
            <w:tcW w:w="770" w:type="dxa"/>
            <w:vMerge w:val="restart"/>
            <w:noWrap w:val="0"/>
            <w:vAlign w:val="center"/>
          </w:tcPr>
          <w:p>
            <w:pPr>
              <w:adjustRightInd w:val="0"/>
              <w:snapToGrid w:val="0"/>
              <w:spacing w:line="360" w:lineRule="auto"/>
              <w:jc w:val="center"/>
              <w:rPr>
                <w:rFonts w:ascii="仿宋_GB2312" w:eastAsia="仿宋_GB2312" w:hAnsi="仿宋_GB2312" w:cs="仿宋_GB2312" w:hint="eastAsia"/>
                <w:kern w:val="2"/>
                <w:sz w:val="18"/>
                <w:szCs w:val="18"/>
                <w:lang w:val="en-US" w:eastAsia="zh-CN" w:bidi="ar-SA"/>
              </w:rPr>
            </w:pPr>
            <w:r>
              <w:rPr>
                <w:rFonts w:ascii="仿宋_GB2312" w:eastAsia="仿宋_GB2312" w:hAnsi="仿宋_GB2312" w:cs="仿宋_GB2312" w:hint="eastAsia"/>
                <w:kern w:val="2"/>
                <w:sz w:val="18"/>
                <w:szCs w:val="18"/>
                <w:lang w:val="en-US" w:eastAsia="zh-CN" w:bidi="ar-SA"/>
              </w:rPr>
              <w:t>3.3.5“双向”安全交换系统和密码服务组件</w:t>
            </w:r>
          </w:p>
        </w:tc>
        <w:tc>
          <w:tcPr>
            <w:tcW w:w="4849" w:type="dxa"/>
            <w:noWrap w:val="0"/>
            <w:vAlign w:val="center"/>
          </w:tcPr>
          <w:p>
            <w:pPr>
              <w:adjustRightInd w:val="0"/>
              <w:snapToGrid w:val="0"/>
              <w:spacing w:line="360" w:lineRule="auto"/>
              <w:jc w:val="left"/>
              <w:rPr>
                <w:rFonts w:ascii="仿宋_GB2312" w:eastAsia="仿宋_GB2312" w:hAnsi="仿宋_GB2312" w:cs="仿宋_GB2312" w:hint="eastAsia"/>
                <w:kern w:val="2"/>
                <w:sz w:val="18"/>
                <w:szCs w:val="18"/>
                <w:lang w:val="en-US" w:eastAsia="zh-CN" w:bidi="ar-SA"/>
              </w:rPr>
            </w:pPr>
            <w:r>
              <w:rPr>
                <w:rFonts w:ascii="仿宋_GB2312" w:eastAsia="仿宋_GB2312" w:hAnsi="仿宋_GB2312" w:cs="仿宋_GB2312" w:hint="eastAsia"/>
                <w:kern w:val="2"/>
                <w:sz w:val="18"/>
                <w:szCs w:val="18"/>
                <w:lang w:val="en-US" w:eastAsia="zh-CN" w:bidi="ar-SA"/>
              </w:rPr>
              <w:t>（1）每日对双向安全交换系统和密码服务组件系统进行巡检，设备日常巡检通过收集每日运行参数，监控设备硬件运行情况，分析主要业务系统的流量日志，关注安全事件的发展动态，及时发现风险、问题并进行处置并上报。</w:t>
            </w:r>
          </w:p>
        </w:tc>
        <w:tc>
          <w:tcPr>
            <w:tcW w:w="935" w:type="dxa"/>
            <w:noWrap w:val="0"/>
            <w:vAlign w:val="center"/>
          </w:tcPr>
          <w:p>
            <w:pPr>
              <w:adjustRightInd w:val="0"/>
              <w:snapToGrid w:val="0"/>
              <w:spacing w:line="360" w:lineRule="auto"/>
              <w:jc w:val="center"/>
              <w:rPr>
                <w:rFonts w:ascii="仿宋_GB2312" w:eastAsia="仿宋_GB2312" w:hAnsi="仿宋_GB2312" w:cs="仿宋_GB2312" w:hint="eastAsia"/>
                <w:kern w:val="2"/>
                <w:sz w:val="18"/>
                <w:szCs w:val="18"/>
                <w:lang w:val="en-US" w:eastAsia="zh-CN" w:bidi="ar-SA"/>
              </w:rPr>
            </w:pPr>
          </w:p>
        </w:tc>
      </w:tr>
      <w:tr>
        <w:tblPrEx>
          <w:tblW w:w="8383" w:type="dxa"/>
          <w:jc w:val="center"/>
          <w:tblLayout w:type="fixed"/>
          <w:tblCellMar>
            <w:top w:w="0" w:type="dxa"/>
            <w:left w:w="108" w:type="dxa"/>
            <w:bottom w:w="0" w:type="dxa"/>
            <w:right w:w="108" w:type="dxa"/>
          </w:tblCellMar>
        </w:tblPrEx>
        <w:trPr>
          <w:trHeight w:hRule="exact" w:val="1143"/>
          <w:jc w:val="center"/>
        </w:trPr>
        <w:tc>
          <w:tcPr>
            <w:tcW w:w="428" w:type="dxa"/>
            <w:noWrap w:val="0"/>
            <w:vAlign w:val="top"/>
          </w:tcPr>
          <w:p>
            <w:pPr>
              <w:numPr>
                <w:ilvl w:val="0"/>
                <w:numId w:val="0"/>
              </w:numPr>
              <w:adjustRightInd w:val="0"/>
              <w:snapToGrid w:val="0"/>
              <w:spacing w:line="360" w:lineRule="auto"/>
              <w:ind w:leftChars="0"/>
              <w:jc w:val="both"/>
              <w:rPr>
                <w:rFonts w:ascii="仿宋_GB2312" w:eastAsia="仿宋_GB2312" w:hAnsi="仿宋_GB2312" w:cs="仿宋_GB2312" w:hint="eastAsia"/>
                <w:kern w:val="2"/>
                <w:sz w:val="18"/>
                <w:szCs w:val="18"/>
                <w:lang w:val="en-US" w:eastAsia="zh-CN" w:bidi="ar-SA"/>
              </w:rPr>
            </w:pPr>
            <w:r>
              <w:rPr>
                <w:rFonts w:ascii="仿宋_GB2312" w:eastAsia="仿宋_GB2312" w:hAnsi="仿宋_GB2312" w:cs="仿宋_GB2312" w:hint="eastAsia"/>
                <w:kern w:val="2"/>
                <w:sz w:val="18"/>
                <w:szCs w:val="18"/>
                <w:lang w:val="en-US" w:eastAsia="zh-CN" w:bidi="ar-SA"/>
              </w:rPr>
              <w:t>7</w:t>
            </w:r>
          </w:p>
        </w:tc>
        <w:tc>
          <w:tcPr>
            <w:tcW w:w="720" w:type="dxa"/>
            <w:vMerge/>
            <w:noWrap w:val="0"/>
            <w:vAlign w:val="top"/>
          </w:tcPr>
          <w:p>
            <w:pPr>
              <w:adjustRightInd w:val="0"/>
              <w:snapToGrid w:val="0"/>
              <w:spacing w:line="360" w:lineRule="auto"/>
              <w:jc w:val="center"/>
              <w:rPr>
                <w:rFonts w:ascii="仿宋_GB2312" w:eastAsia="仿宋_GB2312" w:hAnsi="仿宋_GB2312" w:cs="仿宋_GB2312" w:hint="eastAsia"/>
                <w:kern w:val="2"/>
                <w:sz w:val="18"/>
                <w:szCs w:val="18"/>
                <w:lang w:val="en-US" w:eastAsia="zh-CN" w:bidi="ar-SA"/>
              </w:rPr>
            </w:pPr>
          </w:p>
        </w:tc>
        <w:tc>
          <w:tcPr>
            <w:tcW w:w="681" w:type="dxa"/>
            <w:noWrap w:val="0"/>
            <w:vAlign w:val="center"/>
          </w:tcPr>
          <w:p>
            <w:pPr>
              <w:adjustRightInd w:val="0"/>
              <w:snapToGrid w:val="0"/>
              <w:spacing w:line="360" w:lineRule="auto"/>
              <w:jc w:val="center"/>
              <w:rPr>
                <w:rFonts w:ascii="仿宋_GB2312" w:eastAsia="仿宋_GB2312" w:hAnsi="仿宋_GB2312" w:cs="仿宋_GB2312" w:hint="eastAsia"/>
                <w:kern w:val="2"/>
                <w:sz w:val="18"/>
                <w:szCs w:val="18"/>
                <w:lang w:val="en-US" w:eastAsia="zh-CN" w:bidi="ar-SA"/>
              </w:rPr>
            </w:pPr>
            <w:r>
              <w:rPr>
                <w:rFonts w:ascii="仿宋_GB2312" w:eastAsia="仿宋_GB2312" w:hAnsi="仿宋_GB2312" w:cs="仿宋_GB2312" w:hint="eastAsia"/>
                <w:kern w:val="2"/>
                <w:sz w:val="18"/>
                <w:szCs w:val="18"/>
                <w:lang w:val="en-US" w:eastAsia="zh-CN" w:bidi="ar-SA"/>
              </w:rPr>
              <w:t>▲</w:t>
            </w:r>
          </w:p>
        </w:tc>
        <w:tc>
          <w:tcPr>
            <w:tcW w:w="770" w:type="dxa"/>
            <w:vMerge/>
            <w:noWrap w:val="0"/>
            <w:vAlign w:val="center"/>
          </w:tcPr>
          <w:p>
            <w:pPr>
              <w:adjustRightInd w:val="0"/>
              <w:snapToGrid w:val="0"/>
              <w:spacing w:line="360" w:lineRule="auto"/>
              <w:jc w:val="center"/>
              <w:rPr>
                <w:rFonts w:ascii="仿宋_GB2312" w:eastAsia="仿宋_GB2312" w:hAnsi="仿宋_GB2312" w:cs="仿宋_GB2312" w:hint="eastAsia"/>
                <w:kern w:val="2"/>
                <w:sz w:val="18"/>
                <w:szCs w:val="18"/>
                <w:lang w:val="en-US" w:eastAsia="zh-CN" w:bidi="ar-SA"/>
              </w:rPr>
            </w:pPr>
          </w:p>
        </w:tc>
        <w:tc>
          <w:tcPr>
            <w:tcW w:w="4849" w:type="dxa"/>
            <w:noWrap w:val="0"/>
            <w:vAlign w:val="center"/>
          </w:tcPr>
          <w:p>
            <w:pPr>
              <w:adjustRightInd w:val="0"/>
              <w:snapToGrid w:val="0"/>
              <w:spacing w:line="360" w:lineRule="auto"/>
              <w:jc w:val="left"/>
              <w:rPr>
                <w:rFonts w:ascii="仿宋_GB2312" w:eastAsia="仿宋_GB2312" w:hAnsi="仿宋_GB2312" w:cs="仿宋_GB2312" w:hint="eastAsia"/>
                <w:kern w:val="2"/>
                <w:sz w:val="18"/>
                <w:szCs w:val="18"/>
                <w:lang w:val="en-US" w:eastAsia="zh-CN" w:bidi="ar-SA"/>
              </w:rPr>
            </w:pPr>
            <w:r>
              <w:rPr>
                <w:rFonts w:ascii="仿宋_GB2312" w:eastAsia="仿宋_GB2312" w:hAnsi="仿宋_GB2312" w:cs="仿宋_GB2312" w:hint="eastAsia"/>
                <w:kern w:val="2"/>
                <w:sz w:val="18"/>
                <w:szCs w:val="18"/>
                <w:lang w:val="en-US" w:eastAsia="zh-CN" w:bidi="ar-SA"/>
              </w:rPr>
              <w:t>（6）确保安全设备在生命周期内稳定运行，每周进行安全配置梳理以及配置检查，对违规策略进行严格管控，禁止一切未授权的应用访问。</w:t>
            </w:r>
          </w:p>
        </w:tc>
        <w:tc>
          <w:tcPr>
            <w:tcW w:w="935" w:type="dxa"/>
            <w:noWrap w:val="0"/>
            <w:vAlign w:val="center"/>
          </w:tcPr>
          <w:p>
            <w:pPr>
              <w:adjustRightInd w:val="0"/>
              <w:snapToGrid w:val="0"/>
              <w:spacing w:line="360" w:lineRule="auto"/>
              <w:jc w:val="center"/>
              <w:rPr>
                <w:rFonts w:ascii="仿宋_GB2312" w:eastAsia="仿宋_GB2312" w:hAnsi="仿宋_GB2312" w:cs="仿宋_GB2312" w:hint="eastAsia"/>
                <w:kern w:val="2"/>
                <w:sz w:val="18"/>
                <w:szCs w:val="18"/>
                <w:lang w:val="en-US" w:eastAsia="zh-CN" w:bidi="ar-SA"/>
              </w:rPr>
            </w:pPr>
          </w:p>
        </w:tc>
      </w:tr>
      <w:tr>
        <w:tblPrEx>
          <w:tblW w:w="8383" w:type="dxa"/>
          <w:jc w:val="center"/>
          <w:tblLayout w:type="fixed"/>
          <w:tblCellMar>
            <w:top w:w="0" w:type="dxa"/>
            <w:left w:w="108" w:type="dxa"/>
            <w:bottom w:w="0" w:type="dxa"/>
            <w:right w:w="108" w:type="dxa"/>
          </w:tblCellMar>
        </w:tblPrEx>
        <w:trPr>
          <w:trHeight w:hRule="exact" w:val="890"/>
          <w:jc w:val="center"/>
        </w:trPr>
        <w:tc>
          <w:tcPr>
            <w:tcW w:w="428" w:type="dxa"/>
            <w:noWrap w:val="0"/>
            <w:vAlign w:val="top"/>
          </w:tcPr>
          <w:p>
            <w:pPr>
              <w:numPr>
                <w:ilvl w:val="0"/>
                <w:numId w:val="0"/>
              </w:numPr>
              <w:adjustRightInd w:val="0"/>
              <w:snapToGrid w:val="0"/>
              <w:spacing w:line="360" w:lineRule="auto"/>
              <w:ind w:leftChars="0"/>
              <w:jc w:val="both"/>
              <w:rPr>
                <w:rFonts w:ascii="仿宋_GB2312" w:eastAsia="仿宋_GB2312" w:hAnsi="仿宋_GB2312" w:cs="仿宋_GB2312" w:hint="eastAsia"/>
                <w:kern w:val="2"/>
                <w:sz w:val="18"/>
                <w:szCs w:val="18"/>
                <w:lang w:val="en-US" w:eastAsia="zh-CN" w:bidi="ar-SA"/>
              </w:rPr>
            </w:pPr>
            <w:r>
              <w:rPr>
                <w:rFonts w:ascii="仿宋_GB2312" w:eastAsia="仿宋_GB2312" w:hAnsi="仿宋_GB2312" w:cs="仿宋_GB2312" w:hint="eastAsia"/>
                <w:kern w:val="2"/>
                <w:sz w:val="18"/>
                <w:szCs w:val="18"/>
                <w:lang w:val="en-US" w:eastAsia="zh-CN" w:bidi="ar-SA"/>
              </w:rPr>
              <w:t>8</w:t>
            </w:r>
          </w:p>
        </w:tc>
        <w:tc>
          <w:tcPr>
            <w:tcW w:w="720" w:type="dxa"/>
            <w:vMerge/>
            <w:noWrap w:val="0"/>
            <w:vAlign w:val="top"/>
          </w:tcPr>
          <w:p>
            <w:pPr>
              <w:adjustRightInd w:val="0"/>
              <w:snapToGrid w:val="0"/>
              <w:spacing w:line="360" w:lineRule="auto"/>
              <w:jc w:val="center"/>
              <w:rPr>
                <w:rFonts w:ascii="仿宋_GB2312" w:eastAsia="仿宋_GB2312" w:hAnsi="仿宋_GB2312" w:cs="仿宋_GB2312" w:hint="eastAsia"/>
                <w:kern w:val="2"/>
                <w:sz w:val="18"/>
                <w:szCs w:val="18"/>
                <w:lang w:val="en-US" w:eastAsia="zh-CN" w:bidi="ar-SA"/>
              </w:rPr>
            </w:pPr>
          </w:p>
        </w:tc>
        <w:tc>
          <w:tcPr>
            <w:tcW w:w="681" w:type="dxa"/>
            <w:noWrap w:val="0"/>
            <w:vAlign w:val="center"/>
          </w:tcPr>
          <w:p>
            <w:pPr>
              <w:adjustRightInd w:val="0"/>
              <w:snapToGrid w:val="0"/>
              <w:spacing w:line="360" w:lineRule="auto"/>
              <w:jc w:val="center"/>
              <w:rPr>
                <w:rFonts w:ascii="仿宋_GB2312" w:eastAsia="仿宋_GB2312" w:hAnsi="仿宋_GB2312" w:cs="仿宋_GB2312" w:hint="eastAsia"/>
                <w:kern w:val="2"/>
                <w:sz w:val="18"/>
                <w:szCs w:val="18"/>
                <w:lang w:val="en-US" w:eastAsia="zh-CN" w:bidi="ar-SA"/>
              </w:rPr>
            </w:pPr>
            <w:r>
              <w:rPr>
                <w:rFonts w:ascii="仿宋_GB2312" w:eastAsia="仿宋_GB2312" w:hAnsi="仿宋_GB2312" w:cs="仿宋_GB2312" w:hint="eastAsia"/>
                <w:kern w:val="2"/>
                <w:sz w:val="18"/>
                <w:szCs w:val="18"/>
                <w:lang w:val="en-US" w:eastAsia="zh-CN" w:bidi="ar-SA"/>
              </w:rPr>
              <w:t>▲</w:t>
            </w:r>
          </w:p>
        </w:tc>
        <w:tc>
          <w:tcPr>
            <w:tcW w:w="770" w:type="dxa"/>
            <w:vMerge/>
            <w:noWrap w:val="0"/>
            <w:vAlign w:val="center"/>
          </w:tcPr>
          <w:p>
            <w:pPr>
              <w:adjustRightInd w:val="0"/>
              <w:snapToGrid w:val="0"/>
              <w:spacing w:line="360" w:lineRule="auto"/>
              <w:jc w:val="center"/>
              <w:rPr>
                <w:rFonts w:ascii="仿宋_GB2312" w:eastAsia="仿宋_GB2312" w:hAnsi="仿宋_GB2312" w:cs="仿宋_GB2312" w:hint="eastAsia"/>
                <w:kern w:val="2"/>
                <w:sz w:val="18"/>
                <w:szCs w:val="18"/>
                <w:lang w:val="en-US" w:eastAsia="zh-CN" w:bidi="ar-SA"/>
              </w:rPr>
            </w:pPr>
          </w:p>
        </w:tc>
        <w:tc>
          <w:tcPr>
            <w:tcW w:w="4849" w:type="dxa"/>
            <w:noWrap w:val="0"/>
            <w:vAlign w:val="center"/>
          </w:tcPr>
          <w:p>
            <w:pPr>
              <w:adjustRightInd w:val="0"/>
              <w:snapToGrid w:val="0"/>
              <w:spacing w:line="360" w:lineRule="auto"/>
              <w:jc w:val="left"/>
              <w:rPr>
                <w:rFonts w:ascii="仿宋_GB2312" w:eastAsia="仿宋_GB2312" w:hAnsi="仿宋_GB2312" w:cs="仿宋_GB2312" w:hint="eastAsia"/>
                <w:kern w:val="2"/>
                <w:sz w:val="18"/>
                <w:szCs w:val="18"/>
                <w:lang w:val="en-US" w:eastAsia="zh-CN" w:bidi="ar-SA"/>
              </w:rPr>
            </w:pPr>
            <w:r>
              <w:rPr>
                <w:rFonts w:ascii="仿宋_GB2312" w:eastAsia="仿宋_GB2312" w:hAnsi="仿宋_GB2312" w:cs="仿宋_GB2312" w:hint="eastAsia"/>
                <w:kern w:val="2"/>
                <w:sz w:val="18"/>
                <w:szCs w:val="18"/>
                <w:lang w:val="en-US" w:eastAsia="zh-CN" w:bidi="ar-SA"/>
              </w:rPr>
              <w:t>（8）补丁升级：根据总局系统新版本发布时间，按实际情况进行升级维护，对配套的硬件设备进行补丁修复。</w:t>
            </w:r>
          </w:p>
        </w:tc>
        <w:tc>
          <w:tcPr>
            <w:tcW w:w="935" w:type="dxa"/>
            <w:noWrap w:val="0"/>
            <w:vAlign w:val="center"/>
          </w:tcPr>
          <w:p>
            <w:pPr>
              <w:adjustRightInd w:val="0"/>
              <w:snapToGrid w:val="0"/>
              <w:spacing w:line="360" w:lineRule="auto"/>
              <w:jc w:val="center"/>
              <w:rPr>
                <w:rFonts w:ascii="仿宋_GB2312" w:eastAsia="仿宋_GB2312" w:hAnsi="仿宋_GB2312" w:cs="仿宋_GB2312" w:hint="eastAsia"/>
                <w:kern w:val="2"/>
                <w:sz w:val="18"/>
                <w:szCs w:val="18"/>
                <w:lang w:val="en-US" w:eastAsia="zh-CN" w:bidi="ar-SA"/>
              </w:rPr>
            </w:pPr>
          </w:p>
        </w:tc>
      </w:tr>
      <w:tr>
        <w:tblPrEx>
          <w:tblW w:w="8383" w:type="dxa"/>
          <w:jc w:val="center"/>
          <w:tblLayout w:type="fixed"/>
          <w:tblCellMar>
            <w:top w:w="0" w:type="dxa"/>
            <w:left w:w="108" w:type="dxa"/>
            <w:bottom w:w="0" w:type="dxa"/>
            <w:right w:w="108" w:type="dxa"/>
          </w:tblCellMar>
        </w:tblPrEx>
        <w:trPr>
          <w:trHeight w:hRule="exact" w:val="1751"/>
          <w:jc w:val="center"/>
        </w:trPr>
        <w:tc>
          <w:tcPr>
            <w:tcW w:w="428" w:type="dxa"/>
            <w:noWrap w:val="0"/>
            <w:vAlign w:val="top"/>
          </w:tcPr>
          <w:p>
            <w:pPr>
              <w:numPr>
                <w:ilvl w:val="0"/>
                <w:numId w:val="0"/>
              </w:numPr>
              <w:adjustRightInd w:val="0"/>
              <w:snapToGrid w:val="0"/>
              <w:spacing w:line="360" w:lineRule="auto"/>
              <w:ind w:leftChars="0"/>
              <w:jc w:val="both"/>
              <w:rPr>
                <w:rFonts w:ascii="仿宋_GB2312" w:eastAsia="仿宋_GB2312" w:hAnsi="仿宋_GB2312" w:cs="仿宋_GB2312" w:hint="eastAsia"/>
                <w:kern w:val="2"/>
                <w:sz w:val="18"/>
                <w:szCs w:val="18"/>
                <w:lang w:val="en-US" w:eastAsia="zh-CN" w:bidi="ar-SA"/>
              </w:rPr>
            </w:pPr>
            <w:r>
              <w:rPr>
                <w:rFonts w:ascii="仿宋_GB2312" w:eastAsia="仿宋_GB2312" w:hAnsi="仿宋_GB2312" w:cs="仿宋_GB2312" w:hint="eastAsia"/>
                <w:kern w:val="2"/>
                <w:sz w:val="18"/>
                <w:szCs w:val="18"/>
                <w:lang w:val="en-US" w:eastAsia="zh-CN" w:bidi="ar-SA"/>
              </w:rPr>
              <w:t>9</w:t>
            </w:r>
          </w:p>
        </w:tc>
        <w:tc>
          <w:tcPr>
            <w:tcW w:w="720" w:type="dxa"/>
            <w:vMerge/>
            <w:noWrap w:val="0"/>
            <w:vAlign w:val="top"/>
          </w:tcPr>
          <w:p>
            <w:pPr>
              <w:adjustRightInd w:val="0"/>
              <w:snapToGrid w:val="0"/>
              <w:spacing w:line="360" w:lineRule="auto"/>
              <w:jc w:val="center"/>
              <w:rPr>
                <w:rFonts w:ascii="仿宋_GB2312" w:eastAsia="仿宋_GB2312" w:hAnsi="仿宋_GB2312" w:cs="仿宋_GB2312" w:hint="eastAsia"/>
                <w:kern w:val="2"/>
                <w:sz w:val="18"/>
                <w:szCs w:val="18"/>
                <w:lang w:val="en-US" w:eastAsia="zh-CN" w:bidi="ar-SA"/>
              </w:rPr>
            </w:pPr>
          </w:p>
        </w:tc>
        <w:tc>
          <w:tcPr>
            <w:tcW w:w="681" w:type="dxa"/>
            <w:noWrap w:val="0"/>
            <w:vAlign w:val="center"/>
          </w:tcPr>
          <w:p>
            <w:pPr>
              <w:adjustRightInd w:val="0"/>
              <w:snapToGrid w:val="0"/>
              <w:spacing w:line="360" w:lineRule="auto"/>
              <w:jc w:val="center"/>
              <w:rPr>
                <w:rFonts w:ascii="仿宋_GB2312" w:eastAsia="仿宋_GB2312" w:hAnsi="仿宋_GB2312" w:cs="仿宋_GB2312" w:hint="eastAsia"/>
                <w:kern w:val="2"/>
                <w:sz w:val="18"/>
                <w:szCs w:val="18"/>
                <w:lang w:val="en-US" w:eastAsia="zh-CN" w:bidi="ar-SA"/>
              </w:rPr>
            </w:pPr>
            <w:r>
              <w:rPr>
                <w:rFonts w:ascii="仿宋_GB2312" w:eastAsia="仿宋_GB2312" w:hAnsi="仿宋_GB2312" w:cs="仿宋_GB2312" w:hint="eastAsia"/>
                <w:kern w:val="2"/>
                <w:sz w:val="18"/>
                <w:szCs w:val="18"/>
                <w:lang w:val="en-US" w:eastAsia="zh-CN" w:bidi="ar-SA"/>
              </w:rPr>
              <w:t>▲</w:t>
            </w:r>
          </w:p>
        </w:tc>
        <w:tc>
          <w:tcPr>
            <w:tcW w:w="770" w:type="dxa"/>
            <w:vMerge w:val="restart"/>
            <w:noWrap w:val="0"/>
            <w:vAlign w:val="center"/>
          </w:tcPr>
          <w:p>
            <w:pPr>
              <w:adjustRightInd w:val="0"/>
              <w:snapToGrid w:val="0"/>
              <w:spacing w:line="360" w:lineRule="auto"/>
              <w:jc w:val="center"/>
              <w:rPr>
                <w:rFonts w:ascii="仿宋_GB2312" w:eastAsia="仿宋_GB2312" w:hAnsi="仿宋_GB2312" w:cs="仿宋_GB2312" w:hint="eastAsia"/>
                <w:kern w:val="2"/>
                <w:sz w:val="18"/>
                <w:szCs w:val="18"/>
                <w:lang w:val="en-US" w:eastAsia="zh-CN" w:bidi="ar-SA"/>
              </w:rPr>
            </w:pPr>
            <w:r>
              <w:rPr>
                <w:rFonts w:ascii="仿宋_GB2312" w:eastAsia="仿宋_GB2312" w:hAnsi="仿宋_GB2312" w:cs="仿宋_GB2312" w:hint="eastAsia"/>
                <w:kern w:val="2"/>
                <w:sz w:val="18"/>
                <w:szCs w:val="18"/>
                <w:lang w:val="en-US" w:eastAsia="zh-CN" w:bidi="ar-SA"/>
              </w:rPr>
              <w:t>3.3.6 TCE云平台及云上安全设备及安全系统</w:t>
            </w:r>
          </w:p>
        </w:tc>
        <w:tc>
          <w:tcPr>
            <w:tcW w:w="4849" w:type="dxa"/>
            <w:noWrap w:val="0"/>
            <w:vAlign w:val="center"/>
          </w:tcPr>
          <w:p>
            <w:pPr>
              <w:adjustRightInd w:val="0"/>
              <w:snapToGrid w:val="0"/>
              <w:spacing w:line="360" w:lineRule="auto"/>
              <w:jc w:val="left"/>
              <w:rPr>
                <w:rFonts w:ascii="仿宋_GB2312" w:eastAsia="仿宋_GB2312" w:hAnsi="仿宋_GB2312" w:cs="仿宋_GB2312" w:hint="eastAsia"/>
                <w:kern w:val="2"/>
                <w:sz w:val="18"/>
                <w:szCs w:val="18"/>
                <w:lang w:val="en-US" w:eastAsia="zh-CN" w:bidi="ar-SA"/>
              </w:rPr>
            </w:pPr>
            <w:r>
              <w:rPr>
                <w:rFonts w:ascii="仿宋_GB2312" w:eastAsia="仿宋_GB2312" w:hAnsi="仿宋_GB2312" w:cs="仿宋_GB2312" w:hint="eastAsia"/>
                <w:kern w:val="2"/>
                <w:sz w:val="18"/>
                <w:szCs w:val="18"/>
                <w:lang w:val="en-US" w:eastAsia="zh-CN" w:bidi="ar-SA"/>
              </w:rPr>
              <w:t>（1）WEB应用防火墙。根据业务系统的运行情况及时优化防护策略、升级规则库，查看攻击日志，分析并处置安全告警，保护云计算平台的 WEB 应用和服务器，确保云计算平台 WEB 应用和服务免受侵害，保障应用系统的稳定运行。</w:t>
            </w:r>
          </w:p>
        </w:tc>
        <w:tc>
          <w:tcPr>
            <w:tcW w:w="935" w:type="dxa"/>
            <w:noWrap w:val="0"/>
            <w:vAlign w:val="center"/>
          </w:tcPr>
          <w:p>
            <w:pPr>
              <w:adjustRightInd w:val="0"/>
              <w:snapToGrid w:val="0"/>
              <w:spacing w:line="360" w:lineRule="auto"/>
              <w:jc w:val="center"/>
              <w:rPr>
                <w:rFonts w:ascii="仿宋_GB2312" w:eastAsia="仿宋_GB2312" w:hAnsi="仿宋_GB2312" w:cs="仿宋_GB2312" w:hint="eastAsia"/>
                <w:kern w:val="2"/>
                <w:sz w:val="18"/>
                <w:szCs w:val="18"/>
                <w:lang w:val="en-US" w:eastAsia="zh-CN" w:bidi="ar-SA"/>
              </w:rPr>
            </w:pPr>
          </w:p>
        </w:tc>
      </w:tr>
      <w:tr>
        <w:tblPrEx>
          <w:tblW w:w="8383" w:type="dxa"/>
          <w:jc w:val="center"/>
          <w:tblLayout w:type="fixed"/>
          <w:tblCellMar>
            <w:top w:w="0" w:type="dxa"/>
            <w:left w:w="108" w:type="dxa"/>
            <w:bottom w:w="0" w:type="dxa"/>
            <w:right w:w="108" w:type="dxa"/>
          </w:tblCellMar>
        </w:tblPrEx>
        <w:trPr>
          <w:trHeight w:hRule="exact" w:val="1307"/>
          <w:jc w:val="center"/>
        </w:trPr>
        <w:tc>
          <w:tcPr>
            <w:tcW w:w="428" w:type="dxa"/>
            <w:noWrap w:val="0"/>
            <w:vAlign w:val="top"/>
          </w:tcPr>
          <w:p>
            <w:pPr>
              <w:numPr>
                <w:ilvl w:val="0"/>
                <w:numId w:val="0"/>
              </w:numPr>
              <w:adjustRightInd w:val="0"/>
              <w:snapToGrid w:val="0"/>
              <w:spacing w:line="360" w:lineRule="auto"/>
              <w:ind w:leftChars="0"/>
              <w:jc w:val="both"/>
              <w:rPr>
                <w:rFonts w:ascii="仿宋_GB2312" w:eastAsia="仿宋_GB2312" w:hAnsi="仿宋_GB2312" w:cs="仿宋_GB2312" w:hint="default"/>
                <w:kern w:val="2"/>
                <w:sz w:val="18"/>
                <w:szCs w:val="18"/>
                <w:lang w:val="en-US" w:eastAsia="zh-CN" w:bidi="ar-SA"/>
              </w:rPr>
            </w:pPr>
            <w:r>
              <w:rPr>
                <w:rFonts w:ascii="仿宋_GB2312" w:eastAsia="仿宋_GB2312" w:hAnsi="仿宋_GB2312" w:cs="仿宋_GB2312" w:hint="eastAsia"/>
                <w:kern w:val="2"/>
                <w:sz w:val="18"/>
                <w:szCs w:val="18"/>
                <w:lang w:val="en-US" w:eastAsia="zh-CN" w:bidi="ar-SA"/>
              </w:rPr>
              <w:t>10</w:t>
            </w:r>
          </w:p>
        </w:tc>
        <w:tc>
          <w:tcPr>
            <w:tcW w:w="720" w:type="dxa"/>
            <w:vMerge/>
            <w:noWrap w:val="0"/>
            <w:vAlign w:val="top"/>
          </w:tcPr>
          <w:p>
            <w:pPr>
              <w:adjustRightInd w:val="0"/>
              <w:snapToGrid w:val="0"/>
              <w:spacing w:line="360" w:lineRule="auto"/>
              <w:jc w:val="center"/>
              <w:rPr>
                <w:rFonts w:ascii="仿宋_GB2312" w:eastAsia="仿宋_GB2312" w:hAnsi="仿宋_GB2312" w:cs="仿宋_GB2312" w:hint="eastAsia"/>
                <w:kern w:val="2"/>
                <w:sz w:val="18"/>
                <w:szCs w:val="18"/>
                <w:lang w:val="en-US" w:eastAsia="zh-CN" w:bidi="ar-SA"/>
              </w:rPr>
            </w:pPr>
          </w:p>
        </w:tc>
        <w:tc>
          <w:tcPr>
            <w:tcW w:w="681" w:type="dxa"/>
            <w:noWrap w:val="0"/>
            <w:vAlign w:val="center"/>
          </w:tcPr>
          <w:p>
            <w:pPr>
              <w:adjustRightInd w:val="0"/>
              <w:snapToGrid w:val="0"/>
              <w:spacing w:line="360" w:lineRule="auto"/>
              <w:jc w:val="center"/>
              <w:rPr>
                <w:rFonts w:ascii="仿宋_GB2312" w:eastAsia="仿宋_GB2312" w:hAnsi="仿宋_GB2312" w:cs="仿宋_GB2312" w:hint="eastAsia"/>
                <w:kern w:val="2"/>
                <w:sz w:val="18"/>
                <w:szCs w:val="18"/>
                <w:lang w:val="en-US" w:eastAsia="zh-CN" w:bidi="ar-SA"/>
              </w:rPr>
            </w:pPr>
            <w:r>
              <w:rPr>
                <w:rFonts w:ascii="仿宋_GB2312" w:eastAsia="仿宋_GB2312" w:hAnsi="仿宋_GB2312" w:cs="仿宋_GB2312" w:hint="eastAsia"/>
                <w:kern w:val="2"/>
                <w:sz w:val="18"/>
                <w:szCs w:val="18"/>
                <w:lang w:val="en-US" w:eastAsia="zh-CN" w:bidi="ar-SA"/>
              </w:rPr>
              <w:t>▲</w:t>
            </w:r>
          </w:p>
        </w:tc>
        <w:tc>
          <w:tcPr>
            <w:tcW w:w="770" w:type="dxa"/>
            <w:vMerge/>
            <w:noWrap w:val="0"/>
            <w:vAlign w:val="center"/>
          </w:tcPr>
          <w:p>
            <w:pPr>
              <w:adjustRightInd w:val="0"/>
              <w:snapToGrid w:val="0"/>
              <w:spacing w:line="360" w:lineRule="auto"/>
              <w:jc w:val="center"/>
              <w:rPr>
                <w:rFonts w:ascii="仿宋_GB2312" w:eastAsia="仿宋_GB2312" w:hAnsi="仿宋_GB2312" w:cs="仿宋_GB2312" w:hint="eastAsia"/>
                <w:kern w:val="2"/>
                <w:sz w:val="18"/>
                <w:szCs w:val="18"/>
                <w:lang w:val="en-US" w:eastAsia="zh-CN" w:bidi="ar-SA"/>
              </w:rPr>
            </w:pPr>
          </w:p>
        </w:tc>
        <w:tc>
          <w:tcPr>
            <w:tcW w:w="4849" w:type="dxa"/>
            <w:noWrap w:val="0"/>
            <w:vAlign w:val="center"/>
          </w:tcPr>
          <w:p>
            <w:pPr>
              <w:adjustRightInd w:val="0"/>
              <w:snapToGrid w:val="0"/>
              <w:spacing w:line="360" w:lineRule="auto"/>
              <w:jc w:val="left"/>
              <w:rPr>
                <w:rFonts w:ascii="仿宋_GB2312" w:eastAsia="仿宋_GB2312" w:hAnsi="仿宋_GB2312" w:cs="仿宋_GB2312" w:hint="eastAsia"/>
                <w:kern w:val="2"/>
                <w:sz w:val="18"/>
                <w:szCs w:val="18"/>
                <w:lang w:val="en-US" w:eastAsia="zh-CN" w:bidi="ar-SA"/>
              </w:rPr>
            </w:pPr>
            <w:r>
              <w:rPr>
                <w:rFonts w:ascii="仿宋_GB2312" w:eastAsia="仿宋_GB2312" w:hAnsi="仿宋_GB2312" w:cs="仿宋_GB2312" w:hint="eastAsia"/>
                <w:kern w:val="2"/>
                <w:sz w:val="18"/>
                <w:szCs w:val="18"/>
                <w:lang w:val="en-US" w:eastAsia="zh-CN" w:bidi="ar-SA"/>
              </w:rPr>
              <w:t>（2）主机安全（云镜）。监控 CVM 主机的云镜 agent 安装情况，在线/离线情况，如存在未安装客户端以及客户端离线的主机，需确认客户端未安装原因、客户端离线原因。</w:t>
            </w:r>
          </w:p>
        </w:tc>
        <w:tc>
          <w:tcPr>
            <w:tcW w:w="935" w:type="dxa"/>
            <w:noWrap w:val="0"/>
            <w:vAlign w:val="center"/>
          </w:tcPr>
          <w:p>
            <w:pPr>
              <w:adjustRightInd w:val="0"/>
              <w:snapToGrid w:val="0"/>
              <w:spacing w:line="360" w:lineRule="auto"/>
              <w:jc w:val="center"/>
              <w:rPr>
                <w:rFonts w:ascii="仿宋_GB2312" w:eastAsia="仿宋_GB2312" w:hAnsi="仿宋_GB2312" w:cs="仿宋_GB2312" w:hint="eastAsia"/>
                <w:kern w:val="2"/>
                <w:sz w:val="18"/>
                <w:szCs w:val="18"/>
                <w:lang w:val="en-US" w:eastAsia="zh-CN" w:bidi="ar-SA"/>
              </w:rPr>
            </w:pPr>
          </w:p>
        </w:tc>
      </w:tr>
      <w:tr>
        <w:tblPrEx>
          <w:tblW w:w="8383" w:type="dxa"/>
          <w:jc w:val="center"/>
          <w:tblLayout w:type="fixed"/>
          <w:tblCellMar>
            <w:top w:w="0" w:type="dxa"/>
            <w:left w:w="108" w:type="dxa"/>
            <w:bottom w:w="0" w:type="dxa"/>
            <w:right w:w="108" w:type="dxa"/>
          </w:tblCellMar>
        </w:tblPrEx>
        <w:trPr>
          <w:trHeight w:hRule="exact" w:val="1307"/>
          <w:jc w:val="center"/>
        </w:trPr>
        <w:tc>
          <w:tcPr>
            <w:tcW w:w="428" w:type="dxa"/>
            <w:noWrap w:val="0"/>
            <w:vAlign w:val="top"/>
          </w:tcPr>
          <w:p>
            <w:pPr>
              <w:numPr>
                <w:ilvl w:val="0"/>
                <w:numId w:val="0"/>
              </w:numPr>
              <w:adjustRightInd w:val="0"/>
              <w:snapToGrid w:val="0"/>
              <w:spacing w:line="360" w:lineRule="auto"/>
              <w:ind w:leftChars="0"/>
              <w:jc w:val="both"/>
              <w:rPr>
                <w:rFonts w:ascii="仿宋_GB2312" w:eastAsia="仿宋_GB2312" w:hAnsi="仿宋_GB2312" w:cs="仿宋_GB2312" w:hint="default"/>
                <w:kern w:val="2"/>
                <w:sz w:val="18"/>
                <w:szCs w:val="18"/>
                <w:lang w:val="en-US" w:eastAsia="zh-CN" w:bidi="ar-SA"/>
              </w:rPr>
            </w:pPr>
            <w:r>
              <w:rPr>
                <w:rFonts w:ascii="仿宋_GB2312" w:eastAsia="仿宋_GB2312" w:hAnsi="仿宋_GB2312" w:cs="仿宋_GB2312" w:hint="eastAsia"/>
                <w:kern w:val="2"/>
                <w:sz w:val="18"/>
                <w:szCs w:val="18"/>
                <w:lang w:val="en-US" w:eastAsia="zh-CN" w:bidi="ar-SA"/>
              </w:rPr>
              <w:t>11</w:t>
            </w:r>
          </w:p>
        </w:tc>
        <w:tc>
          <w:tcPr>
            <w:tcW w:w="720" w:type="dxa"/>
            <w:vMerge/>
            <w:noWrap w:val="0"/>
            <w:vAlign w:val="top"/>
          </w:tcPr>
          <w:p>
            <w:pPr>
              <w:adjustRightInd w:val="0"/>
              <w:snapToGrid w:val="0"/>
              <w:spacing w:line="360" w:lineRule="auto"/>
              <w:jc w:val="center"/>
              <w:rPr>
                <w:rFonts w:ascii="仿宋_GB2312" w:eastAsia="仿宋_GB2312" w:hAnsi="仿宋_GB2312" w:cs="仿宋_GB2312" w:hint="eastAsia"/>
                <w:kern w:val="2"/>
                <w:sz w:val="18"/>
                <w:szCs w:val="18"/>
                <w:lang w:val="en-US" w:eastAsia="zh-CN" w:bidi="ar-SA"/>
              </w:rPr>
            </w:pPr>
          </w:p>
        </w:tc>
        <w:tc>
          <w:tcPr>
            <w:tcW w:w="681" w:type="dxa"/>
            <w:noWrap w:val="0"/>
            <w:vAlign w:val="center"/>
          </w:tcPr>
          <w:p>
            <w:pPr>
              <w:adjustRightInd w:val="0"/>
              <w:snapToGrid w:val="0"/>
              <w:spacing w:line="360" w:lineRule="auto"/>
              <w:jc w:val="center"/>
              <w:rPr>
                <w:rFonts w:ascii="仿宋_GB2312" w:eastAsia="仿宋_GB2312" w:hAnsi="仿宋_GB2312" w:cs="仿宋_GB2312" w:hint="eastAsia"/>
                <w:kern w:val="2"/>
                <w:sz w:val="18"/>
                <w:szCs w:val="18"/>
                <w:lang w:val="en-US" w:eastAsia="zh-CN" w:bidi="ar-SA"/>
              </w:rPr>
            </w:pPr>
            <w:r>
              <w:rPr>
                <w:rFonts w:ascii="仿宋_GB2312" w:eastAsia="仿宋_GB2312" w:hAnsi="仿宋_GB2312" w:cs="仿宋_GB2312" w:hint="eastAsia"/>
                <w:kern w:val="2"/>
                <w:sz w:val="18"/>
                <w:szCs w:val="18"/>
                <w:lang w:val="en-US" w:eastAsia="zh-CN" w:bidi="ar-SA"/>
              </w:rPr>
              <w:t>▲</w:t>
            </w:r>
          </w:p>
        </w:tc>
        <w:tc>
          <w:tcPr>
            <w:tcW w:w="770" w:type="dxa"/>
            <w:vMerge/>
            <w:noWrap w:val="0"/>
            <w:vAlign w:val="center"/>
          </w:tcPr>
          <w:p>
            <w:pPr>
              <w:adjustRightInd w:val="0"/>
              <w:snapToGrid w:val="0"/>
              <w:spacing w:line="360" w:lineRule="auto"/>
              <w:jc w:val="center"/>
              <w:rPr>
                <w:rFonts w:ascii="仿宋_GB2312" w:eastAsia="仿宋_GB2312" w:hAnsi="仿宋_GB2312" w:cs="仿宋_GB2312" w:hint="eastAsia"/>
                <w:kern w:val="2"/>
                <w:sz w:val="18"/>
                <w:szCs w:val="18"/>
                <w:lang w:val="en-US" w:eastAsia="zh-CN" w:bidi="ar-SA"/>
              </w:rPr>
            </w:pPr>
          </w:p>
        </w:tc>
        <w:tc>
          <w:tcPr>
            <w:tcW w:w="4849" w:type="dxa"/>
            <w:noWrap w:val="0"/>
            <w:vAlign w:val="center"/>
          </w:tcPr>
          <w:p>
            <w:pPr>
              <w:adjustRightInd w:val="0"/>
              <w:snapToGrid w:val="0"/>
              <w:spacing w:line="360" w:lineRule="auto"/>
              <w:jc w:val="left"/>
              <w:rPr>
                <w:rFonts w:ascii="仿宋_GB2312" w:eastAsia="仿宋_GB2312" w:hAnsi="仿宋_GB2312" w:cs="仿宋_GB2312" w:hint="eastAsia"/>
                <w:kern w:val="2"/>
                <w:sz w:val="18"/>
                <w:szCs w:val="18"/>
                <w:lang w:val="en-US" w:eastAsia="zh-CN" w:bidi="ar-SA"/>
              </w:rPr>
            </w:pPr>
            <w:r>
              <w:rPr>
                <w:rFonts w:ascii="仿宋_GB2312" w:eastAsia="仿宋_GB2312" w:hAnsi="仿宋_GB2312" w:cs="仿宋_GB2312" w:hint="eastAsia"/>
                <w:kern w:val="2"/>
                <w:sz w:val="18"/>
                <w:szCs w:val="18"/>
                <w:lang w:val="en-US" w:eastAsia="zh-CN" w:bidi="ar-SA"/>
              </w:rPr>
              <w:t>（3）高级威胁检测系统（NTA）。监控、分析并处置安全事件。根据攻击告警信息发现恶意攻击和潜在威胁，及时进行分析、处置以及上报局方，协助对攻击事件进行分析和溯源，同时定期升级规则库，保证规则库的最新。</w:t>
            </w:r>
          </w:p>
        </w:tc>
        <w:tc>
          <w:tcPr>
            <w:tcW w:w="935" w:type="dxa"/>
            <w:noWrap w:val="0"/>
            <w:vAlign w:val="center"/>
          </w:tcPr>
          <w:p>
            <w:pPr>
              <w:adjustRightInd w:val="0"/>
              <w:snapToGrid w:val="0"/>
              <w:spacing w:line="360" w:lineRule="auto"/>
              <w:jc w:val="center"/>
              <w:rPr>
                <w:rFonts w:ascii="仿宋_GB2312" w:eastAsia="仿宋_GB2312" w:hAnsi="仿宋_GB2312" w:cs="仿宋_GB2312" w:hint="eastAsia"/>
                <w:kern w:val="2"/>
                <w:sz w:val="18"/>
                <w:szCs w:val="18"/>
                <w:lang w:val="en-US" w:eastAsia="zh-CN" w:bidi="ar-SA"/>
              </w:rPr>
            </w:pPr>
          </w:p>
        </w:tc>
      </w:tr>
      <w:tr>
        <w:tblPrEx>
          <w:tblW w:w="8383" w:type="dxa"/>
          <w:jc w:val="center"/>
          <w:tblLayout w:type="fixed"/>
          <w:tblCellMar>
            <w:top w:w="0" w:type="dxa"/>
            <w:left w:w="108" w:type="dxa"/>
            <w:bottom w:w="0" w:type="dxa"/>
            <w:right w:w="108" w:type="dxa"/>
          </w:tblCellMar>
        </w:tblPrEx>
        <w:trPr>
          <w:trHeight w:hRule="exact" w:val="1307"/>
          <w:jc w:val="center"/>
        </w:trPr>
        <w:tc>
          <w:tcPr>
            <w:tcW w:w="428" w:type="dxa"/>
            <w:noWrap w:val="0"/>
            <w:vAlign w:val="top"/>
          </w:tcPr>
          <w:p>
            <w:pPr>
              <w:numPr>
                <w:ilvl w:val="0"/>
                <w:numId w:val="0"/>
              </w:numPr>
              <w:adjustRightInd w:val="0"/>
              <w:snapToGrid w:val="0"/>
              <w:spacing w:line="360" w:lineRule="auto"/>
              <w:ind w:leftChars="0"/>
              <w:jc w:val="both"/>
              <w:rPr>
                <w:rFonts w:ascii="仿宋_GB2312" w:eastAsia="仿宋_GB2312" w:hAnsi="仿宋_GB2312" w:cs="仿宋_GB2312" w:hint="default"/>
                <w:kern w:val="2"/>
                <w:sz w:val="18"/>
                <w:szCs w:val="18"/>
                <w:lang w:val="en-US" w:eastAsia="zh-CN" w:bidi="ar-SA"/>
              </w:rPr>
            </w:pPr>
            <w:r>
              <w:rPr>
                <w:rFonts w:ascii="仿宋_GB2312" w:eastAsia="仿宋_GB2312" w:hAnsi="仿宋_GB2312" w:cs="仿宋_GB2312" w:hint="eastAsia"/>
                <w:kern w:val="2"/>
                <w:sz w:val="18"/>
                <w:szCs w:val="18"/>
                <w:lang w:val="en-US" w:eastAsia="zh-CN" w:bidi="ar-SA"/>
              </w:rPr>
              <w:t>12</w:t>
            </w:r>
          </w:p>
        </w:tc>
        <w:tc>
          <w:tcPr>
            <w:tcW w:w="720" w:type="dxa"/>
            <w:vMerge/>
            <w:noWrap w:val="0"/>
            <w:vAlign w:val="top"/>
          </w:tcPr>
          <w:p>
            <w:pPr>
              <w:adjustRightInd w:val="0"/>
              <w:snapToGrid w:val="0"/>
              <w:spacing w:line="360" w:lineRule="auto"/>
              <w:jc w:val="center"/>
              <w:rPr>
                <w:rFonts w:ascii="仿宋_GB2312" w:eastAsia="仿宋_GB2312" w:hAnsi="仿宋_GB2312" w:cs="仿宋_GB2312" w:hint="eastAsia"/>
                <w:kern w:val="2"/>
                <w:sz w:val="18"/>
                <w:szCs w:val="18"/>
                <w:lang w:val="en-US" w:eastAsia="zh-CN" w:bidi="ar-SA"/>
              </w:rPr>
            </w:pPr>
          </w:p>
        </w:tc>
        <w:tc>
          <w:tcPr>
            <w:tcW w:w="681" w:type="dxa"/>
            <w:noWrap w:val="0"/>
            <w:vAlign w:val="center"/>
          </w:tcPr>
          <w:p>
            <w:pPr>
              <w:adjustRightInd w:val="0"/>
              <w:snapToGrid w:val="0"/>
              <w:spacing w:line="360" w:lineRule="auto"/>
              <w:jc w:val="center"/>
              <w:rPr>
                <w:rFonts w:ascii="仿宋_GB2312" w:eastAsia="仿宋_GB2312" w:hAnsi="仿宋_GB2312" w:cs="仿宋_GB2312" w:hint="eastAsia"/>
                <w:kern w:val="2"/>
                <w:sz w:val="18"/>
                <w:szCs w:val="18"/>
                <w:lang w:val="en-US" w:eastAsia="zh-CN" w:bidi="ar-SA"/>
              </w:rPr>
            </w:pPr>
            <w:r>
              <w:rPr>
                <w:rFonts w:ascii="仿宋_GB2312" w:eastAsia="仿宋_GB2312" w:hAnsi="仿宋_GB2312" w:cs="仿宋_GB2312" w:hint="eastAsia"/>
                <w:kern w:val="2"/>
                <w:sz w:val="18"/>
                <w:szCs w:val="18"/>
                <w:lang w:val="en-US" w:eastAsia="zh-CN" w:bidi="ar-SA"/>
              </w:rPr>
              <w:t>▲</w:t>
            </w:r>
          </w:p>
        </w:tc>
        <w:tc>
          <w:tcPr>
            <w:tcW w:w="770" w:type="dxa"/>
            <w:vMerge/>
            <w:noWrap w:val="0"/>
            <w:vAlign w:val="center"/>
          </w:tcPr>
          <w:p>
            <w:pPr>
              <w:adjustRightInd w:val="0"/>
              <w:snapToGrid w:val="0"/>
              <w:spacing w:line="360" w:lineRule="auto"/>
              <w:jc w:val="center"/>
              <w:rPr>
                <w:rFonts w:ascii="仿宋_GB2312" w:eastAsia="仿宋_GB2312" w:hAnsi="仿宋_GB2312" w:cs="仿宋_GB2312" w:hint="eastAsia"/>
                <w:kern w:val="2"/>
                <w:sz w:val="18"/>
                <w:szCs w:val="18"/>
                <w:lang w:val="en-US" w:eastAsia="zh-CN" w:bidi="ar-SA"/>
              </w:rPr>
            </w:pPr>
          </w:p>
        </w:tc>
        <w:tc>
          <w:tcPr>
            <w:tcW w:w="4849" w:type="dxa"/>
            <w:noWrap w:val="0"/>
            <w:vAlign w:val="center"/>
          </w:tcPr>
          <w:p>
            <w:pPr>
              <w:adjustRightInd w:val="0"/>
              <w:snapToGrid w:val="0"/>
              <w:spacing w:line="360" w:lineRule="auto"/>
              <w:jc w:val="left"/>
              <w:rPr>
                <w:rFonts w:ascii="仿宋_GB2312" w:eastAsia="仿宋_GB2312" w:hAnsi="仿宋_GB2312" w:cs="仿宋_GB2312" w:hint="eastAsia"/>
                <w:kern w:val="2"/>
                <w:sz w:val="18"/>
                <w:szCs w:val="18"/>
                <w:lang w:val="en-US" w:eastAsia="zh-CN" w:bidi="ar-SA"/>
              </w:rPr>
            </w:pPr>
            <w:r>
              <w:rPr>
                <w:rFonts w:ascii="仿宋_GB2312" w:eastAsia="仿宋_GB2312" w:hAnsi="仿宋_GB2312" w:cs="仿宋_GB2312" w:hint="eastAsia"/>
                <w:kern w:val="2"/>
                <w:sz w:val="18"/>
                <w:szCs w:val="18"/>
                <w:lang w:val="en-US" w:eastAsia="zh-CN" w:bidi="ar-SA"/>
              </w:rPr>
              <w:t>（4）网络入侵防护系统（NIPS）。根据业务系统的访问情况优化规则库，对域名、URL、Cookie、Referer 等字段进行精准访问控制，同时针对0day 漏洞等最新漏洞来不及打补丁情况下进行临时添加热补丁策略先拦截阻断，再推进漏洞修复。</w:t>
            </w:r>
          </w:p>
        </w:tc>
        <w:tc>
          <w:tcPr>
            <w:tcW w:w="935" w:type="dxa"/>
            <w:noWrap w:val="0"/>
            <w:vAlign w:val="center"/>
          </w:tcPr>
          <w:p>
            <w:pPr>
              <w:adjustRightInd w:val="0"/>
              <w:snapToGrid w:val="0"/>
              <w:spacing w:line="360" w:lineRule="auto"/>
              <w:jc w:val="center"/>
              <w:rPr>
                <w:rFonts w:ascii="仿宋_GB2312" w:eastAsia="仿宋_GB2312" w:hAnsi="仿宋_GB2312" w:cs="仿宋_GB2312" w:hint="eastAsia"/>
                <w:kern w:val="2"/>
                <w:sz w:val="18"/>
                <w:szCs w:val="18"/>
                <w:lang w:val="en-US" w:eastAsia="zh-CN" w:bidi="ar-SA"/>
              </w:rPr>
            </w:pPr>
          </w:p>
        </w:tc>
      </w:tr>
      <w:tr>
        <w:tblPrEx>
          <w:tblW w:w="8383" w:type="dxa"/>
          <w:jc w:val="center"/>
          <w:tblLayout w:type="fixed"/>
          <w:tblCellMar>
            <w:top w:w="0" w:type="dxa"/>
            <w:left w:w="108" w:type="dxa"/>
            <w:bottom w:w="0" w:type="dxa"/>
            <w:right w:w="108" w:type="dxa"/>
          </w:tblCellMar>
        </w:tblPrEx>
        <w:trPr>
          <w:trHeight w:hRule="exact" w:val="1307"/>
          <w:jc w:val="center"/>
        </w:trPr>
        <w:tc>
          <w:tcPr>
            <w:tcW w:w="428" w:type="dxa"/>
            <w:noWrap w:val="0"/>
            <w:vAlign w:val="top"/>
          </w:tcPr>
          <w:p>
            <w:pPr>
              <w:bidi w:val="0"/>
              <w:jc w:val="left"/>
              <w:rPr>
                <w:rFonts w:hint="default"/>
                <w:lang w:val="en-US" w:eastAsia="zh-CN"/>
              </w:rPr>
            </w:pPr>
            <w:r>
              <w:rPr>
                <w:rFonts w:ascii="仿宋_GB2312" w:eastAsia="仿宋_GB2312" w:hAnsi="仿宋_GB2312" w:cs="仿宋_GB2312" w:hint="eastAsia"/>
                <w:kern w:val="2"/>
                <w:sz w:val="18"/>
                <w:szCs w:val="18"/>
                <w:lang w:val="en-US" w:eastAsia="zh-CN" w:bidi="ar-SA"/>
              </w:rPr>
              <w:t>13</w:t>
            </w:r>
          </w:p>
        </w:tc>
        <w:tc>
          <w:tcPr>
            <w:tcW w:w="720" w:type="dxa"/>
            <w:vMerge/>
            <w:noWrap w:val="0"/>
            <w:vAlign w:val="top"/>
          </w:tcPr>
          <w:p>
            <w:pPr>
              <w:adjustRightInd w:val="0"/>
              <w:snapToGrid w:val="0"/>
              <w:spacing w:line="360" w:lineRule="auto"/>
              <w:jc w:val="center"/>
              <w:rPr>
                <w:rFonts w:ascii="仿宋_GB2312" w:eastAsia="仿宋_GB2312" w:hAnsi="仿宋_GB2312" w:cs="仿宋_GB2312" w:hint="eastAsia"/>
                <w:kern w:val="2"/>
                <w:sz w:val="18"/>
                <w:szCs w:val="18"/>
                <w:lang w:val="en-US" w:eastAsia="zh-CN" w:bidi="ar-SA"/>
              </w:rPr>
            </w:pPr>
          </w:p>
        </w:tc>
        <w:tc>
          <w:tcPr>
            <w:tcW w:w="681" w:type="dxa"/>
            <w:noWrap w:val="0"/>
            <w:vAlign w:val="center"/>
          </w:tcPr>
          <w:p>
            <w:pPr>
              <w:adjustRightInd w:val="0"/>
              <w:snapToGrid w:val="0"/>
              <w:spacing w:line="360" w:lineRule="auto"/>
              <w:jc w:val="center"/>
              <w:rPr>
                <w:rFonts w:ascii="仿宋_GB2312" w:eastAsia="仿宋_GB2312" w:hAnsi="仿宋_GB2312" w:cs="仿宋_GB2312" w:hint="eastAsia"/>
                <w:kern w:val="2"/>
                <w:sz w:val="18"/>
                <w:szCs w:val="18"/>
                <w:lang w:val="en-US" w:eastAsia="zh-CN" w:bidi="ar-SA"/>
              </w:rPr>
            </w:pPr>
            <w:r>
              <w:rPr>
                <w:rFonts w:ascii="仿宋_GB2312" w:eastAsia="仿宋_GB2312" w:hAnsi="仿宋_GB2312" w:cs="仿宋_GB2312" w:hint="eastAsia"/>
                <w:kern w:val="2"/>
                <w:sz w:val="18"/>
                <w:szCs w:val="18"/>
                <w:lang w:val="en-US" w:eastAsia="zh-CN" w:bidi="ar-SA"/>
              </w:rPr>
              <w:t>▲</w:t>
            </w:r>
          </w:p>
        </w:tc>
        <w:tc>
          <w:tcPr>
            <w:tcW w:w="770" w:type="dxa"/>
            <w:vMerge/>
            <w:noWrap w:val="0"/>
            <w:vAlign w:val="center"/>
          </w:tcPr>
          <w:p>
            <w:pPr>
              <w:adjustRightInd w:val="0"/>
              <w:snapToGrid w:val="0"/>
              <w:spacing w:line="360" w:lineRule="auto"/>
              <w:jc w:val="center"/>
              <w:rPr>
                <w:rFonts w:ascii="仿宋_GB2312" w:eastAsia="仿宋_GB2312" w:hAnsi="仿宋_GB2312" w:cs="仿宋_GB2312" w:hint="eastAsia"/>
                <w:kern w:val="2"/>
                <w:sz w:val="18"/>
                <w:szCs w:val="18"/>
                <w:lang w:val="en-US" w:eastAsia="zh-CN" w:bidi="ar-SA"/>
              </w:rPr>
            </w:pPr>
          </w:p>
        </w:tc>
        <w:tc>
          <w:tcPr>
            <w:tcW w:w="4849" w:type="dxa"/>
            <w:noWrap w:val="0"/>
            <w:vAlign w:val="center"/>
          </w:tcPr>
          <w:p>
            <w:pPr>
              <w:adjustRightInd w:val="0"/>
              <w:snapToGrid w:val="0"/>
              <w:spacing w:line="360" w:lineRule="auto"/>
              <w:jc w:val="left"/>
              <w:rPr>
                <w:rFonts w:ascii="仿宋_GB2312" w:eastAsia="仿宋_GB2312" w:hAnsi="仿宋_GB2312" w:cs="仿宋_GB2312" w:hint="eastAsia"/>
                <w:kern w:val="2"/>
                <w:sz w:val="18"/>
                <w:szCs w:val="18"/>
                <w:lang w:val="en-US" w:eastAsia="zh-CN" w:bidi="ar-SA"/>
              </w:rPr>
            </w:pPr>
            <w:r>
              <w:rPr>
                <w:rFonts w:ascii="仿宋_GB2312" w:eastAsia="仿宋_GB2312" w:hAnsi="仿宋_GB2312" w:cs="仿宋_GB2312" w:hint="eastAsia"/>
                <w:kern w:val="2"/>
                <w:sz w:val="18"/>
                <w:szCs w:val="18"/>
                <w:lang w:val="en-US" w:eastAsia="zh-CN" w:bidi="ar-SA"/>
              </w:rPr>
              <w:t>（5）安全运营中心（SOC）。实时监测安全运营中心的告警事件，定期对租户面的外部攻击和内部潜在风险进行深度检测，及时处置发现的告警事件，提高日志关联分析、威胁情报、态势感知能力。</w:t>
            </w:r>
          </w:p>
        </w:tc>
        <w:tc>
          <w:tcPr>
            <w:tcW w:w="935" w:type="dxa"/>
            <w:noWrap w:val="0"/>
            <w:vAlign w:val="center"/>
          </w:tcPr>
          <w:p>
            <w:pPr>
              <w:adjustRightInd w:val="0"/>
              <w:snapToGrid w:val="0"/>
              <w:spacing w:line="360" w:lineRule="auto"/>
              <w:jc w:val="center"/>
              <w:rPr>
                <w:rFonts w:ascii="仿宋_GB2312" w:eastAsia="仿宋_GB2312" w:hAnsi="仿宋_GB2312" w:cs="仿宋_GB2312" w:hint="eastAsia"/>
                <w:kern w:val="2"/>
                <w:sz w:val="18"/>
                <w:szCs w:val="18"/>
                <w:lang w:val="en-US" w:eastAsia="zh-CN" w:bidi="ar-SA"/>
              </w:rPr>
            </w:pPr>
          </w:p>
        </w:tc>
      </w:tr>
      <w:tr>
        <w:tblPrEx>
          <w:tblW w:w="8383" w:type="dxa"/>
          <w:jc w:val="center"/>
          <w:tblLayout w:type="fixed"/>
          <w:tblCellMar>
            <w:top w:w="0" w:type="dxa"/>
            <w:left w:w="108" w:type="dxa"/>
            <w:bottom w:w="0" w:type="dxa"/>
            <w:right w:w="108" w:type="dxa"/>
          </w:tblCellMar>
        </w:tblPrEx>
        <w:trPr>
          <w:trHeight w:hRule="exact" w:val="762"/>
          <w:jc w:val="center"/>
        </w:trPr>
        <w:tc>
          <w:tcPr>
            <w:tcW w:w="428" w:type="dxa"/>
            <w:noWrap w:val="0"/>
            <w:vAlign w:val="top"/>
          </w:tcPr>
          <w:p>
            <w:pPr>
              <w:numPr>
                <w:ilvl w:val="0"/>
                <w:numId w:val="0"/>
              </w:numPr>
              <w:adjustRightInd w:val="0"/>
              <w:snapToGrid w:val="0"/>
              <w:spacing w:line="360" w:lineRule="auto"/>
              <w:ind w:leftChars="0"/>
              <w:jc w:val="both"/>
              <w:rPr>
                <w:rFonts w:ascii="仿宋_GB2312" w:eastAsia="仿宋_GB2312" w:hAnsi="仿宋_GB2312" w:cs="仿宋_GB2312" w:hint="default"/>
                <w:kern w:val="2"/>
                <w:sz w:val="18"/>
                <w:szCs w:val="18"/>
                <w:lang w:val="en-US" w:eastAsia="zh-CN" w:bidi="ar-SA"/>
              </w:rPr>
            </w:pPr>
            <w:r>
              <w:rPr>
                <w:rFonts w:ascii="仿宋_GB2312" w:eastAsia="仿宋_GB2312" w:hAnsi="仿宋_GB2312" w:cs="仿宋_GB2312" w:hint="eastAsia"/>
                <w:kern w:val="2"/>
                <w:sz w:val="18"/>
                <w:szCs w:val="18"/>
                <w:lang w:val="en-US" w:eastAsia="zh-CN" w:bidi="ar-SA"/>
              </w:rPr>
              <w:t>14</w:t>
            </w:r>
          </w:p>
        </w:tc>
        <w:tc>
          <w:tcPr>
            <w:tcW w:w="720" w:type="dxa"/>
            <w:vMerge/>
            <w:noWrap w:val="0"/>
            <w:vAlign w:val="top"/>
          </w:tcPr>
          <w:p>
            <w:pPr>
              <w:adjustRightInd w:val="0"/>
              <w:snapToGrid w:val="0"/>
              <w:spacing w:line="360" w:lineRule="auto"/>
              <w:jc w:val="center"/>
              <w:rPr>
                <w:rFonts w:ascii="仿宋_GB2312" w:eastAsia="仿宋_GB2312" w:hAnsi="仿宋_GB2312" w:cs="仿宋_GB2312" w:hint="eastAsia"/>
                <w:kern w:val="2"/>
                <w:sz w:val="18"/>
                <w:szCs w:val="18"/>
                <w:lang w:val="en-US" w:eastAsia="zh-CN" w:bidi="ar-SA"/>
              </w:rPr>
            </w:pPr>
          </w:p>
        </w:tc>
        <w:tc>
          <w:tcPr>
            <w:tcW w:w="681" w:type="dxa"/>
            <w:noWrap w:val="0"/>
            <w:vAlign w:val="center"/>
          </w:tcPr>
          <w:p>
            <w:pPr>
              <w:adjustRightInd w:val="0"/>
              <w:snapToGrid w:val="0"/>
              <w:spacing w:line="360" w:lineRule="auto"/>
              <w:jc w:val="center"/>
              <w:rPr>
                <w:rFonts w:ascii="仿宋_GB2312" w:eastAsia="仿宋_GB2312" w:hAnsi="仿宋_GB2312" w:cs="仿宋_GB2312" w:hint="eastAsia"/>
                <w:kern w:val="2"/>
                <w:sz w:val="18"/>
                <w:szCs w:val="18"/>
                <w:lang w:val="en-US" w:eastAsia="zh-CN" w:bidi="ar-SA"/>
              </w:rPr>
            </w:pPr>
            <w:r>
              <w:rPr>
                <w:rFonts w:ascii="仿宋_GB2312" w:eastAsia="仿宋_GB2312" w:hAnsi="仿宋_GB2312" w:cs="仿宋_GB2312" w:hint="eastAsia"/>
                <w:kern w:val="2"/>
                <w:sz w:val="18"/>
                <w:szCs w:val="18"/>
                <w:lang w:val="en-US" w:eastAsia="zh-CN" w:bidi="ar-SA"/>
              </w:rPr>
              <w:t>▲</w:t>
            </w:r>
          </w:p>
        </w:tc>
        <w:tc>
          <w:tcPr>
            <w:tcW w:w="770" w:type="dxa"/>
            <w:vMerge/>
            <w:noWrap w:val="0"/>
            <w:vAlign w:val="center"/>
          </w:tcPr>
          <w:p>
            <w:pPr>
              <w:adjustRightInd w:val="0"/>
              <w:snapToGrid w:val="0"/>
              <w:spacing w:line="360" w:lineRule="auto"/>
              <w:jc w:val="center"/>
              <w:rPr>
                <w:rFonts w:ascii="仿宋_GB2312" w:eastAsia="仿宋_GB2312" w:hAnsi="仿宋_GB2312" w:cs="仿宋_GB2312" w:hint="eastAsia"/>
                <w:kern w:val="2"/>
                <w:sz w:val="18"/>
                <w:szCs w:val="18"/>
                <w:lang w:val="en-US" w:eastAsia="zh-CN" w:bidi="ar-SA"/>
              </w:rPr>
            </w:pPr>
          </w:p>
        </w:tc>
        <w:tc>
          <w:tcPr>
            <w:tcW w:w="4849" w:type="dxa"/>
            <w:noWrap w:val="0"/>
            <w:vAlign w:val="center"/>
          </w:tcPr>
          <w:p>
            <w:pPr>
              <w:adjustRightInd w:val="0"/>
              <w:snapToGrid w:val="0"/>
              <w:spacing w:line="360" w:lineRule="auto"/>
              <w:jc w:val="left"/>
              <w:rPr>
                <w:rFonts w:ascii="仿宋_GB2312" w:eastAsia="仿宋_GB2312" w:hAnsi="仿宋_GB2312" w:cs="仿宋_GB2312" w:hint="eastAsia"/>
                <w:kern w:val="2"/>
                <w:sz w:val="18"/>
                <w:szCs w:val="18"/>
                <w:lang w:val="en-US" w:eastAsia="zh-CN" w:bidi="ar-SA"/>
              </w:rPr>
            </w:pPr>
            <w:r>
              <w:rPr>
                <w:rFonts w:ascii="仿宋_GB2312" w:eastAsia="仿宋_GB2312" w:hAnsi="仿宋_GB2312" w:cs="仿宋_GB2312" w:hint="eastAsia"/>
                <w:kern w:val="2"/>
                <w:sz w:val="18"/>
                <w:szCs w:val="18"/>
                <w:lang w:val="en-US" w:eastAsia="zh-CN" w:bidi="ar-SA"/>
              </w:rPr>
              <w:t>（6）云防火墙（CFW）。实时监测云防火墙的运行情况，并根据业务的访问需求，配置相应的访问控制策略。</w:t>
            </w:r>
          </w:p>
        </w:tc>
        <w:tc>
          <w:tcPr>
            <w:tcW w:w="935" w:type="dxa"/>
            <w:noWrap w:val="0"/>
            <w:vAlign w:val="center"/>
          </w:tcPr>
          <w:p>
            <w:pPr>
              <w:adjustRightInd w:val="0"/>
              <w:snapToGrid w:val="0"/>
              <w:spacing w:line="360" w:lineRule="auto"/>
              <w:jc w:val="center"/>
              <w:rPr>
                <w:rFonts w:ascii="仿宋_GB2312" w:eastAsia="仿宋_GB2312" w:hAnsi="仿宋_GB2312" w:cs="仿宋_GB2312" w:hint="eastAsia"/>
                <w:kern w:val="2"/>
                <w:sz w:val="18"/>
                <w:szCs w:val="18"/>
                <w:lang w:val="en-US" w:eastAsia="zh-CN" w:bidi="ar-SA"/>
              </w:rPr>
            </w:pPr>
          </w:p>
        </w:tc>
      </w:tr>
      <w:tr>
        <w:tblPrEx>
          <w:tblW w:w="8383" w:type="dxa"/>
          <w:jc w:val="center"/>
          <w:tblLayout w:type="fixed"/>
          <w:tblCellMar>
            <w:top w:w="0" w:type="dxa"/>
            <w:left w:w="108" w:type="dxa"/>
            <w:bottom w:w="0" w:type="dxa"/>
            <w:right w:w="108" w:type="dxa"/>
          </w:tblCellMar>
        </w:tblPrEx>
        <w:trPr>
          <w:trHeight w:hRule="exact" w:val="1017"/>
          <w:jc w:val="center"/>
        </w:trPr>
        <w:tc>
          <w:tcPr>
            <w:tcW w:w="428" w:type="dxa"/>
            <w:noWrap w:val="0"/>
            <w:vAlign w:val="top"/>
          </w:tcPr>
          <w:p>
            <w:pPr>
              <w:numPr>
                <w:ilvl w:val="0"/>
                <w:numId w:val="0"/>
              </w:numPr>
              <w:adjustRightInd w:val="0"/>
              <w:snapToGrid w:val="0"/>
              <w:spacing w:line="360" w:lineRule="auto"/>
              <w:ind w:leftChars="0"/>
              <w:jc w:val="both"/>
              <w:rPr>
                <w:rFonts w:ascii="仿宋_GB2312" w:eastAsia="仿宋_GB2312" w:hAnsi="仿宋_GB2312" w:cs="仿宋_GB2312" w:hint="default"/>
                <w:kern w:val="2"/>
                <w:sz w:val="18"/>
                <w:szCs w:val="18"/>
                <w:lang w:val="en-US" w:eastAsia="zh-CN" w:bidi="ar-SA"/>
              </w:rPr>
            </w:pPr>
            <w:r>
              <w:rPr>
                <w:rFonts w:ascii="仿宋_GB2312" w:eastAsia="仿宋_GB2312" w:hAnsi="仿宋_GB2312" w:cs="仿宋_GB2312" w:hint="eastAsia"/>
                <w:kern w:val="2"/>
                <w:sz w:val="18"/>
                <w:szCs w:val="18"/>
                <w:lang w:val="en-US" w:eastAsia="zh-CN" w:bidi="ar-SA"/>
              </w:rPr>
              <w:t>15</w:t>
            </w:r>
          </w:p>
        </w:tc>
        <w:tc>
          <w:tcPr>
            <w:tcW w:w="720" w:type="dxa"/>
            <w:vMerge/>
            <w:noWrap w:val="0"/>
            <w:vAlign w:val="top"/>
          </w:tcPr>
          <w:p>
            <w:pPr>
              <w:adjustRightInd w:val="0"/>
              <w:snapToGrid w:val="0"/>
              <w:spacing w:line="360" w:lineRule="auto"/>
              <w:jc w:val="center"/>
              <w:rPr>
                <w:rFonts w:ascii="仿宋_GB2312" w:eastAsia="仿宋_GB2312" w:hAnsi="仿宋_GB2312" w:cs="仿宋_GB2312" w:hint="eastAsia"/>
                <w:kern w:val="2"/>
                <w:sz w:val="18"/>
                <w:szCs w:val="18"/>
                <w:lang w:val="en-US" w:eastAsia="zh-CN" w:bidi="ar-SA"/>
              </w:rPr>
            </w:pPr>
          </w:p>
        </w:tc>
        <w:tc>
          <w:tcPr>
            <w:tcW w:w="681" w:type="dxa"/>
            <w:noWrap w:val="0"/>
            <w:vAlign w:val="center"/>
          </w:tcPr>
          <w:p>
            <w:pPr>
              <w:adjustRightInd w:val="0"/>
              <w:snapToGrid w:val="0"/>
              <w:spacing w:line="360" w:lineRule="auto"/>
              <w:jc w:val="center"/>
              <w:rPr>
                <w:rFonts w:ascii="仿宋_GB2312" w:eastAsia="仿宋_GB2312" w:hAnsi="仿宋_GB2312" w:cs="仿宋_GB2312" w:hint="eastAsia"/>
                <w:kern w:val="2"/>
                <w:sz w:val="18"/>
                <w:szCs w:val="18"/>
                <w:lang w:val="en-US" w:eastAsia="zh-CN" w:bidi="ar-SA"/>
              </w:rPr>
            </w:pPr>
            <w:r>
              <w:rPr>
                <w:rFonts w:ascii="仿宋_GB2312" w:eastAsia="仿宋_GB2312" w:hAnsi="仿宋_GB2312" w:cs="仿宋_GB2312" w:hint="eastAsia"/>
                <w:kern w:val="2"/>
                <w:sz w:val="18"/>
                <w:szCs w:val="18"/>
                <w:lang w:val="en-US" w:eastAsia="zh-CN" w:bidi="ar-SA"/>
              </w:rPr>
              <w:t>▲</w:t>
            </w:r>
          </w:p>
        </w:tc>
        <w:tc>
          <w:tcPr>
            <w:tcW w:w="770" w:type="dxa"/>
            <w:vMerge/>
            <w:noWrap w:val="0"/>
            <w:vAlign w:val="center"/>
          </w:tcPr>
          <w:p>
            <w:pPr>
              <w:adjustRightInd w:val="0"/>
              <w:snapToGrid w:val="0"/>
              <w:spacing w:line="360" w:lineRule="auto"/>
              <w:jc w:val="center"/>
              <w:rPr>
                <w:rFonts w:ascii="仿宋_GB2312" w:eastAsia="仿宋_GB2312" w:hAnsi="仿宋_GB2312" w:cs="仿宋_GB2312" w:hint="eastAsia"/>
                <w:kern w:val="2"/>
                <w:sz w:val="18"/>
                <w:szCs w:val="18"/>
                <w:lang w:val="en-US" w:eastAsia="zh-CN" w:bidi="ar-SA"/>
              </w:rPr>
            </w:pPr>
          </w:p>
        </w:tc>
        <w:tc>
          <w:tcPr>
            <w:tcW w:w="4849" w:type="dxa"/>
            <w:noWrap w:val="0"/>
            <w:vAlign w:val="center"/>
          </w:tcPr>
          <w:p>
            <w:pPr>
              <w:adjustRightInd w:val="0"/>
              <w:snapToGrid w:val="0"/>
              <w:spacing w:line="360" w:lineRule="auto"/>
              <w:jc w:val="left"/>
              <w:rPr>
                <w:rFonts w:ascii="仿宋_GB2312" w:eastAsia="仿宋_GB2312" w:hAnsi="仿宋_GB2312" w:cs="仿宋_GB2312" w:hint="eastAsia"/>
                <w:kern w:val="2"/>
                <w:sz w:val="18"/>
                <w:szCs w:val="18"/>
                <w:lang w:val="en-US" w:eastAsia="zh-CN" w:bidi="ar-SA"/>
              </w:rPr>
            </w:pPr>
            <w:r>
              <w:rPr>
                <w:rFonts w:ascii="仿宋_GB2312" w:eastAsia="仿宋_GB2312" w:hAnsi="仿宋_GB2312" w:cs="仿宋_GB2312" w:hint="eastAsia"/>
                <w:kern w:val="2"/>
                <w:sz w:val="18"/>
                <w:szCs w:val="18"/>
                <w:lang w:val="en-US" w:eastAsia="zh-CN" w:bidi="ar-SA"/>
              </w:rPr>
              <w:t>（7）云上漏洞扫描。每月利用云上漏洞扫描工具对云上服务器、中间件、容器等进行漏洞扫描，并提供漏洞统计、漏洞分类、漏洞详情等信息，并对漏洞情况进行交接、修复验证等工作。</w:t>
            </w:r>
          </w:p>
        </w:tc>
        <w:tc>
          <w:tcPr>
            <w:tcW w:w="935" w:type="dxa"/>
            <w:noWrap w:val="0"/>
            <w:vAlign w:val="center"/>
          </w:tcPr>
          <w:p>
            <w:pPr>
              <w:adjustRightInd w:val="0"/>
              <w:snapToGrid w:val="0"/>
              <w:spacing w:line="360" w:lineRule="auto"/>
              <w:jc w:val="center"/>
              <w:rPr>
                <w:rFonts w:ascii="仿宋_GB2312" w:eastAsia="仿宋_GB2312" w:hAnsi="仿宋_GB2312" w:cs="仿宋_GB2312" w:hint="eastAsia"/>
                <w:kern w:val="2"/>
                <w:sz w:val="18"/>
                <w:szCs w:val="18"/>
                <w:lang w:val="en-US" w:eastAsia="zh-CN" w:bidi="ar-SA"/>
              </w:rPr>
            </w:pPr>
          </w:p>
        </w:tc>
      </w:tr>
      <w:tr>
        <w:tblPrEx>
          <w:tblW w:w="8383" w:type="dxa"/>
          <w:jc w:val="center"/>
          <w:tblLayout w:type="fixed"/>
          <w:tblCellMar>
            <w:top w:w="0" w:type="dxa"/>
            <w:left w:w="108" w:type="dxa"/>
            <w:bottom w:w="0" w:type="dxa"/>
            <w:right w:w="108" w:type="dxa"/>
          </w:tblCellMar>
        </w:tblPrEx>
        <w:trPr>
          <w:trHeight w:hRule="exact" w:val="783"/>
          <w:jc w:val="center"/>
        </w:trPr>
        <w:tc>
          <w:tcPr>
            <w:tcW w:w="428" w:type="dxa"/>
            <w:noWrap w:val="0"/>
            <w:vAlign w:val="top"/>
          </w:tcPr>
          <w:p>
            <w:pPr>
              <w:numPr>
                <w:ilvl w:val="0"/>
                <w:numId w:val="0"/>
              </w:numPr>
              <w:adjustRightInd w:val="0"/>
              <w:snapToGrid w:val="0"/>
              <w:spacing w:line="360" w:lineRule="auto"/>
              <w:ind w:leftChars="0"/>
              <w:jc w:val="both"/>
              <w:rPr>
                <w:rFonts w:ascii="仿宋_GB2312" w:eastAsia="仿宋_GB2312" w:hAnsi="仿宋_GB2312" w:cs="仿宋_GB2312" w:hint="default"/>
                <w:kern w:val="2"/>
                <w:sz w:val="18"/>
                <w:szCs w:val="18"/>
                <w:lang w:val="en-US" w:eastAsia="zh-CN" w:bidi="ar-SA"/>
              </w:rPr>
            </w:pPr>
            <w:r>
              <w:rPr>
                <w:rFonts w:ascii="仿宋_GB2312" w:eastAsia="仿宋_GB2312" w:hAnsi="仿宋_GB2312" w:cs="仿宋_GB2312" w:hint="eastAsia"/>
                <w:kern w:val="2"/>
                <w:sz w:val="18"/>
                <w:szCs w:val="18"/>
                <w:lang w:val="en-US" w:eastAsia="zh-CN" w:bidi="ar-SA"/>
              </w:rPr>
              <w:t>16</w:t>
            </w:r>
          </w:p>
        </w:tc>
        <w:tc>
          <w:tcPr>
            <w:tcW w:w="720" w:type="dxa"/>
            <w:vMerge/>
            <w:noWrap w:val="0"/>
            <w:vAlign w:val="top"/>
          </w:tcPr>
          <w:p>
            <w:pPr>
              <w:adjustRightInd w:val="0"/>
              <w:snapToGrid w:val="0"/>
              <w:spacing w:line="360" w:lineRule="auto"/>
              <w:jc w:val="center"/>
              <w:rPr>
                <w:rFonts w:ascii="仿宋_GB2312" w:eastAsia="仿宋_GB2312" w:hAnsi="仿宋_GB2312" w:cs="仿宋_GB2312" w:hint="eastAsia"/>
                <w:kern w:val="2"/>
                <w:sz w:val="18"/>
                <w:szCs w:val="18"/>
                <w:lang w:val="en-US" w:eastAsia="zh-CN" w:bidi="ar-SA"/>
              </w:rPr>
            </w:pPr>
          </w:p>
        </w:tc>
        <w:tc>
          <w:tcPr>
            <w:tcW w:w="681" w:type="dxa"/>
            <w:noWrap w:val="0"/>
            <w:vAlign w:val="center"/>
          </w:tcPr>
          <w:p>
            <w:pPr>
              <w:adjustRightInd w:val="0"/>
              <w:snapToGrid w:val="0"/>
              <w:spacing w:line="360" w:lineRule="auto"/>
              <w:jc w:val="center"/>
              <w:rPr>
                <w:rFonts w:ascii="仿宋_GB2312" w:eastAsia="仿宋_GB2312" w:hAnsi="仿宋_GB2312" w:cs="仿宋_GB2312" w:hint="eastAsia"/>
                <w:kern w:val="2"/>
                <w:sz w:val="18"/>
                <w:szCs w:val="18"/>
                <w:lang w:val="en-US" w:eastAsia="zh-CN" w:bidi="ar-SA"/>
              </w:rPr>
            </w:pPr>
            <w:r>
              <w:rPr>
                <w:rFonts w:ascii="仿宋_GB2312" w:eastAsia="仿宋_GB2312" w:hAnsi="仿宋_GB2312" w:cs="仿宋_GB2312" w:hint="eastAsia"/>
                <w:kern w:val="2"/>
                <w:sz w:val="18"/>
                <w:szCs w:val="18"/>
                <w:lang w:val="en-US" w:eastAsia="zh-CN" w:bidi="ar-SA"/>
              </w:rPr>
              <w:t>▲</w:t>
            </w:r>
          </w:p>
        </w:tc>
        <w:tc>
          <w:tcPr>
            <w:tcW w:w="770" w:type="dxa"/>
            <w:vMerge/>
            <w:noWrap w:val="0"/>
            <w:vAlign w:val="center"/>
          </w:tcPr>
          <w:p>
            <w:pPr>
              <w:adjustRightInd w:val="0"/>
              <w:snapToGrid w:val="0"/>
              <w:spacing w:line="360" w:lineRule="auto"/>
              <w:jc w:val="center"/>
              <w:rPr>
                <w:rFonts w:ascii="仿宋_GB2312" w:eastAsia="仿宋_GB2312" w:hAnsi="仿宋_GB2312" w:cs="仿宋_GB2312" w:hint="eastAsia"/>
                <w:kern w:val="2"/>
                <w:sz w:val="18"/>
                <w:szCs w:val="18"/>
                <w:lang w:val="en-US" w:eastAsia="zh-CN" w:bidi="ar-SA"/>
              </w:rPr>
            </w:pPr>
          </w:p>
        </w:tc>
        <w:tc>
          <w:tcPr>
            <w:tcW w:w="4849" w:type="dxa"/>
            <w:noWrap w:val="0"/>
            <w:vAlign w:val="center"/>
          </w:tcPr>
          <w:p>
            <w:pPr>
              <w:adjustRightInd w:val="0"/>
              <w:snapToGrid w:val="0"/>
              <w:spacing w:line="360" w:lineRule="auto"/>
              <w:jc w:val="left"/>
              <w:rPr>
                <w:rFonts w:ascii="仿宋_GB2312" w:eastAsia="仿宋_GB2312" w:hAnsi="仿宋_GB2312" w:cs="仿宋_GB2312" w:hint="eastAsia"/>
                <w:kern w:val="2"/>
                <w:sz w:val="18"/>
                <w:szCs w:val="18"/>
                <w:lang w:val="en-US" w:eastAsia="zh-CN" w:bidi="ar-SA"/>
              </w:rPr>
            </w:pPr>
            <w:r>
              <w:rPr>
                <w:rFonts w:ascii="仿宋_GB2312" w:eastAsia="仿宋_GB2312" w:hAnsi="仿宋_GB2312" w:cs="仿宋_GB2312" w:hint="eastAsia"/>
                <w:kern w:val="2"/>
                <w:sz w:val="18"/>
                <w:szCs w:val="18"/>
                <w:lang w:val="en-US" w:eastAsia="zh-CN" w:bidi="ar-SA"/>
              </w:rPr>
              <w:t>（8）对云桌面系统进行运行维护，升级系统、补丁更新、策略下发及问题处理等工作，保证云桌面的稳定运行。</w:t>
            </w:r>
          </w:p>
        </w:tc>
        <w:tc>
          <w:tcPr>
            <w:tcW w:w="935" w:type="dxa"/>
            <w:noWrap w:val="0"/>
            <w:vAlign w:val="center"/>
          </w:tcPr>
          <w:p>
            <w:pPr>
              <w:adjustRightInd w:val="0"/>
              <w:snapToGrid w:val="0"/>
              <w:spacing w:line="360" w:lineRule="auto"/>
              <w:jc w:val="center"/>
              <w:rPr>
                <w:rFonts w:ascii="仿宋_GB2312" w:eastAsia="仿宋_GB2312" w:hAnsi="仿宋_GB2312" w:cs="仿宋_GB2312" w:hint="eastAsia"/>
                <w:kern w:val="2"/>
                <w:sz w:val="18"/>
                <w:szCs w:val="18"/>
                <w:lang w:val="en-US" w:eastAsia="zh-CN" w:bidi="ar-SA"/>
              </w:rPr>
            </w:pPr>
          </w:p>
        </w:tc>
      </w:tr>
      <w:tr>
        <w:tblPrEx>
          <w:tblW w:w="8383" w:type="dxa"/>
          <w:jc w:val="center"/>
          <w:tblLayout w:type="fixed"/>
          <w:tblCellMar>
            <w:top w:w="0" w:type="dxa"/>
            <w:left w:w="108" w:type="dxa"/>
            <w:bottom w:w="0" w:type="dxa"/>
            <w:right w:w="108" w:type="dxa"/>
          </w:tblCellMar>
        </w:tblPrEx>
        <w:trPr>
          <w:trHeight w:hRule="exact" w:val="807"/>
          <w:jc w:val="center"/>
        </w:trPr>
        <w:tc>
          <w:tcPr>
            <w:tcW w:w="428" w:type="dxa"/>
            <w:noWrap w:val="0"/>
            <w:vAlign w:val="top"/>
          </w:tcPr>
          <w:p>
            <w:pPr>
              <w:numPr>
                <w:ilvl w:val="0"/>
                <w:numId w:val="0"/>
              </w:numPr>
              <w:adjustRightInd w:val="0"/>
              <w:snapToGrid w:val="0"/>
              <w:spacing w:line="360" w:lineRule="auto"/>
              <w:ind w:leftChars="0"/>
              <w:jc w:val="both"/>
              <w:rPr>
                <w:rFonts w:ascii="仿宋_GB2312" w:eastAsia="仿宋_GB2312" w:hAnsi="仿宋_GB2312" w:cs="仿宋_GB2312" w:hint="default"/>
                <w:kern w:val="2"/>
                <w:sz w:val="18"/>
                <w:szCs w:val="18"/>
                <w:lang w:val="en-US" w:eastAsia="zh-CN" w:bidi="ar-SA"/>
              </w:rPr>
            </w:pPr>
            <w:r>
              <w:rPr>
                <w:rFonts w:ascii="仿宋_GB2312" w:eastAsia="仿宋_GB2312" w:hAnsi="仿宋_GB2312" w:cs="仿宋_GB2312" w:hint="eastAsia"/>
                <w:kern w:val="2"/>
                <w:sz w:val="18"/>
                <w:szCs w:val="18"/>
                <w:lang w:val="en-US" w:eastAsia="zh-CN" w:bidi="ar-SA"/>
              </w:rPr>
              <w:t>17</w:t>
            </w:r>
          </w:p>
        </w:tc>
        <w:tc>
          <w:tcPr>
            <w:tcW w:w="720" w:type="dxa"/>
            <w:vMerge/>
            <w:noWrap w:val="0"/>
            <w:vAlign w:val="top"/>
          </w:tcPr>
          <w:p>
            <w:pPr>
              <w:adjustRightInd w:val="0"/>
              <w:snapToGrid w:val="0"/>
              <w:spacing w:line="360" w:lineRule="auto"/>
              <w:jc w:val="center"/>
              <w:rPr>
                <w:rFonts w:ascii="仿宋_GB2312" w:eastAsia="仿宋_GB2312" w:hAnsi="仿宋_GB2312" w:cs="仿宋_GB2312" w:hint="eastAsia"/>
                <w:kern w:val="2"/>
                <w:sz w:val="18"/>
                <w:szCs w:val="18"/>
                <w:lang w:val="en-US" w:eastAsia="zh-CN" w:bidi="ar-SA"/>
              </w:rPr>
            </w:pPr>
          </w:p>
        </w:tc>
        <w:tc>
          <w:tcPr>
            <w:tcW w:w="681" w:type="dxa"/>
            <w:noWrap w:val="0"/>
            <w:vAlign w:val="center"/>
          </w:tcPr>
          <w:p>
            <w:pPr>
              <w:adjustRightInd w:val="0"/>
              <w:snapToGrid w:val="0"/>
              <w:spacing w:line="360" w:lineRule="auto"/>
              <w:jc w:val="center"/>
              <w:rPr>
                <w:rFonts w:ascii="仿宋_GB2312" w:eastAsia="仿宋_GB2312" w:hAnsi="仿宋_GB2312" w:cs="仿宋_GB2312" w:hint="eastAsia"/>
                <w:kern w:val="2"/>
                <w:sz w:val="18"/>
                <w:szCs w:val="18"/>
                <w:lang w:val="en-US" w:eastAsia="zh-CN" w:bidi="ar-SA"/>
              </w:rPr>
            </w:pPr>
            <w:r>
              <w:rPr>
                <w:rFonts w:ascii="仿宋_GB2312" w:eastAsia="仿宋_GB2312" w:hAnsi="仿宋_GB2312" w:cs="仿宋_GB2312" w:hint="eastAsia"/>
                <w:kern w:val="2"/>
                <w:sz w:val="18"/>
                <w:szCs w:val="18"/>
                <w:lang w:val="en-US" w:eastAsia="zh-CN" w:bidi="ar-SA"/>
              </w:rPr>
              <w:t>▲</w:t>
            </w:r>
          </w:p>
        </w:tc>
        <w:tc>
          <w:tcPr>
            <w:tcW w:w="770" w:type="dxa"/>
            <w:vMerge w:val="restart"/>
            <w:noWrap w:val="0"/>
            <w:vAlign w:val="center"/>
          </w:tcPr>
          <w:p>
            <w:pPr>
              <w:adjustRightInd w:val="0"/>
              <w:snapToGrid w:val="0"/>
              <w:spacing w:line="360" w:lineRule="auto"/>
              <w:jc w:val="center"/>
              <w:rPr>
                <w:rFonts w:ascii="仿宋_GB2312" w:eastAsia="仿宋_GB2312" w:hAnsi="仿宋_GB2312" w:cs="仿宋_GB2312" w:hint="eastAsia"/>
                <w:kern w:val="2"/>
                <w:sz w:val="18"/>
                <w:szCs w:val="18"/>
                <w:lang w:val="en-US" w:eastAsia="zh-CN" w:bidi="ar-SA"/>
              </w:rPr>
            </w:pPr>
            <w:r>
              <w:rPr>
                <w:rFonts w:ascii="仿宋_GB2312" w:eastAsia="仿宋_GB2312" w:hAnsi="仿宋_GB2312" w:cs="仿宋_GB2312" w:hint="eastAsia"/>
                <w:kern w:val="2"/>
                <w:sz w:val="18"/>
                <w:szCs w:val="18"/>
                <w:lang w:val="en-US" w:eastAsia="zh-CN" w:bidi="ar-SA"/>
              </w:rPr>
              <w:t>3.3.7 安全管理平台及其延展的网络安全系统</w:t>
            </w:r>
          </w:p>
        </w:tc>
        <w:tc>
          <w:tcPr>
            <w:tcW w:w="4849" w:type="dxa"/>
            <w:noWrap w:val="0"/>
            <w:vAlign w:val="center"/>
          </w:tcPr>
          <w:p>
            <w:pPr>
              <w:adjustRightInd w:val="0"/>
              <w:snapToGrid w:val="0"/>
              <w:spacing w:line="360" w:lineRule="auto"/>
              <w:jc w:val="left"/>
              <w:rPr>
                <w:rFonts w:ascii="仿宋_GB2312" w:eastAsia="仿宋_GB2312" w:hAnsi="仿宋_GB2312" w:cs="仿宋_GB2312" w:hint="eastAsia"/>
                <w:kern w:val="2"/>
                <w:sz w:val="18"/>
                <w:szCs w:val="18"/>
                <w:lang w:val="en-US" w:eastAsia="zh-CN" w:bidi="ar-SA"/>
              </w:rPr>
            </w:pPr>
            <w:r>
              <w:rPr>
                <w:rFonts w:ascii="仿宋_GB2312" w:eastAsia="仿宋_GB2312" w:hAnsi="仿宋_GB2312" w:cs="仿宋_GB2312" w:hint="eastAsia"/>
                <w:kern w:val="2"/>
                <w:sz w:val="18"/>
                <w:szCs w:val="18"/>
                <w:lang w:val="en-US" w:eastAsia="zh-CN" w:bidi="ar-SA"/>
              </w:rPr>
              <w:t>（4）实时监测金四案管平台，发现网络和数据安全风险及时推送处置。</w:t>
            </w:r>
          </w:p>
        </w:tc>
        <w:tc>
          <w:tcPr>
            <w:tcW w:w="935" w:type="dxa"/>
            <w:noWrap w:val="0"/>
            <w:vAlign w:val="center"/>
          </w:tcPr>
          <w:p>
            <w:pPr>
              <w:adjustRightInd w:val="0"/>
              <w:snapToGrid w:val="0"/>
              <w:spacing w:line="360" w:lineRule="auto"/>
              <w:jc w:val="center"/>
              <w:rPr>
                <w:rFonts w:ascii="仿宋_GB2312" w:eastAsia="仿宋_GB2312" w:hAnsi="仿宋_GB2312" w:cs="仿宋_GB2312" w:hint="eastAsia"/>
                <w:kern w:val="2"/>
                <w:sz w:val="18"/>
                <w:szCs w:val="18"/>
                <w:lang w:val="en-US" w:eastAsia="zh-CN" w:bidi="ar-SA"/>
              </w:rPr>
            </w:pPr>
          </w:p>
        </w:tc>
      </w:tr>
      <w:tr>
        <w:tblPrEx>
          <w:tblW w:w="8383" w:type="dxa"/>
          <w:jc w:val="center"/>
          <w:tblLayout w:type="fixed"/>
          <w:tblCellMar>
            <w:top w:w="0" w:type="dxa"/>
            <w:left w:w="108" w:type="dxa"/>
            <w:bottom w:w="0" w:type="dxa"/>
            <w:right w:w="108" w:type="dxa"/>
          </w:tblCellMar>
        </w:tblPrEx>
        <w:trPr>
          <w:trHeight w:hRule="exact" w:val="1307"/>
          <w:jc w:val="center"/>
        </w:trPr>
        <w:tc>
          <w:tcPr>
            <w:tcW w:w="428" w:type="dxa"/>
            <w:noWrap w:val="0"/>
            <w:vAlign w:val="top"/>
          </w:tcPr>
          <w:p>
            <w:pPr>
              <w:numPr>
                <w:ilvl w:val="0"/>
                <w:numId w:val="0"/>
              </w:numPr>
              <w:adjustRightInd w:val="0"/>
              <w:snapToGrid w:val="0"/>
              <w:spacing w:line="360" w:lineRule="auto"/>
              <w:ind w:leftChars="0"/>
              <w:jc w:val="both"/>
              <w:rPr>
                <w:rFonts w:ascii="仿宋_GB2312" w:eastAsia="仿宋_GB2312" w:hAnsi="仿宋_GB2312" w:cs="仿宋_GB2312" w:hint="default"/>
                <w:kern w:val="2"/>
                <w:sz w:val="18"/>
                <w:szCs w:val="18"/>
                <w:lang w:val="en-US" w:eastAsia="zh-CN" w:bidi="ar-SA"/>
              </w:rPr>
            </w:pPr>
            <w:r>
              <w:rPr>
                <w:rFonts w:ascii="仿宋_GB2312" w:eastAsia="仿宋_GB2312" w:hAnsi="仿宋_GB2312" w:cs="仿宋_GB2312" w:hint="eastAsia"/>
                <w:kern w:val="2"/>
                <w:sz w:val="18"/>
                <w:szCs w:val="18"/>
                <w:lang w:val="en-US" w:eastAsia="zh-CN" w:bidi="ar-SA"/>
              </w:rPr>
              <w:t>18</w:t>
            </w:r>
          </w:p>
        </w:tc>
        <w:tc>
          <w:tcPr>
            <w:tcW w:w="720" w:type="dxa"/>
            <w:vMerge/>
            <w:noWrap w:val="0"/>
            <w:vAlign w:val="top"/>
          </w:tcPr>
          <w:p>
            <w:pPr>
              <w:adjustRightInd w:val="0"/>
              <w:snapToGrid w:val="0"/>
              <w:spacing w:line="360" w:lineRule="auto"/>
              <w:jc w:val="center"/>
              <w:rPr>
                <w:rFonts w:ascii="仿宋_GB2312" w:eastAsia="仿宋_GB2312" w:hAnsi="仿宋_GB2312" w:cs="仿宋_GB2312" w:hint="eastAsia"/>
                <w:kern w:val="2"/>
                <w:sz w:val="18"/>
                <w:szCs w:val="18"/>
                <w:lang w:val="en-US" w:eastAsia="zh-CN" w:bidi="ar-SA"/>
              </w:rPr>
            </w:pPr>
          </w:p>
        </w:tc>
        <w:tc>
          <w:tcPr>
            <w:tcW w:w="681" w:type="dxa"/>
            <w:noWrap w:val="0"/>
            <w:vAlign w:val="center"/>
          </w:tcPr>
          <w:p>
            <w:pPr>
              <w:adjustRightInd w:val="0"/>
              <w:snapToGrid w:val="0"/>
              <w:spacing w:line="360" w:lineRule="auto"/>
              <w:jc w:val="center"/>
              <w:rPr>
                <w:rFonts w:ascii="仿宋_GB2312" w:eastAsia="仿宋_GB2312" w:hAnsi="仿宋_GB2312" w:cs="仿宋_GB2312" w:hint="eastAsia"/>
                <w:kern w:val="2"/>
                <w:sz w:val="18"/>
                <w:szCs w:val="18"/>
                <w:lang w:val="en-US" w:eastAsia="zh-CN" w:bidi="ar-SA"/>
              </w:rPr>
            </w:pPr>
            <w:r>
              <w:rPr>
                <w:rFonts w:ascii="仿宋_GB2312" w:eastAsia="仿宋_GB2312" w:hAnsi="仿宋_GB2312" w:cs="仿宋_GB2312" w:hint="eastAsia"/>
                <w:kern w:val="2"/>
                <w:sz w:val="18"/>
                <w:szCs w:val="18"/>
                <w:lang w:val="en-US" w:eastAsia="zh-CN" w:bidi="ar-SA"/>
              </w:rPr>
              <w:t>▲</w:t>
            </w:r>
          </w:p>
        </w:tc>
        <w:tc>
          <w:tcPr>
            <w:tcW w:w="770" w:type="dxa"/>
            <w:vMerge/>
            <w:noWrap w:val="0"/>
            <w:vAlign w:val="center"/>
          </w:tcPr>
          <w:p>
            <w:pPr>
              <w:adjustRightInd w:val="0"/>
              <w:snapToGrid w:val="0"/>
              <w:spacing w:line="360" w:lineRule="auto"/>
              <w:jc w:val="center"/>
              <w:rPr>
                <w:rFonts w:ascii="仿宋_GB2312" w:eastAsia="仿宋_GB2312" w:hAnsi="仿宋_GB2312" w:cs="仿宋_GB2312" w:hint="eastAsia"/>
                <w:kern w:val="2"/>
                <w:sz w:val="18"/>
                <w:szCs w:val="18"/>
                <w:lang w:val="en-US" w:eastAsia="zh-CN" w:bidi="ar-SA"/>
              </w:rPr>
            </w:pPr>
          </w:p>
        </w:tc>
        <w:tc>
          <w:tcPr>
            <w:tcW w:w="4849" w:type="dxa"/>
            <w:noWrap w:val="0"/>
            <w:vAlign w:val="center"/>
          </w:tcPr>
          <w:p>
            <w:pPr>
              <w:adjustRightInd w:val="0"/>
              <w:snapToGrid w:val="0"/>
              <w:spacing w:line="360" w:lineRule="auto"/>
              <w:jc w:val="left"/>
              <w:rPr>
                <w:rFonts w:ascii="仿宋_GB2312" w:eastAsia="仿宋_GB2312" w:hAnsi="仿宋_GB2312" w:cs="仿宋_GB2312" w:hint="eastAsia"/>
                <w:kern w:val="2"/>
                <w:sz w:val="18"/>
                <w:szCs w:val="18"/>
                <w:lang w:val="en-US" w:eastAsia="zh-CN" w:bidi="ar-SA"/>
              </w:rPr>
            </w:pPr>
            <w:r>
              <w:rPr>
                <w:rFonts w:ascii="仿宋_GB2312" w:eastAsia="仿宋_GB2312" w:hAnsi="仿宋_GB2312" w:cs="仿宋_GB2312" w:hint="eastAsia"/>
                <w:kern w:val="2"/>
                <w:sz w:val="18"/>
                <w:szCs w:val="18"/>
                <w:lang w:val="en-US" w:eastAsia="zh-CN" w:bidi="ar-SA"/>
              </w:rPr>
              <w:t>（5）及时做好风险预警分析研判及事件处置，保证风险任务闭环管理。</w:t>
            </w:r>
          </w:p>
        </w:tc>
        <w:tc>
          <w:tcPr>
            <w:tcW w:w="935" w:type="dxa"/>
            <w:noWrap w:val="0"/>
            <w:vAlign w:val="center"/>
          </w:tcPr>
          <w:p>
            <w:pPr>
              <w:adjustRightInd w:val="0"/>
              <w:snapToGrid w:val="0"/>
              <w:spacing w:line="360" w:lineRule="auto"/>
              <w:jc w:val="center"/>
              <w:rPr>
                <w:rFonts w:ascii="仿宋_GB2312" w:eastAsia="仿宋_GB2312" w:hAnsi="仿宋_GB2312" w:cs="仿宋_GB2312" w:hint="eastAsia"/>
                <w:kern w:val="2"/>
                <w:sz w:val="18"/>
                <w:szCs w:val="18"/>
                <w:lang w:val="en-US" w:eastAsia="zh-CN" w:bidi="ar-SA"/>
              </w:rPr>
            </w:pPr>
          </w:p>
        </w:tc>
      </w:tr>
      <w:tr>
        <w:tblPrEx>
          <w:tblW w:w="8383" w:type="dxa"/>
          <w:jc w:val="center"/>
          <w:tblLayout w:type="fixed"/>
          <w:tblCellMar>
            <w:top w:w="0" w:type="dxa"/>
            <w:left w:w="108" w:type="dxa"/>
            <w:bottom w:w="0" w:type="dxa"/>
            <w:right w:w="108" w:type="dxa"/>
          </w:tblCellMar>
        </w:tblPrEx>
        <w:trPr>
          <w:trHeight w:hRule="exact" w:val="1307"/>
          <w:jc w:val="center"/>
        </w:trPr>
        <w:tc>
          <w:tcPr>
            <w:tcW w:w="428" w:type="dxa"/>
            <w:noWrap w:val="0"/>
            <w:vAlign w:val="top"/>
          </w:tcPr>
          <w:p>
            <w:pPr>
              <w:numPr>
                <w:ilvl w:val="0"/>
                <w:numId w:val="0"/>
              </w:numPr>
              <w:adjustRightInd w:val="0"/>
              <w:snapToGrid w:val="0"/>
              <w:spacing w:line="360" w:lineRule="auto"/>
              <w:ind w:leftChars="0"/>
              <w:jc w:val="both"/>
              <w:rPr>
                <w:rFonts w:ascii="仿宋_GB2312" w:eastAsia="仿宋_GB2312" w:hAnsi="仿宋_GB2312" w:cs="仿宋_GB2312" w:hint="default"/>
                <w:kern w:val="2"/>
                <w:sz w:val="18"/>
                <w:szCs w:val="18"/>
                <w:lang w:val="en-US" w:eastAsia="zh-CN" w:bidi="ar-SA"/>
              </w:rPr>
            </w:pPr>
            <w:r>
              <w:rPr>
                <w:rFonts w:ascii="仿宋_GB2312" w:eastAsia="仿宋_GB2312" w:hAnsi="仿宋_GB2312" w:cs="仿宋_GB2312" w:hint="eastAsia"/>
                <w:kern w:val="2"/>
                <w:sz w:val="18"/>
                <w:szCs w:val="18"/>
                <w:lang w:val="en-US" w:eastAsia="zh-CN" w:bidi="ar-SA"/>
              </w:rPr>
              <w:t>19</w:t>
            </w:r>
          </w:p>
        </w:tc>
        <w:tc>
          <w:tcPr>
            <w:tcW w:w="720" w:type="dxa"/>
            <w:vMerge/>
            <w:noWrap w:val="0"/>
            <w:vAlign w:val="top"/>
          </w:tcPr>
          <w:p>
            <w:pPr>
              <w:adjustRightInd w:val="0"/>
              <w:snapToGrid w:val="0"/>
              <w:spacing w:line="360" w:lineRule="auto"/>
              <w:jc w:val="center"/>
              <w:rPr>
                <w:rFonts w:ascii="仿宋_GB2312" w:eastAsia="仿宋_GB2312" w:hAnsi="仿宋_GB2312" w:cs="仿宋_GB2312" w:hint="eastAsia"/>
                <w:kern w:val="2"/>
                <w:sz w:val="18"/>
                <w:szCs w:val="18"/>
                <w:lang w:val="en-US" w:eastAsia="zh-CN" w:bidi="ar-SA"/>
              </w:rPr>
            </w:pPr>
          </w:p>
        </w:tc>
        <w:tc>
          <w:tcPr>
            <w:tcW w:w="681" w:type="dxa"/>
            <w:noWrap w:val="0"/>
            <w:vAlign w:val="center"/>
          </w:tcPr>
          <w:p>
            <w:pPr>
              <w:adjustRightInd w:val="0"/>
              <w:snapToGrid w:val="0"/>
              <w:spacing w:line="360" w:lineRule="auto"/>
              <w:jc w:val="center"/>
              <w:rPr>
                <w:rFonts w:ascii="仿宋_GB2312" w:eastAsia="仿宋_GB2312" w:hAnsi="仿宋_GB2312" w:cs="仿宋_GB2312" w:hint="eastAsia"/>
                <w:kern w:val="2"/>
                <w:sz w:val="18"/>
                <w:szCs w:val="18"/>
                <w:lang w:val="en-US" w:eastAsia="zh-CN" w:bidi="ar-SA"/>
              </w:rPr>
            </w:pPr>
            <w:r>
              <w:rPr>
                <w:rFonts w:ascii="仿宋_GB2312" w:eastAsia="仿宋_GB2312" w:hAnsi="仿宋_GB2312" w:cs="仿宋_GB2312" w:hint="eastAsia"/>
                <w:kern w:val="2"/>
                <w:sz w:val="18"/>
                <w:szCs w:val="18"/>
                <w:lang w:val="en-US" w:eastAsia="zh-CN" w:bidi="ar-SA"/>
              </w:rPr>
              <w:t>▲</w:t>
            </w:r>
          </w:p>
        </w:tc>
        <w:tc>
          <w:tcPr>
            <w:tcW w:w="770" w:type="dxa"/>
            <w:vMerge/>
            <w:noWrap w:val="0"/>
            <w:vAlign w:val="center"/>
          </w:tcPr>
          <w:p>
            <w:pPr>
              <w:adjustRightInd w:val="0"/>
              <w:snapToGrid w:val="0"/>
              <w:spacing w:line="360" w:lineRule="auto"/>
              <w:jc w:val="center"/>
              <w:rPr>
                <w:rFonts w:ascii="仿宋_GB2312" w:eastAsia="仿宋_GB2312" w:hAnsi="仿宋_GB2312" w:cs="仿宋_GB2312" w:hint="eastAsia"/>
                <w:kern w:val="2"/>
                <w:sz w:val="18"/>
                <w:szCs w:val="18"/>
                <w:lang w:val="en-US" w:eastAsia="zh-CN" w:bidi="ar-SA"/>
              </w:rPr>
            </w:pPr>
          </w:p>
        </w:tc>
        <w:tc>
          <w:tcPr>
            <w:tcW w:w="4849" w:type="dxa"/>
            <w:noWrap w:val="0"/>
            <w:vAlign w:val="center"/>
          </w:tcPr>
          <w:p>
            <w:pPr>
              <w:adjustRightInd w:val="0"/>
              <w:snapToGrid w:val="0"/>
              <w:spacing w:line="360" w:lineRule="auto"/>
              <w:jc w:val="left"/>
              <w:rPr>
                <w:rFonts w:ascii="仿宋_GB2312" w:eastAsia="仿宋_GB2312" w:hAnsi="仿宋_GB2312" w:cs="仿宋_GB2312" w:hint="eastAsia"/>
                <w:kern w:val="2"/>
                <w:sz w:val="18"/>
                <w:szCs w:val="18"/>
                <w:lang w:val="en-US" w:eastAsia="zh-CN" w:bidi="ar-SA"/>
              </w:rPr>
            </w:pPr>
            <w:r>
              <w:rPr>
                <w:rFonts w:ascii="仿宋_GB2312" w:eastAsia="仿宋_GB2312" w:hAnsi="仿宋_GB2312" w:cs="仿宋_GB2312" w:hint="eastAsia"/>
                <w:kern w:val="2"/>
                <w:sz w:val="18"/>
                <w:szCs w:val="18"/>
                <w:lang w:val="en-US" w:eastAsia="zh-CN" w:bidi="ar-SA"/>
              </w:rPr>
              <w:t>（6）研究“云、网、端、管”扩围对接。协助采购人开展全网段全量安全防护设备的SNMP和Syslog对接，监控安全设备运行状态，监控分析内外部安全风险。</w:t>
            </w:r>
          </w:p>
        </w:tc>
        <w:tc>
          <w:tcPr>
            <w:tcW w:w="935" w:type="dxa"/>
            <w:noWrap w:val="0"/>
            <w:vAlign w:val="center"/>
          </w:tcPr>
          <w:p>
            <w:pPr>
              <w:adjustRightInd w:val="0"/>
              <w:snapToGrid w:val="0"/>
              <w:spacing w:line="360" w:lineRule="auto"/>
              <w:jc w:val="center"/>
              <w:rPr>
                <w:rFonts w:ascii="仿宋_GB2312" w:eastAsia="仿宋_GB2312" w:hAnsi="仿宋_GB2312" w:cs="仿宋_GB2312" w:hint="eastAsia"/>
                <w:kern w:val="2"/>
                <w:sz w:val="18"/>
                <w:szCs w:val="18"/>
                <w:lang w:val="en-US" w:eastAsia="zh-CN" w:bidi="ar-SA"/>
              </w:rPr>
            </w:pPr>
          </w:p>
        </w:tc>
      </w:tr>
      <w:tr>
        <w:tblPrEx>
          <w:tblW w:w="8383" w:type="dxa"/>
          <w:jc w:val="center"/>
          <w:tblLayout w:type="fixed"/>
          <w:tblCellMar>
            <w:top w:w="0" w:type="dxa"/>
            <w:left w:w="108" w:type="dxa"/>
            <w:bottom w:w="0" w:type="dxa"/>
            <w:right w:w="108" w:type="dxa"/>
          </w:tblCellMar>
        </w:tblPrEx>
        <w:trPr>
          <w:trHeight w:hRule="exact" w:val="1307"/>
          <w:jc w:val="center"/>
        </w:trPr>
        <w:tc>
          <w:tcPr>
            <w:tcW w:w="428" w:type="dxa"/>
            <w:noWrap w:val="0"/>
            <w:vAlign w:val="top"/>
          </w:tcPr>
          <w:p>
            <w:pPr>
              <w:numPr>
                <w:ilvl w:val="0"/>
                <w:numId w:val="0"/>
              </w:numPr>
              <w:adjustRightInd w:val="0"/>
              <w:snapToGrid w:val="0"/>
              <w:spacing w:line="360" w:lineRule="auto"/>
              <w:ind w:leftChars="0"/>
              <w:jc w:val="both"/>
              <w:rPr>
                <w:rFonts w:ascii="仿宋_GB2312" w:eastAsia="仿宋_GB2312" w:hAnsi="仿宋_GB2312" w:cs="仿宋_GB2312" w:hint="default"/>
                <w:kern w:val="2"/>
                <w:sz w:val="18"/>
                <w:szCs w:val="18"/>
                <w:lang w:val="en-US" w:eastAsia="zh-CN" w:bidi="ar-SA"/>
              </w:rPr>
            </w:pPr>
            <w:r>
              <w:rPr>
                <w:rFonts w:ascii="仿宋_GB2312" w:eastAsia="仿宋_GB2312" w:hAnsi="仿宋_GB2312" w:cs="仿宋_GB2312" w:hint="eastAsia"/>
                <w:kern w:val="2"/>
                <w:sz w:val="18"/>
                <w:szCs w:val="18"/>
                <w:lang w:val="en-US" w:eastAsia="zh-CN" w:bidi="ar-SA"/>
              </w:rPr>
              <w:t>20</w:t>
            </w:r>
          </w:p>
        </w:tc>
        <w:tc>
          <w:tcPr>
            <w:tcW w:w="720" w:type="dxa"/>
            <w:vMerge/>
            <w:noWrap w:val="0"/>
            <w:vAlign w:val="top"/>
          </w:tcPr>
          <w:p>
            <w:pPr>
              <w:adjustRightInd w:val="0"/>
              <w:snapToGrid w:val="0"/>
              <w:spacing w:line="360" w:lineRule="auto"/>
              <w:jc w:val="center"/>
              <w:rPr>
                <w:rFonts w:ascii="仿宋_GB2312" w:eastAsia="仿宋_GB2312" w:hAnsi="仿宋_GB2312" w:cs="仿宋_GB2312" w:hint="eastAsia"/>
                <w:kern w:val="2"/>
                <w:sz w:val="18"/>
                <w:szCs w:val="18"/>
                <w:lang w:val="en-US" w:eastAsia="zh-CN" w:bidi="ar-SA"/>
              </w:rPr>
            </w:pPr>
          </w:p>
        </w:tc>
        <w:tc>
          <w:tcPr>
            <w:tcW w:w="681" w:type="dxa"/>
            <w:noWrap w:val="0"/>
            <w:vAlign w:val="center"/>
          </w:tcPr>
          <w:p>
            <w:pPr>
              <w:adjustRightInd w:val="0"/>
              <w:snapToGrid w:val="0"/>
              <w:spacing w:line="360" w:lineRule="auto"/>
              <w:jc w:val="center"/>
              <w:rPr>
                <w:rFonts w:ascii="仿宋_GB2312" w:eastAsia="仿宋_GB2312" w:hAnsi="仿宋_GB2312" w:cs="仿宋_GB2312" w:hint="eastAsia"/>
                <w:kern w:val="2"/>
                <w:sz w:val="18"/>
                <w:szCs w:val="18"/>
                <w:lang w:val="en-US" w:eastAsia="zh-CN" w:bidi="ar-SA"/>
              </w:rPr>
            </w:pPr>
            <w:r>
              <w:rPr>
                <w:rFonts w:ascii="仿宋_GB2312" w:eastAsia="仿宋_GB2312" w:hAnsi="仿宋_GB2312" w:cs="仿宋_GB2312" w:hint="eastAsia"/>
                <w:kern w:val="2"/>
                <w:sz w:val="18"/>
                <w:szCs w:val="18"/>
                <w:lang w:val="en-US" w:eastAsia="zh-CN" w:bidi="ar-SA"/>
              </w:rPr>
              <w:t>▲</w:t>
            </w:r>
          </w:p>
        </w:tc>
        <w:tc>
          <w:tcPr>
            <w:tcW w:w="770" w:type="dxa"/>
            <w:vMerge/>
            <w:noWrap w:val="0"/>
            <w:vAlign w:val="center"/>
          </w:tcPr>
          <w:p>
            <w:pPr>
              <w:adjustRightInd w:val="0"/>
              <w:snapToGrid w:val="0"/>
              <w:spacing w:line="360" w:lineRule="auto"/>
              <w:jc w:val="center"/>
              <w:rPr>
                <w:rFonts w:ascii="仿宋_GB2312" w:eastAsia="仿宋_GB2312" w:hAnsi="仿宋_GB2312" w:cs="仿宋_GB2312" w:hint="eastAsia"/>
                <w:kern w:val="2"/>
                <w:sz w:val="18"/>
                <w:szCs w:val="18"/>
                <w:lang w:val="en-US" w:eastAsia="zh-CN" w:bidi="ar-SA"/>
              </w:rPr>
            </w:pPr>
          </w:p>
        </w:tc>
        <w:tc>
          <w:tcPr>
            <w:tcW w:w="4849" w:type="dxa"/>
            <w:noWrap w:val="0"/>
            <w:vAlign w:val="center"/>
          </w:tcPr>
          <w:p>
            <w:pPr>
              <w:adjustRightInd w:val="0"/>
              <w:snapToGrid w:val="0"/>
              <w:spacing w:line="360" w:lineRule="auto"/>
              <w:jc w:val="left"/>
              <w:rPr>
                <w:rFonts w:ascii="仿宋_GB2312" w:eastAsia="仿宋_GB2312" w:hAnsi="仿宋_GB2312" w:cs="仿宋_GB2312" w:hint="eastAsia"/>
                <w:kern w:val="2"/>
                <w:sz w:val="18"/>
                <w:szCs w:val="18"/>
                <w:lang w:val="en-US" w:eastAsia="zh-CN" w:bidi="ar-SA"/>
              </w:rPr>
            </w:pPr>
            <w:r>
              <w:rPr>
                <w:rFonts w:ascii="仿宋_GB2312" w:eastAsia="仿宋_GB2312" w:hAnsi="仿宋_GB2312" w:cs="仿宋_GB2312" w:hint="eastAsia"/>
                <w:kern w:val="2"/>
                <w:sz w:val="18"/>
                <w:szCs w:val="18"/>
                <w:lang w:val="en-US" w:eastAsia="zh-CN" w:bidi="ar-SA"/>
              </w:rPr>
              <w:t>（7）研究“外防攻击、内防窃数”优质技术手段。按照采购人要求，对生成“外防攻击、内防窃数”信息的数据源进行梳理，协助采购人搭建规则模型，并持续优化完善。</w:t>
            </w:r>
          </w:p>
        </w:tc>
        <w:tc>
          <w:tcPr>
            <w:tcW w:w="935" w:type="dxa"/>
            <w:noWrap w:val="0"/>
            <w:vAlign w:val="center"/>
          </w:tcPr>
          <w:p>
            <w:pPr>
              <w:adjustRightInd w:val="0"/>
              <w:snapToGrid w:val="0"/>
              <w:spacing w:line="360" w:lineRule="auto"/>
              <w:jc w:val="center"/>
              <w:rPr>
                <w:rFonts w:ascii="仿宋_GB2312" w:eastAsia="仿宋_GB2312" w:hAnsi="仿宋_GB2312" w:cs="仿宋_GB2312" w:hint="eastAsia"/>
                <w:kern w:val="2"/>
                <w:sz w:val="18"/>
                <w:szCs w:val="18"/>
                <w:lang w:val="en-US" w:eastAsia="zh-CN" w:bidi="ar-SA"/>
              </w:rPr>
            </w:pPr>
          </w:p>
        </w:tc>
      </w:tr>
    </w:tbl>
    <w:p>
      <w:pPr>
        <w:pStyle w:val="Heading5"/>
        <w:numPr>
          <w:ilvl w:val="0"/>
          <w:numId w:val="0"/>
        </w:numPr>
        <w:tabs>
          <w:tab w:val="left" w:pos="780"/>
          <w:tab w:val="clear" w:pos="1008"/>
        </w:tabs>
        <w:ind w:leftChars="0"/>
        <w:rPr>
          <w:rFonts w:hint="default"/>
          <w:lang w:val="en-US" w:eastAsia="zh-CN"/>
        </w:rPr>
      </w:pPr>
    </w:p>
    <w:p/>
    <w:p/>
    <w:p>
      <w:pPr>
        <w:pStyle w:val="Normal0"/>
        <w:keepNext w:val="0"/>
        <w:keepLines w:val="0"/>
        <w:pageBreakBefore w:val="0"/>
        <w:widowControl w:val="0"/>
        <w:kinsoku/>
        <w:wordWrap/>
        <w:overflowPunct w:val="0"/>
        <w:topLinePunct w:val="0"/>
        <w:autoSpaceDE w:val="0"/>
        <w:autoSpaceDN w:val="0"/>
        <w:bidi w:val="0"/>
        <w:adjustRightInd w:val="0"/>
        <w:spacing w:line="560" w:lineRule="exact"/>
        <w:ind w:firstLine="640" w:firstLineChars="200"/>
        <w:jc w:val="left"/>
        <w:textAlignment w:val="baseline"/>
        <w:rPr>
          <w:rFonts w:ascii="仿宋_GB2312" w:eastAsia="仿宋_GB2312" w:hAnsi="仿宋_GB2312" w:cs="仿宋_GB2312" w:hint="eastAsia"/>
          <w:snapToGrid/>
          <w:color w:val="FF0000"/>
          <w:kern w:val="0"/>
          <w:sz w:val="32"/>
          <w:szCs w:val="32"/>
          <w:lang w:val="en-US" w:eastAsia="zh-CN" w:bidi="ar"/>
        </w:rPr>
      </w:pPr>
    </w:p>
    <w:sectPr>
      <w:footerReference w:type="default" r:id="rId5"/>
      <w:pgSz w:w="11906" w:h="16838"/>
      <w:pgMar w:top="1440" w:right="1800" w:bottom="1440" w:left="1800" w:header="851" w:footer="992" w:gutter="0"/>
      <w:cols w:num="1" w:space="708"/>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SimSun">
    <w:panose1 w:val="02010600030101010101"/>
    <w:charset w:val="86"/>
    <w:family w:val="auto"/>
    <w:pitch w:val="default"/>
    <w:sig w:usb0="00000003" w:usb1="288F0000" w:usb2="00000006" w:usb3="00000000" w:csb0="00040001" w:csb1="00000000"/>
  </w:font>
  <w:font w:name="SimHei">
    <w:panose1 w:val="02010609060101010101"/>
    <w:charset w:val="86"/>
    <w:family w:val="modern"/>
    <w:pitch w:val="default"/>
    <w:sig w:usb0="800002BF" w:usb1="38CF7CFA" w:usb2="00000016" w:usb3="00000000" w:csb0="00040001" w:csb1="00000000"/>
  </w:font>
  <w:font w:name="Verdana">
    <w:altName w:val="DejaVu Sans"/>
    <w:panose1 w:val="020B0604030504040204"/>
    <w:charset w:val="00"/>
    <w:family w:val="swiss"/>
    <w:pitch w:val="default"/>
    <w:sig w:usb0="00000000" w:usb1="00000000" w:usb2="00000010" w:usb3="00000000" w:csb0="0000019F" w:csb1="00000000"/>
  </w:font>
  <w:font w:name="FangSong_GB2312">
    <w:panose1 w:val="02010609030101010101"/>
    <w:charset w:val="86"/>
    <w:family w:val="auto"/>
    <w:pitch w:val="default"/>
    <w:sig w:usb0="00000001" w:usb1="080E0000" w:usb2="00000000" w:usb3="00000000" w:csb0="00040000" w:csb1="00000000"/>
  </w:font>
  <w:font w:name="Cambria">
    <w:altName w:val="Noto Sans Syriac Eastern"/>
    <w:panose1 w:val="02040503050406030204"/>
    <w:charset w:val="00"/>
    <w:family w:val="roman"/>
    <w:pitch w:val="default"/>
    <w:sig w:usb0="00000000" w:usb1="00000000" w:usb2="00000000" w:usb3="00000000" w:csb0="0000019F" w:csb1="00000000"/>
  </w:font>
  <w:font w:name="Microsoft YaHei">
    <w:panose1 w:val="020B0503020204020204"/>
    <w:charset w:val="86"/>
    <w:family w:val="swiss"/>
    <w:pitch w:val="default"/>
    <w:sig w:usb0="80000287" w:usb1="2A0F3C52" w:usb2="00000016" w:usb3="00000000" w:csb0="0004001F" w:csb1="00000000"/>
  </w:font>
  <w:font w:name="长城仿宋">
    <w:altName w:val="Microsoft YaHei"/>
    <w:panose1 w:val="020B0604020202020204"/>
    <w:charset w:val="00"/>
    <w:family w:val="modern"/>
    <w:pitch w:val="default"/>
    <w:sig w:usb0="00000000" w:usb1="00000000" w:usb2="00000010" w:usb3="00000000" w:csb0="00040000" w:csb1="00000000"/>
  </w:font>
  <w:font w:name="Calibri Light">
    <w:altName w:val="DejaVu Sans"/>
    <w:panose1 w:val="020F0302020204030204"/>
    <w:charset w:val="00"/>
    <w:family w:val="swiss"/>
    <w:pitch w:val="default"/>
    <w:sig w:usb0="00000000" w:usb1="00000000" w:usb2="00000009" w:usb3="00000000" w:csb0="000001FF" w:csb1="00000000"/>
  </w:font>
  <w:font w:name="Tahoma">
    <w:altName w:val="DejaVu Sans"/>
    <w:panose1 w:val="020B0604030504040204"/>
    <w:charset w:val="00"/>
    <w:family w:val="swiss"/>
    <w:pitch w:val="default"/>
    <w:sig w:usb0="00000000" w:usb1="00000000" w:usb2="00000029" w:usb3="00000000" w:csb0="000101FF" w:csb1="00000000"/>
  </w:font>
  <w:font w:name="仿宋_GB2312">
    <w:panose1 w:val="02010609030101010101"/>
    <w:charset w:val="86"/>
    <w:family w:val="modern"/>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仿宋">
    <w:panose1 w:val="02010609060101010101"/>
    <w:charset w:val="86"/>
    <w:family w:val="modern"/>
    <w:pitch w:val="default"/>
    <w:sig w:usb0="800002BF" w:usb1="38CF7CFA" w:usb2="00000016" w:usb3="00000000" w:csb0="00040001" w:csb1="00000000"/>
  </w:font>
  <w:font w:name="Wingdings 2">
    <w:panose1 w:val="05020102010507070707"/>
    <w:charset w:val="02"/>
    <w:family w:val="roman"/>
    <w:pitch w:val="default"/>
    <w:sig w:usb0="00000000" w:usb1="00000000" w:usb2="00000000" w:usb3="00000000" w:csb0="80000000" w:csb1="00000000"/>
  </w:font>
  <w:font w:name="等线">
    <w:altName w:val="微软雅黑"/>
    <w:panose1 w:val="02010600030101010101"/>
    <w:charset w:val="86"/>
    <w:family w:val="auto"/>
    <w:pitch w:val="default"/>
    <w:sig w:usb0="00000000" w:usb1="00000000" w:usb2="00000016" w:usb3="00000000" w:csb0="0004000F" w:csb1="00000000"/>
  </w:font>
  <w:font w:name="DejaVu Sans">
    <w:panose1 w:val="020B0603030804020204"/>
    <w:charset w:val="00"/>
    <w:family w:val="auto"/>
    <w:pitch w:val="default"/>
    <w:sig w:usb0="E7006EFF" w:usb1="D200FDFF" w:usb2="0A246029" w:usb3="0400200C" w:csb0="600001FF" w:csb1="DFFF0000"/>
  </w:font>
  <w:font w:name="微软雅黑">
    <w:panose1 w:val="020B0503020204020204"/>
    <w:charset w:val="86"/>
    <w:family w:val="auto"/>
    <w:pitch w:val="default"/>
    <w:sig w:usb0="80000287" w:usb1="2A0F3C52" w:usb2="00000016" w:usb3="00000000" w:csb0="0004001F" w:csb1="00000000"/>
  </w:font>
  <w:font w:name="Noto Sans Syriac Eastern">
    <w:panose1 w:val="02040503050306020203"/>
    <w:charset w:val="86"/>
    <w:family w:val="auto"/>
    <w:pitch w:val="default"/>
    <w:sig w:usb0="00000000" w:usb1="00000000" w:usb2="00000080" w:usb3="00000000" w:csb0="203E0161" w:csb1="D7FF0000"/>
  </w:font>
  <w:font w:name="方正小标宋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pPr>
      <w:pStyle w:val="Footer0"/>
    </w:pPr>
    <w:r>
      <w:rPr>
        <w:sz w:val="18"/>
      </w:rPr>
      <w:pict>
        <v:shapetype id="_x0000_t202" coordsize="21600,21600" o:spt="202" path="m,l,21600r21600,l21600,xe">
          <v:stroke joinstyle="miter"/>
          <v:path gradientshapeok="t" o:connecttype="rect"/>
        </v:shapetype>
        <v:shape id="文本框 1025" o:spid="_x0000_s2049" type="#_x0000_t202" style="width:2in;height:2in;margin-top:0;margin-left:0;mso-height-relative:page;mso-position-horizontal:center;mso-position-horizontal-relative:margin;mso-width-relative:page;mso-wrap-style:none;position:absolute;z-index:251658240" coordsize="21600,21600" filled="f" stroked="f">
          <o:lock v:ext="edit" aspectratio="f"/>
          <v:textbox style="mso-fit-shape-to-text:t" inset="0,0,0,0">
            <w:txbxContent>
              <w:p>
                <w:pPr>
                  <w:pStyle w:val="Footer0"/>
                </w:pPr>
                <w:r>
                  <w:fldChar w:fldCharType="begin"/>
                </w:r>
                <w:r>
                  <w:instrText xml:space="preserve"> PAGE  \* MERGEFORMAT </w:instrText>
                </w:r>
                <w:r>
                  <w:fldChar w:fldCharType="separate"/>
                </w:r>
                <w:r>
                  <w:t>1</w:t>
                </w:r>
                <w:r>
                  <w:fldChar w:fldCharType="end"/>
                </w:r>
              </w:p>
            </w:txbxContent>
          </v:textbox>
          <w10:wrap anchorx="margin"/>
        </v:shape>
      </w:pict>
    </w:r>
  </w:p>
</w:ft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abstractNum w:abstractNumId="0">
    <w:nsid w:val="C9C4209A"/>
    <w:multiLevelType w:val="multilevel"/>
    <w:tmpl w:val="C9C4209A"/>
    <w:lvl w:ilvl="0">
      <w:start w:val="1"/>
      <w:numFmt w:val="decimal"/>
      <w:pStyle w:val="Heading10"/>
      <w:lvlText w:val="%1."/>
      <w:lvlJc w:val="left"/>
      <w:pPr>
        <w:ind w:left="425" w:hanging="425"/>
      </w:pPr>
      <w:rPr>
        <w:rFonts w:ascii="宋体" w:eastAsia="宋体" w:hAnsi="宋体" w:cs="宋体" w:hint="default"/>
      </w:rPr>
    </w:lvl>
    <w:lvl w:ilvl="1">
      <w:start w:val="1"/>
      <w:numFmt w:val="decimal"/>
      <w:lvlText w:val="%1.%2."/>
      <w:lvlJc w:val="left"/>
      <w:pPr>
        <w:ind w:left="567" w:hanging="567"/>
      </w:pPr>
      <w:rPr>
        <w:rFonts w:ascii="宋体" w:eastAsia="黑体" w:hAnsi="宋体" w:cs="宋体" w:hint="default"/>
      </w:rPr>
    </w:lvl>
    <w:lvl w:ilvl="2">
      <w:start w:val="1"/>
      <w:numFmt w:val="decimal"/>
      <w:lvlText w:val="%1.%2.%3."/>
      <w:lvlJc w:val="left"/>
      <w:pPr>
        <w:ind w:left="709" w:hanging="709"/>
      </w:pPr>
      <w:rPr>
        <w:rFonts w:ascii="宋体" w:eastAsia="黑体" w:hAnsi="宋体" w:cs="宋体" w:hint="default"/>
      </w:rPr>
    </w:lvl>
    <w:lvl w:ilvl="3">
      <w:start w:val="1"/>
      <w:numFmt w:val="decimal"/>
      <w:lvlText w:val="%1.%2.%3.%4."/>
      <w:lvlJc w:val="left"/>
      <w:pPr>
        <w:ind w:left="850" w:hanging="850"/>
      </w:pPr>
      <w:rPr>
        <w:rFonts w:ascii="宋体" w:eastAsia="宋体" w:hAnsi="宋体" w:cs="宋体" w:hint="default"/>
      </w:rPr>
    </w:lvl>
    <w:lvl w:ilvl="4">
      <w:start w:val="1"/>
      <w:numFmt w:val="decimal"/>
      <w:lvlText w:val="%1.%2.%3.%4.%5."/>
      <w:lvlJc w:val="left"/>
      <w:pPr>
        <w:ind w:left="991" w:hanging="991"/>
      </w:pPr>
      <w:rPr>
        <w:rFonts w:ascii="宋体" w:eastAsia="宋体" w:hAnsi="宋体" w:cs="宋体" w:hint="default"/>
      </w:rPr>
    </w:lvl>
    <w:lvl w:ilvl="5">
      <w:start w:val="1"/>
      <w:numFmt w:val="decimal"/>
      <w:lvlText w:val="%1.%2.%3.%4.%5.%6."/>
      <w:lvlJc w:val="left"/>
      <w:pPr>
        <w:ind w:left="1134" w:hanging="1134"/>
      </w:pPr>
      <w:rPr>
        <w:rFonts w:ascii="宋体" w:eastAsia="宋体" w:hAnsi="宋体" w:cs="宋体" w:hint="default"/>
      </w:rPr>
    </w:lvl>
    <w:lvl w:ilvl="6">
      <w:start w:val="1"/>
      <w:numFmt w:val="decimal"/>
      <w:lvlText w:val="%1.%2.%3.%4.%5.%6.%7."/>
      <w:lvlJc w:val="left"/>
      <w:pPr>
        <w:ind w:left="1275" w:hanging="1275"/>
      </w:pPr>
      <w:rPr>
        <w:rFonts w:ascii="宋体" w:eastAsia="宋体" w:hAnsi="宋体" w:cs="宋体" w:hint="default"/>
      </w:rPr>
    </w:lvl>
    <w:lvl w:ilvl="7">
      <w:start w:val="1"/>
      <w:numFmt w:val="decimal"/>
      <w:lvlText w:val="%1.%2.%3.%4.%5.%6.%7.%8."/>
      <w:lvlJc w:val="left"/>
      <w:pPr>
        <w:ind w:left="1418" w:hanging="1418"/>
      </w:pPr>
      <w:rPr>
        <w:rFonts w:ascii="宋体" w:eastAsia="宋体" w:hAnsi="宋体" w:cs="宋体" w:hint="default"/>
      </w:rPr>
    </w:lvl>
    <w:lvl w:ilvl="8">
      <w:start w:val="1"/>
      <w:numFmt w:val="decimal"/>
      <w:lvlText w:val="%1.%2.%3.%4.%5.%6.%7.%8.%9."/>
      <w:lvlJc w:val="left"/>
      <w:pPr>
        <w:ind w:left="1558" w:hanging="1558"/>
      </w:pPr>
      <w:rPr>
        <w:rFonts w:ascii="宋体" w:eastAsia="宋体" w:hAnsi="宋体" w:cs="宋体" w:hint="default"/>
      </w:rPr>
    </w:lvl>
  </w:abstractNum>
  <w:abstractNum w:abstractNumId="1">
    <w:nsid w:val="F9FB07A5"/>
    <w:multiLevelType w:val="singleLevel"/>
    <w:tmpl w:val="F9FB07A5"/>
    <w:lvl w:ilvl="0">
      <w:start w:val="1"/>
      <w:numFmt w:val="decimal"/>
      <w:pStyle w:val="ListNumber2"/>
      <w:lvlText w:val="%1."/>
      <w:lvlJc w:val="left"/>
      <w:pPr>
        <w:tabs>
          <w:tab w:val="left" w:pos="780"/>
        </w:tabs>
        <w:ind w:left="780" w:hanging="360"/>
      </w:pPr>
    </w:lvl>
  </w:abstractNum>
  <w:abstractNum w:abstractNumId="2">
    <w:nsid w:val="00000002"/>
    <w:multiLevelType w:val="multilevel"/>
    <w:tmpl w:val="00000002"/>
    <w:lvl w:ilvl="0">
      <w:start w:val="1"/>
      <w:numFmt w:val="decimal"/>
      <w:pStyle w:val="10"/>
      <w:lvlText w:val="%1."/>
      <w:lvlJc w:val="left"/>
      <w:pPr>
        <w:tabs>
          <w:tab w:val="left" w:pos="900"/>
        </w:tabs>
        <w:ind w:left="900" w:hanging="420"/>
      </w:pPr>
      <w:rPr>
        <w:b w:val="0"/>
        <w:i w:val="0"/>
        <w:sz w:val="24"/>
        <w:szCs w:val="24"/>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3">
    <w:nsid w:val="00000003"/>
    <w:multiLevelType w:val="multilevel"/>
    <w:tmpl w:val="00000003"/>
    <w:lvl w:ilvl="0">
      <w:start w:val="1"/>
      <w:numFmt w:val="decimal"/>
      <w:pStyle w:val="ll2"/>
      <w:lvlText w:val="(%1)"/>
      <w:lvlJc w:val="left"/>
      <w:pPr>
        <w:tabs>
          <w:tab w:val="left" w:pos="420"/>
        </w:tabs>
        <w:ind w:left="420" w:hanging="42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4">
    <w:nsid w:val="00000004"/>
    <w:multiLevelType w:val="multilevel"/>
    <w:tmpl w:val="00000004"/>
    <w:lvl w:ilvl="0">
      <w:start w:val="1"/>
      <w:numFmt w:val="decimal"/>
      <w:lvlText w:val="第%1章 "/>
      <w:lvlJc w:val="left"/>
      <w:pPr>
        <w:tabs>
          <w:tab w:val="left" w:pos="2400"/>
        </w:tabs>
        <w:ind w:left="1392" w:hanging="432"/>
      </w:pPr>
      <w:rPr>
        <w:rFonts w:ascii="Times New Roman" w:hAnsi="Times New Roman" w:cs="Times New Roman" w:hint="eastAsia"/>
        <w:i w:val="0"/>
        <w:iCs w:val="0"/>
        <w:caps w:val="0"/>
        <w:smallCaps w:val="0"/>
        <w:outline w:val="0"/>
        <w:shadow w:val="0"/>
        <w:spacing w:val="0"/>
        <w:kern w:val="0"/>
        <w:position w:val="0"/>
        <w:u w:val="none"/>
        <w:lang w:val="en-US"/>
      </w:rPr>
    </w:lvl>
    <w:lvl w:ilvl="1">
      <w:start w:val="1"/>
      <w:numFmt w:val="decimal"/>
      <w:pStyle w:val="Heading2"/>
      <w:lvlText w:val="%1.%2"/>
      <w:lvlJc w:val="left"/>
      <w:pPr>
        <w:tabs>
          <w:tab w:val="left" w:pos="576"/>
        </w:tabs>
        <w:ind w:left="576" w:hanging="576"/>
      </w:pPr>
      <w:rPr>
        <w:rFonts w:hint="eastAsia"/>
      </w:rPr>
    </w:lvl>
    <w:lvl w:ilvl="2">
      <w:start w:val="1"/>
      <w:numFmt w:val="decimal"/>
      <w:lvlText w:val="%1.%2.%3"/>
      <w:lvlJc w:val="left"/>
      <w:pPr>
        <w:tabs>
          <w:tab w:val="left" w:pos="720"/>
        </w:tabs>
        <w:ind w:left="720" w:hanging="720"/>
      </w:pPr>
    </w:lvl>
    <w:lvl w:ilvl="3">
      <w:start w:val="1"/>
      <w:numFmt w:val="decimal"/>
      <w:lvlText w:val="%1.%2.%3.%4"/>
      <w:lvlJc w:val="left"/>
      <w:pPr>
        <w:tabs>
          <w:tab w:val="left" w:pos="964"/>
        </w:tabs>
        <w:ind w:left="964" w:hanging="964"/>
      </w:pPr>
      <w:rPr>
        <w:rFonts w:cs="Times New Roman"/>
        <w:b w:val="0"/>
        <w:bCs w:val="0"/>
        <w:i w:val="0"/>
        <w:iCs w:val="0"/>
        <w:caps w:val="0"/>
        <w:smallCaps w:val="0"/>
        <w:outline w:val="0"/>
        <w:shadow w:val="0"/>
        <w:emboss w:val="0"/>
        <w:imprint w:val="0"/>
        <w:vanish w:val="0"/>
        <w:spacing w:val="0"/>
        <w:position w:val="0"/>
        <w:u w:val="none"/>
        <w:vertAlign w:val="baseline"/>
      </w:rPr>
    </w:lvl>
    <w:lvl w:ilvl="4">
      <w:start w:val="1"/>
      <w:numFmt w:val="decimal"/>
      <w:lvlText w:val="%1.%2.%3.%4.%5"/>
      <w:lvlJc w:val="left"/>
      <w:pPr>
        <w:tabs>
          <w:tab w:val="left" w:pos="1008"/>
        </w:tabs>
        <w:ind w:left="1008" w:hanging="1008"/>
      </w:pPr>
      <w:rPr>
        <w:lang w:eastAsia="zh-CN"/>
      </w:rPr>
    </w:lvl>
    <w:lvl w:ilvl="5">
      <w:start w:val="1"/>
      <w:numFmt w:val="decimal"/>
      <w:lvlText w:val="%1.%2.%3.%4.%5.%6"/>
      <w:lvlJc w:val="left"/>
      <w:pPr>
        <w:tabs>
          <w:tab w:val="left" w:pos="2145"/>
        </w:tabs>
        <w:ind w:left="2145" w:hanging="1152"/>
      </w:pPr>
      <w:rPr>
        <w:color w:val="auto"/>
      </w:rPr>
    </w:lvl>
    <w:lvl w:ilvl="6">
      <w:start w:val="1"/>
      <w:numFmt w:val="decimal"/>
      <w:lvlText w:val="%1.%2.%3.%4.%5.%6.%7"/>
      <w:lvlJc w:val="left"/>
      <w:pPr>
        <w:tabs>
          <w:tab w:val="left" w:pos="1296"/>
        </w:tabs>
        <w:ind w:left="1296" w:hanging="1296"/>
      </w:pPr>
      <w:rPr>
        <w:rFonts w:hint="eastAsia"/>
      </w:rPr>
    </w:lvl>
    <w:lvl w:ilvl="7">
      <w:start w:val="1"/>
      <w:numFmt w:val="decimal"/>
      <w:lvlText w:val="%1.%2.%3.%4.%5.%6.%7.%8"/>
      <w:lvlJc w:val="left"/>
      <w:pPr>
        <w:tabs>
          <w:tab w:val="left" w:pos="1440"/>
        </w:tabs>
        <w:ind w:left="1440" w:hanging="1440"/>
      </w:pPr>
      <w:rPr>
        <w:rFonts w:hint="eastAsia"/>
      </w:rPr>
    </w:lvl>
    <w:lvl w:ilvl="8">
      <w:start w:val="1"/>
      <w:numFmt w:val="decimal"/>
      <w:lvlText w:val="%1.%2.%3.%4.%5.%6.%7.%8.%9"/>
      <w:lvlJc w:val="left"/>
      <w:pPr>
        <w:tabs>
          <w:tab w:val="left" w:pos="1584"/>
        </w:tabs>
        <w:ind w:left="1584" w:hanging="1584"/>
      </w:pPr>
      <w:rPr>
        <w:rFonts w:hint="eastAsia"/>
      </w:rPr>
    </w:lvl>
  </w:abstractNum>
  <w:abstractNum w:abstractNumId="5">
    <w:nsid w:val="09540D3F"/>
    <w:multiLevelType w:val="singleLevel"/>
    <w:tmpl w:val="09540D3F"/>
    <w:lvl w:ilvl="0">
      <w:start w:val="1"/>
      <w:numFmt w:val="decimal"/>
      <w:suff w:val="nothing"/>
      <w:lvlText w:val="（%1）"/>
      <w:lvlJc w:val="left"/>
    </w:lvl>
  </w:abstractNum>
  <w:abstractNum w:abstractNumId="6">
    <w:nsid w:val="3EBB3C91"/>
    <w:multiLevelType w:val="multilevel"/>
    <w:tmpl w:val="3EBB3C91"/>
    <w:lvl w:ilvl="0">
      <w:start w:val="1"/>
      <w:numFmt w:val="chineseCountingThousand"/>
      <w:suff w:val="space"/>
      <w:lvlText w:val="%1. "/>
      <w:lvlJc w:val="left"/>
      <w:pPr>
        <w:ind w:left="907" w:hanging="907"/>
      </w:pPr>
      <w:rPr>
        <w:rFonts w:hint="eastAsia"/>
      </w:rPr>
    </w:lvl>
    <w:lvl w:ilvl="1">
      <w:start w:val="1"/>
      <w:numFmt w:val="decimal"/>
      <w:isLgl/>
      <w:suff w:val="space"/>
      <w:lvlText w:val="%1.%2 "/>
      <w:lvlJc w:val="left"/>
      <w:pPr>
        <w:ind w:left="794" w:hanging="794"/>
      </w:pPr>
    </w:lvl>
    <w:lvl w:ilvl="2">
      <w:start w:val="0"/>
      <w:numFmt w:val="none"/>
      <w:lvlJc w:val="left"/>
      <w:pPr>
        <w:tabs>
          <w:tab w:val="left" w:pos="360"/>
        </w:tabs>
      </w:pPr>
      <w:rPr>
        <w:rFonts w:cs="Times New Roman"/>
      </w:rPr>
    </w:lvl>
    <w:lvl w:ilvl="3">
      <w:start w:val="0"/>
      <w:numFmt w:val="none"/>
      <w:lvlJc w:val="left"/>
      <w:pPr>
        <w:tabs>
          <w:tab w:val="left" w:pos="360"/>
        </w:tabs>
      </w:pPr>
      <w:rPr>
        <w:rFonts w:cs="Times New Roman"/>
      </w:rPr>
    </w:lvl>
    <w:lvl w:ilvl="4">
      <w:start w:val="0"/>
      <w:numFmt w:val="decimal"/>
      <w:pStyle w:val="5"/>
      <w:lvlJc w:val="left"/>
      <w:rPr>
        <w:rFonts w:cs="Times New Roman"/>
      </w:rPr>
    </w:lvl>
    <w:lvl w:ilvl="5">
      <w:start w:val="0"/>
      <w:numFmt w:val="decimal"/>
      <w:lvlJc w:val="left"/>
      <w:rPr>
        <w:rFonts w:cs="Times New Roman"/>
      </w:rPr>
    </w:lvl>
    <w:lvl w:ilvl="6">
      <w:start w:val="0"/>
      <w:numFmt w:val="decimal"/>
      <w:lvlJc w:val="left"/>
      <w:rPr>
        <w:rFonts w:cs="Times New Roman"/>
      </w:rPr>
    </w:lvl>
    <w:lvl w:ilvl="7">
      <w:start w:val="0"/>
      <w:numFmt w:val="decimal"/>
      <w:lvlJc w:val="left"/>
      <w:rPr>
        <w:rFonts w:cs="Times New Roman"/>
      </w:rPr>
    </w:lvl>
    <w:lvl w:ilvl="8">
      <w:start w:val="0"/>
      <w:numFmt w:val="decimal"/>
      <w:lvlJc w:val="left"/>
      <w:rPr>
        <w:rFonts w:cs="Times New Roman"/>
      </w:rPr>
    </w:lvl>
  </w:abstractNum>
  <w:abstractNum w:abstractNumId="7">
    <w:nsid w:val="43F4D0C1"/>
    <w:multiLevelType w:val="multilevel"/>
    <w:tmpl w:val="43F4D0C1"/>
    <w:lvl w:ilvl="0">
      <w:start w:val="1"/>
      <w:numFmt w:val="decimal"/>
      <w:lvlText w:val="%1."/>
      <w:lvlJc w:val="left"/>
      <w:pPr>
        <w:ind w:left="425" w:hanging="425"/>
      </w:pPr>
      <w:rPr>
        <w:rFonts w:ascii="宋体" w:eastAsia="宋体" w:hAnsi="宋体" w:cs="宋体" w:hint="eastAsia"/>
      </w:rPr>
    </w:lvl>
    <w:lvl w:ilvl="1">
      <w:start w:val="1"/>
      <w:numFmt w:val="decimal"/>
      <w:pStyle w:val="Heading20"/>
      <w:lvlText w:val="%1.%2."/>
      <w:lvlJc w:val="left"/>
      <w:pPr>
        <w:ind w:left="3686" w:hanging="567"/>
      </w:pPr>
      <w:rPr>
        <w:rFonts w:ascii="宋体" w:eastAsia="黑体" w:hAnsi="宋体" w:cs="宋体" w:hint="eastAsia"/>
      </w:rPr>
    </w:lvl>
    <w:lvl w:ilvl="2">
      <w:start w:val="1"/>
      <w:numFmt w:val="decimal"/>
      <w:lvlText w:val="%1.%2.%3."/>
      <w:lvlJc w:val="left"/>
      <w:pPr>
        <w:ind w:left="709" w:hanging="709"/>
      </w:pPr>
      <w:rPr>
        <w:rFonts w:ascii="宋体" w:eastAsia="黑体" w:hAnsi="宋体" w:cs="宋体" w:hint="eastAsia"/>
      </w:rPr>
    </w:lvl>
    <w:lvl w:ilvl="3">
      <w:start w:val="1"/>
      <w:numFmt w:val="decimal"/>
      <w:lvlText w:val="%1.%2.%3.%4."/>
      <w:lvlJc w:val="left"/>
      <w:pPr>
        <w:ind w:left="850" w:hanging="850"/>
      </w:pPr>
      <w:rPr>
        <w:rFonts w:ascii="宋体" w:eastAsia="宋体" w:hAnsi="宋体" w:cs="宋体" w:hint="eastAsia"/>
      </w:rPr>
    </w:lvl>
    <w:lvl w:ilvl="4">
      <w:start w:val="1"/>
      <w:numFmt w:val="decimal"/>
      <w:lvlText w:val="%1.%2.%3.%4.%5."/>
      <w:lvlJc w:val="left"/>
      <w:pPr>
        <w:ind w:left="991" w:hanging="991"/>
      </w:pPr>
      <w:rPr>
        <w:rFonts w:ascii="宋体" w:eastAsia="宋体" w:hAnsi="宋体" w:cs="宋体" w:hint="eastAsia"/>
      </w:rPr>
    </w:lvl>
    <w:lvl w:ilvl="5">
      <w:start w:val="1"/>
      <w:numFmt w:val="decimal"/>
      <w:lvlText w:val="%1.%2.%3.%4.%5.%6."/>
      <w:lvlJc w:val="left"/>
      <w:pPr>
        <w:ind w:left="1135" w:hanging="1135"/>
      </w:pPr>
      <w:rPr>
        <w:rFonts w:ascii="宋体" w:eastAsia="宋体" w:hAnsi="宋体" w:cs="宋体" w:hint="eastAsia"/>
      </w:rPr>
    </w:lvl>
    <w:lvl w:ilvl="6">
      <w:start w:val="1"/>
      <w:numFmt w:val="decimal"/>
      <w:lvlText w:val="%1.%2.%3.%4.%5.%6.%7."/>
      <w:lvlJc w:val="left"/>
      <w:pPr>
        <w:ind w:left="1275" w:hanging="1275"/>
      </w:pPr>
      <w:rPr>
        <w:rFonts w:ascii="宋体" w:eastAsia="宋体" w:hAnsi="宋体" w:cs="宋体" w:hint="eastAsia"/>
      </w:rPr>
    </w:lvl>
    <w:lvl w:ilvl="7">
      <w:start w:val="1"/>
      <w:numFmt w:val="decimal"/>
      <w:lvlText w:val="%1.%2.%3.%4.%5.%6.%7.%8."/>
      <w:lvlJc w:val="left"/>
      <w:pPr>
        <w:ind w:left="1418" w:hanging="1418"/>
      </w:pPr>
      <w:rPr>
        <w:rFonts w:ascii="宋体" w:eastAsia="宋体" w:hAnsi="宋体" w:cs="宋体" w:hint="eastAsia"/>
      </w:rPr>
    </w:lvl>
    <w:lvl w:ilvl="8">
      <w:start w:val="1"/>
      <w:numFmt w:val="decimal"/>
      <w:lvlText w:val="%1.%2.%3.%4.%5.%6.%7.%8.%9."/>
      <w:lvlJc w:val="left"/>
      <w:pPr>
        <w:ind w:left="1558" w:hanging="1558"/>
      </w:pPr>
      <w:rPr>
        <w:rFonts w:ascii="宋体" w:eastAsia="宋体" w:hAnsi="宋体" w:cs="宋体" w:hint="eastAsia"/>
      </w:rPr>
    </w:lvl>
  </w:abstractNum>
  <w:num w:numId="1">
    <w:abstractNumId w:val="4"/>
  </w:num>
  <w:num w:numId="2">
    <w:abstractNumId w:val="1"/>
  </w:num>
  <w:num w:numId="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6"/>
  </w:num>
  <w:num w:numId="5">
    <w:abstractNumId w:val="2"/>
  </w:num>
  <w:num w:numId="6">
    <w:abstractNumId w:val="0"/>
  </w:num>
  <w:num w:numId="7">
    <w:abstractNumId w:val="7"/>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revisionView w:comments="1" w:formatting="1" w:inkAnnotations="1" w:insDel="1" w:markup="0"/>
  <w:defaultTabStop w:val="420"/>
  <w:drawingGridVerticalSpacing w:val="156"/>
  <w:displayHorizontalDrawingGridEvery w:val="0"/>
  <w:displayVerticalDrawingGridEvery w:val="2"/>
  <w:doNotShadeFormData/>
  <w:characterSpacingControl w:val="compressPunctuation"/>
  <w:noLineBreaksAfter w:lang="zh-CN" w:val="([{·‘“〈《「『【〔〖（．［｛￡￥"/>
  <w:noLineBreaksBefore w:lang="zh-CN" w:val="!),.:;?]}¨·ˇˉ―‖’”…∶、。〃々〉》」』】〕〗！＂＇），．：；？］｀｜｝～￠"/>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2A27"/>
    <w:rsid w:val="83E741E6"/>
    <w:rsid w:val="8AFD5FE4"/>
    <w:rsid w:val="8BB7B7DF"/>
    <w:rsid w:val="8BFFA716"/>
    <w:rsid w:val="8DFF2890"/>
    <w:rsid w:val="8E51E9D7"/>
    <w:rsid w:val="8ED71B7D"/>
    <w:rsid w:val="8FDF8E26"/>
    <w:rsid w:val="8FF7D9C7"/>
    <w:rsid w:val="8FF97BFF"/>
    <w:rsid w:val="8FF9EFD3"/>
    <w:rsid w:val="917B956D"/>
    <w:rsid w:val="95DBDEB5"/>
    <w:rsid w:val="97F66D8C"/>
    <w:rsid w:val="97FB9BDE"/>
    <w:rsid w:val="9BB64845"/>
    <w:rsid w:val="9BF9D04B"/>
    <w:rsid w:val="9C7F564E"/>
    <w:rsid w:val="9D7F0A30"/>
    <w:rsid w:val="9DBF5907"/>
    <w:rsid w:val="9DEB6262"/>
    <w:rsid w:val="9DEF7DD7"/>
    <w:rsid w:val="9DF69233"/>
    <w:rsid w:val="9EBF6D3C"/>
    <w:rsid w:val="9EFFA3C5"/>
    <w:rsid w:val="9F2B6F85"/>
    <w:rsid w:val="9F732433"/>
    <w:rsid w:val="9FDB7462"/>
    <w:rsid w:val="9FF2B3EC"/>
    <w:rsid w:val="9FFDF123"/>
    <w:rsid w:val="9FFE976E"/>
    <w:rsid w:val="9FFFEC1B"/>
    <w:rsid w:val="A2FB5CB6"/>
    <w:rsid w:val="A3DB2F9C"/>
    <w:rsid w:val="A4EB2798"/>
    <w:rsid w:val="A52B2461"/>
    <w:rsid w:val="A5FFE412"/>
    <w:rsid w:val="A6F7F33B"/>
    <w:rsid w:val="A6FE19FF"/>
    <w:rsid w:val="A73A3C54"/>
    <w:rsid w:val="A7EAD8F6"/>
    <w:rsid w:val="A9ED98BF"/>
    <w:rsid w:val="ADF55057"/>
    <w:rsid w:val="AE0F1250"/>
    <w:rsid w:val="AEF4B464"/>
    <w:rsid w:val="AF73836A"/>
    <w:rsid w:val="AFDDDFCB"/>
    <w:rsid w:val="AFDE7843"/>
    <w:rsid w:val="AFED8EAC"/>
    <w:rsid w:val="AFEFEB2D"/>
    <w:rsid w:val="AFF9C10E"/>
    <w:rsid w:val="AFFFFF6D"/>
    <w:rsid w:val="B12FD5A9"/>
    <w:rsid w:val="B1EEEF5E"/>
    <w:rsid w:val="B2CF58B4"/>
    <w:rsid w:val="B37CF7BB"/>
    <w:rsid w:val="B3C8B463"/>
    <w:rsid w:val="B3D31583"/>
    <w:rsid w:val="B3DE7BE4"/>
    <w:rsid w:val="B3E6101E"/>
    <w:rsid w:val="B59F766D"/>
    <w:rsid w:val="B5FD8844"/>
    <w:rsid w:val="B6F7532B"/>
    <w:rsid w:val="B77BF44C"/>
    <w:rsid w:val="B77FBD7A"/>
    <w:rsid w:val="B77FD65D"/>
    <w:rsid w:val="B7B05DC7"/>
    <w:rsid w:val="B7E3A70E"/>
    <w:rsid w:val="B7E75FE0"/>
    <w:rsid w:val="B7EBE5DB"/>
    <w:rsid w:val="B7FFAFBD"/>
    <w:rsid w:val="B8B4BD3F"/>
    <w:rsid w:val="B9755EB2"/>
    <w:rsid w:val="B9F77897"/>
    <w:rsid w:val="BA7FBBF9"/>
    <w:rsid w:val="BB630427"/>
    <w:rsid w:val="BB67B601"/>
    <w:rsid w:val="BB7FEED6"/>
    <w:rsid w:val="BBDF29CA"/>
    <w:rsid w:val="BBE534A2"/>
    <w:rsid w:val="BBF539BA"/>
    <w:rsid w:val="BBF78487"/>
    <w:rsid w:val="BBFD3148"/>
    <w:rsid w:val="BBFDEFC2"/>
    <w:rsid w:val="BBFF98B6"/>
    <w:rsid w:val="BCDF6DAD"/>
    <w:rsid w:val="BCEB686C"/>
    <w:rsid w:val="BD2F654B"/>
    <w:rsid w:val="BD7DEDCC"/>
    <w:rsid w:val="BDBF0CE0"/>
    <w:rsid w:val="BDE7841D"/>
    <w:rsid w:val="BDF3838D"/>
    <w:rsid w:val="BDFCA53E"/>
    <w:rsid w:val="BDFE24E6"/>
    <w:rsid w:val="BEBBAA37"/>
    <w:rsid w:val="BEBF0673"/>
    <w:rsid w:val="BEBF52B3"/>
    <w:rsid w:val="BEDF2E97"/>
    <w:rsid w:val="BEFB5F9F"/>
    <w:rsid w:val="BEFD4CE7"/>
    <w:rsid w:val="BEFF960E"/>
    <w:rsid w:val="BF5696D8"/>
    <w:rsid w:val="BF6B8260"/>
    <w:rsid w:val="BF76C53B"/>
    <w:rsid w:val="BF7D98DD"/>
    <w:rsid w:val="BF7FDE3D"/>
    <w:rsid w:val="BF8CD6BE"/>
    <w:rsid w:val="BFA74CDA"/>
    <w:rsid w:val="BFAE4383"/>
    <w:rsid w:val="BFB65FD4"/>
    <w:rsid w:val="BFBAAB60"/>
    <w:rsid w:val="BFCF0BDA"/>
    <w:rsid w:val="BFCF892E"/>
    <w:rsid w:val="BFDB229D"/>
    <w:rsid w:val="BFDF2BB6"/>
    <w:rsid w:val="BFEE84EE"/>
    <w:rsid w:val="BFFA8FD6"/>
    <w:rsid w:val="BFFAB969"/>
    <w:rsid w:val="BFFADC54"/>
    <w:rsid w:val="BFFD8B84"/>
    <w:rsid w:val="BFFE18D3"/>
    <w:rsid w:val="BFFF501F"/>
    <w:rsid w:val="BFFFA05E"/>
    <w:rsid w:val="BFFFE4E8"/>
    <w:rsid w:val="C37F778E"/>
    <w:rsid w:val="C67D8ACF"/>
    <w:rsid w:val="C6B268CB"/>
    <w:rsid w:val="C6D6C223"/>
    <w:rsid w:val="C7DB265A"/>
    <w:rsid w:val="C7DECF56"/>
    <w:rsid w:val="C9DF8FA8"/>
    <w:rsid w:val="C9F741CB"/>
    <w:rsid w:val="CB7B4F79"/>
    <w:rsid w:val="CD5E95A6"/>
    <w:rsid w:val="CDBDFB92"/>
    <w:rsid w:val="CDC36CF8"/>
    <w:rsid w:val="CF2A265B"/>
    <w:rsid w:val="CF76609D"/>
    <w:rsid w:val="CFAF9C2E"/>
    <w:rsid w:val="CFDD247B"/>
    <w:rsid w:val="CFFD2F65"/>
    <w:rsid w:val="D3B466F7"/>
    <w:rsid w:val="D45F5F59"/>
    <w:rsid w:val="D5BB1759"/>
    <w:rsid w:val="D5BF06CF"/>
    <w:rsid w:val="D60BC8CB"/>
    <w:rsid w:val="D6DE1A44"/>
    <w:rsid w:val="D6EA2E41"/>
    <w:rsid w:val="D7121B13"/>
    <w:rsid w:val="D77E6928"/>
    <w:rsid w:val="D77FEBD0"/>
    <w:rsid w:val="D78F792C"/>
    <w:rsid w:val="D792952B"/>
    <w:rsid w:val="D7B73DBD"/>
    <w:rsid w:val="D7BDA7C7"/>
    <w:rsid w:val="D7DD5E3B"/>
    <w:rsid w:val="D7DF5ED6"/>
    <w:rsid w:val="D7E28AD3"/>
    <w:rsid w:val="D7E552CC"/>
    <w:rsid w:val="D9357834"/>
    <w:rsid w:val="D9FF881C"/>
    <w:rsid w:val="DAB11124"/>
    <w:rsid w:val="DADFDE2A"/>
    <w:rsid w:val="DAF72DE5"/>
    <w:rsid w:val="DAFBB832"/>
    <w:rsid w:val="DB514461"/>
    <w:rsid w:val="DBAF315B"/>
    <w:rsid w:val="DBAF760B"/>
    <w:rsid w:val="DBB904F5"/>
    <w:rsid w:val="DBD7C4EC"/>
    <w:rsid w:val="DBEF2A9C"/>
    <w:rsid w:val="DBEF5A4B"/>
    <w:rsid w:val="DBFF766E"/>
    <w:rsid w:val="DBFF771D"/>
    <w:rsid w:val="DC4777D1"/>
    <w:rsid w:val="DC4F651B"/>
    <w:rsid w:val="DCEFC3D6"/>
    <w:rsid w:val="DD0ED113"/>
    <w:rsid w:val="DD7B7089"/>
    <w:rsid w:val="DD7E9D1F"/>
    <w:rsid w:val="DD92F0E7"/>
    <w:rsid w:val="DDF5FFF3"/>
    <w:rsid w:val="DE6F3681"/>
    <w:rsid w:val="DE769F10"/>
    <w:rsid w:val="DEDE5523"/>
    <w:rsid w:val="DEDF3C42"/>
    <w:rsid w:val="DEFF8533"/>
    <w:rsid w:val="DF0394F1"/>
    <w:rsid w:val="DF07DD7D"/>
    <w:rsid w:val="DF5AF944"/>
    <w:rsid w:val="DF695B5E"/>
    <w:rsid w:val="DF6CAE14"/>
    <w:rsid w:val="DF7F2C36"/>
    <w:rsid w:val="DF9D3BF5"/>
    <w:rsid w:val="DF9F5328"/>
    <w:rsid w:val="DFA79409"/>
    <w:rsid w:val="DFBE9958"/>
    <w:rsid w:val="DFBF89C8"/>
    <w:rsid w:val="DFCD2D11"/>
    <w:rsid w:val="DFDF43D7"/>
    <w:rsid w:val="DFE5F416"/>
    <w:rsid w:val="DFEB4A4F"/>
    <w:rsid w:val="DFED20A2"/>
    <w:rsid w:val="DFF1D4FC"/>
    <w:rsid w:val="DFF583A8"/>
    <w:rsid w:val="DFF7E6EF"/>
    <w:rsid w:val="DFFB2450"/>
    <w:rsid w:val="DFFC0D2D"/>
    <w:rsid w:val="DFFD6EB5"/>
    <w:rsid w:val="DFFDD891"/>
    <w:rsid w:val="DFFF66B3"/>
    <w:rsid w:val="E3CEC2EC"/>
    <w:rsid w:val="E3F73F93"/>
    <w:rsid w:val="E3FF01F6"/>
    <w:rsid w:val="E4271B82"/>
    <w:rsid w:val="E48F14A3"/>
    <w:rsid w:val="E4ED83B3"/>
    <w:rsid w:val="E4FDE3A9"/>
    <w:rsid w:val="E54F4605"/>
    <w:rsid w:val="E5F8B5CC"/>
    <w:rsid w:val="E6FED0CD"/>
    <w:rsid w:val="E6FF3C7B"/>
    <w:rsid w:val="E73D2FA5"/>
    <w:rsid w:val="E73F8B09"/>
    <w:rsid w:val="E76F1EAB"/>
    <w:rsid w:val="E77F8439"/>
    <w:rsid w:val="E7DF9F04"/>
    <w:rsid w:val="E7F2706B"/>
    <w:rsid w:val="E7FDF1CF"/>
    <w:rsid w:val="E8DFFC9A"/>
    <w:rsid w:val="E8FF64BF"/>
    <w:rsid w:val="E9F955D9"/>
    <w:rsid w:val="EA6B44AD"/>
    <w:rsid w:val="EA9F4E4A"/>
    <w:rsid w:val="EADE1719"/>
    <w:rsid w:val="EB576BF5"/>
    <w:rsid w:val="EB732E93"/>
    <w:rsid w:val="EB9B7451"/>
    <w:rsid w:val="EBAD98C1"/>
    <w:rsid w:val="EBFEF0DD"/>
    <w:rsid w:val="EC5F58CD"/>
    <w:rsid w:val="ECB72FC0"/>
    <w:rsid w:val="ECF75331"/>
    <w:rsid w:val="ECF9E152"/>
    <w:rsid w:val="ED7F94D7"/>
    <w:rsid w:val="EDD530BE"/>
    <w:rsid w:val="EDE78887"/>
    <w:rsid w:val="EDE7B14F"/>
    <w:rsid w:val="EDF387D9"/>
    <w:rsid w:val="EDFB8919"/>
    <w:rsid w:val="EDFFC030"/>
    <w:rsid w:val="EDFFE066"/>
    <w:rsid w:val="EE3E3ABA"/>
    <w:rsid w:val="EE5EE4E9"/>
    <w:rsid w:val="EE5FFFEF"/>
    <w:rsid w:val="EE674FB9"/>
    <w:rsid w:val="EEE6E3F2"/>
    <w:rsid w:val="EEE9F615"/>
    <w:rsid w:val="EEEB70FE"/>
    <w:rsid w:val="EEF3B450"/>
    <w:rsid w:val="EEF7D0B3"/>
    <w:rsid w:val="EEFDC233"/>
    <w:rsid w:val="EEFDE6E9"/>
    <w:rsid w:val="EEFE7CAD"/>
    <w:rsid w:val="EF156EC4"/>
    <w:rsid w:val="EF4B3BFF"/>
    <w:rsid w:val="EF6AABDA"/>
    <w:rsid w:val="EF7EF75D"/>
    <w:rsid w:val="EF7F6BFC"/>
    <w:rsid w:val="EF7FD2C5"/>
    <w:rsid w:val="EF9F5705"/>
    <w:rsid w:val="EFC683D2"/>
    <w:rsid w:val="EFCFD8DD"/>
    <w:rsid w:val="EFD9914E"/>
    <w:rsid w:val="EFDFABD0"/>
    <w:rsid w:val="EFE7E391"/>
    <w:rsid w:val="EFEF46D2"/>
    <w:rsid w:val="EFEFB160"/>
    <w:rsid w:val="EFF75619"/>
    <w:rsid w:val="EFFC5801"/>
    <w:rsid w:val="EFFE0A90"/>
    <w:rsid w:val="EFFEB9DE"/>
    <w:rsid w:val="EFFF3CE0"/>
    <w:rsid w:val="EFFF93C9"/>
    <w:rsid w:val="EFFFE146"/>
    <w:rsid w:val="F1F75B52"/>
    <w:rsid w:val="F27EB8D8"/>
    <w:rsid w:val="F27FFC4C"/>
    <w:rsid w:val="F2DD63CF"/>
    <w:rsid w:val="F379922A"/>
    <w:rsid w:val="F3DEEDF4"/>
    <w:rsid w:val="F3FEF0CF"/>
    <w:rsid w:val="F4F7C09B"/>
    <w:rsid w:val="F55D8B06"/>
    <w:rsid w:val="F57F0648"/>
    <w:rsid w:val="F5E79497"/>
    <w:rsid w:val="F5EF4119"/>
    <w:rsid w:val="F5FF85D2"/>
    <w:rsid w:val="F5FFA069"/>
    <w:rsid w:val="F61B1BB3"/>
    <w:rsid w:val="F63BFED3"/>
    <w:rsid w:val="F66ED278"/>
    <w:rsid w:val="F68FECCC"/>
    <w:rsid w:val="F6FE1E51"/>
    <w:rsid w:val="F6FEB40C"/>
    <w:rsid w:val="F73FF092"/>
    <w:rsid w:val="F75E3E1F"/>
    <w:rsid w:val="F75F8222"/>
    <w:rsid w:val="F77F0681"/>
    <w:rsid w:val="F77F21DC"/>
    <w:rsid w:val="F79730AD"/>
    <w:rsid w:val="F79E65E6"/>
    <w:rsid w:val="F7B31CDD"/>
    <w:rsid w:val="F7B592D5"/>
    <w:rsid w:val="F7BD2589"/>
    <w:rsid w:val="F7BF2861"/>
    <w:rsid w:val="F7CFDD6C"/>
    <w:rsid w:val="F7DFD9B0"/>
    <w:rsid w:val="F7EFBC5A"/>
    <w:rsid w:val="F7FAA18D"/>
    <w:rsid w:val="F7FBAF1D"/>
    <w:rsid w:val="F7FE0FF4"/>
    <w:rsid w:val="F7FE9C03"/>
    <w:rsid w:val="F7FF2410"/>
    <w:rsid w:val="F7FFB7F6"/>
    <w:rsid w:val="F7FFE387"/>
    <w:rsid w:val="F7FFE903"/>
    <w:rsid w:val="F87A081D"/>
    <w:rsid w:val="F89D304E"/>
    <w:rsid w:val="F8D346C8"/>
    <w:rsid w:val="F8ED2250"/>
    <w:rsid w:val="F8FF44B6"/>
    <w:rsid w:val="F972001A"/>
    <w:rsid w:val="F97F1117"/>
    <w:rsid w:val="F97F999B"/>
    <w:rsid w:val="F98E4439"/>
    <w:rsid w:val="F99FDA36"/>
    <w:rsid w:val="F9B3F838"/>
    <w:rsid w:val="F9EF0914"/>
    <w:rsid w:val="F9F3EB7D"/>
    <w:rsid w:val="F9FD82E5"/>
    <w:rsid w:val="F9FDC70A"/>
    <w:rsid w:val="FA0EF94D"/>
    <w:rsid w:val="FA4E220D"/>
    <w:rsid w:val="FA982247"/>
    <w:rsid w:val="FABEB44F"/>
    <w:rsid w:val="FACF9AB9"/>
    <w:rsid w:val="FAF51BDB"/>
    <w:rsid w:val="FB3E3074"/>
    <w:rsid w:val="FB77C25E"/>
    <w:rsid w:val="FB9F7AD3"/>
    <w:rsid w:val="FBAEDB19"/>
    <w:rsid w:val="FBD35E07"/>
    <w:rsid w:val="FBDA79DF"/>
    <w:rsid w:val="FBDFC074"/>
    <w:rsid w:val="FBE1AB99"/>
    <w:rsid w:val="FBEBC5D6"/>
    <w:rsid w:val="FBED3E85"/>
    <w:rsid w:val="FBEFFB7A"/>
    <w:rsid w:val="FBF3B8E0"/>
    <w:rsid w:val="FBFB910E"/>
    <w:rsid w:val="FBFC7B99"/>
    <w:rsid w:val="FBFD03A0"/>
    <w:rsid w:val="FBFD4DC7"/>
    <w:rsid w:val="FBFE4C98"/>
    <w:rsid w:val="FBFFCAA3"/>
    <w:rsid w:val="FC6FBC55"/>
    <w:rsid w:val="FC79A0BB"/>
    <w:rsid w:val="FC7F2C93"/>
    <w:rsid w:val="FCDE1A40"/>
    <w:rsid w:val="FCF72825"/>
    <w:rsid w:val="FCF78876"/>
    <w:rsid w:val="FCFB8D43"/>
    <w:rsid w:val="FD1F0DF1"/>
    <w:rsid w:val="FD1F740E"/>
    <w:rsid w:val="FD36F994"/>
    <w:rsid w:val="FD4F7CCC"/>
    <w:rsid w:val="FD59B623"/>
    <w:rsid w:val="FD5BC3A7"/>
    <w:rsid w:val="FD7878B4"/>
    <w:rsid w:val="FD7D2666"/>
    <w:rsid w:val="FD7E1E59"/>
    <w:rsid w:val="FD9533FF"/>
    <w:rsid w:val="FD9B0ED4"/>
    <w:rsid w:val="FDBFE9F3"/>
    <w:rsid w:val="FDCFB870"/>
    <w:rsid w:val="FDD122BB"/>
    <w:rsid w:val="FDDDF9D9"/>
    <w:rsid w:val="FDE58312"/>
    <w:rsid w:val="FDEC8F33"/>
    <w:rsid w:val="FDED4CF7"/>
    <w:rsid w:val="FDF3229F"/>
    <w:rsid w:val="FDF72368"/>
    <w:rsid w:val="FDFDAF82"/>
    <w:rsid w:val="FDFE3B2F"/>
    <w:rsid w:val="FDFEE3DE"/>
    <w:rsid w:val="FDFF00AA"/>
    <w:rsid w:val="FDFF33DF"/>
    <w:rsid w:val="FDFF91F4"/>
    <w:rsid w:val="FE3D643D"/>
    <w:rsid w:val="FE4BEE59"/>
    <w:rsid w:val="FE6F105A"/>
    <w:rsid w:val="FE7A4656"/>
    <w:rsid w:val="FE8DD527"/>
    <w:rsid w:val="FEAB5E58"/>
    <w:rsid w:val="FEB746FA"/>
    <w:rsid w:val="FEBDBBB2"/>
    <w:rsid w:val="FECC4353"/>
    <w:rsid w:val="FECF432C"/>
    <w:rsid w:val="FED01B59"/>
    <w:rsid w:val="FEF3282F"/>
    <w:rsid w:val="FEF59A29"/>
    <w:rsid w:val="FEF717ED"/>
    <w:rsid w:val="FEF7A559"/>
    <w:rsid w:val="FEF7BC32"/>
    <w:rsid w:val="FEFF3C62"/>
    <w:rsid w:val="FF0B5F84"/>
    <w:rsid w:val="FF0CDEB5"/>
    <w:rsid w:val="FF16A798"/>
    <w:rsid w:val="FF361E29"/>
    <w:rsid w:val="FF372CDD"/>
    <w:rsid w:val="FF48A5DE"/>
    <w:rsid w:val="FF4D014D"/>
    <w:rsid w:val="FF6E71E1"/>
    <w:rsid w:val="FF7321C8"/>
    <w:rsid w:val="FF76E2E0"/>
    <w:rsid w:val="FF7D9772"/>
    <w:rsid w:val="FF7DDC45"/>
    <w:rsid w:val="FF7E213E"/>
    <w:rsid w:val="FF7E666D"/>
    <w:rsid w:val="FF7ED418"/>
    <w:rsid w:val="FF7F6F12"/>
    <w:rsid w:val="FF8E5A6F"/>
    <w:rsid w:val="FF8FDA20"/>
    <w:rsid w:val="FF9EEFAF"/>
    <w:rsid w:val="FFA78F94"/>
    <w:rsid w:val="FFA7B0A6"/>
    <w:rsid w:val="FFAEFD10"/>
    <w:rsid w:val="FFBDF1C0"/>
    <w:rsid w:val="FFBE005B"/>
    <w:rsid w:val="FFBE3D54"/>
    <w:rsid w:val="FFBF3AB7"/>
    <w:rsid w:val="FFBF41CF"/>
    <w:rsid w:val="FFC734A8"/>
    <w:rsid w:val="FFCBC5AE"/>
    <w:rsid w:val="FFD9A6CE"/>
    <w:rsid w:val="FFDD321B"/>
    <w:rsid w:val="FFDFA1A0"/>
    <w:rsid w:val="FFE142B7"/>
    <w:rsid w:val="FFE5314D"/>
    <w:rsid w:val="FFE70E16"/>
    <w:rsid w:val="FFEAEB6B"/>
    <w:rsid w:val="FFEBB1B4"/>
    <w:rsid w:val="FFECEC2D"/>
    <w:rsid w:val="FFED6F1C"/>
    <w:rsid w:val="FFEEB330"/>
    <w:rsid w:val="FFEEF054"/>
    <w:rsid w:val="FFEF0495"/>
    <w:rsid w:val="FFEF3CF4"/>
    <w:rsid w:val="FFEF4004"/>
    <w:rsid w:val="FFEF7D7E"/>
    <w:rsid w:val="FFEFE1FF"/>
    <w:rsid w:val="FFF34AB2"/>
    <w:rsid w:val="FFF5D327"/>
    <w:rsid w:val="FFF77D2C"/>
    <w:rsid w:val="FFF7FD3B"/>
    <w:rsid w:val="FFFB358F"/>
    <w:rsid w:val="FFFBA1B8"/>
    <w:rsid w:val="FFFBB436"/>
    <w:rsid w:val="FFFC35CB"/>
    <w:rsid w:val="FFFD2880"/>
    <w:rsid w:val="FFFE40A5"/>
    <w:rsid w:val="FFFE79F0"/>
    <w:rsid w:val="FFFF1FA2"/>
    <w:rsid w:val="FFFF3361"/>
    <w:rsid w:val="FFFF5817"/>
    <w:rsid w:val="FFFF6BAE"/>
    <w:rsid w:val="000101A9"/>
    <w:rsid w:val="00027682"/>
    <w:rsid w:val="000468F3"/>
    <w:rsid w:val="00054ECE"/>
    <w:rsid w:val="0007049E"/>
    <w:rsid w:val="000711A2"/>
    <w:rsid w:val="00071425"/>
    <w:rsid w:val="000810D4"/>
    <w:rsid w:val="000C301B"/>
    <w:rsid w:val="000E5BFB"/>
    <w:rsid w:val="000F2CE1"/>
    <w:rsid w:val="000F6B4F"/>
    <w:rsid w:val="00117A70"/>
    <w:rsid w:val="0012242B"/>
    <w:rsid w:val="00145700"/>
    <w:rsid w:val="00152F5C"/>
    <w:rsid w:val="00153423"/>
    <w:rsid w:val="0015788D"/>
    <w:rsid w:val="00172A27"/>
    <w:rsid w:val="00175EB9"/>
    <w:rsid w:val="001A3437"/>
    <w:rsid w:val="001A4CC5"/>
    <w:rsid w:val="001C6544"/>
    <w:rsid w:val="001D0665"/>
    <w:rsid w:val="001F674D"/>
    <w:rsid w:val="00224C41"/>
    <w:rsid w:val="00227D06"/>
    <w:rsid w:val="00236408"/>
    <w:rsid w:val="00253856"/>
    <w:rsid w:val="002540A7"/>
    <w:rsid w:val="00265F11"/>
    <w:rsid w:val="0027302E"/>
    <w:rsid w:val="002A1B53"/>
    <w:rsid w:val="002A2CA1"/>
    <w:rsid w:val="002B47CE"/>
    <w:rsid w:val="002B4B64"/>
    <w:rsid w:val="002F11FD"/>
    <w:rsid w:val="00326A94"/>
    <w:rsid w:val="00327011"/>
    <w:rsid w:val="00327F0A"/>
    <w:rsid w:val="00337D8A"/>
    <w:rsid w:val="00340048"/>
    <w:rsid w:val="0034295B"/>
    <w:rsid w:val="0034483D"/>
    <w:rsid w:val="0034704C"/>
    <w:rsid w:val="003538E8"/>
    <w:rsid w:val="003570ED"/>
    <w:rsid w:val="00381FED"/>
    <w:rsid w:val="00397B25"/>
    <w:rsid w:val="003E12F1"/>
    <w:rsid w:val="003E4B94"/>
    <w:rsid w:val="003F062B"/>
    <w:rsid w:val="003F6D70"/>
    <w:rsid w:val="004027A1"/>
    <w:rsid w:val="00426C16"/>
    <w:rsid w:val="00444459"/>
    <w:rsid w:val="00454AAB"/>
    <w:rsid w:val="00456D20"/>
    <w:rsid w:val="004577DD"/>
    <w:rsid w:val="00464182"/>
    <w:rsid w:val="00481585"/>
    <w:rsid w:val="00491845"/>
    <w:rsid w:val="00493775"/>
    <w:rsid w:val="004C3469"/>
    <w:rsid w:val="004E5295"/>
    <w:rsid w:val="004E7773"/>
    <w:rsid w:val="004F66A1"/>
    <w:rsid w:val="004F69C7"/>
    <w:rsid w:val="005017EA"/>
    <w:rsid w:val="005143FB"/>
    <w:rsid w:val="00523B2F"/>
    <w:rsid w:val="005338BF"/>
    <w:rsid w:val="005370F4"/>
    <w:rsid w:val="005557BF"/>
    <w:rsid w:val="00563AE2"/>
    <w:rsid w:val="00566CDD"/>
    <w:rsid w:val="0059778B"/>
    <w:rsid w:val="005A0A01"/>
    <w:rsid w:val="005B5D6E"/>
    <w:rsid w:val="005E6EC6"/>
    <w:rsid w:val="005F2D4E"/>
    <w:rsid w:val="006135DE"/>
    <w:rsid w:val="00634176"/>
    <w:rsid w:val="00636821"/>
    <w:rsid w:val="00685FD4"/>
    <w:rsid w:val="0069087E"/>
    <w:rsid w:val="00690ED0"/>
    <w:rsid w:val="00694DF9"/>
    <w:rsid w:val="006A0F9C"/>
    <w:rsid w:val="006B76A8"/>
    <w:rsid w:val="006C3D20"/>
    <w:rsid w:val="006C7E50"/>
    <w:rsid w:val="006D5572"/>
    <w:rsid w:val="006D5900"/>
    <w:rsid w:val="006F1B16"/>
    <w:rsid w:val="006F3076"/>
    <w:rsid w:val="0070258B"/>
    <w:rsid w:val="00706715"/>
    <w:rsid w:val="007107C0"/>
    <w:rsid w:val="0071316B"/>
    <w:rsid w:val="00736500"/>
    <w:rsid w:val="0074512F"/>
    <w:rsid w:val="0074538C"/>
    <w:rsid w:val="00764F83"/>
    <w:rsid w:val="00765335"/>
    <w:rsid w:val="00770ADF"/>
    <w:rsid w:val="00782F4E"/>
    <w:rsid w:val="00786DF9"/>
    <w:rsid w:val="00793237"/>
    <w:rsid w:val="0079513B"/>
    <w:rsid w:val="007968D0"/>
    <w:rsid w:val="007A0B90"/>
    <w:rsid w:val="007A421A"/>
    <w:rsid w:val="007A64D5"/>
    <w:rsid w:val="007A7CB5"/>
    <w:rsid w:val="007B6D64"/>
    <w:rsid w:val="007D5FDD"/>
    <w:rsid w:val="007D7FDE"/>
    <w:rsid w:val="008127A1"/>
    <w:rsid w:val="00814056"/>
    <w:rsid w:val="00814144"/>
    <w:rsid w:val="008141E3"/>
    <w:rsid w:val="00835D08"/>
    <w:rsid w:val="00850027"/>
    <w:rsid w:val="00854404"/>
    <w:rsid w:val="00855ACF"/>
    <w:rsid w:val="0086163F"/>
    <w:rsid w:val="00864C19"/>
    <w:rsid w:val="00866BF8"/>
    <w:rsid w:val="00866F2C"/>
    <w:rsid w:val="00881646"/>
    <w:rsid w:val="008834C6"/>
    <w:rsid w:val="008963C6"/>
    <w:rsid w:val="008B74C5"/>
    <w:rsid w:val="008B7AD9"/>
    <w:rsid w:val="008E5EC5"/>
    <w:rsid w:val="008F56AE"/>
    <w:rsid w:val="00902E0E"/>
    <w:rsid w:val="00940ECE"/>
    <w:rsid w:val="0094126B"/>
    <w:rsid w:val="0095098D"/>
    <w:rsid w:val="00963AF9"/>
    <w:rsid w:val="00966F87"/>
    <w:rsid w:val="00974822"/>
    <w:rsid w:val="0098103B"/>
    <w:rsid w:val="0098306B"/>
    <w:rsid w:val="009B772F"/>
    <w:rsid w:val="009C4EB4"/>
    <w:rsid w:val="009E1213"/>
    <w:rsid w:val="009E181F"/>
    <w:rsid w:val="009F6F34"/>
    <w:rsid w:val="009F6F8E"/>
    <w:rsid w:val="00A01F39"/>
    <w:rsid w:val="00A10F6E"/>
    <w:rsid w:val="00A33B31"/>
    <w:rsid w:val="00A35625"/>
    <w:rsid w:val="00A675B8"/>
    <w:rsid w:val="00A77B3E"/>
    <w:rsid w:val="00AB772E"/>
    <w:rsid w:val="00AC733E"/>
    <w:rsid w:val="00AF09DF"/>
    <w:rsid w:val="00B0107C"/>
    <w:rsid w:val="00B027C9"/>
    <w:rsid w:val="00B06277"/>
    <w:rsid w:val="00B11E7E"/>
    <w:rsid w:val="00B21A5A"/>
    <w:rsid w:val="00B2314E"/>
    <w:rsid w:val="00B24B26"/>
    <w:rsid w:val="00B30DE0"/>
    <w:rsid w:val="00B56165"/>
    <w:rsid w:val="00B61E9F"/>
    <w:rsid w:val="00B63DD2"/>
    <w:rsid w:val="00B64632"/>
    <w:rsid w:val="00B74818"/>
    <w:rsid w:val="00B90C59"/>
    <w:rsid w:val="00B93612"/>
    <w:rsid w:val="00BA18D0"/>
    <w:rsid w:val="00BC0EB1"/>
    <w:rsid w:val="00BC4A84"/>
    <w:rsid w:val="00BD3B91"/>
    <w:rsid w:val="00BD6A54"/>
    <w:rsid w:val="00BE26C4"/>
    <w:rsid w:val="00BF3BA2"/>
    <w:rsid w:val="00C03DE2"/>
    <w:rsid w:val="00C3220C"/>
    <w:rsid w:val="00C34363"/>
    <w:rsid w:val="00C56026"/>
    <w:rsid w:val="00C64E7D"/>
    <w:rsid w:val="00C66266"/>
    <w:rsid w:val="00C75C75"/>
    <w:rsid w:val="00C76A0C"/>
    <w:rsid w:val="00C86558"/>
    <w:rsid w:val="00CA48BB"/>
    <w:rsid w:val="00CA4BB1"/>
    <w:rsid w:val="00CA6B80"/>
    <w:rsid w:val="00CB1109"/>
    <w:rsid w:val="00CB78DA"/>
    <w:rsid w:val="00D167FB"/>
    <w:rsid w:val="00D354FF"/>
    <w:rsid w:val="00D47286"/>
    <w:rsid w:val="00D50AA4"/>
    <w:rsid w:val="00D76952"/>
    <w:rsid w:val="00D76CE0"/>
    <w:rsid w:val="00D86EC8"/>
    <w:rsid w:val="00D90A95"/>
    <w:rsid w:val="00DB6DB1"/>
    <w:rsid w:val="00DE351F"/>
    <w:rsid w:val="00DF3D5B"/>
    <w:rsid w:val="00DF7895"/>
    <w:rsid w:val="00E2383C"/>
    <w:rsid w:val="00E3390E"/>
    <w:rsid w:val="00E41A12"/>
    <w:rsid w:val="00E876EE"/>
    <w:rsid w:val="00E94EC3"/>
    <w:rsid w:val="00EA716A"/>
    <w:rsid w:val="00EB2451"/>
    <w:rsid w:val="00EC18B2"/>
    <w:rsid w:val="00ED5CD4"/>
    <w:rsid w:val="00F052A1"/>
    <w:rsid w:val="00F24A51"/>
    <w:rsid w:val="00F452EA"/>
    <w:rsid w:val="00F477FD"/>
    <w:rsid w:val="00F528FC"/>
    <w:rsid w:val="00F55DF6"/>
    <w:rsid w:val="00F64ECA"/>
    <w:rsid w:val="00F6780A"/>
    <w:rsid w:val="00F80829"/>
    <w:rsid w:val="00FA7CDE"/>
    <w:rsid w:val="00FB1D44"/>
    <w:rsid w:val="00FC582C"/>
    <w:rsid w:val="00FD3F0D"/>
    <w:rsid w:val="010C3FA7"/>
    <w:rsid w:val="01322E8E"/>
    <w:rsid w:val="01CF32DE"/>
    <w:rsid w:val="01F706AA"/>
    <w:rsid w:val="028D780A"/>
    <w:rsid w:val="02B253D3"/>
    <w:rsid w:val="02C31846"/>
    <w:rsid w:val="03255047"/>
    <w:rsid w:val="0408683A"/>
    <w:rsid w:val="04196E85"/>
    <w:rsid w:val="04357786"/>
    <w:rsid w:val="048C4A46"/>
    <w:rsid w:val="055D42F5"/>
    <w:rsid w:val="06505614"/>
    <w:rsid w:val="06877CC9"/>
    <w:rsid w:val="06B95302"/>
    <w:rsid w:val="06CA35AE"/>
    <w:rsid w:val="06F7338A"/>
    <w:rsid w:val="072401D0"/>
    <w:rsid w:val="074C6D57"/>
    <w:rsid w:val="07711916"/>
    <w:rsid w:val="079052BE"/>
    <w:rsid w:val="07BF562B"/>
    <w:rsid w:val="07EFA279"/>
    <w:rsid w:val="07F47A42"/>
    <w:rsid w:val="07FF9744"/>
    <w:rsid w:val="084356D6"/>
    <w:rsid w:val="08A6443A"/>
    <w:rsid w:val="08E72401"/>
    <w:rsid w:val="08FB1C4C"/>
    <w:rsid w:val="09C71031"/>
    <w:rsid w:val="09CF2D41"/>
    <w:rsid w:val="0A211753"/>
    <w:rsid w:val="0B0A7CB9"/>
    <w:rsid w:val="0BD4F518"/>
    <w:rsid w:val="0BE79187"/>
    <w:rsid w:val="0BFA9848"/>
    <w:rsid w:val="0C2F1F27"/>
    <w:rsid w:val="0C5C641A"/>
    <w:rsid w:val="0C5C7E64"/>
    <w:rsid w:val="0CE03E87"/>
    <w:rsid w:val="0CE104C0"/>
    <w:rsid w:val="0CF44BCD"/>
    <w:rsid w:val="0DB22FD1"/>
    <w:rsid w:val="0DDF080D"/>
    <w:rsid w:val="0E196E44"/>
    <w:rsid w:val="0E52420A"/>
    <w:rsid w:val="0E576294"/>
    <w:rsid w:val="0E6FBEC9"/>
    <w:rsid w:val="0E73144E"/>
    <w:rsid w:val="0F2D43D6"/>
    <w:rsid w:val="0F626F7D"/>
    <w:rsid w:val="0FBDCFF7"/>
    <w:rsid w:val="0FE84C3B"/>
    <w:rsid w:val="105748B8"/>
    <w:rsid w:val="10D609E3"/>
    <w:rsid w:val="11806702"/>
    <w:rsid w:val="11B819AE"/>
    <w:rsid w:val="123063C6"/>
    <w:rsid w:val="12441BD0"/>
    <w:rsid w:val="12632093"/>
    <w:rsid w:val="12B622B4"/>
    <w:rsid w:val="13020FC6"/>
    <w:rsid w:val="13BFFE24"/>
    <w:rsid w:val="13D576DE"/>
    <w:rsid w:val="13E21002"/>
    <w:rsid w:val="14B434DA"/>
    <w:rsid w:val="14F13770"/>
    <w:rsid w:val="150916C0"/>
    <w:rsid w:val="153F4B5B"/>
    <w:rsid w:val="156A4371"/>
    <w:rsid w:val="15F40433"/>
    <w:rsid w:val="1683537A"/>
    <w:rsid w:val="171E30D0"/>
    <w:rsid w:val="179D0613"/>
    <w:rsid w:val="17C73C8D"/>
    <w:rsid w:val="17E7E543"/>
    <w:rsid w:val="17FF5ED1"/>
    <w:rsid w:val="182F1207"/>
    <w:rsid w:val="18453F4E"/>
    <w:rsid w:val="184D654B"/>
    <w:rsid w:val="186C41B7"/>
    <w:rsid w:val="18845656"/>
    <w:rsid w:val="18B162FF"/>
    <w:rsid w:val="197B14EF"/>
    <w:rsid w:val="199C3918"/>
    <w:rsid w:val="19AE1774"/>
    <w:rsid w:val="19C3292F"/>
    <w:rsid w:val="1A7F4EBE"/>
    <w:rsid w:val="1AD4394C"/>
    <w:rsid w:val="1AEB1932"/>
    <w:rsid w:val="1B402B8C"/>
    <w:rsid w:val="1B637E2F"/>
    <w:rsid w:val="1BA453A0"/>
    <w:rsid w:val="1BBDE9D4"/>
    <w:rsid w:val="1BDF88CD"/>
    <w:rsid w:val="1BEE6D07"/>
    <w:rsid w:val="1BFE2D63"/>
    <w:rsid w:val="1C361086"/>
    <w:rsid w:val="1C654B13"/>
    <w:rsid w:val="1C676888"/>
    <w:rsid w:val="1CDA3F40"/>
    <w:rsid w:val="1DBFA3E0"/>
    <w:rsid w:val="1DEAA37E"/>
    <w:rsid w:val="1DFA7970"/>
    <w:rsid w:val="1DFE8A03"/>
    <w:rsid w:val="1E1C6945"/>
    <w:rsid w:val="1E776AEF"/>
    <w:rsid w:val="1E77CE46"/>
    <w:rsid w:val="1EF9484B"/>
    <w:rsid w:val="1F35607B"/>
    <w:rsid w:val="1F8D7731"/>
    <w:rsid w:val="1FAC22EB"/>
    <w:rsid w:val="1FBB5582"/>
    <w:rsid w:val="1FBF24CD"/>
    <w:rsid w:val="1FBFE7E5"/>
    <w:rsid w:val="1FDAC585"/>
    <w:rsid w:val="1FF685D7"/>
    <w:rsid w:val="20017660"/>
    <w:rsid w:val="200E7E3A"/>
    <w:rsid w:val="20434AA7"/>
    <w:rsid w:val="211A1385"/>
    <w:rsid w:val="2170186C"/>
    <w:rsid w:val="21AC28F2"/>
    <w:rsid w:val="21C56A28"/>
    <w:rsid w:val="220A0B93"/>
    <w:rsid w:val="225D01B4"/>
    <w:rsid w:val="22767546"/>
    <w:rsid w:val="2290760E"/>
    <w:rsid w:val="22C170F8"/>
    <w:rsid w:val="235FF394"/>
    <w:rsid w:val="23C75E0E"/>
    <w:rsid w:val="24657EE0"/>
    <w:rsid w:val="248C0300"/>
    <w:rsid w:val="24B10056"/>
    <w:rsid w:val="24D12D45"/>
    <w:rsid w:val="24F61669"/>
    <w:rsid w:val="2506741C"/>
    <w:rsid w:val="25094E76"/>
    <w:rsid w:val="25907578"/>
    <w:rsid w:val="265202E4"/>
    <w:rsid w:val="26742F04"/>
    <w:rsid w:val="269B60DA"/>
    <w:rsid w:val="271700EA"/>
    <w:rsid w:val="27372C63"/>
    <w:rsid w:val="275C676E"/>
    <w:rsid w:val="277FBDD9"/>
    <w:rsid w:val="278D5651"/>
    <w:rsid w:val="27CB2B9D"/>
    <w:rsid w:val="27CC2DF2"/>
    <w:rsid w:val="27DD8391"/>
    <w:rsid w:val="27F5DCDC"/>
    <w:rsid w:val="27FE2431"/>
    <w:rsid w:val="28655307"/>
    <w:rsid w:val="28E30935"/>
    <w:rsid w:val="292507E6"/>
    <w:rsid w:val="29443257"/>
    <w:rsid w:val="29977098"/>
    <w:rsid w:val="29BE0BBE"/>
    <w:rsid w:val="29BF83D5"/>
    <w:rsid w:val="29CE0B43"/>
    <w:rsid w:val="29D4206D"/>
    <w:rsid w:val="2A901BF0"/>
    <w:rsid w:val="2AAC48AB"/>
    <w:rsid w:val="2AC411DD"/>
    <w:rsid w:val="2AEF5505"/>
    <w:rsid w:val="2B1B7C7C"/>
    <w:rsid w:val="2B204ED2"/>
    <w:rsid w:val="2B7A4DED"/>
    <w:rsid w:val="2B860410"/>
    <w:rsid w:val="2B8E98B9"/>
    <w:rsid w:val="2BBD6D63"/>
    <w:rsid w:val="2BBE0649"/>
    <w:rsid w:val="2BCB1581"/>
    <w:rsid w:val="2BEF3C13"/>
    <w:rsid w:val="2BF3BB84"/>
    <w:rsid w:val="2C157311"/>
    <w:rsid w:val="2C1B0EE8"/>
    <w:rsid w:val="2C447F93"/>
    <w:rsid w:val="2CA74927"/>
    <w:rsid w:val="2CB9A3C7"/>
    <w:rsid w:val="2CFF93C0"/>
    <w:rsid w:val="2D0A0F57"/>
    <w:rsid w:val="2E0916E8"/>
    <w:rsid w:val="2ED7B167"/>
    <w:rsid w:val="2EDE1CD9"/>
    <w:rsid w:val="2EFC2BA8"/>
    <w:rsid w:val="2F73153F"/>
    <w:rsid w:val="2F731FEA"/>
    <w:rsid w:val="2F7E4166"/>
    <w:rsid w:val="2FBF7ABD"/>
    <w:rsid w:val="2FCB04D1"/>
    <w:rsid w:val="2FF4C68C"/>
    <w:rsid w:val="2FF6429B"/>
    <w:rsid w:val="2FFFD555"/>
    <w:rsid w:val="30880B1A"/>
    <w:rsid w:val="309659E4"/>
    <w:rsid w:val="31156A8E"/>
    <w:rsid w:val="318E7BFE"/>
    <w:rsid w:val="31C6224D"/>
    <w:rsid w:val="31C72D0A"/>
    <w:rsid w:val="320115AB"/>
    <w:rsid w:val="321D5534"/>
    <w:rsid w:val="32AE5944"/>
    <w:rsid w:val="32C76F6D"/>
    <w:rsid w:val="33295C1D"/>
    <w:rsid w:val="335C2FB7"/>
    <w:rsid w:val="3397FB7C"/>
    <w:rsid w:val="33B1746F"/>
    <w:rsid w:val="33D06380"/>
    <w:rsid w:val="33F6978F"/>
    <w:rsid w:val="34291D5F"/>
    <w:rsid w:val="34590088"/>
    <w:rsid w:val="3475843F"/>
    <w:rsid w:val="34F42A8A"/>
    <w:rsid w:val="34F97717"/>
    <w:rsid w:val="352E1AEE"/>
    <w:rsid w:val="35303643"/>
    <w:rsid w:val="35A35A3F"/>
    <w:rsid w:val="35C4570A"/>
    <w:rsid w:val="35D5FC96"/>
    <w:rsid w:val="35DA70C1"/>
    <w:rsid w:val="35DD67A3"/>
    <w:rsid w:val="35FF676D"/>
    <w:rsid w:val="36135CBE"/>
    <w:rsid w:val="36340818"/>
    <w:rsid w:val="36625D0C"/>
    <w:rsid w:val="36F75236"/>
    <w:rsid w:val="37470A1B"/>
    <w:rsid w:val="37A27938"/>
    <w:rsid w:val="37B54ADF"/>
    <w:rsid w:val="37DF6A8C"/>
    <w:rsid w:val="37F16680"/>
    <w:rsid w:val="37FB9CD6"/>
    <w:rsid w:val="37FBAB69"/>
    <w:rsid w:val="37FCF9E0"/>
    <w:rsid w:val="386865F3"/>
    <w:rsid w:val="38856E98"/>
    <w:rsid w:val="38AE7374"/>
    <w:rsid w:val="397CE9FA"/>
    <w:rsid w:val="3981356C"/>
    <w:rsid w:val="398FBE59"/>
    <w:rsid w:val="39AE0173"/>
    <w:rsid w:val="39CF9398"/>
    <w:rsid w:val="39E06BB7"/>
    <w:rsid w:val="39FE63DA"/>
    <w:rsid w:val="39FF16A6"/>
    <w:rsid w:val="3A5C1C8F"/>
    <w:rsid w:val="3AEE94BF"/>
    <w:rsid w:val="3AEF1518"/>
    <w:rsid w:val="3AFC5808"/>
    <w:rsid w:val="3AFF354D"/>
    <w:rsid w:val="3B6128AF"/>
    <w:rsid w:val="3B7FD698"/>
    <w:rsid w:val="3BA7155E"/>
    <w:rsid w:val="3BCE2B2E"/>
    <w:rsid w:val="3BDE8904"/>
    <w:rsid w:val="3BE15F28"/>
    <w:rsid w:val="3BEF69F1"/>
    <w:rsid w:val="3BEFF8CF"/>
    <w:rsid w:val="3BF26BA3"/>
    <w:rsid w:val="3BF79200"/>
    <w:rsid w:val="3BFF4957"/>
    <w:rsid w:val="3C063CAC"/>
    <w:rsid w:val="3C1C4055"/>
    <w:rsid w:val="3C52081E"/>
    <w:rsid w:val="3C53C5BC"/>
    <w:rsid w:val="3C8A1A52"/>
    <w:rsid w:val="3C8C2456"/>
    <w:rsid w:val="3CA217BD"/>
    <w:rsid w:val="3CA2779D"/>
    <w:rsid w:val="3CAC57E6"/>
    <w:rsid w:val="3CEB2CD0"/>
    <w:rsid w:val="3CFD645E"/>
    <w:rsid w:val="3D054486"/>
    <w:rsid w:val="3D225D1E"/>
    <w:rsid w:val="3D6C2E0F"/>
    <w:rsid w:val="3D714D63"/>
    <w:rsid w:val="3D8853BD"/>
    <w:rsid w:val="3D9EC0B9"/>
    <w:rsid w:val="3DAC68A9"/>
    <w:rsid w:val="3DCFFF36"/>
    <w:rsid w:val="3DE55C5C"/>
    <w:rsid w:val="3DE79E70"/>
    <w:rsid w:val="3DF64C8C"/>
    <w:rsid w:val="3DF99485"/>
    <w:rsid w:val="3DF9D1C7"/>
    <w:rsid w:val="3DFA2EC2"/>
    <w:rsid w:val="3DFEDA12"/>
    <w:rsid w:val="3E3F64B3"/>
    <w:rsid w:val="3E441781"/>
    <w:rsid w:val="3E4C04DD"/>
    <w:rsid w:val="3E9748C9"/>
    <w:rsid w:val="3EB43CEE"/>
    <w:rsid w:val="3EE13927"/>
    <w:rsid w:val="3EFFC0D2"/>
    <w:rsid w:val="3F13832E"/>
    <w:rsid w:val="3F74DECA"/>
    <w:rsid w:val="3F7F0620"/>
    <w:rsid w:val="3F7F8784"/>
    <w:rsid w:val="3F7FBF7F"/>
    <w:rsid w:val="3F91339B"/>
    <w:rsid w:val="3FEECAA6"/>
    <w:rsid w:val="3FF42639"/>
    <w:rsid w:val="3FF75D61"/>
    <w:rsid w:val="3FF78255"/>
    <w:rsid w:val="3FF960D8"/>
    <w:rsid w:val="3FFB074A"/>
    <w:rsid w:val="40B02E41"/>
    <w:rsid w:val="40B33108"/>
    <w:rsid w:val="40F83A24"/>
    <w:rsid w:val="411A3B51"/>
    <w:rsid w:val="411F26C2"/>
    <w:rsid w:val="41E50E32"/>
    <w:rsid w:val="41FA1742"/>
    <w:rsid w:val="42D107D9"/>
    <w:rsid w:val="42F926FB"/>
    <w:rsid w:val="432C22B1"/>
    <w:rsid w:val="43570C6E"/>
    <w:rsid w:val="43647E43"/>
    <w:rsid w:val="43AF7BBF"/>
    <w:rsid w:val="43C41C76"/>
    <w:rsid w:val="43F961C5"/>
    <w:rsid w:val="4410151C"/>
    <w:rsid w:val="452F3274"/>
    <w:rsid w:val="45844FCE"/>
    <w:rsid w:val="45AE931D"/>
    <w:rsid w:val="45D251E2"/>
    <w:rsid w:val="45DF0453"/>
    <w:rsid w:val="46874D3F"/>
    <w:rsid w:val="46CB39E2"/>
    <w:rsid w:val="46DB781C"/>
    <w:rsid w:val="47A52982"/>
    <w:rsid w:val="47BC2FDD"/>
    <w:rsid w:val="47F76339"/>
    <w:rsid w:val="47FF7ED1"/>
    <w:rsid w:val="483243FA"/>
    <w:rsid w:val="48D16F09"/>
    <w:rsid w:val="493C1E2A"/>
    <w:rsid w:val="49471A9B"/>
    <w:rsid w:val="49B87CAB"/>
    <w:rsid w:val="49D051BB"/>
    <w:rsid w:val="49FA7838"/>
    <w:rsid w:val="4A2F17E4"/>
    <w:rsid w:val="4B476E98"/>
    <w:rsid w:val="4BAE5EE7"/>
    <w:rsid w:val="4BBF65A2"/>
    <w:rsid w:val="4BEBB755"/>
    <w:rsid w:val="4BF39157"/>
    <w:rsid w:val="4BFF044F"/>
    <w:rsid w:val="4C4B6322"/>
    <w:rsid w:val="4CA446A1"/>
    <w:rsid w:val="4D0A437B"/>
    <w:rsid w:val="4D5F122E"/>
    <w:rsid w:val="4D671301"/>
    <w:rsid w:val="4D6C7BBE"/>
    <w:rsid w:val="4D7730E9"/>
    <w:rsid w:val="4D7A24FB"/>
    <w:rsid w:val="4DBB66D0"/>
    <w:rsid w:val="4DBC3976"/>
    <w:rsid w:val="4DDC7C37"/>
    <w:rsid w:val="4DFE5ECB"/>
    <w:rsid w:val="4DFF602E"/>
    <w:rsid w:val="4E021F42"/>
    <w:rsid w:val="4E23723D"/>
    <w:rsid w:val="4E5E23C1"/>
    <w:rsid w:val="4E613699"/>
    <w:rsid w:val="4E8E8560"/>
    <w:rsid w:val="4EAF32A6"/>
    <w:rsid w:val="4F1D1632"/>
    <w:rsid w:val="4F6C7A93"/>
    <w:rsid w:val="4F7EFE6F"/>
    <w:rsid w:val="4F7F3D76"/>
    <w:rsid w:val="4FD32CC0"/>
    <w:rsid w:val="4FD751FD"/>
    <w:rsid w:val="4FDE3C80"/>
    <w:rsid w:val="4FE96F96"/>
    <w:rsid w:val="4FFADD19"/>
    <w:rsid w:val="4FFDFA4D"/>
    <w:rsid w:val="4FFF3772"/>
    <w:rsid w:val="4FFF4671"/>
    <w:rsid w:val="501E4B4D"/>
    <w:rsid w:val="5020372F"/>
    <w:rsid w:val="503A4B3C"/>
    <w:rsid w:val="5046746D"/>
    <w:rsid w:val="5080539A"/>
    <w:rsid w:val="509C224E"/>
    <w:rsid w:val="510500D4"/>
    <w:rsid w:val="51573C03"/>
    <w:rsid w:val="51D8745C"/>
    <w:rsid w:val="520F6E00"/>
    <w:rsid w:val="5227225E"/>
    <w:rsid w:val="52D51C17"/>
    <w:rsid w:val="52DFC284"/>
    <w:rsid w:val="52FC7EA5"/>
    <w:rsid w:val="5318536C"/>
    <w:rsid w:val="535F6931"/>
    <w:rsid w:val="536A73F7"/>
    <w:rsid w:val="537F3341"/>
    <w:rsid w:val="538D4C64"/>
    <w:rsid w:val="53AE463C"/>
    <w:rsid w:val="53AE56BD"/>
    <w:rsid w:val="53F01F45"/>
    <w:rsid w:val="540862D7"/>
    <w:rsid w:val="54130674"/>
    <w:rsid w:val="54156F88"/>
    <w:rsid w:val="54B85071"/>
    <w:rsid w:val="55033D85"/>
    <w:rsid w:val="550E0DC6"/>
    <w:rsid w:val="55571332"/>
    <w:rsid w:val="5557AF97"/>
    <w:rsid w:val="5573F2FD"/>
    <w:rsid w:val="55BB4DE6"/>
    <w:rsid w:val="55BDC8F3"/>
    <w:rsid w:val="55CF7905"/>
    <w:rsid w:val="55D62783"/>
    <w:rsid w:val="55EF1DF6"/>
    <w:rsid w:val="55F91D60"/>
    <w:rsid w:val="563D6FA7"/>
    <w:rsid w:val="566643B6"/>
    <w:rsid w:val="56FD08D9"/>
    <w:rsid w:val="571217ED"/>
    <w:rsid w:val="572110A9"/>
    <w:rsid w:val="573F74FE"/>
    <w:rsid w:val="57586E99"/>
    <w:rsid w:val="577F4FCC"/>
    <w:rsid w:val="57EF86B5"/>
    <w:rsid w:val="57EF870C"/>
    <w:rsid w:val="57F2BCD7"/>
    <w:rsid w:val="57FBC581"/>
    <w:rsid w:val="57FEC794"/>
    <w:rsid w:val="58BD1203"/>
    <w:rsid w:val="58BEE190"/>
    <w:rsid w:val="58EB2FA4"/>
    <w:rsid w:val="58ED7E3F"/>
    <w:rsid w:val="59461922"/>
    <w:rsid w:val="59635AFF"/>
    <w:rsid w:val="59650F4C"/>
    <w:rsid w:val="59763351"/>
    <w:rsid w:val="59D14798"/>
    <w:rsid w:val="59F732A8"/>
    <w:rsid w:val="59FB7F99"/>
    <w:rsid w:val="5A2679B5"/>
    <w:rsid w:val="5A27795C"/>
    <w:rsid w:val="5A506E27"/>
    <w:rsid w:val="5A622C9F"/>
    <w:rsid w:val="5A872B3D"/>
    <w:rsid w:val="5A9C42A7"/>
    <w:rsid w:val="5ABC10CE"/>
    <w:rsid w:val="5AD85ED5"/>
    <w:rsid w:val="5B3754AC"/>
    <w:rsid w:val="5B77BCCC"/>
    <w:rsid w:val="5BBFB84A"/>
    <w:rsid w:val="5BDF6E46"/>
    <w:rsid w:val="5BDF87A3"/>
    <w:rsid w:val="5BFA40A1"/>
    <w:rsid w:val="5BFE3FB4"/>
    <w:rsid w:val="5BFEC130"/>
    <w:rsid w:val="5C75205D"/>
    <w:rsid w:val="5C7F2617"/>
    <w:rsid w:val="5CAF6973"/>
    <w:rsid w:val="5CB7BBFA"/>
    <w:rsid w:val="5CE32510"/>
    <w:rsid w:val="5CFF42F1"/>
    <w:rsid w:val="5D739DEF"/>
    <w:rsid w:val="5D9B5743"/>
    <w:rsid w:val="5DADE61A"/>
    <w:rsid w:val="5DCA7440"/>
    <w:rsid w:val="5DD81EB0"/>
    <w:rsid w:val="5DDFB65A"/>
    <w:rsid w:val="5DF25EA1"/>
    <w:rsid w:val="5DF2DCFE"/>
    <w:rsid w:val="5DFB3ADA"/>
    <w:rsid w:val="5E225D2B"/>
    <w:rsid w:val="5E3907E6"/>
    <w:rsid w:val="5E4C53A9"/>
    <w:rsid w:val="5E4F35CE"/>
    <w:rsid w:val="5E7F4643"/>
    <w:rsid w:val="5EA6B85F"/>
    <w:rsid w:val="5EBF491D"/>
    <w:rsid w:val="5EC63AD0"/>
    <w:rsid w:val="5EC7142D"/>
    <w:rsid w:val="5ED781AB"/>
    <w:rsid w:val="5ED7D437"/>
    <w:rsid w:val="5EDBBEEA"/>
    <w:rsid w:val="5EE71531"/>
    <w:rsid w:val="5F0B1B90"/>
    <w:rsid w:val="5F0F37F9"/>
    <w:rsid w:val="5F1F0156"/>
    <w:rsid w:val="5F3B676F"/>
    <w:rsid w:val="5F3D9862"/>
    <w:rsid w:val="5F5ECCCF"/>
    <w:rsid w:val="5F6F7888"/>
    <w:rsid w:val="5F741735"/>
    <w:rsid w:val="5F77C15B"/>
    <w:rsid w:val="5F7DDA5A"/>
    <w:rsid w:val="5F7E41F8"/>
    <w:rsid w:val="5F7FB8D7"/>
    <w:rsid w:val="5F9F2AF4"/>
    <w:rsid w:val="5FA598A8"/>
    <w:rsid w:val="5FB6C90B"/>
    <w:rsid w:val="5FBF10C9"/>
    <w:rsid w:val="5FBFA8DE"/>
    <w:rsid w:val="5FC72D43"/>
    <w:rsid w:val="5FD48A7F"/>
    <w:rsid w:val="5FDF272A"/>
    <w:rsid w:val="5FE49ED6"/>
    <w:rsid w:val="5FE79582"/>
    <w:rsid w:val="5FF3C4BD"/>
    <w:rsid w:val="5FFB1A71"/>
    <w:rsid w:val="5FFB8C6E"/>
    <w:rsid w:val="5FFE282E"/>
    <w:rsid w:val="5FFED246"/>
    <w:rsid w:val="600121C6"/>
    <w:rsid w:val="600A310B"/>
    <w:rsid w:val="60342AA2"/>
    <w:rsid w:val="605A709E"/>
    <w:rsid w:val="60606B37"/>
    <w:rsid w:val="613C5EC3"/>
    <w:rsid w:val="61757DF5"/>
    <w:rsid w:val="623D2F99"/>
    <w:rsid w:val="62CB057B"/>
    <w:rsid w:val="63DBB834"/>
    <w:rsid w:val="64596240"/>
    <w:rsid w:val="646944FD"/>
    <w:rsid w:val="64783FEC"/>
    <w:rsid w:val="64861737"/>
    <w:rsid w:val="648C5CFB"/>
    <w:rsid w:val="64E240DA"/>
    <w:rsid w:val="64FA4348"/>
    <w:rsid w:val="64FF39D6"/>
    <w:rsid w:val="651340F2"/>
    <w:rsid w:val="654D2483"/>
    <w:rsid w:val="657210B6"/>
    <w:rsid w:val="657E1F08"/>
    <w:rsid w:val="65E850E5"/>
    <w:rsid w:val="65FE312F"/>
    <w:rsid w:val="65FF9331"/>
    <w:rsid w:val="660C0377"/>
    <w:rsid w:val="662B7F26"/>
    <w:rsid w:val="662F6390"/>
    <w:rsid w:val="66771F4E"/>
    <w:rsid w:val="667D4EC7"/>
    <w:rsid w:val="669F651F"/>
    <w:rsid w:val="66A27BCD"/>
    <w:rsid w:val="66DE1220"/>
    <w:rsid w:val="66F9B333"/>
    <w:rsid w:val="6720362F"/>
    <w:rsid w:val="67466BF6"/>
    <w:rsid w:val="675FB1C9"/>
    <w:rsid w:val="677FB307"/>
    <w:rsid w:val="67C764CA"/>
    <w:rsid w:val="67CF6078"/>
    <w:rsid w:val="67F22EE1"/>
    <w:rsid w:val="67F77283"/>
    <w:rsid w:val="67F7EA61"/>
    <w:rsid w:val="67FB012C"/>
    <w:rsid w:val="67FDEBB4"/>
    <w:rsid w:val="67FF1237"/>
    <w:rsid w:val="68014CBD"/>
    <w:rsid w:val="6856019A"/>
    <w:rsid w:val="68626BDA"/>
    <w:rsid w:val="68BF8AEC"/>
    <w:rsid w:val="69C3610A"/>
    <w:rsid w:val="69FF7F75"/>
    <w:rsid w:val="6A352173"/>
    <w:rsid w:val="6A8E4FDE"/>
    <w:rsid w:val="6A9FD300"/>
    <w:rsid w:val="6AA66A8C"/>
    <w:rsid w:val="6AB9F4AD"/>
    <w:rsid w:val="6B0C2C50"/>
    <w:rsid w:val="6B1A0C6D"/>
    <w:rsid w:val="6B566FFB"/>
    <w:rsid w:val="6B593482"/>
    <w:rsid w:val="6B68065B"/>
    <w:rsid w:val="6BB81DF4"/>
    <w:rsid w:val="6BEF4EA0"/>
    <w:rsid w:val="6BFE165B"/>
    <w:rsid w:val="6C177B83"/>
    <w:rsid w:val="6C7F0DE9"/>
    <w:rsid w:val="6C9E1DB3"/>
    <w:rsid w:val="6CA87B16"/>
    <w:rsid w:val="6CB97305"/>
    <w:rsid w:val="6CF62C30"/>
    <w:rsid w:val="6CFBBD14"/>
    <w:rsid w:val="6D5B138D"/>
    <w:rsid w:val="6D736557"/>
    <w:rsid w:val="6D7463D1"/>
    <w:rsid w:val="6DBDE3F4"/>
    <w:rsid w:val="6DD3BE5C"/>
    <w:rsid w:val="6DD769CB"/>
    <w:rsid w:val="6DDE0C73"/>
    <w:rsid w:val="6DDFF55A"/>
    <w:rsid w:val="6DFD7DCB"/>
    <w:rsid w:val="6DFEB86C"/>
    <w:rsid w:val="6DFEF67D"/>
    <w:rsid w:val="6E437D62"/>
    <w:rsid w:val="6E47118D"/>
    <w:rsid w:val="6E58352F"/>
    <w:rsid w:val="6E6E9F58"/>
    <w:rsid w:val="6E7F846C"/>
    <w:rsid w:val="6E9D5F41"/>
    <w:rsid w:val="6EAE2733"/>
    <w:rsid w:val="6ECD4414"/>
    <w:rsid w:val="6EF748B3"/>
    <w:rsid w:val="6EF7F592"/>
    <w:rsid w:val="6EFF5192"/>
    <w:rsid w:val="6F101E5F"/>
    <w:rsid w:val="6F2BFD5F"/>
    <w:rsid w:val="6F3B9CB4"/>
    <w:rsid w:val="6F546DD6"/>
    <w:rsid w:val="6F5FFD67"/>
    <w:rsid w:val="6F77D9A4"/>
    <w:rsid w:val="6F79FA17"/>
    <w:rsid w:val="6F7DADC3"/>
    <w:rsid w:val="6F9237F4"/>
    <w:rsid w:val="6FAB4704"/>
    <w:rsid w:val="6FB7D88C"/>
    <w:rsid w:val="6FBF7179"/>
    <w:rsid w:val="6FC42FE0"/>
    <w:rsid w:val="6FD286C4"/>
    <w:rsid w:val="6FDF1BD1"/>
    <w:rsid w:val="6FE97875"/>
    <w:rsid w:val="6FEF3B06"/>
    <w:rsid w:val="6FFA8A58"/>
    <w:rsid w:val="6FFB3259"/>
    <w:rsid w:val="6FFB9495"/>
    <w:rsid w:val="6FFD8F02"/>
    <w:rsid w:val="6FFF589A"/>
    <w:rsid w:val="6FFFA7A8"/>
    <w:rsid w:val="6FFFADEB"/>
    <w:rsid w:val="700417FA"/>
    <w:rsid w:val="704941AB"/>
    <w:rsid w:val="70705A46"/>
    <w:rsid w:val="707B0806"/>
    <w:rsid w:val="70BE00E9"/>
    <w:rsid w:val="71026A1E"/>
    <w:rsid w:val="717FA606"/>
    <w:rsid w:val="71F24B3E"/>
    <w:rsid w:val="71F3297B"/>
    <w:rsid w:val="72063152"/>
    <w:rsid w:val="727FCB59"/>
    <w:rsid w:val="72B61473"/>
    <w:rsid w:val="72D73356"/>
    <w:rsid w:val="72F268F6"/>
    <w:rsid w:val="72FB753A"/>
    <w:rsid w:val="73324618"/>
    <w:rsid w:val="734C39D0"/>
    <w:rsid w:val="736FF217"/>
    <w:rsid w:val="73922D6F"/>
    <w:rsid w:val="73B39AC5"/>
    <w:rsid w:val="73B60D43"/>
    <w:rsid w:val="73BCD05E"/>
    <w:rsid w:val="73FA5241"/>
    <w:rsid w:val="73FF0AB2"/>
    <w:rsid w:val="73FF66D0"/>
    <w:rsid w:val="741957C2"/>
    <w:rsid w:val="7470361C"/>
    <w:rsid w:val="74BC4A4B"/>
    <w:rsid w:val="74F5A945"/>
    <w:rsid w:val="74F66410"/>
    <w:rsid w:val="757E1149"/>
    <w:rsid w:val="759B7C3F"/>
    <w:rsid w:val="75BCBDE7"/>
    <w:rsid w:val="75D1D076"/>
    <w:rsid w:val="75D8D52D"/>
    <w:rsid w:val="75DF957A"/>
    <w:rsid w:val="75F3CBAB"/>
    <w:rsid w:val="75F66CC9"/>
    <w:rsid w:val="75FF8C55"/>
    <w:rsid w:val="765FBF31"/>
    <w:rsid w:val="768E2916"/>
    <w:rsid w:val="769E716A"/>
    <w:rsid w:val="76C81EB1"/>
    <w:rsid w:val="77245633"/>
    <w:rsid w:val="772F8C49"/>
    <w:rsid w:val="773D42A7"/>
    <w:rsid w:val="775D3490"/>
    <w:rsid w:val="775F893D"/>
    <w:rsid w:val="776F0A63"/>
    <w:rsid w:val="776F1802"/>
    <w:rsid w:val="776FD525"/>
    <w:rsid w:val="777D097E"/>
    <w:rsid w:val="77900B87"/>
    <w:rsid w:val="779301BE"/>
    <w:rsid w:val="77984B58"/>
    <w:rsid w:val="77ABCF51"/>
    <w:rsid w:val="77B622BC"/>
    <w:rsid w:val="77BFC6EB"/>
    <w:rsid w:val="77BFE2CB"/>
    <w:rsid w:val="77DE52B2"/>
    <w:rsid w:val="77DF4994"/>
    <w:rsid w:val="77E7DA5D"/>
    <w:rsid w:val="77F78444"/>
    <w:rsid w:val="77F7F43E"/>
    <w:rsid w:val="77FF84FD"/>
    <w:rsid w:val="78B17334"/>
    <w:rsid w:val="78BF35B7"/>
    <w:rsid w:val="78BFFCAD"/>
    <w:rsid w:val="78EC26A9"/>
    <w:rsid w:val="78F47AA0"/>
    <w:rsid w:val="79537D73"/>
    <w:rsid w:val="796339EC"/>
    <w:rsid w:val="796626C4"/>
    <w:rsid w:val="797314CF"/>
    <w:rsid w:val="79BDAD24"/>
    <w:rsid w:val="79D57C8B"/>
    <w:rsid w:val="79DEFEBC"/>
    <w:rsid w:val="79EDA20A"/>
    <w:rsid w:val="79F700C8"/>
    <w:rsid w:val="7A1D2635"/>
    <w:rsid w:val="7A325BAB"/>
    <w:rsid w:val="7A3F45F3"/>
    <w:rsid w:val="7A461444"/>
    <w:rsid w:val="7A52C7CA"/>
    <w:rsid w:val="7A6F4ADE"/>
    <w:rsid w:val="7A7A3FB1"/>
    <w:rsid w:val="7A7B7626"/>
    <w:rsid w:val="7A7F7AF9"/>
    <w:rsid w:val="7ABFFA84"/>
    <w:rsid w:val="7ACBE27C"/>
    <w:rsid w:val="7B4EDBAB"/>
    <w:rsid w:val="7B571621"/>
    <w:rsid w:val="7B6B478F"/>
    <w:rsid w:val="7B77C213"/>
    <w:rsid w:val="7B7EBBEA"/>
    <w:rsid w:val="7B984663"/>
    <w:rsid w:val="7BB5424A"/>
    <w:rsid w:val="7BB73CDF"/>
    <w:rsid w:val="7BB89036"/>
    <w:rsid w:val="7BBB4E12"/>
    <w:rsid w:val="7BBC1088"/>
    <w:rsid w:val="7BBD17D1"/>
    <w:rsid w:val="7BC519BB"/>
    <w:rsid w:val="7BC7D714"/>
    <w:rsid w:val="7BD0D34C"/>
    <w:rsid w:val="7BD7E33F"/>
    <w:rsid w:val="7BDE8DD2"/>
    <w:rsid w:val="7BEFBEDD"/>
    <w:rsid w:val="7BF38B2A"/>
    <w:rsid w:val="7BF58731"/>
    <w:rsid w:val="7BFBDFEB"/>
    <w:rsid w:val="7BFC8FEF"/>
    <w:rsid w:val="7BFF111C"/>
    <w:rsid w:val="7BFF4FED"/>
    <w:rsid w:val="7BFFCB4E"/>
    <w:rsid w:val="7C216E39"/>
    <w:rsid w:val="7C7B0E18"/>
    <w:rsid w:val="7C9564F3"/>
    <w:rsid w:val="7CBF7C33"/>
    <w:rsid w:val="7CBFBFC5"/>
    <w:rsid w:val="7CD04806"/>
    <w:rsid w:val="7CFEF24E"/>
    <w:rsid w:val="7CFF0BED"/>
    <w:rsid w:val="7D022514"/>
    <w:rsid w:val="7D341CD6"/>
    <w:rsid w:val="7D5F9B1D"/>
    <w:rsid w:val="7D6185B4"/>
    <w:rsid w:val="7D77008D"/>
    <w:rsid w:val="7D790717"/>
    <w:rsid w:val="7D7B4652"/>
    <w:rsid w:val="7D7F6ABB"/>
    <w:rsid w:val="7D8F3ED5"/>
    <w:rsid w:val="7D9A72BC"/>
    <w:rsid w:val="7DB7E982"/>
    <w:rsid w:val="7DBF6FEF"/>
    <w:rsid w:val="7DBF89F1"/>
    <w:rsid w:val="7DCD54C0"/>
    <w:rsid w:val="7DCF8D23"/>
    <w:rsid w:val="7DD7271B"/>
    <w:rsid w:val="7DECE0B0"/>
    <w:rsid w:val="7DF54409"/>
    <w:rsid w:val="7DFAB730"/>
    <w:rsid w:val="7DFBEB08"/>
    <w:rsid w:val="7DFC0962"/>
    <w:rsid w:val="7DFD0A96"/>
    <w:rsid w:val="7DFE5D33"/>
    <w:rsid w:val="7DFEDF41"/>
    <w:rsid w:val="7DFEF71F"/>
    <w:rsid w:val="7DFF08D8"/>
    <w:rsid w:val="7DFF61EB"/>
    <w:rsid w:val="7DFF872E"/>
    <w:rsid w:val="7E3F68C4"/>
    <w:rsid w:val="7E624164"/>
    <w:rsid w:val="7E6F7954"/>
    <w:rsid w:val="7E7D6E6E"/>
    <w:rsid w:val="7E9142BF"/>
    <w:rsid w:val="7EA607EF"/>
    <w:rsid w:val="7EB7EC3B"/>
    <w:rsid w:val="7EBD549C"/>
    <w:rsid w:val="7ECF3098"/>
    <w:rsid w:val="7ECF7365"/>
    <w:rsid w:val="7ED741F6"/>
    <w:rsid w:val="7EDA7E5A"/>
    <w:rsid w:val="7EDB0EDB"/>
    <w:rsid w:val="7EDD8549"/>
    <w:rsid w:val="7EDF3331"/>
    <w:rsid w:val="7EFB2CC6"/>
    <w:rsid w:val="7EFDFAD1"/>
    <w:rsid w:val="7EFF4AEF"/>
    <w:rsid w:val="7EFF8638"/>
    <w:rsid w:val="7EFFA7DA"/>
    <w:rsid w:val="7EFFE719"/>
    <w:rsid w:val="7F3543C4"/>
    <w:rsid w:val="7F3D21E0"/>
    <w:rsid w:val="7F6FDB6F"/>
    <w:rsid w:val="7F7728FA"/>
    <w:rsid w:val="7F775E50"/>
    <w:rsid w:val="7F7B1AD9"/>
    <w:rsid w:val="7F7FA620"/>
    <w:rsid w:val="7F7FD998"/>
    <w:rsid w:val="7F8EB047"/>
    <w:rsid w:val="7F9E0363"/>
    <w:rsid w:val="7FA71501"/>
    <w:rsid w:val="7FA7C79F"/>
    <w:rsid w:val="7FAEB9FE"/>
    <w:rsid w:val="7FB75728"/>
    <w:rsid w:val="7FB7A248"/>
    <w:rsid w:val="7FB9BB9E"/>
    <w:rsid w:val="7FBC0CC7"/>
    <w:rsid w:val="7FC747D0"/>
    <w:rsid w:val="7FCBD10B"/>
    <w:rsid w:val="7FCDF9DA"/>
    <w:rsid w:val="7FD5CB05"/>
    <w:rsid w:val="7FDB7EE6"/>
    <w:rsid w:val="7FDF13AB"/>
    <w:rsid w:val="7FDF732F"/>
    <w:rsid w:val="7FDF8418"/>
    <w:rsid w:val="7FDF9B32"/>
    <w:rsid w:val="7FDFB846"/>
    <w:rsid w:val="7FE15C67"/>
    <w:rsid w:val="7FEC6468"/>
    <w:rsid w:val="7FEE8B33"/>
    <w:rsid w:val="7FEEBF5E"/>
    <w:rsid w:val="7FF4FCB2"/>
    <w:rsid w:val="7FF6133E"/>
    <w:rsid w:val="7FF70147"/>
    <w:rsid w:val="7FF711F0"/>
    <w:rsid w:val="7FF75515"/>
    <w:rsid w:val="7FF76F98"/>
    <w:rsid w:val="7FF7DC1F"/>
    <w:rsid w:val="7FFBE3EB"/>
    <w:rsid w:val="7FFC1B3A"/>
    <w:rsid w:val="7FFDC1B9"/>
    <w:rsid w:val="7FFDC29C"/>
    <w:rsid w:val="7FFEEFFC"/>
    <w:rsid w:val="7FFF0F36"/>
    <w:rsid w:val="7FFF1221"/>
    <w:rsid w:val="7FFF5C8F"/>
    <w:rsid w:val="7FFF92FD"/>
    <w:rsid w:val="7FFFAF90"/>
    <w:rsid w:val="7FFFC32F"/>
    <w:rsid w:val="7FFFF2C5"/>
    <w:rsid w:val="7FFFF62C"/>
  </w:rsids>
  <m:mathPr>
    <m:mathFont m:val="Cambria Math"/>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SimSun" w:hAnsi="Times New Roman" w:cs="Times New Roman"/>
        <w:lang w:val="en-US" w:eastAsia="en-US" w:bidi="ar-SA"/>
      </w:rPr>
    </w:rPrDefault>
    <w:pPrDefault>
      <w:pPr>
        <w:spacing w:after="160" w:line="259" w:lineRule="auto"/>
      </w:pPr>
    </w:pPrDefault>
  </w:docDefaults>
  <w:latentStyles w:defLockedState="0" w:defUIPriority="99" w:defSemiHidden="1" w:defUnhideWhenUsed="1" w:defQFormat="0" w:count="260">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index 1" w:semiHidden="0" w:uiPriority="0" w:unhideWhenUsed="0"/>
    <w:lsdException w:name="index 2" w:semiHidden="0" w:uiPriority="0" w:unhideWhenUsed="0"/>
    <w:lsdException w:name="index 3" w:semiHidden="0" w:uiPriority="0" w:unhideWhenUsed="0"/>
    <w:lsdException w:name="index 4" w:semiHidden="0" w:uiPriority="0" w:unhideWhenUsed="0"/>
    <w:lsdException w:name="index 5" w:semiHidden="0" w:uiPriority="0" w:unhideWhenUsed="0"/>
    <w:lsdException w:name="index 6" w:semiHidden="0" w:uiPriority="0" w:unhideWhenUsed="0"/>
    <w:lsdException w:name="index 7" w:semiHidden="0" w:uiPriority="0" w:unhideWhenUsed="0"/>
    <w:lsdException w:name="index 8" w:semiHidden="0" w:uiPriority="0" w:unhideWhenUsed="0"/>
    <w:lsdException w:name="index 9" w:semiHidden="0" w:uiPriority="0" w:unhideWhenUsed="0"/>
    <w:lsdException w:name="toc 1" w:semiHidden="0" w:uiPriority="0" w:unhideWhenUsed="0" w:qFormat="1"/>
    <w:lsdException w:name="toc 2" w:semiHidden="0" w:uiPriority="0" w:unhideWhenUsed="0"/>
    <w:lsdException w:name="toc 3" w:semiHidden="0" w:uiPriority="0" w:unhideWhenUsed="0"/>
    <w:lsdException w:name="toc 4" w:semiHidden="0" w:uiPriority="0" w:unhideWhenUsed="0"/>
    <w:lsdException w:name="toc 5" w:semiHidden="0" w:uiPriority="0" w:unhideWhenUsed="0"/>
    <w:lsdException w:name="toc 6" w:semiHidden="0" w:uiPriority="0" w:unhideWhenUsed="0"/>
    <w:lsdException w:name="toc 7" w:semiHidden="0" w:uiPriority="0" w:unhideWhenUsed="0"/>
    <w:lsdException w:name="toc 8" w:semiHidden="0" w:uiPriority="0" w:unhideWhenUsed="0"/>
    <w:lsdException w:name="toc 9" w:semiHidden="0" w:uiPriority="0" w:unhideWhenUsed="0"/>
    <w:lsdException w:name="Normal Indent" w:semiHidden="0" w:uiPriority="0" w:unhideWhenUsed="0"/>
    <w:lsdException w:name="footnote text" w:semiHidden="0" w:uiPriority="0" w:unhideWhenUsed="0"/>
    <w:lsdException w:name="annotation text" w:semiHidden="0" w:uiPriority="0" w:unhideWhenUsed="0" w:qFormat="1"/>
    <w:lsdException w:name="header" w:semiHidden="0" w:uiPriority="0" w:unhideWhenUsed="0" w:qFormat="1"/>
    <w:lsdException w:name="footer" w:semiHidden="0" w:uiPriority="0" w:unhideWhenUsed="0" w:qFormat="1"/>
    <w:lsdException w:name="index heading" w:semiHidden="0" w:uiPriority="0" w:unhideWhenUsed="0"/>
    <w:lsdException w:name="caption" w:uiPriority="0" w:qFormat="1"/>
    <w:lsdException w:name="table of figures" w:semiHidden="0" w:uiPriority="0" w:unhideWhenUsed="0"/>
    <w:lsdException w:name="envelope address" w:semiHidden="0" w:uiPriority="0" w:unhideWhenUsed="0"/>
    <w:lsdException w:name="envelope return" w:semiHidden="0" w:uiPriority="0" w:unhideWhenUsed="0"/>
    <w:lsdException w:name="footnote reference" w:semiHidden="0" w:uiPriority="0" w:unhideWhenUsed="0"/>
    <w:lsdException w:name="annotation reference" w:semiHidden="0" w:uiPriority="0" w:unhideWhenUsed="0"/>
    <w:lsdException w:name="line number" w:semiHidden="0" w:uiPriority="0" w:unhideWhenUsed="0"/>
    <w:lsdException w:name="page number" w:semiHidden="0" w:uiPriority="0" w:unhideWhenUsed="0" w:qFormat="1"/>
    <w:lsdException w:name="endnote reference" w:semiHidden="0" w:uiPriority="0" w:unhideWhenUsed="0"/>
    <w:lsdException w:name="endnote text" w:semiHidden="0" w:uiPriority="0" w:unhideWhenUsed="0"/>
    <w:lsdException w:name="table of authorities" w:semiHidden="0" w:uiPriority="0" w:unhideWhenUsed="0"/>
    <w:lsdException w:name="macro" w:semiHidden="0" w:uiPriority="0" w:unhideWhenUsed="0"/>
    <w:lsdException w:name="toa heading" w:semiHidden="0" w:uiPriority="0" w:unhideWhenUsed="0"/>
    <w:lsdException w:name="List" w:semiHidden="0" w:uiPriority="0" w:unhideWhenUsed="0"/>
    <w:lsdException w:name="List Bullet" w:semiHidden="0" w:uiPriority="0" w:unhideWhenUsed="0"/>
    <w:lsdException w:name="List Number" w:semiHidden="0" w:uiPriority="0" w:unhideWhenUsed="0"/>
    <w:lsdException w:name="List 2" w:semiHidden="0" w:uiPriority="0" w:unhideWhenUsed="0"/>
    <w:lsdException w:name="List 3" w:semiHidden="0" w:uiPriority="0" w:unhideWhenUsed="0"/>
    <w:lsdException w:name="List 4" w:semiHidden="0" w:uiPriority="0" w:unhideWhenUsed="0"/>
    <w:lsdException w:name="List 5" w:semiHidden="0" w:uiPriority="0" w:unhideWhenUsed="0"/>
    <w:lsdException w:name="List Bullet 2" w:semiHidden="0" w:uiPriority="0" w:unhideWhenUsed="0"/>
    <w:lsdException w:name="List Bullet 3" w:semiHidden="0" w:uiPriority="0" w:unhideWhenUsed="0"/>
    <w:lsdException w:name="List Bullet 4" w:semiHidden="0" w:uiPriority="0" w:unhideWhenUsed="0"/>
    <w:lsdException w:name="List Bullet 5" w:semiHidden="0" w:uiPriority="0" w:unhideWhenUsed="0"/>
    <w:lsdException w:name="List Number 2" w:semiHidden="0" w:uiPriority="0" w:unhideWhenUsed="0" w:qFormat="1"/>
    <w:lsdException w:name="List Number 3" w:semiHidden="0" w:uiPriority="0" w:unhideWhenUsed="0"/>
    <w:lsdException w:name="List Number 4" w:semiHidden="0" w:uiPriority="0" w:unhideWhenUsed="0"/>
    <w:lsdException w:name="List Number 5" w:semiHidden="0" w:uiPriority="0" w:unhideWhenUsed="0"/>
    <w:lsdException w:name="Title" w:semiHidden="0" w:uiPriority="0" w:unhideWhenUsed="0" w:qFormat="1"/>
    <w:lsdException w:name="Closing" w:semiHidden="0" w:uiPriority="0" w:unhideWhenUsed="0"/>
    <w:lsdException w:name="Signature" w:semiHidden="0" w:uiPriority="0" w:unhideWhenUsed="0"/>
    <w:lsdException w:name="Default Paragraph Font" w:uiPriority="1" w:qFormat="1"/>
    <w:lsdException w:name="Body Text" w:semiHidden="0" w:uiPriority="0" w:unhideWhenUsed="0" w:qFormat="1"/>
    <w:lsdException w:name="Body Text Indent" w:semiHidden="0" w:uiPriority="0" w:unhideWhenUsed="0" w:qFormat="1"/>
    <w:lsdException w:name="List Continue" w:semiHidden="0" w:uiPriority="0" w:unhideWhenUsed="0"/>
    <w:lsdException w:name="List Continue 2" w:semiHidden="0" w:uiPriority="0" w:unhideWhenUsed="0"/>
    <w:lsdException w:name="List Continue 3" w:semiHidden="0" w:uiPriority="0" w:unhideWhenUsed="0"/>
    <w:lsdException w:name="List Continue 4" w:semiHidden="0" w:uiPriority="0" w:unhideWhenUsed="0"/>
    <w:lsdException w:name="List Continue 5" w:semiHidden="0" w:uiPriority="0" w:unhideWhenUsed="0"/>
    <w:lsdException w:name="Message Header" w:semiHidden="0" w:uiPriority="0" w:unhideWhenUsed="0"/>
    <w:lsdException w:name="Subtitle" w:semiHidden="0" w:uiPriority="0" w:unhideWhenUsed="0" w:qFormat="1"/>
    <w:lsdException w:name="Salutation" w:semiHidden="0" w:uiPriority="0" w:unhideWhenUsed="0"/>
    <w:lsdException w:name="Date" w:semiHidden="0" w:uiPriority="0" w:unhideWhenUsed="0" w:qFormat="1"/>
    <w:lsdException w:name="Body Text First Indent" w:semiHidden="0" w:uiPriority="0" w:unhideWhenUsed="0" w:qFormat="1"/>
    <w:lsdException w:name="Body Text First Indent 2" w:semiHidden="0" w:uiPriority="0" w:unhideWhenUsed="0"/>
    <w:lsdException w:name="Note Heading" w:semiHidden="0" w:uiPriority="0" w:unhideWhenUsed="0"/>
    <w:lsdException w:name="Body Text 2" w:semiHidden="0" w:uiPriority="0" w:unhideWhenUsed="0" w:qFormat="1"/>
    <w:lsdException w:name="Body Text 3" w:semiHidden="0" w:qFormat="1"/>
    <w:lsdException w:name="Body Text Indent 2" w:semiHidden="0" w:uiPriority="0" w:unhideWhenUsed="0" w:qFormat="1"/>
    <w:lsdException w:name="Body Text Indent 3" w:semiHidden="0" w:uiPriority="0" w:unhideWhenUsed="0" w:qFormat="1"/>
    <w:lsdException w:name="Block Text" w:semiHidden="0" w:uiPriority="0" w:unhideWhenUsed="0"/>
    <w:lsdException w:name="Hyperlink" w:semiHidden="0" w:uiPriority="0" w:unhideWhenUsed="0" w:qFormat="1"/>
    <w:lsdException w:name="FollowedHyperlink" w:semiHidden="0" w:uiPriority="0" w:unhideWhenUsed="0" w:qFormat="1"/>
    <w:lsdException w:name="Strong" w:semiHidden="0" w:uiPriority="0" w:unhideWhenUsed="0" w:qFormat="1"/>
    <w:lsdException w:name="Emphasis" w:semiHidden="0" w:uiPriority="0" w:unhideWhenUsed="0" w:qFormat="1"/>
    <w:lsdException w:name="Document Map" w:semiHidden="0" w:uiPriority="0" w:unhideWhenUsed="0" w:qFormat="1"/>
    <w:lsdException w:name="Plain Text" w:semiHidden="0" w:uiPriority="0" w:unhideWhenUsed="0" w:qFormat="1"/>
    <w:lsdException w:name="E-mail Signature" w:semiHidden="0" w:uiPriority="0" w:unhideWhenUsed="0"/>
    <w:lsdException w:name="Normal (Web)" w:semiHidden="0" w:uiPriority="0" w:unhideWhenUsed="0" w:qFormat="1"/>
    <w:lsdException w:name="HTML Acronym" w:semiHidden="0" w:uiPriority="0" w:unhideWhenUsed="0"/>
    <w:lsdException w:name="HTML Address" w:semiHidden="0" w:uiPriority="0" w:unhideWhenUsed="0"/>
    <w:lsdException w:name="HTML Cite" w:semiHidden="0" w:uiPriority="0" w:unhideWhenUsed="0"/>
    <w:lsdException w:name="HTML Code" w:semiHidden="0" w:uiPriority="0" w:unhideWhenUsed="0"/>
    <w:lsdException w:name="HTML Definition" w:semiHidden="0" w:uiPriority="0" w:unhideWhenUsed="0"/>
    <w:lsdException w:name="HTML Keyboard" w:semiHidden="0" w:uiPriority="0" w:unhideWhenUsed="0"/>
    <w:lsdException w:name="HTML Preformatted" w:semiHidden="0" w:uiPriority="0" w:unhideWhenUsed="0"/>
    <w:lsdException w:name="HTML Sample" w:semiHidden="0" w:uiPriority="0" w:unhideWhenUsed="0"/>
    <w:lsdException w:name="HTML Typewriter" w:semiHidden="0" w:uiPriority="0" w:unhideWhenUsed="0"/>
    <w:lsdException w:name="HTML Variable" w:semiHidden="0" w:uiPriority="0" w:unhideWhenUsed="0"/>
    <w:lsdException w:name="Normal Table" w:qFormat="1"/>
    <w:lsdException w:name="annotation subject" w:semiHidden="0" w:uiPriority="0" w:unhideWhenUsed="0"/>
    <w:lsdException w:name="Table Simple 1" w:uiPriority="0"/>
    <w:lsdException w:name="Table Simple 2" w:uiPriority="0"/>
    <w:lsdException w:name="Table Simple 3" w:uiPriority="0"/>
    <w:lsdException w:name="Table Classic 1" w:uiPriority="0"/>
    <w:lsdException w:name="Table Classic 2" w:uiPriority="0"/>
    <w:lsdException w:name="Table Classic 3" w:uiPriority="0"/>
    <w:lsdException w:name="Table Classic 4" w:uiPriority="0"/>
    <w:lsdException w:name="Table Colorful 1" w:uiPriority="0"/>
    <w:lsdException w:name="Table Colorful 2" w:uiPriority="0"/>
    <w:lsdException w:name="Table Colorful 3" w:uiPriority="0"/>
    <w:lsdException w:name="Table Columns 1" w:uiPriority="0"/>
    <w:lsdException w:name="Table Columns 2" w:uiPriority="0"/>
    <w:lsdException w:name="Table Columns 3" w:uiPriority="0"/>
    <w:lsdException w:name="Table Columns 4" w:uiPriority="0"/>
    <w:lsdException w:name="Table Columns 5" w:uiPriority="0"/>
    <w:lsdException w:name="Table Grid 1" w:uiPriority="0"/>
    <w:lsdException w:name="Table Grid 2" w:uiPriority="0"/>
    <w:lsdException w:name="Table Grid 3" w:uiPriority="0"/>
    <w:lsdException w:name="Table Grid 4" w:uiPriority="0"/>
    <w:lsdException w:name="Table Grid 5" w:uiPriority="0"/>
    <w:lsdException w:name="Table Grid 6" w:uiPriority="0"/>
    <w:lsdException w:name="Table Grid 7" w:uiPriority="0"/>
    <w:lsdException w:name="Table Grid 8" w:uiPriority="0"/>
    <w:lsdException w:name="Table List 1" w:uiPriority="0"/>
    <w:lsdException w:name="Table List 2" w:uiPriority="0"/>
    <w:lsdException w:name="Table List 3" w:uiPriority="0"/>
    <w:lsdException w:name="Table List 4" w:uiPriority="0"/>
    <w:lsdException w:name="Table List 5" w:uiPriority="0"/>
    <w:lsdException w:name="Table List 6" w:uiPriority="0"/>
    <w:lsdException w:name="Table List 7" w:uiPriority="0"/>
    <w:lsdException w:name="Table List 8" w:uiPriority="0"/>
    <w:lsdException w:name="Table 3D effects 1" w:uiPriority="0"/>
    <w:lsdException w:name="Table 3D effects 2" w:uiPriority="0"/>
    <w:lsdException w:name="Table 3D effects 3" w:uiPriority="0"/>
    <w:lsdException w:name="Table Contemporary" w:uiPriority="0"/>
    <w:lsdException w:name="Table Elegant" w:uiPriority="0"/>
    <w:lsdException w:name="Table Professional" w:uiPriority="0"/>
    <w:lsdException w:name="Table Subtle 1" w:uiPriority="0"/>
    <w:lsdException w:name="Table Subtle 2" w:uiPriority="0"/>
    <w:lsdException w:name="Table Web 1" w:uiPriority="0"/>
    <w:lsdException w:name="Table Web 2" w:uiPriority="0"/>
    <w:lsdException w:name="Table Web 3" w:uiPriority="0"/>
    <w:lsdException w:name="Balloon Text" w:semiHidden="0" w:uiPriority="0" w:unhideWhenUsed="0" w:qFormat="1"/>
    <w:lsdException w:name="Table Grid" w:semiHidden="0" w:uiPriority="0" w:unhideWhenUsed="0"/>
    <w:lsdException w:name="Table Theme" w:uiPriority="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atentStyles>
  <w:style w:type="paragraph" w:default="1" w:styleId="Normal">
    <w:name w:val="Normal"/>
    <w:next w:val="BodyTextIndent2"/>
    <w:qFormat/>
    <w:pPr>
      <w:widowControl w:val="0"/>
      <w:spacing w:after="160" w:line="259" w:lineRule="auto"/>
      <w:jc w:val="both"/>
    </w:pPr>
    <w:rPr>
      <w:rFonts w:ascii="Times New Roman" w:eastAsia="SimSun" w:hAnsi="Times New Roman" w:cs="Times New Roman"/>
      <w:kern w:val="2"/>
      <w:sz w:val="21"/>
      <w:szCs w:val="24"/>
      <w:lang w:val="en-US" w:eastAsia="zh-CN" w:bidi="ar-SA"/>
    </w:rPr>
  </w:style>
  <w:style w:type="paragraph" w:styleId="Heading1">
    <w:name w:val="heading 1"/>
    <w:basedOn w:val="Normal"/>
    <w:next w:val="Normal"/>
    <w:link w:val="Heading1Char"/>
    <w:qFormat/>
    <w:pPr>
      <w:keepNext/>
      <w:keepLines/>
      <w:spacing w:before="340" w:after="330" w:line="576" w:lineRule="auto"/>
      <w:outlineLvl w:val="0"/>
    </w:pPr>
    <w:rPr>
      <w:b/>
      <w:bCs/>
      <w:kern w:val="44"/>
      <w:sz w:val="44"/>
      <w:szCs w:val="44"/>
    </w:rPr>
  </w:style>
  <w:style w:type="paragraph" w:styleId="Heading2">
    <w:name w:val="heading 2"/>
    <w:basedOn w:val="Heading1"/>
    <w:next w:val="Heading3"/>
    <w:qFormat/>
    <w:pPr>
      <w:numPr>
        <w:ilvl w:val="1"/>
        <w:numId w:val="1"/>
      </w:numPr>
      <w:tabs>
        <w:tab w:val="left" w:pos="2400"/>
      </w:tabs>
      <w:spacing w:before="260" w:afterLines="50" w:line="416" w:lineRule="auto"/>
      <w:outlineLvl w:val="1"/>
    </w:pPr>
    <w:rPr>
      <w:rFonts w:ascii="Arial" w:eastAsia="SimHei" w:hAnsi="Arial" w:cs="Calibri"/>
      <w:sz w:val="32"/>
      <w:szCs w:val="32"/>
    </w:rPr>
  </w:style>
  <w:style w:type="paragraph" w:styleId="Heading3">
    <w:name w:val="heading 3"/>
    <w:basedOn w:val="Normal"/>
    <w:next w:val="Normal"/>
    <w:link w:val="Heading3Char"/>
    <w:qFormat/>
    <w:pPr>
      <w:keepNext/>
      <w:keepLines/>
      <w:tabs>
        <w:tab w:val="left" w:pos="0"/>
      </w:tabs>
      <w:spacing w:before="260" w:after="260" w:line="415" w:lineRule="auto"/>
      <w:outlineLvl w:val="2"/>
    </w:pPr>
    <w:rPr>
      <w:b/>
      <w:sz w:val="32"/>
      <w:szCs w:val="32"/>
    </w:rPr>
  </w:style>
  <w:style w:type="paragraph" w:styleId="Heading4">
    <w:name w:val="heading 4"/>
    <w:basedOn w:val="Normal"/>
    <w:next w:val="Normal"/>
    <w:link w:val="Heading4Char"/>
    <w:qFormat/>
    <w:pPr>
      <w:keepNext/>
      <w:autoSpaceDE w:val="0"/>
      <w:autoSpaceDN w:val="0"/>
      <w:adjustRightInd w:val="0"/>
      <w:jc w:val="left"/>
      <w:outlineLvl w:val="3"/>
    </w:pPr>
    <w:rPr>
      <w:rFonts w:ascii="SimSun" w:hAnsi="SimSun"/>
      <w:color w:val="0000FF"/>
      <w:kern w:val="0"/>
      <w:sz w:val="28"/>
      <w:szCs w:val="20"/>
    </w:rPr>
  </w:style>
  <w:style w:type="paragraph" w:styleId="Heading5">
    <w:name w:val="heading 5"/>
    <w:basedOn w:val="Normal"/>
    <w:next w:val="Normal"/>
    <w:link w:val="Heading5Char"/>
    <w:qFormat/>
    <w:pPr>
      <w:keepNext/>
      <w:keepLines/>
      <w:tabs>
        <w:tab w:val="left" w:pos="1008"/>
      </w:tabs>
      <w:spacing w:before="280" w:after="290" w:line="374" w:lineRule="auto"/>
      <w:ind w:left="1008" w:hanging="1008"/>
      <w:outlineLvl w:val="4"/>
    </w:pPr>
    <w:rPr>
      <w:rFonts w:ascii="Verdana" w:hAnsi="Verdana"/>
      <w:b/>
      <w:bCs/>
      <w:sz w:val="28"/>
      <w:szCs w:val="28"/>
    </w:rPr>
  </w:style>
  <w:style w:type="paragraph" w:styleId="Heading6">
    <w:name w:val="heading 6"/>
    <w:basedOn w:val="Normal"/>
    <w:next w:val="Normal"/>
    <w:link w:val="Heading6Char"/>
    <w:qFormat/>
    <w:pPr>
      <w:keepNext/>
      <w:keepLines/>
      <w:tabs>
        <w:tab w:val="left" w:pos="1152"/>
      </w:tabs>
      <w:spacing w:before="240" w:after="64" w:line="319" w:lineRule="auto"/>
      <w:ind w:left="1152" w:hanging="1152"/>
      <w:outlineLvl w:val="5"/>
    </w:pPr>
    <w:rPr>
      <w:rFonts w:ascii="Arial" w:eastAsia="SimHei" w:hAnsi="Arial"/>
      <w:b/>
      <w:bCs/>
      <w:sz w:val="24"/>
    </w:rPr>
  </w:style>
  <w:style w:type="paragraph" w:styleId="Heading7">
    <w:name w:val="heading 7"/>
    <w:basedOn w:val="Normal"/>
    <w:next w:val="Normal"/>
    <w:link w:val="Heading7Char"/>
    <w:qFormat/>
    <w:pPr>
      <w:keepNext/>
      <w:keepLines/>
      <w:tabs>
        <w:tab w:val="left" w:pos="1296"/>
      </w:tabs>
      <w:spacing w:before="240" w:after="64" w:line="319" w:lineRule="auto"/>
      <w:ind w:left="1296" w:hanging="1296"/>
      <w:outlineLvl w:val="6"/>
    </w:pPr>
    <w:rPr>
      <w:b/>
      <w:bCs/>
      <w:sz w:val="24"/>
    </w:rPr>
  </w:style>
  <w:style w:type="paragraph" w:styleId="Heading8">
    <w:name w:val="heading 8"/>
    <w:basedOn w:val="Normal"/>
    <w:next w:val="Normal"/>
    <w:link w:val="Heading8Char"/>
    <w:qFormat/>
    <w:pPr>
      <w:keepNext/>
      <w:keepLines/>
      <w:tabs>
        <w:tab w:val="left" w:pos="1440"/>
      </w:tabs>
      <w:spacing w:before="240" w:after="64" w:line="319" w:lineRule="auto"/>
      <w:ind w:left="1440" w:hanging="1440"/>
      <w:outlineLvl w:val="7"/>
    </w:pPr>
    <w:rPr>
      <w:rFonts w:ascii="Arial" w:eastAsia="SimHei" w:hAnsi="Arial"/>
      <w:sz w:val="24"/>
    </w:rPr>
  </w:style>
  <w:style w:type="paragraph" w:styleId="Heading9">
    <w:name w:val="heading 9"/>
    <w:basedOn w:val="Normal"/>
    <w:next w:val="Normal"/>
    <w:link w:val="Heading9Char"/>
    <w:qFormat/>
    <w:pPr>
      <w:keepNext/>
      <w:keepLines/>
      <w:tabs>
        <w:tab w:val="left" w:pos="1584"/>
      </w:tabs>
      <w:spacing w:before="240" w:after="64" w:line="319" w:lineRule="auto"/>
      <w:ind w:left="1584" w:hanging="1584"/>
      <w:outlineLvl w:val="8"/>
    </w:pPr>
    <w:rPr>
      <w:rFonts w:ascii="Arial" w:eastAsia="SimHei" w:hAnsi="Arial"/>
      <w:szCs w:val="21"/>
    </w:rPr>
  </w:style>
  <w:style w:type="character" w:default="1" w:styleId="DefaultParagraphFont">
    <w:name w:val="Default Paragraph Font"/>
    <w:uiPriority w:val="1"/>
    <w:semiHidden/>
    <w:unhideWhenUsed/>
    <w:qFormat/>
  </w:style>
  <w:style w:type="table" w:default="1" w:styleId="TableNormal">
    <w:name w:val="Normal Table"/>
    <w:uiPriority w:val="99"/>
    <w:semiHidden/>
    <w:unhideWhenUsed/>
    <w:qFormat/>
    <w:tblPr>
      <w:tblCellMar>
        <w:top w:w="0" w:type="dxa"/>
        <w:left w:w="108" w:type="dxa"/>
        <w:bottom w:w="0" w:type="dxa"/>
        <w:right w:w="108" w:type="dxa"/>
      </w:tblCellMar>
    </w:tblPr>
  </w:style>
  <w:style w:type="paragraph" w:styleId="BodyTextIndent2">
    <w:name w:val="Body Text Indent 2"/>
    <w:basedOn w:val="Normal"/>
    <w:link w:val="BodyTextIndent2Char"/>
    <w:qFormat/>
    <w:pPr>
      <w:ind w:firstLine="630"/>
    </w:pPr>
    <w:rPr>
      <w:rFonts w:ascii="SimSun"/>
      <w:kern w:val="0"/>
      <w:sz w:val="28"/>
      <w:szCs w:val="20"/>
    </w:rPr>
  </w:style>
  <w:style w:type="paragraph" w:styleId="ListNumber2">
    <w:name w:val="List Number 2"/>
    <w:basedOn w:val="Normal"/>
    <w:qFormat/>
    <w:pPr>
      <w:numPr>
        <w:ilvl w:val="0"/>
        <w:numId w:val="2"/>
      </w:numPr>
    </w:pPr>
  </w:style>
  <w:style w:type="paragraph" w:styleId="DocumentMap">
    <w:name w:val="Document Map"/>
    <w:basedOn w:val="Normal"/>
    <w:link w:val="DocumentMapChar"/>
    <w:qFormat/>
    <w:pPr>
      <w:shd w:val="clear" w:color="auto" w:fill="000080"/>
    </w:pPr>
    <w:rPr>
      <w:kern w:val="0"/>
      <w:sz w:val="20"/>
      <w:shd w:val="clear" w:color="auto" w:fill="000080"/>
    </w:rPr>
  </w:style>
  <w:style w:type="paragraph" w:styleId="CommentText">
    <w:name w:val="annotation text"/>
    <w:basedOn w:val="Normal"/>
    <w:qFormat/>
    <w:pPr>
      <w:jc w:val="left"/>
    </w:pPr>
  </w:style>
  <w:style w:type="paragraph" w:styleId="BodyText3">
    <w:name w:val="Body Text 3"/>
    <w:basedOn w:val="Normal"/>
    <w:uiPriority w:val="99"/>
    <w:unhideWhenUsed/>
    <w:qFormat/>
    <w:pPr>
      <w:widowControl/>
      <w:kinsoku w:val="0"/>
      <w:autoSpaceDE w:val="0"/>
      <w:autoSpaceDN w:val="0"/>
      <w:adjustRightInd w:val="0"/>
      <w:snapToGrid w:val="0"/>
      <w:spacing w:after="120"/>
      <w:jc w:val="left"/>
      <w:textAlignment w:val="baseline"/>
    </w:pPr>
    <w:rPr>
      <w:rFonts w:ascii="Cambria" w:eastAsia="Microsoft YaHei" w:hAnsi="Cambria" w:cs="Arial"/>
      <w:snapToGrid w:val="0"/>
      <w:color w:val="595959"/>
      <w:kern w:val="20"/>
      <w:sz w:val="16"/>
      <w:szCs w:val="20"/>
      <w:lang w:val="zh-CN" w:eastAsia="en-US"/>
    </w:rPr>
  </w:style>
  <w:style w:type="paragraph" w:styleId="BodyText">
    <w:name w:val="Body Text"/>
    <w:basedOn w:val="Normal"/>
    <w:link w:val="BodyTextChar"/>
    <w:qFormat/>
    <w:pPr>
      <w:spacing w:after="120"/>
    </w:pPr>
  </w:style>
  <w:style w:type="paragraph" w:styleId="BodyTextIndent">
    <w:name w:val="Body Text Indent"/>
    <w:basedOn w:val="Normal"/>
    <w:link w:val="BodyTextIndentChar"/>
    <w:qFormat/>
    <w:pPr>
      <w:ind w:firstLine="360"/>
    </w:pPr>
    <w:rPr>
      <w:kern w:val="0"/>
      <w:sz w:val="20"/>
      <w:szCs w:val="20"/>
    </w:rPr>
  </w:style>
  <w:style w:type="paragraph" w:styleId="PlainText">
    <w:name w:val="Plain Text"/>
    <w:basedOn w:val="Normal"/>
    <w:link w:val="PlainTextChar"/>
    <w:qFormat/>
    <w:pPr>
      <w:spacing w:after="0"/>
    </w:pPr>
    <w:rPr>
      <w:rFonts w:ascii="SimSun" w:hAnsi="Courier New"/>
      <w:kern w:val="0"/>
      <w:sz w:val="20"/>
      <w:szCs w:val="21"/>
    </w:rPr>
  </w:style>
  <w:style w:type="paragraph" w:styleId="Date">
    <w:name w:val="Date"/>
    <w:basedOn w:val="Normal"/>
    <w:next w:val="Normal"/>
    <w:link w:val="DateChar"/>
    <w:qFormat/>
    <w:pPr>
      <w:ind w:left="100" w:leftChars="2500"/>
    </w:pPr>
    <w:rPr>
      <w:kern w:val="0"/>
      <w:sz w:val="20"/>
    </w:rPr>
  </w:style>
  <w:style w:type="paragraph" w:styleId="BalloonText">
    <w:name w:val="Balloon Text"/>
    <w:basedOn w:val="Normal"/>
    <w:link w:val="BalloonTextChar"/>
    <w:qFormat/>
    <w:rPr>
      <w:kern w:val="0"/>
      <w:sz w:val="18"/>
      <w:szCs w:val="18"/>
    </w:rPr>
  </w:style>
  <w:style w:type="paragraph" w:styleId="Footer">
    <w:name w:val="footer"/>
    <w:basedOn w:val="Normal"/>
    <w:link w:val="FooterChar"/>
    <w:qFormat/>
    <w:pPr>
      <w:tabs>
        <w:tab w:val="center" w:pos="4140"/>
        <w:tab w:val="right" w:pos="8300"/>
      </w:tabs>
      <w:snapToGrid w:val="0"/>
      <w:spacing w:after="0"/>
      <w:jc w:val="left"/>
    </w:pPr>
    <w:rPr>
      <w:kern w:val="0"/>
      <w:sz w:val="18"/>
    </w:rPr>
  </w:style>
  <w:style w:type="paragraph" w:styleId="Header">
    <w:name w:val="header"/>
    <w:basedOn w:val="Normal"/>
    <w:link w:val="HeaderChar"/>
    <w:qFormat/>
    <w:pPr>
      <w:pBdr>
        <w:bottom w:val="single" w:sz="6" w:space="1" w:color="auto"/>
      </w:pBdr>
      <w:tabs>
        <w:tab w:val="center" w:pos="4153"/>
        <w:tab w:val="right" w:pos="8306"/>
      </w:tabs>
      <w:snapToGrid w:val="0"/>
      <w:jc w:val="center"/>
    </w:pPr>
    <w:rPr>
      <w:kern w:val="0"/>
      <w:sz w:val="18"/>
      <w:szCs w:val="18"/>
    </w:rPr>
  </w:style>
  <w:style w:type="paragraph" w:styleId="TOC1">
    <w:name w:val="toc 1"/>
    <w:basedOn w:val="Normal"/>
    <w:next w:val="Normal"/>
    <w:qFormat/>
    <w:pPr>
      <w:spacing w:before="120" w:after="120"/>
      <w:jc w:val="left"/>
    </w:pPr>
    <w:rPr>
      <w:b/>
      <w:bCs/>
      <w:caps/>
      <w:sz w:val="20"/>
      <w:szCs w:val="20"/>
    </w:rPr>
  </w:style>
  <w:style w:type="paragraph" w:styleId="BodyTextIndent3">
    <w:name w:val="Body Text Indent 3"/>
    <w:basedOn w:val="Normal"/>
    <w:link w:val="BodyTextIndent3Char"/>
    <w:qFormat/>
    <w:pPr>
      <w:spacing w:line="360" w:lineRule="auto"/>
      <w:ind w:firstLine="480" w:firstLineChars="200"/>
      <w:jc w:val="left"/>
    </w:pPr>
    <w:rPr>
      <w:kern w:val="0"/>
      <w:sz w:val="24"/>
      <w:szCs w:val="20"/>
    </w:rPr>
  </w:style>
  <w:style w:type="paragraph" w:styleId="BodyText2">
    <w:name w:val="Body Text 2"/>
    <w:basedOn w:val="Normal"/>
    <w:link w:val="BodyText2Char"/>
    <w:qFormat/>
    <w:rPr>
      <w:rFonts w:ascii="FangSong_GB2312" w:eastAsia="FangSong_GB2312"/>
      <w:kern w:val="0"/>
      <w:sz w:val="28"/>
      <w:szCs w:val="20"/>
    </w:rPr>
  </w:style>
  <w:style w:type="paragraph" w:styleId="NormalWeb">
    <w:name w:val="Normal (Web)"/>
    <w:basedOn w:val="Normal"/>
    <w:qFormat/>
    <w:pPr>
      <w:spacing w:before="100" w:beforeAutospacing="1" w:after="100" w:afterAutospacing="1"/>
      <w:jc w:val="left"/>
    </w:pPr>
    <w:rPr>
      <w:kern w:val="0"/>
      <w:sz w:val="24"/>
    </w:rPr>
  </w:style>
  <w:style w:type="paragraph" w:styleId="Title">
    <w:name w:val="Title"/>
    <w:basedOn w:val="Normal"/>
    <w:link w:val="TitleChar"/>
    <w:qFormat/>
    <w:pPr>
      <w:spacing w:before="240" w:after="60"/>
      <w:jc w:val="center"/>
      <w:outlineLvl w:val="0"/>
    </w:pPr>
    <w:rPr>
      <w:rFonts w:ascii="Cambria" w:hAnsi="Cambria"/>
      <w:b/>
      <w:bCs/>
      <w:kern w:val="0"/>
      <w:sz w:val="32"/>
      <w:szCs w:val="32"/>
    </w:rPr>
  </w:style>
  <w:style w:type="paragraph" w:styleId="BodyTextFirstIndent">
    <w:name w:val="Body Text First Indent"/>
    <w:basedOn w:val="BodyText"/>
    <w:link w:val="BodyTextFirstIndentChar"/>
    <w:qFormat/>
    <w:pPr>
      <w:ind w:firstLine="420" w:firstLineChars="100"/>
    </w:pPr>
    <w:rPr>
      <w:kern w:val="0"/>
      <w:sz w:val="20"/>
    </w:rPr>
  </w:style>
  <w:style w:type="character" w:styleId="Strong">
    <w:name w:val="Strong"/>
    <w:qFormat/>
    <w:rPr>
      <w:rFonts w:ascii="Times New Roman" w:eastAsia="SimSun" w:hAnsi="Times New Roman" w:cs="Times New Roman"/>
      <w:b/>
    </w:rPr>
  </w:style>
  <w:style w:type="character" w:styleId="PageNumber">
    <w:name w:val="page number"/>
    <w:qFormat/>
    <w:rPr>
      <w:rFonts w:ascii="Times New Roman" w:eastAsia="SimSun" w:hAnsi="Times New Roman" w:cs="Times New Roman"/>
    </w:rPr>
  </w:style>
  <w:style w:type="character" w:styleId="FollowedHyperlink">
    <w:name w:val="FollowedHyperlink"/>
    <w:qFormat/>
    <w:rPr>
      <w:rFonts w:ascii="Microsoft YaHei" w:eastAsia="Microsoft YaHei" w:hAnsi="Microsoft YaHei" w:cs="Microsoft YaHei" w:hint="eastAsia"/>
      <w:color w:val="02396F"/>
      <w:u w:val="single"/>
    </w:rPr>
  </w:style>
  <w:style w:type="character" w:styleId="Hyperlink">
    <w:name w:val="Hyperlink"/>
    <w:qFormat/>
    <w:rPr>
      <w:rFonts w:ascii="Times New Roman" w:eastAsia="SimSun" w:hAnsi="Times New Roman" w:cs="Times New Roman"/>
      <w:color w:val="0000FF"/>
      <w:u w:val="single"/>
    </w:rPr>
  </w:style>
  <w:style w:type="character" w:customStyle="1" w:styleId="BodyTextChar">
    <w:name w:val="Body Text Char"/>
    <w:link w:val="BodyText"/>
    <w:qFormat/>
    <w:rPr>
      <w:rFonts w:ascii="Times New Roman" w:eastAsia="SimSun" w:hAnsi="Times New Roman" w:cs="Times New Roman"/>
      <w:kern w:val="2"/>
      <w:sz w:val="21"/>
      <w:szCs w:val="24"/>
      <w:lang w:val="en-US" w:eastAsia="zh-CN" w:bidi="ar-SA"/>
    </w:rPr>
  </w:style>
  <w:style w:type="character" w:customStyle="1" w:styleId="Heading1Char">
    <w:name w:val="Heading 1 Char"/>
    <w:link w:val="Heading1"/>
    <w:qFormat/>
    <w:rPr>
      <w:rFonts w:ascii="Times New Roman" w:eastAsia="SimSun" w:hAnsi="Times New Roman" w:cs="Times New Roman"/>
      <w:b/>
      <w:bCs/>
      <w:kern w:val="44"/>
      <w:sz w:val="44"/>
      <w:szCs w:val="44"/>
      <w:lang w:val="en-US" w:eastAsia="zh-CN" w:bidi="ar-SA"/>
    </w:rPr>
  </w:style>
  <w:style w:type="character" w:customStyle="1" w:styleId="Heading3Char">
    <w:name w:val="Heading 3 Char"/>
    <w:link w:val="Heading3"/>
    <w:qFormat/>
    <w:rPr>
      <w:rFonts w:ascii="Times New Roman" w:eastAsia="SimSun" w:hAnsi="Times New Roman" w:cs="Times New Roman"/>
      <w:b/>
      <w:bCs/>
      <w:kern w:val="2"/>
      <w:sz w:val="32"/>
      <w:szCs w:val="32"/>
      <w:lang w:val="en-US" w:eastAsia="zh-CN" w:bidi="ar-SA"/>
    </w:rPr>
  </w:style>
  <w:style w:type="character" w:customStyle="1" w:styleId="Heading4Char">
    <w:name w:val="Heading 4 Char"/>
    <w:link w:val="Heading4"/>
    <w:qFormat/>
    <w:rPr>
      <w:rFonts w:ascii="SimSun" w:eastAsia="SimSun" w:hAnsi="SimSun" w:cs="Times New Roman"/>
      <w:color w:val="0000FF"/>
      <w:sz w:val="28"/>
      <w:lang w:val="en-US" w:eastAsia="zh-CN" w:bidi="ar-SA"/>
    </w:rPr>
  </w:style>
  <w:style w:type="character" w:customStyle="1" w:styleId="Heading5Char">
    <w:name w:val="Heading 5 Char"/>
    <w:link w:val="Heading5"/>
    <w:qFormat/>
    <w:rPr>
      <w:rFonts w:ascii="Verdana" w:eastAsia="SimSun" w:hAnsi="Verdana" w:cs="Times New Roman"/>
      <w:b/>
      <w:bCs/>
      <w:kern w:val="2"/>
      <w:sz w:val="28"/>
      <w:szCs w:val="28"/>
      <w:lang w:val="en-US" w:eastAsia="zh-CN" w:bidi="ar-SA"/>
    </w:rPr>
  </w:style>
  <w:style w:type="character" w:customStyle="1" w:styleId="Heading6Char">
    <w:name w:val="Heading 6 Char"/>
    <w:link w:val="Heading6"/>
    <w:qFormat/>
    <w:rPr>
      <w:rFonts w:ascii="Arial" w:eastAsia="SimHei" w:hAnsi="Arial" w:cs="Times New Roman"/>
      <w:b/>
      <w:bCs/>
      <w:kern w:val="2"/>
      <w:sz w:val="24"/>
      <w:szCs w:val="24"/>
      <w:lang w:val="en-US" w:eastAsia="zh-CN" w:bidi="ar-SA"/>
    </w:rPr>
  </w:style>
  <w:style w:type="character" w:customStyle="1" w:styleId="Heading7Char">
    <w:name w:val="Heading 7 Char"/>
    <w:link w:val="Heading7"/>
    <w:qFormat/>
    <w:rPr>
      <w:rFonts w:ascii="Times New Roman" w:eastAsia="SimSun" w:hAnsi="Times New Roman" w:cs="Times New Roman"/>
      <w:b/>
      <w:bCs/>
      <w:kern w:val="2"/>
      <w:sz w:val="24"/>
      <w:szCs w:val="24"/>
      <w:lang w:val="en-US" w:eastAsia="zh-CN" w:bidi="ar-SA"/>
    </w:rPr>
  </w:style>
  <w:style w:type="character" w:customStyle="1" w:styleId="Heading8Char">
    <w:name w:val="Heading 8 Char"/>
    <w:link w:val="Heading8"/>
    <w:qFormat/>
    <w:rPr>
      <w:rFonts w:ascii="Arial" w:eastAsia="SimHei" w:hAnsi="Arial" w:cs="Times New Roman"/>
      <w:kern w:val="2"/>
      <w:sz w:val="24"/>
      <w:szCs w:val="24"/>
      <w:lang w:val="en-US" w:eastAsia="zh-CN" w:bidi="ar-SA"/>
    </w:rPr>
  </w:style>
  <w:style w:type="character" w:customStyle="1" w:styleId="Heading9Char">
    <w:name w:val="Heading 9 Char"/>
    <w:link w:val="Heading9"/>
    <w:qFormat/>
    <w:rPr>
      <w:rFonts w:ascii="Arial" w:eastAsia="SimHei" w:hAnsi="Arial" w:cs="Times New Roman"/>
      <w:kern w:val="2"/>
      <w:sz w:val="21"/>
      <w:szCs w:val="21"/>
      <w:lang w:val="en-US" w:eastAsia="zh-CN" w:bidi="ar-SA"/>
    </w:rPr>
  </w:style>
  <w:style w:type="character" w:customStyle="1" w:styleId="DocumentMapChar">
    <w:name w:val="Document Map Char"/>
    <w:link w:val="DocumentMap"/>
    <w:qFormat/>
    <w:rPr>
      <w:rFonts w:ascii="Times New Roman" w:eastAsia="SimSun" w:hAnsi="Times New Roman" w:cs="Times New Roman"/>
      <w:szCs w:val="24"/>
      <w:shd w:val="clear" w:color="auto" w:fill="000080"/>
      <w:lang w:bidi="ar-SA"/>
    </w:rPr>
  </w:style>
  <w:style w:type="character" w:customStyle="1" w:styleId="BodyTextIndentChar">
    <w:name w:val="Body Text Indent Char"/>
    <w:link w:val="BodyTextIndent"/>
    <w:qFormat/>
    <w:rPr>
      <w:rFonts w:ascii="Times New Roman" w:eastAsia="SimSun" w:hAnsi="Times New Roman" w:cs="Times New Roman"/>
      <w:lang w:bidi="ar-SA"/>
    </w:rPr>
  </w:style>
  <w:style w:type="character" w:customStyle="1" w:styleId="PlainTextChar">
    <w:name w:val="Plain Text Char"/>
    <w:link w:val="PlainText"/>
    <w:qFormat/>
    <w:rPr>
      <w:rFonts w:ascii="SimSun" w:eastAsia="SimSun" w:hAnsi="Courier New" w:cs="Times New Roman"/>
      <w:szCs w:val="21"/>
      <w:lang w:bidi="ar-SA"/>
    </w:rPr>
  </w:style>
  <w:style w:type="character" w:customStyle="1" w:styleId="DateChar">
    <w:name w:val="Date Char"/>
    <w:link w:val="Date"/>
    <w:qFormat/>
    <w:rPr>
      <w:rFonts w:ascii="Times New Roman" w:eastAsia="SimSun" w:hAnsi="Times New Roman" w:cs="Times New Roman"/>
      <w:szCs w:val="24"/>
      <w:lang w:bidi="ar-SA"/>
    </w:rPr>
  </w:style>
  <w:style w:type="character" w:customStyle="1" w:styleId="BodyTextIndent2Char">
    <w:name w:val="Body Text Indent 2 Char"/>
    <w:link w:val="BodyTextIndent2"/>
    <w:qFormat/>
    <w:rPr>
      <w:rFonts w:ascii="SimSun" w:eastAsia="SimSun" w:hAnsi="Times New Roman" w:cs="Times New Roman"/>
      <w:sz w:val="28"/>
      <w:lang w:bidi="ar-SA"/>
    </w:rPr>
  </w:style>
  <w:style w:type="character" w:customStyle="1" w:styleId="BalloonTextChar">
    <w:name w:val="Balloon Text Char"/>
    <w:link w:val="BalloonText"/>
    <w:qFormat/>
    <w:rPr>
      <w:rFonts w:ascii="Times New Roman" w:eastAsia="SimSun" w:hAnsi="Times New Roman" w:cs="Times New Roman"/>
      <w:sz w:val="18"/>
      <w:szCs w:val="18"/>
      <w:lang w:bidi="ar-SA"/>
    </w:rPr>
  </w:style>
  <w:style w:type="character" w:customStyle="1" w:styleId="FooterChar">
    <w:name w:val="Footer Char"/>
    <w:link w:val="Footer"/>
    <w:qFormat/>
    <w:rPr>
      <w:rFonts w:ascii="Times New Roman" w:eastAsia="SimSun" w:hAnsi="Times New Roman" w:cs="Times New Roman"/>
      <w:sz w:val="18"/>
      <w:szCs w:val="24"/>
      <w:lang w:bidi="ar-SA"/>
    </w:rPr>
  </w:style>
  <w:style w:type="character" w:customStyle="1" w:styleId="HeaderChar">
    <w:name w:val="Header Char"/>
    <w:link w:val="Header"/>
    <w:qFormat/>
    <w:rPr>
      <w:rFonts w:ascii="Times New Roman" w:eastAsia="SimSun" w:hAnsi="Times New Roman" w:cs="Times New Roman"/>
      <w:sz w:val="18"/>
      <w:szCs w:val="18"/>
      <w:lang w:bidi="ar-SA"/>
    </w:rPr>
  </w:style>
  <w:style w:type="character" w:customStyle="1" w:styleId="BodyTextIndent3Char">
    <w:name w:val="Body Text Indent 3 Char"/>
    <w:link w:val="BodyTextIndent3"/>
    <w:qFormat/>
    <w:rPr>
      <w:rFonts w:ascii="Times New Roman" w:eastAsia="SimSun" w:hAnsi="Times New Roman" w:cs="Times New Roman"/>
      <w:sz w:val="24"/>
      <w:lang w:bidi="ar-SA"/>
    </w:rPr>
  </w:style>
  <w:style w:type="character" w:customStyle="1" w:styleId="BodyText2Char">
    <w:name w:val="Body Text 2 Char"/>
    <w:link w:val="BodyText2"/>
    <w:qFormat/>
    <w:rPr>
      <w:rFonts w:ascii="FangSong_GB2312" w:eastAsia="FangSong_GB2312" w:hAnsi="Times New Roman" w:cs="Times New Roman"/>
      <w:sz w:val="28"/>
      <w:lang w:bidi="ar-SA"/>
    </w:rPr>
  </w:style>
  <w:style w:type="character" w:customStyle="1" w:styleId="TitleChar">
    <w:name w:val="Title Char"/>
    <w:link w:val="Title"/>
    <w:qFormat/>
    <w:rPr>
      <w:rFonts w:ascii="Cambria" w:eastAsia="SimSun" w:hAnsi="Cambria" w:cs="Times New Roman"/>
      <w:b/>
      <w:bCs/>
      <w:sz w:val="32"/>
      <w:szCs w:val="32"/>
      <w:lang w:bidi="ar-SA"/>
    </w:rPr>
  </w:style>
  <w:style w:type="character" w:customStyle="1" w:styleId="BodyTextFirstIndentChar">
    <w:name w:val="Body Text First Indent Char"/>
    <w:link w:val="BodyTextFirstIndent"/>
    <w:qFormat/>
    <w:rPr>
      <w:rFonts w:ascii="Times New Roman" w:eastAsia="SimSun" w:hAnsi="Times New Roman" w:cs="Times New Roman"/>
      <w:szCs w:val="24"/>
      <w:lang w:bidi="ar-SA"/>
    </w:rPr>
  </w:style>
  <w:style w:type="character" w:customStyle="1" w:styleId="gjfg">
    <w:name w:val="gjfg"/>
    <w:basedOn w:val="DefaultParagraphFont"/>
    <w:qFormat/>
  </w:style>
  <w:style w:type="character" w:customStyle="1" w:styleId="cfdate">
    <w:name w:val="cfdate"/>
    <w:qFormat/>
    <w:rPr>
      <w:rFonts w:ascii="Times New Roman" w:eastAsia="SimSun" w:hAnsi="Times New Roman" w:cs="Times New Roman"/>
      <w:color w:val="333333"/>
      <w:sz w:val="12"/>
      <w:szCs w:val="12"/>
    </w:rPr>
  </w:style>
  <w:style w:type="character" w:customStyle="1" w:styleId="Char1">
    <w:name w:val="正文文本 Char1"/>
    <w:qFormat/>
    <w:rPr>
      <w:rFonts w:ascii="Times New Roman" w:eastAsia="SimSun" w:hAnsi="Times New Roman" w:cs="Times New Roman"/>
      <w:szCs w:val="24"/>
    </w:rPr>
  </w:style>
  <w:style w:type="character" w:customStyle="1" w:styleId="redfilenumber">
    <w:name w:val="redfilenumber"/>
    <w:qFormat/>
    <w:rPr>
      <w:rFonts w:ascii="Times New Roman" w:eastAsia="SimSun" w:hAnsi="Times New Roman" w:cs="Times New Roman"/>
      <w:color w:val="BA2636"/>
      <w:sz w:val="12"/>
      <w:szCs w:val="12"/>
    </w:rPr>
  </w:style>
  <w:style w:type="character" w:customStyle="1" w:styleId="ll2CharChar">
    <w:name w:val="ll2 Char Char"/>
    <w:link w:val="ll2"/>
    <w:qFormat/>
    <w:rPr>
      <w:rFonts w:ascii="SimSun" w:eastAsia="Times New Roman" w:hAnsi="SimSun" w:cs="Times New Roman"/>
      <w:bCs/>
      <w:color w:val="000000"/>
      <w:sz w:val="24"/>
      <w:szCs w:val="32"/>
      <w:lang w:val="en-US" w:eastAsia="zh-CN" w:bidi="ar-SA"/>
    </w:rPr>
  </w:style>
  <w:style w:type="paragraph" w:customStyle="1" w:styleId="ll2">
    <w:name w:val="ll2"/>
    <w:link w:val="ll2CharChar"/>
    <w:qFormat/>
    <w:pPr>
      <w:numPr>
        <w:ilvl w:val="0"/>
        <w:numId w:val="3"/>
      </w:numPr>
      <w:tabs>
        <w:tab w:val="left" w:pos="0"/>
      </w:tabs>
      <w:snapToGrid w:val="0"/>
      <w:spacing w:after="160" w:line="240" w:lineRule="atLeast"/>
      <w:ind w:left="0" w:firstLine="0"/>
    </w:pPr>
    <w:rPr>
      <w:rFonts w:ascii="SimSun" w:eastAsia="Times New Roman" w:hAnsi="SimSun" w:cs="Times New Roman"/>
      <w:bCs/>
      <w:color w:val="000000"/>
      <w:sz w:val="24"/>
      <w:szCs w:val="32"/>
      <w:lang w:val="en-US" w:eastAsia="zh-CN" w:bidi="ar-SA"/>
    </w:rPr>
  </w:style>
  <w:style w:type="character" w:customStyle="1" w:styleId="StyleBlackChar">
    <w:name w:val="Style .. + 宋体 五号 Black Char"/>
    <w:link w:val="StyleBlack"/>
    <w:qFormat/>
    <w:rPr>
      <w:rFonts w:ascii="SimSun" w:eastAsia="SimSun" w:hAnsi="SimSun" w:cs="Times New Roman"/>
      <w:color w:val="000000"/>
      <w:sz w:val="24"/>
      <w:lang w:bidi="ar-SA"/>
    </w:rPr>
  </w:style>
  <w:style w:type="paragraph" w:customStyle="1" w:styleId="StyleBlack">
    <w:name w:val="Style .. + 宋体 五号 Black"/>
    <w:basedOn w:val="Normal"/>
    <w:link w:val="StyleBlackChar"/>
    <w:qFormat/>
    <w:pPr>
      <w:autoSpaceDE w:val="0"/>
      <w:autoSpaceDN w:val="0"/>
      <w:adjustRightInd w:val="0"/>
      <w:spacing w:line="360" w:lineRule="auto"/>
      <w:jc w:val="left"/>
    </w:pPr>
    <w:rPr>
      <w:rFonts w:ascii="SimSun" w:hAnsi="SimSun"/>
      <w:color w:val="000000"/>
      <w:kern w:val="0"/>
      <w:sz w:val="24"/>
      <w:szCs w:val="20"/>
    </w:rPr>
  </w:style>
  <w:style w:type="character" w:customStyle="1" w:styleId="15">
    <w:name w:val="15"/>
    <w:basedOn w:val="DefaultParagraphFont"/>
    <w:qFormat/>
    <w:rPr>
      <w:rFonts w:ascii="Times New Roman" w:eastAsia="SimSun" w:hAnsi="Times New Roman" w:cs="Times New Roman" w:hint="default"/>
    </w:rPr>
  </w:style>
  <w:style w:type="character" w:customStyle="1" w:styleId="Char">
    <w:name w:val="正文文字 Char"/>
    <w:link w:val="a"/>
    <w:qFormat/>
    <w:rPr>
      <w:rFonts w:ascii="Times New Roman" w:eastAsia="SimSun" w:hAnsi="Times New Roman" w:cs="Times New Roman"/>
      <w:sz w:val="24"/>
      <w:szCs w:val="24"/>
      <w:lang w:bidi="ar-SA"/>
    </w:rPr>
  </w:style>
  <w:style w:type="paragraph" w:customStyle="1" w:styleId="a">
    <w:name w:val="正文文字"/>
    <w:basedOn w:val="Normal"/>
    <w:link w:val="Char"/>
    <w:qFormat/>
    <w:pPr>
      <w:spacing w:before="60" w:after="60" w:line="360" w:lineRule="auto"/>
      <w:ind w:firstLine="200" w:firstLineChars="200"/>
      <w:jc w:val="left"/>
    </w:pPr>
    <w:rPr>
      <w:kern w:val="0"/>
      <w:sz w:val="24"/>
    </w:rPr>
  </w:style>
  <w:style w:type="character" w:customStyle="1" w:styleId="Char0">
    <w:name w:val="文档正文 Char"/>
    <w:link w:val="a0"/>
    <w:qFormat/>
    <w:rPr>
      <w:rFonts w:ascii="长城仿宋" w:eastAsia="SimSun" w:hAnsi="Times New Roman" w:cs="Times New Roman"/>
      <w:sz w:val="24"/>
      <w:lang w:bidi="ar-SA"/>
    </w:rPr>
  </w:style>
  <w:style w:type="paragraph" w:customStyle="1" w:styleId="a0">
    <w:name w:val="文档正文"/>
    <w:basedOn w:val="Normal"/>
    <w:link w:val="Char0"/>
    <w:qFormat/>
    <w:pPr>
      <w:adjustRightInd w:val="0"/>
      <w:spacing w:line="480" w:lineRule="atLeast"/>
      <w:ind w:firstLine="567"/>
    </w:pPr>
    <w:rPr>
      <w:rFonts w:ascii="长城仿宋"/>
      <w:kern w:val="0"/>
      <w:sz w:val="24"/>
      <w:szCs w:val="20"/>
    </w:rPr>
  </w:style>
  <w:style w:type="character" w:customStyle="1" w:styleId="displayarti">
    <w:name w:val="displayarti"/>
    <w:qFormat/>
    <w:rPr>
      <w:rFonts w:ascii="Times New Roman" w:eastAsia="SimSun" w:hAnsi="Times New Roman" w:cs="Times New Roman"/>
      <w:color w:val="FFFFFF"/>
      <w:shd w:val="clear" w:color="auto" w:fill="A00000"/>
    </w:rPr>
  </w:style>
  <w:style w:type="character" w:customStyle="1" w:styleId="redfilefwwh">
    <w:name w:val="redfilefwwh"/>
    <w:qFormat/>
    <w:rPr>
      <w:rFonts w:ascii="Times New Roman" w:eastAsia="SimSun" w:hAnsi="Times New Roman" w:cs="Times New Roman"/>
      <w:color w:val="BA2636"/>
      <w:sz w:val="12"/>
      <w:szCs w:val="12"/>
    </w:rPr>
  </w:style>
  <w:style w:type="character" w:customStyle="1" w:styleId="qxdate">
    <w:name w:val="qxdate"/>
    <w:qFormat/>
    <w:rPr>
      <w:rFonts w:ascii="Times New Roman" w:eastAsia="SimSun" w:hAnsi="Times New Roman" w:cs="Times New Roman"/>
      <w:color w:val="333333"/>
      <w:sz w:val="12"/>
      <w:szCs w:val="12"/>
    </w:rPr>
  </w:style>
  <w:style w:type="paragraph" w:customStyle="1" w:styleId="Style3">
    <w:name w:val="_Style 3"/>
    <w:basedOn w:val="Heading1"/>
    <w:next w:val="Normal"/>
    <w:qFormat/>
    <w:pPr>
      <w:widowControl/>
      <w:tabs>
        <w:tab w:val="left" w:pos="0"/>
      </w:tabs>
      <w:spacing w:before="240" w:line="259" w:lineRule="auto"/>
      <w:jc w:val="left"/>
      <w:outlineLvl w:val="9"/>
    </w:pPr>
    <w:rPr>
      <w:rFonts w:ascii="Calibri Light" w:hAnsi="Calibri Light"/>
      <w:b w:val="0"/>
      <w:color w:val="2E74B5"/>
      <w:sz w:val="32"/>
      <w:szCs w:val="32"/>
    </w:rPr>
  </w:style>
  <w:style w:type="paragraph" w:customStyle="1" w:styleId="a1">
    <w:name w:val="正文（绿盟科技）"/>
    <w:qFormat/>
    <w:pPr>
      <w:spacing w:after="160" w:line="300" w:lineRule="auto"/>
    </w:pPr>
    <w:rPr>
      <w:rFonts w:ascii="Arial" w:eastAsia="SimSun" w:hAnsi="Arial" w:cs="SimHei"/>
      <w:sz w:val="21"/>
      <w:szCs w:val="21"/>
      <w:lang w:val="en-US" w:eastAsia="zh-CN" w:bidi="ar-SA"/>
    </w:rPr>
  </w:style>
  <w:style w:type="paragraph" w:customStyle="1" w:styleId="5">
    <w:name w:val="标题 5（有编号）（绿盟科技）"/>
    <w:basedOn w:val="Normal"/>
    <w:next w:val="a1"/>
    <w:qFormat/>
    <w:pPr>
      <w:keepNext/>
      <w:keepLines/>
      <w:numPr>
        <w:ilvl w:val="4"/>
        <w:numId w:val="4"/>
      </w:numPr>
      <w:spacing w:before="280" w:after="156" w:line="377" w:lineRule="auto"/>
      <w:jc w:val="left"/>
      <w:outlineLvl w:val="4"/>
    </w:pPr>
    <w:rPr>
      <w:rFonts w:ascii="Arial" w:eastAsia="SimHei" w:hAnsi="Arial" w:cs="SimHei"/>
      <w:b/>
      <w:kern w:val="0"/>
      <w:sz w:val="24"/>
      <w:szCs w:val="28"/>
    </w:rPr>
  </w:style>
  <w:style w:type="paragraph" w:customStyle="1" w:styleId="Char2">
    <w:name w:val="Char"/>
    <w:basedOn w:val="Normal"/>
    <w:qFormat/>
    <w:rPr>
      <w:rFonts w:ascii="Tahoma" w:hAnsi="Tahoma"/>
      <w:sz w:val="24"/>
      <w:szCs w:val="20"/>
    </w:rPr>
  </w:style>
  <w:style w:type="paragraph" w:styleId="ListParagraph">
    <w:name w:val="List Paragraph"/>
    <w:basedOn w:val="Normal"/>
    <w:uiPriority w:val="34"/>
    <w:qFormat/>
    <w:pPr>
      <w:ind w:firstLine="420"/>
    </w:pPr>
    <w:rPr>
      <w:kern w:val="0"/>
      <w:szCs w:val="21"/>
    </w:rPr>
  </w:style>
  <w:style w:type="paragraph" w:customStyle="1" w:styleId="a2">
    <w:name w:val="正常"/>
    <w:basedOn w:val="a3"/>
    <w:qFormat/>
    <w:rPr>
      <w:sz w:val="24"/>
    </w:rPr>
  </w:style>
  <w:style w:type="paragraph" w:customStyle="1" w:styleId="a3">
    <w:name w:val="小正常"/>
    <w:basedOn w:val="Normal"/>
    <w:qFormat/>
    <w:rPr>
      <w:sz w:val="20"/>
      <w:szCs w:val="20"/>
    </w:rPr>
  </w:style>
  <w:style w:type="paragraph" w:customStyle="1" w:styleId="26012">
    <w:name w:val="样式 样式 样式 标题 2 + 宋体 五号 非加粗 黑色 + 段前: 6 磅 段后: 0 磅 行距: 单倍行距 + 段前: 12..."/>
    <w:basedOn w:val="Normal"/>
    <w:qFormat/>
    <w:pPr>
      <w:keepNext/>
      <w:keepLines/>
      <w:tabs>
        <w:tab w:val="left" w:pos="1875"/>
      </w:tabs>
      <w:adjustRightInd w:val="0"/>
      <w:spacing w:before="240"/>
      <w:ind w:left="1875" w:hanging="435"/>
      <w:jc w:val="left"/>
      <w:outlineLvl w:val="1"/>
    </w:pPr>
    <w:rPr>
      <w:rFonts w:ascii="SimSun" w:hAnsi="SimSun"/>
      <w:color w:val="000000"/>
      <w:kern w:val="0"/>
      <w:szCs w:val="20"/>
    </w:rPr>
  </w:style>
  <w:style w:type="paragraph" w:customStyle="1" w:styleId="1">
    <w:name w:val="列出段落1"/>
    <w:basedOn w:val="Normal"/>
    <w:qFormat/>
    <w:pPr>
      <w:spacing w:line="360" w:lineRule="auto"/>
      <w:ind w:firstLine="420" w:firstLineChars="200"/>
      <w:jc w:val="left"/>
    </w:pPr>
    <w:rPr>
      <w:rFonts w:ascii="Calibri" w:hAnsi="Calibri"/>
      <w:kern w:val="0"/>
      <w:szCs w:val="22"/>
      <w:lang w:bidi="en-US"/>
    </w:rPr>
  </w:style>
  <w:style w:type="paragraph" w:customStyle="1" w:styleId="10">
    <w:name w:val="样式1"/>
    <w:basedOn w:val="Normal"/>
    <w:qFormat/>
    <w:pPr>
      <w:numPr>
        <w:ilvl w:val="0"/>
        <w:numId w:val="5"/>
      </w:numPr>
      <w:adjustRightInd w:val="0"/>
    </w:pPr>
    <w:rPr>
      <w:rFonts w:ascii="SimSun" w:hAnsi="SimSun"/>
      <w:kern w:val="0"/>
      <w:szCs w:val="20"/>
    </w:rPr>
  </w:style>
  <w:style w:type="paragraph" w:customStyle="1" w:styleId="CharCharChar">
    <w:name w:val="Char Char Char"/>
    <w:basedOn w:val="Normal"/>
    <w:qFormat/>
    <w:rPr>
      <w:rFonts w:ascii="Tahoma" w:hAnsi="Tahoma"/>
      <w:sz w:val="24"/>
      <w:szCs w:val="20"/>
    </w:rPr>
  </w:style>
  <w:style w:type="paragraph" w:customStyle="1" w:styleId="NormalIndent1">
    <w:name w:val="Normal Indent1"/>
    <w:qFormat/>
    <w:pPr>
      <w:spacing w:after="160" w:afterLines="50" w:line="360" w:lineRule="auto"/>
      <w:ind w:firstLine="420" w:firstLineChars="200"/>
    </w:pPr>
    <w:rPr>
      <w:rFonts w:ascii="Times New Roman" w:eastAsia="SimSun" w:hAnsi="Times New Roman" w:cs="Times New Roman"/>
      <w:lang w:val="en-US" w:eastAsia="zh-CN" w:bidi="ar-SA"/>
    </w:rPr>
  </w:style>
  <w:style w:type="table" w:customStyle="1" w:styleId="TableNormal0">
    <w:name w:val="Table Normal_0"/>
    <w:unhideWhenUsed/>
    <w:qFormat/>
    <w:pPr>
      <w:spacing w:after="160" w:line="259" w:lineRule="auto"/>
    </w:pPr>
    <w:tblPr>
      <w:tblCellMar>
        <w:top w:w="0" w:type="dxa"/>
        <w:left w:w="0" w:type="dxa"/>
        <w:bottom w:w="0" w:type="dxa"/>
        <w:right w:w="0" w:type="dxa"/>
      </w:tblCellMar>
    </w:tblPr>
  </w:style>
  <w:style w:type="paragraph" w:customStyle="1" w:styleId="Footer0">
    <w:name w:val="Footer_0"/>
    <w:basedOn w:val="Normal"/>
    <w:link w:val="a4"/>
    <w:qFormat/>
    <w:pPr>
      <w:widowControl/>
      <w:tabs>
        <w:tab w:val="center" w:pos="4153"/>
        <w:tab w:val="right" w:pos="8306"/>
      </w:tabs>
      <w:overflowPunct w:val="0"/>
      <w:autoSpaceDE w:val="0"/>
      <w:autoSpaceDN w:val="0"/>
      <w:adjustRightInd w:val="0"/>
      <w:snapToGrid w:val="0"/>
      <w:spacing w:after="0" w:line="240" w:lineRule="auto"/>
      <w:jc w:val="left"/>
      <w:textAlignment w:val="baseline"/>
    </w:pPr>
    <w:rPr>
      <w:rFonts w:eastAsia="宋体"/>
      <w:kern w:val="0"/>
      <w:sz w:val="18"/>
      <w:szCs w:val="18"/>
    </w:rPr>
  </w:style>
  <w:style w:type="character" w:customStyle="1" w:styleId="a4">
    <w:name w:val="页脚 字符"/>
    <w:link w:val="Footer0"/>
    <w:qFormat/>
    <w:rPr>
      <w:rFonts w:eastAsia="宋体"/>
      <w:sz w:val="18"/>
      <w:szCs w:val="18"/>
      <w:lang w:val="en-US" w:eastAsia="en-US"/>
    </w:rPr>
  </w:style>
  <w:style w:type="paragraph" w:customStyle="1" w:styleId="Normal0">
    <w:name w:val="Normal_0"/>
    <w:next w:val="BodyTextIndent20"/>
    <w:qFormat/>
    <w:pPr>
      <w:overflowPunct w:val="0"/>
      <w:autoSpaceDE w:val="0"/>
      <w:autoSpaceDN w:val="0"/>
      <w:adjustRightInd w:val="0"/>
      <w:jc w:val="both"/>
      <w:textAlignment w:val="baseline"/>
    </w:pPr>
    <w:rPr>
      <w:rFonts w:ascii="Times New Roman" w:eastAsia="宋体" w:hAnsi="Times New Roman" w:cs="Times New Roman"/>
      <w:sz w:val="21"/>
      <w:lang w:val="en-US" w:eastAsia="zh-CN" w:bidi="ar-SA"/>
    </w:rPr>
  </w:style>
  <w:style w:type="paragraph" w:customStyle="1" w:styleId="BodyTextIndent20">
    <w:name w:val="Body Text Indent 2_0"/>
    <w:basedOn w:val="Normal"/>
    <w:link w:val="2Char"/>
    <w:qFormat/>
    <w:pPr>
      <w:widowControl/>
      <w:overflowPunct w:val="0"/>
      <w:autoSpaceDE w:val="0"/>
      <w:autoSpaceDN w:val="0"/>
      <w:adjustRightInd w:val="0"/>
      <w:snapToGrid w:val="0"/>
      <w:spacing w:after="0" w:line="240" w:lineRule="auto"/>
      <w:ind w:firstLine="542" w:firstLineChars="225"/>
      <w:textAlignment w:val="baseline"/>
    </w:pPr>
    <w:rPr>
      <w:rFonts w:ascii="仿宋_GB2312" w:eastAsia="宋体" w:hAnsi="宋体" w:cs="Arial"/>
      <w:b/>
      <w:bCs/>
      <w:color w:val="000000"/>
      <w:kern w:val="0"/>
      <w:sz w:val="24"/>
      <w:szCs w:val="20"/>
    </w:rPr>
  </w:style>
  <w:style w:type="character" w:customStyle="1" w:styleId="2Char">
    <w:name w:val="正文文本缩进 2 Char"/>
    <w:basedOn w:val="DefaultParagraphFont"/>
    <w:link w:val="BodyTextIndent20"/>
    <w:qFormat/>
    <w:rPr>
      <w:rFonts w:ascii="Calibri" w:eastAsia="仿宋_GB2312" w:hAnsi="Calibri" w:cs="仿宋_GB2312"/>
      <w:sz w:val="32"/>
      <w:szCs w:val="32"/>
      <w:lang w:val="en-US" w:eastAsia="en-US"/>
    </w:rPr>
  </w:style>
  <w:style w:type="character" w:customStyle="1" w:styleId="1Char">
    <w:name w:val="标题 1 Char"/>
    <w:basedOn w:val="DefaultParagraphFont"/>
    <w:link w:val="Heading10"/>
    <w:qFormat/>
    <w:rPr>
      <w:rFonts w:ascii="Calibri" w:eastAsia="黑体" w:hAnsi="Calibri" w:cs="仿宋_GB2312"/>
      <w:b/>
      <w:kern w:val="44"/>
      <w:sz w:val="32"/>
      <w:szCs w:val="32"/>
      <w:lang w:val="en-US" w:eastAsia="en-US"/>
    </w:rPr>
  </w:style>
  <w:style w:type="paragraph" w:customStyle="1" w:styleId="Heading10">
    <w:name w:val="Heading 1_0"/>
    <w:basedOn w:val="Normal"/>
    <w:next w:val="Normal0"/>
    <w:link w:val="1Char"/>
    <w:qFormat/>
    <w:pPr>
      <w:keepNext/>
      <w:keepLines/>
      <w:widowControl/>
      <w:numPr>
        <w:ilvl w:val="0"/>
        <w:numId w:val="6"/>
      </w:numPr>
      <w:overflowPunct w:val="0"/>
      <w:autoSpaceDE w:val="0"/>
      <w:autoSpaceDN w:val="0"/>
      <w:adjustRightInd w:val="0"/>
      <w:spacing w:after="0" w:line="360" w:lineRule="auto"/>
      <w:textAlignment w:val="baseline"/>
      <w:outlineLvl w:val="0"/>
    </w:pPr>
    <w:rPr>
      <w:rFonts w:eastAsia="黑体"/>
      <w:b/>
      <w:kern w:val="44"/>
      <w:szCs w:val="20"/>
    </w:rPr>
  </w:style>
  <w:style w:type="paragraph" w:customStyle="1" w:styleId="11">
    <w:name w:val="纯文本1"/>
    <w:basedOn w:val="Normal"/>
    <w:qFormat/>
    <w:pPr>
      <w:spacing w:after="0" w:line="240" w:lineRule="auto"/>
    </w:pPr>
    <w:rPr>
      <w:rFonts w:ascii="宋体" w:eastAsia="宋体" w:hAnsi="Courier New"/>
      <w:szCs w:val="21"/>
      <w:lang w:bidi="zh-CN"/>
    </w:rPr>
  </w:style>
  <w:style w:type="paragraph" w:customStyle="1" w:styleId="BodyText0">
    <w:name w:val="Body Text_0"/>
    <w:basedOn w:val="Normal"/>
    <w:link w:val="a5"/>
    <w:uiPriority w:val="99"/>
    <w:unhideWhenUsed/>
    <w:qFormat/>
    <w:pPr>
      <w:spacing w:after="0" w:line="240" w:lineRule="auto"/>
    </w:pPr>
    <w:rPr>
      <w:rFonts w:eastAsia="仿宋_GB2312" w:cs="Calibri"/>
      <w:sz w:val="32"/>
    </w:rPr>
  </w:style>
  <w:style w:type="character" w:customStyle="1" w:styleId="a5">
    <w:name w:val="正文文本 字符"/>
    <w:link w:val="BodyText0"/>
    <w:uiPriority w:val="99"/>
    <w:qFormat/>
    <w:rPr>
      <w:rFonts w:eastAsia="仿宋_GB2312" w:cs="Calibri"/>
      <w:kern w:val="2"/>
      <w:sz w:val="32"/>
      <w:szCs w:val="24"/>
      <w:lang w:val="en-US" w:eastAsia="en-US"/>
    </w:rPr>
  </w:style>
  <w:style w:type="paragraph" w:customStyle="1" w:styleId="Heading20">
    <w:name w:val="Heading 2_0"/>
    <w:basedOn w:val="Normal"/>
    <w:next w:val="Normal0"/>
    <w:link w:val="2Char0"/>
    <w:unhideWhenUsed/>
    <w:qFormat/>
    <w:pPr>
      <w:keepNext/>
      <w:keepLines/>
      <w:numPr>
        <w:ilvl w:val="1"/>
        <w:numId w:val="7"/>
      </w:numPr>
      <w:overflowPunct w:val="0"/>
      <w:autoSpaceDE w:val="0"/>
      <w:autoSpaceDN w:val="0"/>
      <w:adjustRightInd w:val="0"/>
      <w:snapToGrid w:val="0"/>
      <w:spacing w:after="0" w:line="360" w:lineRule="auto"/>
      <w:textAlignment w:val="baseline"/>
      <w:outlineLvl w:val="1"/>
    </w:pPr>
    <w:rPr>
      <w:rFonts w:ascii="Arial" w:eastAsia="黑体" w:hAnsi="Arial" w:cs="仿宋_GB2312"/>
      <w:b/>
      <w:kern w:val="0"/>
      <w:sz w:val="32"/>
      <w:szCs w:val="32"/>
      <w:lang w:bidi="ar"/>
    </w:rPr>
  </w:style>
  <w:style w:type="character" w:customStyle="1" w:styleId="2Char0">
    <w:name w:val="标题 2 Char"/>
    <w:basedOn w:val="DefaultParagraphFont"/>
    <w:link w:val="Heading20"/>
    <w:qFormat/>
    <w:rPr>
      <w:rFonts w:ascii="Arial" w:eastAsia="黑体" w:hAnsi="Arial" w:cs="仿宋_GB2312"/>
      <w:b/>
      <w:sz w:val="32"/>
      <w:szCs w:val="32"/>
      <w:lang w:val="en-US" w:eastAsia="en-US"/>
    </w:rPr>
  </w:style>
  <w:style w:type="paragraph" w:customStyle="1" w:styleId="a6">
    <w:name w:val="投标正文"/>
    <w:basedOn w:val="Normal"/>
    <w:qFormat/>
    <w:pPr>
      <w:widowControl/>
      <w:overflowPunct w:val="0"/>
      <w:autoSpaceDE w:val="0"/>
      <w:autoSpaceDN w:val="0"/>
      <w:adjustRightInd w:val="0"/>
      <w:spacing w:after="0" w:line="360" w:lineRule="auto"/>
      <w:ind w:left="102" w:right="105" w:firstLine="480" w:rightChars="50" w:firstLineChars="200"/>
      <w:textAlignment w:val="baseline"/>
    </w:pPr>
    <w:rPr>
      <w:rFonts w:ascii="Calibri" w:eastAsia="宋体" w:hAnsi="Calibri"/>
      <w:kern w:val="0"/>
      <w:sz w:val="24"/>
      <w:lang w:bidi="a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customXml" Target="../customXml/item1.xml" /><Relationship Id="rId5" Type="http://schemas.openxmlformats.org/officeDocument/2006/relationships/footer" Target="footer1.xml" /><Relationship Id="rId6" Type="http://schemas.openxmlformats.org/officeDocument/2006/relationships/theme" Target="theme/theme1.xml" /><Relationship Id="rId7" Type="http://schemas.openxmlformats.org/officeDocument/2006/relationships/numbering" Target="numbering.xml" /><Relationship Id="rId8" Type="http://schemas.openxmlformats.org/officeDocument/2006/relationships/styles" Target="styles.xml" /></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Relationships xmlns="http://schemas.openxmlformats.org/package/2006/relationships"><Relationship Id="rId1" Type="http://schemas.openxmlformats.org/officeDocument/2006/relationships/customXmlProps" Target="itemProps1.xml" /></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2049"/>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9</Words>
  <Characters>53</Characters>
  <Application>Microsoft Office Word</Application>
  <DocSecurity>0</DocSecurity>
  <Lines>1</Lines>
  <Paragraphs>1</Paragraphs>
  <ScaleCrop>false</ScaleCrop>
  <Company>China</Company>
  <LinksUpToDate>false</LinksUpToDate>
  <CharactersWithSpaces>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招 标 文 件</dc:title>
  <dc:creator>Administrator</dc:creator>
  <cp:lastModifiedBy>user</cp:lastModifiedBy>
  <cp:revision>2</cp:revision>
  <cp:lastPrinted>2023-10-01T19:04:00Z</cp:lastPrinted>
  <dcterms:created xsi:type="dcterms:W3CDTF">2020-05-09T15:26:00Z</dcterms:created>
  <dcterms:modified xsi:type="dcterms:W3CDTF">2024-11-22T19:58:17Z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4DC3F9C358FC1FFECED62967607CDEC6_43</vt:lpwstr>
  </property>
  <property fmtid="{D5CDD505-2E9C-101B-9397-08002B2CF9AE}" pid="3" name="KSOProductBuildVer">
    <vt:lpwstr>2052-11.8.2.10183</vt:lpwstr>
  </property>
</Properties>
</file>