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Ansi="宋体"/>
          <w:b/>
          <w:sz w:val="96"/>
          <w:szCs w:val="96"/>
        </w:rPr>
      </w:pPr>
    </w:p>
    <w:p>
      <w:pPr>
        <w:topLinePunct/>
        <w:autoSpaceDE w:val="0"/>
        <w:autoSpaceDN w:val="0"/>
        <w:jc w:val="center"/>
        <w:rPr>
          <w:rFonts w:hAnsi="宋体"/>
          <w:b/>
          <w:sz w:val="96"/>
          <w:szCs w:val="96"/>
        </w:rPr>
      </w:pPr>
      <w:r>
        <w:rPr>
          <w:rFonts w:hint="eastAsia" w:hAnsi="宋体"/>
          <w:b/>
          <w:sz w:val="96"/>
          <w:szCs w:val="96"/>
        </w:rPr>
        <w:t>招 标 文 件</w:t>
      </w:r>
      <w:bookmarkStart w:id="90" w:name="_GoBack"/>
      <w:bookmarkEnd w:id="90"/>
    </w:p>
    <w:p>
      <w:pPr>
        <w:topLinePunct/>
        <w:autoSpaceDE w:val="0"/>
        <w:autoSpaceDN w:val="0"/>
        <w:spacing w:line="60" w:lineRule="exact"/>
        <w:jc w:val="center"/>
        <w:rPr>
          <w:rFonts w:hAnsi="宋体"/>
          <w:sz w:val="96"/>
          <w:szCs w:val="96"/>
        </w:rPr>
      </w:pPr>
    </w:p>
    <w:p>
      <w:pPr>
        <w:topLinePunct/>
        <w:autoSpaceDE w:val="0"/>
        <w:autoSpaceDN w:val="0"/>
        <w:snapToGrid w:val="0"/>
        <w:jc w:val="center"/>
        <w:rPr>
          <w:rFonts w:ascii="宋体" w:hAnsi="宋体"/>
          <w:sz w:val="96"/>
          <w:szCs w:val="96"/>
        </w:rPr>
      </w:pPr>
      <w:r>
        <w:rPr>
          <w:rFonts w:hint="eastAsia" w:hAnsi="宋体"/>
          <w:b/>
          <w:sz w:val="56"/>
          <w:szCs w:val="56"/>
        </w:rPr>
        <w:t>（技术部分）</w:t>
      </w: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1402" w:leftChars="534" w:hanging="281" w:hangingChars="100"/>
        <w:rPr>
          <w:rFonts w:ascii="宋体"/>
          <w:b/>
          <w:bCs/>
          <w:sz w:val="28"/>
          <w:szCs w:val="28"/>
        </w:rPr>
      </w:pPr>
      <w:r>
        <w:rPr>
          <w:rFonts w:hint="eastAsia" w:ascii="宋体"/>
          <w:b/>
          <w:bCs/>
          <w:sz w:val="28"/>
          <w:szCs w:val="28"/>
        </w:rPr>
        <w:t>项目名称：</w:t>
      </w:r>
      <w:bookmarkStart w:id="0" w:name="项目名称_fa_planName"/>
      <w:r>
        <w:rPr>
          <w:rFonts w:hint="eastAsia" w:ascii="宋体"/>
          <w:b/>
          <w:bCs/>
          <w:sz w:val="28"/>
          <w:szCs w:val="28"/>
        </w:rPr>
        <w:t>国家税务总局吉林省税</w:t>
      </w:r>
      <w:r>
        <w:rPr>
          <w:rFonts w:hint="eastAsia" w:ascii="宋体"/>
          <w:b/>
          <w:bCs/>
          <w:sz w:val="28"/>
          <w:szCs w:val="28"/>
          <w:lang w:eastAsia="zh-CN"/>
        </w:rPr>
        <w:t>务</w:t>
      </w:r>
      <w:r>
        <w:rPr>
          <w:rFonts w:hint="eastAsia" w:ascii="宋体"/>
          <w:b/>
          <w:bCs/>
          <w:sz w:val="28"/>
          <w:szCs w:val="28"/>
        </w:rPr>
        <w:t>局机房基础环境设备维保和基础设施技术服务</w:t>
      </w:r>
      <w:bookmarkEnd w:id="0"/>
    </w:p>
    <w:p>
      <w:pPr>
        <w:topLinePunct/>
        <w:autoSpaceDE w:val="0"/>
        <w:autoSpaceDN w:val="0"/>
        <w:snapToGrid w:val="0"/>
        <w:spacing w:line="360" w:lineRule="auto"/>
        <w:ind w:left="1402" w:leftChars="534" w:hanging="281" w:hangingChars="100"/>
        <w:rPr>
          <w:rFonts w:ascii="宋体"/>
          <w:b/>
          <w:bCs/>
          <w:sz w:val="28"/>
          <w:szCs w:val="28"/>
        </w:rPr>
      </w:pPr>
      <w:r>
        <w:rPr>
          <w:rFonts w:hint="eastAsia" w:ascii="宋体"/>
          <w:b/>
          <w:bCs/>
          <w:sz w:val="28"/>
          <w:szCs w:val="28"/>
        </w:rPr>
        <w:t>项目编号：</w:t>
      </w:r>
      <w:bookmarkStart w:id="1" w:name="项目编号_fa_planNo"/>
      <w:r>
        <w:rPr>
          <w:rFonts w:hint="eastAsia" w:ascii="宋体"/>
          <w:b/>
          <w:bCs/>
          <w:sz w:val="28"/>
          <w:szCs w:val="28"/>
        </w:rPr>
        <w:t>JL2024-ZXGK-C0071-B02</w:t>
      </w:r>
      <w:bookmarkEnd w:id="1"/>
    </w:p>
    <w:p>
      <w:pPr>
        <w:topLinePunct/>
        <w:autoSpaceDE w:val="0"/>
        <w:autoSpaceDN w:val="0"/>
        <w:snapToGrid w:val="0"/>
        <w:spacing w:line="360" w:lineRule="auto"/>
        <w:ind w:firstLine="1124" w:firstLineChars="400"/>
        <w:rPr>
          <w:rFonts w:ascii="宋体"/>
          <w:b/>
          <w:bCs/>
          <w:sz w:val="28"/>
          <w:szCs w:val="28"/>
        </w:rPr>
      </w:pPr>
    </w:p>
    <w:p>
      <w:pPr>
        <w:topLinePunct/>
        <w:autoSpaceDE w:val="0"/>
        <w:autoSpaceDN w:val="0"/>
        <w:snapToGrid w:val="0"/>
        <w:spacing w:line="360" w:lineRule="auto"/>
        <w:rPr>
          <w:rFonts w:ascii="宋体"/>
          <w:b/>
          <w:bCs/>
          <w:sz w:val="28"/>
          <w:szCs w:val="28"/>
        </w:rPr>
      </w:pPr>
    </w:p>
    <w:p>
      <w:pPr>
        <w:topLinePunct/>
        <w:autoSpaceDE w:val="0"/>
        <w:autoSpaceDN w:val="0"/>
        <w:spacing w:line="460" w:lineRule="exact"/>
        <w:rPr>
          <w:rFonts w:ascii="黑体" w:eastAsia="黑体"/>
          <w:b/>
          <w:sz w:val="52"/>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bookmarkStart w:id="2" w:name="采购人名称_cgrmc"/>
      <w:r>
        <w:rPr>
          <w:rFonts w:hint="eastAsia" w:ascii="黑体" w:eastAsia="黑体"/>
          <w:sz w:val="36"/>
          <w:szCs w:val="36"/>
        </w:rPr>
        <w:t>国家税务总局吉林省税务局</w:t>
      </w:r>
      <w:bookmarkEnd w:id="2"/>
    </w:p>
    <w:p>
      <w:pPr>
        <w:widowControl/>
        <w:topLinePunct/>
        <w:autoSpaceDE w:val="0"/>
        <w:autoSpaceDN w:val="0"/>
        <w:jc w:val="center"/>
        <w:rPr>
          <w:rFonts w:ascii="宋体" w:hAnsi="宋体" w:cs="宋体"/>
        </w:rPr>
        <w:sectPr>
          <w:pgSz w:w="11906" w:h="16838"/>
          <w:pgMar w:top="1440" w:right="1508" w:bottom="1440" w:left="1588" w:header="851" w:footer="851" w:gutter="0"/>
          <w:cols w:space="720" w:num="1"/>
          <w:titlePg/>
          <w:docGrid w:type="lines" w:linePitch="312" w:charSpace="0"/>
        </w:sectPr>
      </w:pPr>
      <w:bookmarkStart w:id="3" w:name="生成日期_currentDateTime_ymd"/>
      <w:r>
        <w:rPr>
          <w:rFonts w:hint="eastAsia" w:ascii="黑体" w:hAnsi="Courier New" w:eastAsia="黑体" w:cs="Courier New"/>
          <w:sz w:val="36"/>
          <w:szCs w:val="36"/>
        </w:rPr>
        <w:t>2024年11月</w:t>
      </w:r>
      <w:bookmarkEnd w:id="3"/>
    </w:p>
    <w:p>
      <w:pPr>
        <w:pStyle w:val="18"/>
        <w:spacing w:before="0" w:after="0" w:line="360" w:lineRule="auto"/>
        <w:jc w:val="center"/>
        <w:rPr>
          <w:rFonts w:ascii="宋体" w:hAnsi="宋体" w:eastAsia="宋体" w:cs="宋体"/>
          <w:sz w:val="32"/>
        </w:rPr>
      </w:pPr>
      <w:r>
        <w:rPr>
          <w:rFonts w:ascii="宋体" w:hAnsi="宋体" w:eastAsia="宋体" w:cs="宋体"/>
          <w:sz w:val="32"/>
        </w:rPr>
        <w:t>目 录</w:t>
      </w:r>
    </w:p>
    <w:p>
      <w:pPr>
        <w:pStyle w:val="25"/>
        <w:tabs>
          <w:tab w:val="right" w:leader="dot" w:pos="9026"/>
        </w:tabs>
        <w:rPr>
          <w:color w:val="auto"/>
        </w:rPr>
      </w:pPr>
      <w:r>
        <w:rPr>
          <w:rFonts w:ascii="宋体" w:hAnsi="宋体" w:eastAsia="宋体" w:cs="宋体"/>
          <w:color w:val="auto"/>
          <w:sz w:val="32"/>
        </w:rPr>
        <w:fldChar w:fldCharType="begin"/>
      </w:r>
      <w:r>
        <w:rPr>
          <w:rFonts w:ascii="宋体" w:hAnsi="宋体" w:eastAsia="宋体" w:cs="宋体"/>
          <w:color w:val="auto"/>
          <w:sz w:val="32"/>
        </w:rPr>
        <w:instrText xml:space="preserve">TOC \o "1-3" \h \z \u</w:instrText>
      </w:r>
      <w:r>
        <w:rPr>
          <w:rFonts w:ascii="宋体" w:hAnsi="宋体" w:eastAsia="宋体" w:cs="宋体"/>
          <w:color w:val="auto"/>
          <w:sz w:val="32"/>
        </w:rPr>
        <w:fldChar w:fldCharType="separate"/>
      </w:r>
      <w:r>
        <w:rPr>
          <w:rFonts w:ascii="宋体" w:hAnsi="宋体" w:eastAsia="宋体" w:cs="宋体"/>
          <w:color w:val="auto"/>
        </w:rPr>
        <w:fldChar w:fldCharType="begin"/>
      </w:r>
      <w:r>
        <w:rPr>
          <w:rFonts w:ascii="宋体" w:hAnsi="宋体" w:eastAsia="宋体" w:cs="宋体"/>
          <w:color w:val="auto"/>
        </w:rPr>
        <w:instrText xml:space="preserve"> HYPERLINK \l _Toc14618 </w:instrText>
      </w:r>
      <w:r>
        <w:rPr>
          <w:rFonts w:ascii="宋体" w:hAnsi="宋体" w:eastAsia="宋体" w:cs="宋体"/>
          <w:color w:val="auto"/>
        </w:rPr>
        <w:fldChar w:fldCharType="separate"/>
      </w:r>
      <w:r>
        <w:rPr>
          <w:rFonts w:ascii="仿宋_GB2312" w:hAnsi="仿宋_GB2312" w:eastAsia="仿宋_GB2312" w:cs="仿宋_GB2312"/>
          <w:color w:val="auto"/>
          <w:kern w:val="36"/>
        </w:rPr>
        <w:t>1项目概述</w:t>
      </w:r>
      <w:r>
        <w:rPr>
          <w:color w:val="auto"/>
        </w:rPr>
        <w:tab/>
      </w:r>
      <w:r>
        <w:rPr>
          <w:color w:val="auto"/>
        </w:rPr>
        <w:fldChar w:fldCharType="begin"/>
      </w:r>
      <w:r>
        <w:rPr>
          <w:color w:val="auto"/>
        </w:rPr>
        <w:instrText xml:space="preserve"> PAGEREF _Toc14618 \h </w:instrText>
      </w:r>
      <w:r>
        <w:rPr>
          <w:color w:val="auto"/>
        </w:rPr>
        <w:fldChar w:fldCharType="separate"/>
      </w:r>
      <w:r>
        <w:rPr>
          <w:color w:val="auto"/>
        </w:rPr>
        <w:t>4</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_Toc19456 </w:instrText>
      </w:r>
      <w:r>
        <w:rPr>
          <w:rFonts w:ascii="宋体" w:hAnsi="宋体" w:eastAsia="宋体" w:cs="宋体"/>
          <w:color w:val="auto"/>
        </w:rPr>
        <w:fldChar w:fldCharType="separate"/>
      </w:r>
      <w:r>
        <w:rPr>
          <w:rFonts w:ascii="仿宋_GB2312" w:hAnsi="仿宋_GB2312" w:eastAsia="仿宋_GB2312" w:cs="仿宋_GB2312"/>
          <w:i w:val="0"/>
          <w:iCs w:val="0"/>
          <w:color w:val="auto"/>
        </w:rPr>
        <w:t>1.1项目背景</w:t>
      </w:r>
      <w:r>
        <w:rPr>
          <w:color w:val="auto"/>
        </w:rPr>
        <w:tab/>
      </w:r>
      <w:r>
        <w:rPr>
          <w:color w:val="auto"/>
        </w:rPr>
        <w:fldChar w:fldCharType="begin"/>
      </w:r>
      <w:r>
        <w:rPr>
          <w:color w:val="auto"/>
        </w:rPr>
        <w:instrText xml:space="preserve"> PAGEREF _Toc19456 \h </w:instrText>
      </w:r>
      <w:r>
        <w:rPr>
          <w:color w:val="auto"/>
        </w:rPr>
        <w:fldChar w:fldCharType="separate"/>
      </w:r>
      <w:r>
        <w:rPr>
          <w:color w:val="auto"/>
        </w:rPr>
        <w:t>4</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_Toc1892 </w:instrText>
      </w:r>
      <w:r>
        <w:rPr>
          <w:rFonts w:ascii="宋体" w:hAnsi="宋体" w:eastAsia="宋体" w:cs="宋体"/>
          <w:color w:val="auto"/>
        </w:rPr>
        <w:fldChar w:fldCharType="separate"/>
      </w:r>
      <w:r>
        <w:rPr>
          <w:rFonts w:ascii="仿宋_GB2312" w:hAnsi="仿宋_GB2312" w:eastAsia="仿宋_GB2312" w:cs="仿宋_GB2312"/>
          <w:color w:val="auto"/>
          <w:szCs w:val="28"/>
        </w:rPr>
        <w:t>1.1.1项目目的、意义及背景</w:t>
      </w:r>
      <w:r>
        <w:rPr>
          <w:color w:val="auto"/>
        </w:rPr>
        <w:tab/>
      </w:r>
      <w:r>
        <w:rPr>
          <w:color w:val="auto"/>
        </w:rPr>
        <w:fldChar w:fldCharType="begin"/>
      </w:r>
      <w:r>
        <w:rPr>
          <w:color w:val="auto"/>
        </w:rPr>
        <w:instrText xml:space="preserve"> PAGEREF _Toc1892 \h </w:instrText>
      </w:r>
      <w:r>
        <w:rPr>
          <w:color w:val="auto"/>
        </w:rPr>
        <w:fldChar w:fldCharType="separate"/>
      </w:r>
      <w:r>
        <w:rPr>
          <w:color w:val="auto"/>
        </w:rPr>
        <w:t>4</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_Toc6692 </w:instrText>
      </w:r>
      <w:r>
        <w:rPr>
          <w:rFonts w:ascii="宋体" w:hAnsi="宋体" w:eastAsia="宋体" w:cs="宋体"/>
          <w:color w:val="auto"/>
        </w:rPr>
        <w:fldChar w:fldCharType="separate"/>
      </w:r>
      <w:r>
        <w:rPr>
          <w:rFonts w:ascii="仿宋_GB2312" w:hAnsi="仿宋_GB2312" w:eastAsia="仿宋_GB2312" w:cs="仿宋_GB2312"/>
          <w:i w:val="0"/>
          <w:iCs w:val="0"/>
          <w:color w:val="auto"/>
        </w:rPr>
        <w:t>1.2项目内容</w:t>
      </w:r>
      <w:r>
        <w:rPr>
          <w:color w:val="auto"/>
        </w:rPr>
        <w:tab/>
      </w:r>
      <w:r>
        <w:rPr>
          <w:color w:val="auto"/>
        </w:rPr>
        <w:fldChar w:fldCharType="begin"/>
      </w:r>
      <w:r>
        <w:rPr>
          <w:color w:val="auto"/>
        </w:rPr>
        <w:instrText xml:space="preserve"> PAGEREF _Toc6692 \h </w:instrText>
      </w:r>
      <w:r>
        <w:rPr>
          <w:color w:val="auto"/>
        </w:rPr>
        <w:fldChar w:fldCharType="separate"/>
      </w:r>
      <w:r>
        <w:rPr>
          <w:color w:val="auto"/>
        </w:rPr>
        <w:t>4</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_Toc28559 </w:instrText>
      </w:r>
      <w:r>
        <w:rPr>
          <w:rFonts w:ascii="宋体" w:hAnsi="宋体" w:eastAsia="宋体" w:cs="宋体"/>
          <w:color w:val="auto"/>
        </w:rPr>
        <w:fldChar w:fldCharType="separate"/>
      </w:r>
      <w:r>
        <w:rPr>
          <w:rFonts w:ascii="仿宋_GB2312" w:hAnsi="仿宋_GB2312" w:eastAsia="仿宋_GB2312" w:cs="仿宋_GB2312"/>
          <w:color w:val="auto"/>
          <w:szCs w:val="28"/>
        </w:rPr>
        <w:t>1.2.1采购内容</w:t>
      </w:r>
      <w:r>
        <w:rPr>
          <w:color w:val="auto"/>
        </w:rPr>
        <w:tab/>
      </w:r>
      <w:r>
        <w:rPr>
          <w:color w:val="auto"/>
        </w:rPr>
        <w:fldChar w:fldCharType="begin"/>
      </w:r>
      <w:r>
        <w:rPr>
          <w:color w:val="auto"/>
        </w:rPr>
        <w:instrText xml:space="preserve"> PAGEREF _Toc28559 \h </w:instrText>
      </w:r>
      <w:r>
        <w:rPr>
          <w:color w:val="auto"/>
        </w:rPr>
        <w:fldChar w:fldCharType="separate"/>
      </w:r>
      <w:r>
        <w:rPr>
          <w:color w:val="auto"/>
        </w:rPr>
        <w:t>4</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_Toc28923 </w:instrText>
      </w:r>
      <w:r>
        <w:rPr>
          <w:rFonts w:ascii="宋体" w:hAnsi="宋体" w:eastAsia="宋体" w:cs="宋体"/>
          <w:color w:val="auto"/>
        </w:rPr>
        <w:fldChar w:fldCharType="separate"/>
      </w:r>
      <w:r>
        <w:rPr>
          <w:rFonts w:ascii="仿宋_GB2312" w:hAnsi="仿宋_GB2312" w:eastAsia="仿宋_GB2312" w:cs="仿宋_GB2312"/>
          <w:color w:val="auto"/>
          <w:szCs w:val="28"/>
        </w:rPr>
        <w:t>1.2.2项目实施要求</w:t>
      </w:r>
      <w:r>
        <w:rPr>
          <w:color w:val="auto"/>
        </w:rPr>
        <w:tab/>
      </w:r>
      <w:r>
        <w:rPr>
          <w:color w:val="auto"/>
        </w:rPr>
        <w:fldChar w:fldCharType="begin"/>
      </w:r>
      <w:r>
        <w:rPr>
          <w:color w:val="auto"/>
        </w:rPr>
        <w:instrText xml:space="preserve"> PAGEREF _Toc28923 \h </w:instrText>
      </w:r>
      <w:r>
        <w:rPr>
          <w:color w:val="auto"/>
        </w:rPr>
        <w:fldChar w:fldCharType="separate"/>
      </w:r>
      <w:r>
        <w:rPr>
          <w:color w:val="auto"/>
        </w:rPr>
        <w:t>5</w:t>
      </w:r>
      <w:r>
        <w:rPr>
          <w:color w:val="auto"/>
        </w:rPr>
        <w:fldChar w:fldCharType="end"/>
      </w:r>
      <w:r>
        <w:rPr>
          <w:rFonts w:ascii="宋体" w:hAnsi="宋体" w:eastAsia="宋体" w:cs="宋体"/>
          <w:color w:val="auto"/>
        </w:rPr>
        <w:fldChar w:fldCharType="end"/>
      </w:r>
    </w:p>
    <w:p>
      <w:pPr>
        <w:pStyle w:val="25"/>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_Toc10138 </w:instrText>
      </w:r>
      <w:r>
        <w:rPr>
          <w:rFonts w:ascii="宋体" w:hAnsi="宋体" w:eastAsia="宋体" w:cs="宋体"/>
          <w:color w:val="auto"/>
        </w:rPr>
        <w:fldChar w:fldCharType="separate"/>
      </w:r>
      <w:r>
        <w:rPr>
          <w:rFonts w:ascii="仿宋_GB2312" w:hAnsi="仿宋_GB2312" w:eastAsia="仿宋_GB2312" w:cs="仿宋_GB2312"/>
          <w:color w:val="auto"/>
          <w:kern w:val="36"/>
        </w:rPr>
        <w:t>2投标/响应要求</w:t>
      </w:r>
      <w:r>
        <w:rPr>
          <w:color w:val="auto"/>
        </w:rPr>
        <w:tab/>
      </w:r>
      <w:r>
        <w:rPr>
          <w:color w:val="auto"/>
        </w:rPr>
        <w:fldChar w:fldCharType="begin"/>
      </w:r>
      <w:r>
        <w:rPr>
          <w:color w:val="auto"/>
        </w:rPr>
        <w:instrText xml:space="preserve"> PAGEREF _Toc10138 \h </w:instrText>
      </w:r>
      <w:r>
        <w:rPr>
          <w:color w:val="auto"/>
        </w:rPr>
        <w:fldChar w:fldCharType="separate"/>
      </w:r>
      <w:r>
        <w:rPr>
          <w:color w:val="auto"/>
        </w:rPr>
        <w:t>5</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_Toc21319 </w:instrText>
      </w:r>
      <w:r>
        <w:rPr>
          <w:rFonts w:ascii="宋体" w:hAnsi="宋体" w:eastAsia="宋体" w:cs="宋体"/>
          <w:color w:val="auto"/>
        </w:rPr>
        <w:fldChar w:fldCharType="separate"/>
      </w:r>
      <w:r>
        <w:rPr>
          <w:rFonts w:ascii="仿宋_GB2312" w:hAnsi="仿宋_GB2312" w:eastAsia="仿宋_GB2312" w:cs="仿宋_GB2312"/>
          <w:i w:val="0"/>
          <w:iCs w:val="0"/>
          <w:color w:val="auto"/>
        </w:rPr>
        <w:t>2.1对供应商的要求</w:t>
      </w:r>
      <w:r>
        <w:rPr>
          <w:color w:val="auto"/>
        </w:rPr>
        <w:tab/>
      </w:r>
      <w:r>
        <w:rPr>
          <w:color w:val="auto"/>
        </w:rPr>
        <w:fldChar w:fldCharType="begin"/>
      </w:r>
      <w:r>
        <w:rPr>
          <w:color w:val="auto"/>
        </w:rPr>
        <w:instrText xml:space="preserve"> PAGEREF _Toc21319 \h </w:instrText>
      </w:r>
      <w:r>
        <w:rPr>
          <w:color w:val="auto"/>
        </w:rPr>
        <w:fldChar w:fldCharType="separate"/>
      </w:r>
      <w:r>
        <w:rPr>
          <w:color w:val="auto"/>
        </w:rPr>
        <w:t>5</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_Toc8469 </w:instrText>
      </w:r>
      <w:r>
        <w:rPr>
          <w:rFonts w:ascii="宋体" w:hAnsi="宋体" w:eastAsia="宋体" w:cs="宋体"/>
          <w:color w:val="auto"/>
        </w:rPr>
        <w:fldChar w:fldCharType="separate"/>
      </w:r>
      <w:r>
        <w:rPr>
          <w:rFonts w:ascii="仿宋_GB2312" w:hAnsi="仿宋_GB2312" w:eastAsia="仿宋_GB2312" w:cs="仿宋_GB2312"/>
          <w:color w:val="auto"/>
          <w:szCs w:val="28"/>
        </w:rPr>
        <w:t>2.1.1必备资质</w:t>
      </w:r>
      <w:r>
        <w:rPr>
          <w:color w:val="auto"/>
        </w:rPr>
        <w:tab/>
      </w:r>
      <w:r>
        <w:rPr>
          <w:color w:val="auto"/>
        </w:rPr>
        <w:fldChar w:fldCharType="begin"/>
      </w:r>
      <w:r>
        <w:rPr>
          <w:color w:val="auto"/>
        </w:rPr>
        <w:instrText xml:space="preserve"> PAGEREF _Toc8469 \h </w:instrText>
      </w:r>
      <w:r>
        <w:rPr>
          <w:color w:val="auto"/>
        </w:rPr>
        <w:fldChar w:fldCharType="separate"/>
      </w:r>
      <w:r>
        <w:rPr>
          <w:color w:val="auto"/>
        </w:rPr>
        <w:t>5</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_Toc18141 </w:instrText>
      </w:r>
      <w:r>
        <w:rPr>
          <w:rFonts w:ascii="宋体" w:hAnsi="宋体" w:eastAsia="宋体" w:cs="宋体"/>
          <w:color w:val="auto"/>
        </w:rPr>
        <w:fldChar w:fldCharType="separate"/>
      </w:r>
      <w:r>
        <w:rPr>
          <w:rFonts w:ascii="仿宋_GB2312" w:hAnsi="仿宋_GB2312" w:eastAsia="仿宋_GB2312" w:cs="仿宋_GB2312"/>
          <w:color w:val="auto"/>
          <w:szCs w:val="28"/>
        </w:rPr>
        <w:t>2.1.2优选资质/优选指标</w:t>
      </w:r>
      <w:r>
        <w:rPr>
          <w:color w:val="auto"/>
        </w:rPr>
        <w:tab/>
      </w:r>
      <w:r>
        <w:rPr>
          <w:color w:val="auto"/>
        </w:rPr>
        <w:fldChar w:fldCharType="begin"/>
      </w:r>
      <w:r>
        <w:rPr>
          <w:color w:val="auto"/>
        </w:rPr>
        <w:instrText xml:space="preserve"> PAGEREF _Toc18141 \h </w:instrText>
      </w:r>
      <w:r>
        <w:rPr>
          <w:color w:val="auto"/>
        </w:rPr>
        <w:fldChar w:fldCharType="separate"/>
      </w:r>
      <w:r>
        <w:rPr>
          <w:color w:val="auto"/>
        </w:rPr>
        <w:t>6</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_Toc25310 </w:instrText>
      </w:r>
      <w:r>
        <w:rPr>
          <w:rFonts w:ascii="宋体" w:hAnsi="宋体" w:eastAsia="宋体" w:cs="宋体"/>
          <w:color w:val="auto"/>
        </w:rPr>
        <w:fldChar w:fldCharType="separate"/>
      </w:r>
      <w:r>
        <w:rPr>
          <w:rFonts w:ascii="仿宋_GB2312" w:hAnsi="仿宋_GB2312" w:eastAsia="仿宋_GB2312" w:cs="仿宋_GB2312"/>
          <w:color w:val="auto"/>
          <w:szCs w:val="28"/>
        </w:rPr>
        <w:t>2.1.3是否允许联合体</w:t>
      </w:r>
      <w:r>
        <w:rPr>
          <w:color w:val="auto"/>
        </w:rPr>
        <w:tab/>
      </w:r>
      <w:r>
        <w:rPr>
          <w:color w:val="auto"/>
        </w:rPr>
        <w:fldChar w:fldCharType="begin"/>
      </w:r>
      <w:r>
        <w:rPr>
          <w:color w:val="auto"/>
        </w:rPr>
        <w:instrText xml:space="preserve"> PAGEREF _Toc25310 \h </w:instrText>
      </w:r>
      <w:r>
        <w:rPr>
          <w:color w:val="auto"/>
        </w:rPr>
        <w:fldChar w:fldCharType="separate"/>
      </w:r>
      <w:r>
        <w:rPr>
          <w:color w:val="auto"/>
        </w:rPr>
        <w:t>6</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_Toc30207 </w:instrText>
      </w:r>
      <w:r>
        <w:rPr>
          <w:rFonts w:ascii="宋体" w:hAnsi="宋体" w:eastAsia="宋体" w:cs="宋体"/>
          <w:color w:val="auto"/>
        </w:rPr>
        <w:fldChar w:fldCharType="separate"/>
      </w:r>
      <w:r>
        <w:rPr>
          <w:rFonts w:ascii="仿宋_GB2312" w:hAnsi="仿宋_GB2312" w:eastAsia="仿宋_GB2312" w:cs="仿宋_GB2312"/>
          <w:color w:val="auto"/>
          <w:szCs w:val="28"/>
        </w:rPr>
        <w:t>2.1.4是否专门面向中小企业</w:t>
      </w:r>
      <w:r>
        <w:rPr>
          <w:color w:val="auto"/>
        </w:rPr>
        <w:tab/>
      </w:r>
      <w:r>
        <w:rPr>
          <w:color w:val="auto"/>
        </w:rPr>
        <w:fldChar w:fldCharType="begin"/>
      </w:r>
      <w:r>
        <w:rPr>
          <w:color w:val="auto"/>
        </w:rPr>
        <w:instrText xml:space="preserve"> PAGEREF _Toc30207 \h </w:instrText>
      </w:r>
      <w:r>
        <w:rPr>
          <w:color w:val="auto"/>
        </w:rPr>
        <w:fldChar w:fldCharType="separate"/>
      </w:r>
      <w:r>
        <w:rPr>
          <w:color w:val="auto"/>
        </w:rPr>
        <w:t>6</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_Toc6566 </w:instrText>
      </w:r>
      <w:r>
        <w:rPr>
          <w:rFonts w:ascii="宋体" w:hAnsi="宋体" w:eastAsia="宋体" w:cs="宋体"/>
          <w:color w:val="auto"/>
        </w:rPr>
        <w:fldChar w:fldCharType="separate"/>
      </w:r>
      <w:r>
        <w:rPr>
          <w:rFonts w:ascii="仿宋_GB2312" w:hAnsi="仿宋_GB2312" w:eastAsia="仿宋_GB2312" w:cs="仿宋_GB2312"/>
          <w:color w:val="auto"/>
          <w:szCs w:val="28"/>
        </w:rPr>
        <w:t>2.1.5其他要求</w:t>
      </w:r>
      <w:r>
        <w:rPr>
          <w:color w:val="auto"/>
        </w:rPr>
        <w:tab/>
      </w:r>
      <w:r>
        <w:rPr>
          <w:color w:val="auto"/>
        </w:rPr>
        <w:fldChar w:fldCharType="begin"/>
      </w:r>
      <w:r>
        <w:rPr>
          <w:color w:val="auto"/>
        </w:rPr>
        <w:instrText xml:space="preserve"> PAGEREF _Toc6566 \h </w:instrText>
      </w:r>
      <w:r>
        <w:rPr>
          <w:color w:val="auto"/>
        </w:rPr>
        <w:fldChar w:fldCharType="separate"/>
      </w:r>
      <w:r>
        <w:rPr>
          <w:color w:val="auto"/>
        </w:rPr>
        <w:t>6</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_Toc8257 </w:instrText>
      </w:r>
      <w:r>
        <w:rPr>
          <w:rFonts w:ascii="宋体" w:hAnsi="宋体" w:eastAsia="宋体" w:cs="宋体"/>
          <w:color w:val="auto"/>
        </w:rPr>
        <w:fldChar w:fldCharType="separate"/>
      </w:r>
      <w:r>
        <w:rPr>
          <w:rFonts w:ascii="仿宋_GB2312" w:hAnsi="仿宋_GB2312" w:eastAsia="仿宋_GB2312" w:cs="仿宋_GB2312"/>
          <w:i w:val="0"/>
          <w:iCs w:val="0"/>
          <w:color w:val="auto"/>
        </w:rPr>
        <w:t>2.2技术部分投标/响应内容</w:t>
      </w:r>
      <w:r>
        <w:rPr>
          <w:color w:val="auto"/>
        </w:rPr>
        <w:tab/>
      </w:r>
      <w:r>
        <w:rPr>
          <w:color w:val="auto"/>
        </w:rPr>
        <w:fldChar w:fldCharType="begin"/>
      </w:r>
      <w:r>
        <w:rPr>
          <w:color w:val="auto"/>
        </w:rPr>
        <w:instrText xml:space="preserve"> PAGEREF _Toc8257 \h </w:instrText>
      </w:r>
      <w:r>
        <w:rPr>
          <w:color w:val="auto"/>
        </w:rPr>
        <w:fldChar w:fldCharType="separate"/>
      </w:r>
      <w:r>
        <w:rPr>
          <w:color w:val="auto"/>
        </w:rPr>
        <w:t>6</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_Toc23982 </w:instrText>
      </w:r>
      <w:r>
        <w:rPr>
          <w:rFonts w:ascii="宋体" w:hAnsi="宋体" w:eastAsia="宋体" w:cs="宋体"/>
          <w:color w:val="auto"/>
        </w:rPr>
        <w:fldChar w:fldCharType="separate"/>
      </w:r>
      <w:r>
        <w:rPr>
          <w:rFonts w:ascii="仿宋_GB2312" w:hAnsi="仿宋_GB2312" w:eastAsia="仿宋_GB2312" w:cs="仿宋_GB2312"/>
          <w:color w:val="auto"/>
          <w:szCs w:val="28"/>
        </w:rPr>
        <w:t>2.2.1技术投标/响应总要求</w:t>
      </w:r>
      <w:r>
        <w:rPr>
          <w:color w:val="auto"/>
        </w:rPr>
        <w:tab/>
      </w:r>
      <w:r>
        <w:rPr>
          <w:color w:val="auto"/>
        </w:rPr>
        <w:fldChar w:fldCharType="begin"/>
      </w:r>
      <w:r>
        <w:rPr>
          <w:color w:val="auto"/>
        </w:rPr>
        <w:instrText xml:space="preserve"> PAGEREF _Toc23982 \h </w:instrText>
      </w:r>
      <w:r>
        <w:rPr>
          <w:color w:val="auto"/>
        </w:rPr>
        <w:fldChar w:fldCharType="separate"/>
      </w:r>
      <w:r>
        <w:rPr>
          <w:color w:val="auto"/>
        </w:rPr>
        <w:t>6</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_Toc32732 </w:instrText>
      </w:r>
      <w:r>
        <w:rPr>
          <w:rFonts w:ascii="宋体" w:hAnsi="宋体" w:eastAsia="宋体" w:cs="宋体"/>
          <w:color w:val="auto"/>
        </w:rPr>
        <w:fldChar w:fldCharType="separate"/>
      </w:r>
      <w:r>
        <w:rPr>
          <w:rFonts w:ascii="仿宋_GB2312" w:hAnsi="仿宋_GB2312" w:eastAsia="仿宋_GB2312" w:cs="仿宋_GB2312"/>
          <w:color w:val="auto"/>
          <w:szCs w:val="28"/>
        </w:rPr>
        <w:t>2.2.2投标/响应方案要求</w:t>
      </w:r>
      <w:r>
        <w:rPr>
          <w:color w:val="auto"/>
        </w:rPr>
        <w:tab/>
      </w:r>
      <w:r>
        <w:rPr>
          <w:color w:val="auto"/>
        </w:rPr>
        <w:fldChar w:fldCharType="begin"/>
      </w:r>
      <w:r>
        <w:rPr>
          <w:color w:val="auto"/>
        </w:rPr>
        <w:instrText xml:space="preserve"> PAGEREF _Toc32732 \h </w:instrText>
      </w:r>
      <w:r>
        <w:rPr>
          <w:color w:val="auto"/>
        </w:rPr>
        <w:fldChar w:fldCharType="separate"/>
      </w:r>
      <w:r>
        <w:rPr>
          <w:color w:val="auto"/>
        </w:rPr>
        <w:t>7</w:t>
      </w:r>
      <w:r>
        <w:rPr>
          <w:color w:val="auto"/>
        </w:rPr>
        <w:fldChar w:fldCharType="end"/>
      </w:r>
      <w:r>
        <w:rPr>
          <w:rFonts w:ascii="宋体" w:hAnsi="宋体" w:eastAsia="宋体" w:cs="宋体"/>
          <w:color w:val="auto"/>
        </w:rPr>
        <w:fldChar w:fldCharType="end"/>
      </w:r>
    </w:p>
    <w:p>
      <w:pPr>
        <w:pStyle w:val="25"/>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_Toc24415 </w:instrText>
      </w:r>
      <w:r>
        <w:rPr>
          <w:rFonts w:ascii="宋体" w:hAnsi="宋体" w:eastAsia="宋体" w:cs="宋体"/>
          <w:color w:val="auto"/>
        </w:rPr>
        <w:fldChar w:fldCharType="separate"/>
      </w:r>
      <w:r>
        <w:rPr>
          <w:rFonts w:ascii="仿宋_GB2312" w:hAnsi="仿宋_GB2312" w:eastAsia="仿宋_GB2312" w:cs="仿宋_GB2312"/>
          <w:color w:val="auto"/>
          <w:kern w:val="36"/>
        </w:rPr>
        <w:t>3项目需求</w:t>
      </w:r>
      <w:r>
        <w:rPr>
          <w:color w:val="auto"/>
        </w:rPr>
        <w:tab/>
      </w:r>
      <w:r>
        <w:rPr>
          <w:color w:val="auto"/>
        </w:rPr>
        <w:fldChar w:fldCharType="begin"/>
      </w:r>
      <w:r>
        <w:rPr>
          <w:color w:val="auto"/>
        </w:rPr>
        <w:instrText xml:space="preserve"> PAGEREF _Toc24415 \h </w:instrText>
      </w:r>
      <w:r>
        <w:rPr>
          <w:color w:val="auto"/>
        </w:rPr>
        <w:fldChar w:fldCharType="separate"/>
      </w:r>
      <w:r>
        <w:rPr>
          <w:color w:val="auto"/>
        </w:rPr>
        <w:t>9</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_Toc11874 </w:instrText>
      </w:r>
      <w:r>
        <w:rPr>
          <w:rFonts w:ascii="宋体" w:hAnsi="宋体" w:eastAsia="宋体" w:cs="宋体"/>
          <w:color w:val="auto"/>
        </w:rPr>
        <w:fldChar w:fldCharType="separate"/>
      </w:r>
      <w:r>
        <w:rPr>
          <w:rFonts w:ascii="仿宋_GB2312" w:hAnsi="仿宋_GB2312" w:eastAsia="仿宋_GB2312" w:cs="仿宋_GB2312"/>
          <w:i w:val="0"/>
          <w:iCs w:val="0"/>
          <w:color w:val="auto"/>
        </w:rPr>
        <w:t>3.1总体要求</w:t>
      </w:r>
      <w:r>
        <w:rPr>
          <w:color w:val="auto"/>
        </w:rPr>
        <w:tab/>
      </w:r>
      <w:r>
        <w:rPr>
          <w:color w:val="auto"/>
        </w:rPr>
        <w:fldChar w:fldCharType="begin"/>
      </w:r>
      <w:r>
        <w:rPr>
          <w:color w:val="auto"/>
        </w:rPr>
        <w:instrText xml:space="preserve"> PAGEREF _Toc11874 \h </w:instrText>
      </w:r>
      <w:r>
        <w:rPr>
          <w:color w:val="auto"/>
        </w:rPr>
        <w:fldChar w:fldCharType="separate"/>
      </w:r>
      <w:r>
        <w:rPr>
          <w:color w:val="auto"/>
        </w:rPr>
        <w:t>9</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_Toc31141 </w:instrText>
      </w:r>
      <w:r>
        <w:rPr>
          <w:rFonts w:ascii="宋体" w:hAnsi="宋体" w:eastAsia="宋体" w:cs="宋体"/>
          <w:color w:val="auto"/>
        </w:rPr>
        <w:fldChar w:fldCharType="separate"/>
      </w:r>
      <w:r>
        <w:rPr>
          <w:rFonts w:ascii="仿宋_GB2312" w:hAnsi="仿宋_GB2312" w:eastAsia="仿宋_GB2312" w:cs="仿宋_GB2312"/>
          <w:i w:val="0"/>
          <w:iCs w:val="0"/>
          <w:color w:val="auto"/>
        </w:rPr>
        <w:t>3.2服务内容和要求</w:t>
      </w:r>
      <w:r>
        <w:rPr>
          <w:color w:val="auto"/>
        </w:rPr>
        <w:tab/>
      </w:r>
      <w:r>
        <w:rPr>
          <w:color w:val="auto"/>
        </w:rPr>
        <w:fldChar w:fldCharType="begin"/>
      </w:r>
      <w:r>
        <w:rPr>
          <w:color w:val="auto"/>
        </w:rPr>
        <w:instrText xml:space="preserve"> PAGEREF _Toc31141 \h </w:instrText>
      </w:r>
      <w:r>
        <w:rPr>
          <w:color w:val="auto"/>
        </w:rPr>
        <w:fldChar w:fldCharType="separate"/>
      </w:r>
      <w:r>
        <w:rPr>
          <w:color w:val="auto"/>
        </w:rPr>
        <w:t>9</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_Toc11301 </w:instrText>
      </w:r>
      <w:r>
        <w:rPr>
          <w:rFonts w:ascii="宋体" w:hAnsi="宋体" w:eastAsia="宋体" w:cs="宋体"/>
          <w:color w:val="auto"/>
        </w:rPr>
        <w:fldChar w:fldCharType="separate"/>
      </w:r>
      <w:r>
        <w:rPr>
          <w:rFonts w:ascii="仿宋_GB2312" w:hAnsi="仿宋_GB2312" w:eastAsia="仿宋_GB2312" w:cs="仿宋_GB2312"/>
          <w:color w:val="auto"/>
          <w:szCs w:val="28"/>
        </w:rPr>
        <w:t>3.2.1技术和服务客观指标</w:t>
      </w:r>
      <w:r>
        <w:rPr>
          <w:color w:val="auto"/>
        </w:rPr>
        <w:tab/>
      </w:r>
      <w:r>
        <w:rPr>
          <w:color w:val="auto"/>
        </w:rPr>
        <w:fldChar w:fldCharType="begin"/>
      </w:r>
      <w:r>
        <w:rPr>
          <w:color w:val="auto"/>
        </w:rPr>
        <w:instrText xml:space="preserve"> PAGEREF _Toc11301 \h </w:instrText>
      </w:r>
      <w:r>
        <w:rPr>
          <w:color w:val="auto"/>
        </w:rPr>
        <w:fldChar w:fldCharType="separate"/>
      </w:r>
      <w:r>
        <w:rPr>
          <w:color w:val="auto"/>
        </w:rPr>
        <w:t>10</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_Toc24638 </w:instrText>
      </w:r>
      <w:r>
        <w:rPr>
          <w:rFonts w:ascii="宋体" w:hAnsi="宋体" w:eastAsia="宋体" w:cs="宋体"/>
          <w:color w:val="auto"/>
        </w:rPr>
        <w:fldChar w:fldCharType="separate"/>
      </w:r>
      <w:r>
        <w:rPr>
          <w:rFonts w:ascii="仿宋_GB2312" w:hAnsi="仿宋_GB2312" w:eastAsia="仿宋_GB2312" w:cs="仿宋_GB2312"/>
          <w:color w:val="auto"/>
          <w:szCs w:val="28"/>
        </w:rPr>
        <w:t>3.2.2技术和服务其他要求</w:t>
      </w:r>
      <w:r>
        <w:rPr>
          <w:color w:val="auto"/>
        </w:rPr>
        <w:tab/>
      </w:r>
      <w:r>
        <w:rPr>
          <w:color w:val="auto"/>
        </w:rPr>
        <w:fldChar w:fldCharType="begin"/>
      </w:r>
      <w:r>
        <w:rPr>
          <w:color w:val="auto"/>
        </w:rPr>
        <w:instrText xml:space="preserve"> PAGEREF _Toc24638 \h </w:instrText>
      </w:r>
      <w:r>
        <w:rPr>
          <w:color w:val="auto"/>
        </w:rPr>
        <w:fldChar w:fldCharType="separate"/>
      </w:r>
      <w:r>
        <w:rPr>
          <w:color w:val="auto"/>
        </w:rPr>
        <w:t>10</w:t>
      </w:r>
      <w:r>
        <w:rPr>
          <w:color w:val="auto"/>
        </w:rPr>
        <w:fldChar w:fldCharType="end"/>
      </w:r>
      <w:r>
        <w:rPr>
          <w:rFonts w:ascii="宋体" w:hAnsi="宋体" w:eastAsia="宋体" w:cs="宋体"/>
          <w:color w:val="auto"/>
        </w:rPr>
        <w:fldChar w:fldCharType="end"/>
      </w:r>
    </w:p>
    <w:p>
      <w:pPr>
        <w:pStyle w:val="25"/>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_Toc2006 </w:instrText>
      </w:r>
      <w:r>
        <w:rPr>
          <w:rFonts w:ascii="宋体" w:hAnsi="宋体" w:eastAsia="宋体" w:cs="宋体"/>
          <w:color w:val="auto"/>
        </w:rPr>
        <w:fldChar w:fldCharType="separate"/>
      </w:r>
      <w:r>
        <w:rPr>
          <w:rFonts w:ascii="仿宋_GB2312" w:hAnsi="仿宋_GB2312" w:eastAsia="仿宋_GB2312" w:cs="仿宋_GB2312"/>
          <w:color w:val="auto"/>
          <w:kern w:val="36"/>
        </w:rPr>
        <w:t>4人员要求</w:t>
      </w:r>
      <w:r>
        <w:rPr>
          <w:color w:val="auto"/>
        </w:rPr>
        <w:tab/>
      </w:r>
      <w:r>
        <w:rPr>
          <w:color w:val="auto"/>
        </w:rPr>
        <w:fldChar w:fldCharType="begin"/>
      </w:r>
      <w:r>
        <w:rPr>
          <w:color w:val="auto"/>
        </w:rPr>
        <w:instrText xml:space="preserve"> PAGEREF _Toc2006 \h </w:instrText>
      </w:r>
      <w:r>
        <w:rPr>
          <w:color w:val="auto"/>
        </w:rPr>
        <w:fldChar w:fldCharType="separate"/>
      </w:r>
      <w:r>
        <w:rPr>
          <w:color w:val="auto"/>
        </w:rPr>
        <w:t>13</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_Toc4439 </w:instrText>
      </w:r>
      <w:r>
        <w:rPr>
          <w:rFonts w:ascii="宋体" w:hAnsi="宋体" w:eastAsia="宋体" w:cs="宋体"/>
          <w:color w:val="auto"/>
        </w:rPr>
        <w:fldChar w:fldCharType="separate"/>
      </w:r>
      <w:r>
        <w:rPr>
          <w:rFonts w:ascii="仿宋_GB2312" w:hAnsi="仿宋_GB2312" w:eastAsia="仿宋_GB2312" w:cs="仿宋_GB2312"/>
          <w:i w:val="0"/>
          <w:iCs w:val="0"/>
          <w:color w:val="auto"/>
        </w:rPr>
        <w:t>4.1总体要求</w:t>
      </w:r>
      <w:r>
        <w:rPr>
          <w:color w:val="auto"/>
        </w:rPr>
        <w:tab/>
      </w:r>
      <w:r>
        <w:rPr>
          <w:color w:val="auto"/>
        </w:rPr>
        <w:fldChar w:fldCharType="begin"/>
      </w:r>
      <w:r>
        <w:rPr>
          <w:color w:val="auto"/>
        </w:rPr>
        <w:instrText xml:space="preserve"> PAGEREF _Toc4439 \h </w:instrText>
      </w:r>
      <w:r>
        <w:rPr>
          <w:color w:val="auto"/>
        </w:rPr>
        <w:fldChar w:fldCharType="separate"/>
      </w:r>
      <w:r>
        <w:rPr>
          <w:color w:val="auto"/>
        </w:rPr>
        <w:t>13</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_Toc20520 </w:instrText>
      </w:r>
      <w:r>
        <w:rPr>
          <w:rFonts w:ascii="宋体" w:hAnsi="宋体" w:eastAsia="宋体" w:cs="宋体"/>
          <w:color w:val="auto"/>
        </w:rPr>
        <w:fldChar w:fldCharType="separate"/>
      </w:r>
      <w:r>
        <w:rPr>
          <w:rFonts w:ascii="仿宋_GB2312" w:hAnsi="仿宋_GB2312" w:eastAsia="仿宋_GB2312" w:cs="仿宋_GB2312"/>
          <w:i w:val="0"/>
          <w:iCs w:val="0"/>
          <w:color w:val="auto"/>
        </w:rPr>
        <w:t>4.2管理团队</w:t>
      </w:r>
      <w:r>
        <w:rPr>
          <w:color w:val="auto"/>
        </w:rPr>
        <w:tab/>
      </w:r>
      <w:r>
        <w:rPr>
          <w:color w:val="auto"/>
        </w:rPr>
        <w:fldChar w:fldCharType="begin"/>
      </w:r>
      <w:r>
        <w:rPr>
          <w:color w:val="auto"/>
        </w:rPr>
        <w:instrText xml:space="preserve"> PAGEREF _Toc20520 \h </w:instrText>
      </w:r>
      <w:r>
        <w:rPr>
          <w:color w:val="auto"/>
        </w:rPr>
        <w:fldChar w:fldCharType="separate"/>
      </w:r>
      <w:r>
        <w:rPr>
          <w:color w:val="auto"/>
        </w:rPr>
        <w:t>13</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_Toc11562 </w:instrText>
      </w:r>
      <w:r>
        <w:rPr>
          <w:rFonts w:ascii="宋体" w:hAnsi="宋体" w:eastAsia="宋体" w:cs="宋体"/>
          <w:color w:val="auto"/>
        </w:rPr>
        <w:fldChar w:fldCharType="separate"/>
      </w:r>
      <w:r>
        <w:rPr>
          <w:rFonts w:ascii="仿宋_GB2312" w:hAnsi="仿宋_GB2312" w:eastAsia="仿宋_GB2312" w:cs="仿宋_GB2312"/>
          <w:color w:val="auto"/>
          <w:szCs w:val="28"/>
        </w:rPr>
        <w:t>4.2.1项目经理</w:t>
      </w:r>
      <w:r>
        <w:rPr>
          <w:color w:val="auto"/>
        </w:rPr>
        <w:tab/>
      </w:r>
      <w:r>
        <w:rPr>
          <w:color w:val="auto"/>
        </w:rPr>
        <w:fldChar w:fldCharType="begin"/>
      </w:r>
      <w:r>
        <w:rPr>
          <w:color w:val="auto"/>
        </w:rPr>
        <w:instrText xml:space="preserve"> PAGEREF _Toc11562 \h </w:instrText>
      </w:r>
      <w:r>
        <w:rPr>
          <w:color w:val="auto"/>
        </w:rPr>
        <w:fldChar w:fldCharType="separate"/>
      </w:r>
      <w:r>
        <w:rPr>
          <w:color w:val="auto"/>
        </w:rPr>
        <w:t>13</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_Toc1913 </w:instrText>
      </w:r>
      <w:r>
        <w:rPr>
          <w:rFonts w:ascii="宋体" w:hAnsi="宋体" w:eastAsia="宋体" w:cs="宋体"/>
          <w:color w:val="auto"/>
        </w:rPr>
        <w:fldChar w:fldCharType="separate"/>
      </w:r>
      <w:r>
        <w:rPr>
          <w:rFonts w:ascii="仿宋_GB2312" w:hAnsi="仿宋_GB2312" w:eastAsia="仿宋_GB2312" w:cs="仿宋_GB2312"/>
          <w:i w:val="0"/>
          <w:iCs w:val="0"/>
          <w:color w:val="auto"/>
        </w:rPr>
        <w:t>4.3技术团队</w:t>
      </w:r>
      <w:r>
        <w:rPr>
          <w:color w:val="auto"/>
        </w:rPr>
        <w:tab/>
      </w:r>
      <w:r>
        <w:rPr>
          <w:color w:val="auto"/>
        </w:rPr>
        <w:fldChar w:fldCharType="begin"/>
      </w:r>
      <w:r>
        <w:rPr>
          <w:color w:val="auto"/>
        </w:rPr>
        <w:instrText xml:space="preserve"> PAGEREF _Toc1913 \h </w:instrText>
      </w:r>
      <w:r>
        <w:rPr>
          <w:color w:val="auto"/>
        </w:rPr>
        <w:fldChar w:fldCharType="separate"/>
      </w:r>
      <w:r>
        <w:rPr>
          <w:color w:val="auto"/>
        </w:rPr>
        <w:t>14</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_Toc11133 </w:instrText>
      </w:r>
      <w:r>
        <w:rPr>
          <w:rFonts w:ascii="宋体" w:hAnsi="宋体" w:eastAsia="宋体" w:cs="宋体"/>
          <w:color w:val="auto"/>
        </w:rPr>
        <w:fldChar w:fldCharType="separate"/>
      </w:r>
      <w:r>
        <w:rPr>
          <w:rFonts w:ascii="仿宋_GB2312" w:hAnsi="仿宋_GB2312" w:eastAsia="仿宋_GB2312" w:cs="仿宋_GB2312"/>
          <w:color w:val="auto"/>
          <w:szCs w:val="28"/>
        </w:rPr>
        <w:t>4.3.1驻场运维团队(包二)</w:t>
      </w:r>
      <w:r>
        <w:rPr>
          <w:color w:val="auto"/>
        </w:rPr>
        <w:tab/>
      </w:r>
      <w:r>
        <w:rPr>
          <w:color w:val="auto"/>
        </w:rPr>
        <w:fldChar w:fldCharType="begin"/>
      </w:r>
      <w:r>
        <w:rPr>
          <w:color w:val="auto"/>
        </w:rPr>
        <w:instrText xml:space="preserve"> PAGEREF _Toc11133 \h </w:instrText>
      </w:r>
      <w:r>
        <w:rPr>
          <w:color w:val="auto"/>
        </w:rPr>
        <w:fldChar w:fldCharType="separate"/>
      </w:r>
      <w:r>
        <w:rPr>
          <w:color w:val="auto"/>
        </w:rPr>
        <w:t>15</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_Toc20942 </w:instrText>
      </w:r>
      <w:r>
        <w:rPr>
          <w:rFonts w:ascii="宋体" w:hAnsi="宋体" w:eastAsia="宋体" w:cs="宋体"/>
          <w:color w:val="auto"/>
        </w:rPr>
        <w:fldChar w:fldCharType="separate"/>
      </w:r>
      <w:r>
        <w:rPr>
          <w:rFonts w:ascii="仿宋_GB2312" w:hAnsi="仿宋_GB2312" w:eastAsia="仿宋_GB2312" w:cs="仿宋_GB2312"/>
          <w:color w:val="auto"/>
          <w:szCs w:val="28"/>
        </w:rPr>
        <w:t>4.3.2维护维修团队</w:t>
      </w:r>
      <w:r>
        <w:rPr>
          <w:color w:val="auto"/>
        </w:rPr>
        <w:tab/>
      </w:r>
      <w:r>
        <w:rPr>
          <w:color w:val="auto"/>
        </w:rPr>
        <w:fldChar w:fldCharType="begin"/>
      </w:r>
      <w:r>
        <w:rPr>
          <w:color w:val="auto"/>
        </w:rPr>
        <w:instrText xml:space="preserve"> PAGEREF _Toc20942 \h </w:instrText>
      </w:r>
      <w:r>
        <w:rPr>
          <w:color w:val="auto"/>
        </w:rPr>
        <w:fldChar w:fldCharType="separate"/>
      </w:r>
      <w:r>
        <w:rPr>
          <w:color w:val="auto"/>
        </w:rPr>
        <w:t>15</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_Toc26163 </w:instrText>
      </w:r>
      <w:r>
        <w:rPr>
          <w:rFonts w:ascii="宋体" w:hAnsi="宋体" w:eastAsia="宋体" w:cs="宋体"/>
          <w:color w:val="auto"/>
        </w:rPr>
        <w:fldChar w:fldCharType="separate"/>
      </w:r>
      <w:r>
        <w:rPr>
          <w:rFonts w:ascii="仿宋_GB2312" w:hAnsi="仿宋_GB2312" w:eastAsia="仿宋_GB2312" w:cs="仿宋_GB2312"/>
          <w:i w:val="0"/>
          <w:iCs w:val="0"/>
          <w:color w:val="auto"/>
        </w:rPr>
        <w:t>4.4优选资质/优选指标</w:t>
      </w:r>
      <w:r>
        <w:rPr>
          <w:color w:val="auto"/>
        </w:rPr>
        <w:tab/>
      </w:r>
      <w:r>
        <w:rPr>
          <w:color w:val="auto"/>
        </w:rPr>
        <w:fldChar w:fldCharType="begin"/>
      </w:r>
      <w:r>
        <w:rPr>
          <w:color w:val="auto"/>
        </w:rPr>
        <w:instrText xml:space="preserve"> PAGEREF _Toc26163 \h </w:instrText>
      </w:r>
      <w:r>
        <w:rPr>
          <w:color w:val="auto"/>
        </w:rPr>
        <w:fldChar w:fldCharType="separate"/>
      </w:r>
      <w:r>
        <w:rPr>
          <w:color w:val="auto"/>
        </w:rPr>
        <w:t>16</w:t>
      </w:r>
      <w:r>
        <w:rPr>
          <w:color w:val="auto"/>
        </w:rPr>
        <w:fldChar w:fldCharType="end"/>
      </w:r>
      <w:r>
        <w:rPr>
          <w:rFonts w:ascii="宋体" w:hAnsi="宋体" w:eastAsia="宋体" w:cs="宋体"/>
          <w:color w:val="auto"/>
        </w:rPr>
        <w:fldChar w:fldCharType="end"/>
      </w:r>
    </w:p>
    <w:p>
      <w:pPr>
        <w:pStyle w:val="25"/>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_Toc6055 </w:instrText>
      </w:r>
      <w:r>
        <w:rPr>
          <w:rFonts w:ascii="宋体" w:hAnsi="宋体" w:eastAsia="宋体" w:cs="宋体"/>
          <w:color w:val="auto"/>
        </w:rPr>
        <w:fldChar w:fldCharType="separate"/>
      </w:r>
      <w:r>
        <w:rPr>
          <w:rFonts w:ascii="仿宋_GB2312" w:hAnsi="仿宋_GB2312" w:eastAsia="仿宋_GB2312" w:cs="仿宋_GB2312"/>
          <w:color w:val="auto"/>
          <w:kern w:val="36"/>
        </w:rPr>
        <w:t>5管理实施要求</w:t>
      </w:r>
      <w:r>
        <w:rPr>
          <w:color w:val="auto"/>
        </w:rPr>
        <w:tab/>
      </w:r>
      <w:r>
        <w:rPr>
          <w:color w:val="auto"/>
        </w:rPr>
        <w:fldChar w:fldCharType="begin"/>
      </w:r>
      <w:r>
        <w:rPr>
          <w:color w:val="auto"/>
        </w:rPr>
        <w:instrText xml:space="preserve"> PAGEREF _Toc6055 \h </w:instrText>
      </w:r>
      <w:r>
        <w:rPr>
          <w:color w:val="auto"/>
        </w:rPr>
        <w:fldChar w:fldCharType="separate"/>
      </w:r>
      <w:r>
        <w:rPr>
          <w:color w:val="auto"/>
        </w:rPr>
        <w:t>16</w:t>
      </w:r>
      <w:r>
        <w:rPr>
          <w:color w:val="auto"/>
        </w:rPr>
        <w:fldChar w:fldCharType="end"/>
      </w:r>
      <w:r>
        <w:rPr>
          <w:rFonts w:ascii="宋体" w:hAnsi="宋体" w:eastAsia="宋体" w:cs="宋体"/>
          <w:color w:val="auto"/>
        </w:rPr>
        <w:fldChar w:fldCharType="end"/>
      </w:r>
    </w:p>
    <w:p>
      <w:pPr>
        <w:pStyle w:val="25"/>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_Toc26962 </w:instrText>
      </w:r>
      <w:r>
        <w:rPr>
          <w:rFonts w:ascii="宋体" w:hAnsi="宋体" w:eastAsia="宋体" w:cs="宋体"/>
          <w:color w:val="auto"/>
        </w:rPr>
        <w:fldChar w:fldCharType="separate"/>
      </w:r>
      <w:r>
        <w:rPr>
          <w:rFonts w:ascii="仿宋_GB2312" w:hAnsi="仿宋_GB2312" w:eastAsia="仿宋_GB2312" w:cs="仿宋_GB2312"/>
          <w:color w:val="auto"/>
          <w:kern w:val="36"/>
        </w:rPr>
        <w:t>6保密要求</w:t>
      </w:r>
      <w:r>
        <w:rPr>
          <w:color w:val="auto"/>
        </w:rPr>
        <w:tab/>
      </w:r>
      <w:r>
        <w:rPr>
          <w:color w:val="auto"/>
        </w:rPr>
        <w:fldChar w:fldCharType="begin"/>
      </w:r>
      <w:r>
        <w:rPr>
          <w:color w:val="auto"/>
        </w:rPr>
        <w:instrText xml:space="preserve"> PAGEREF _Toc26962 \h </w:instrText>
      </w:r>
      <w:r>
        <w:rPr>
          <w:color w:val="auto"/>
        </w:rPr>
        <w:fldChar w:fldCharType="separate"/>
      </w:r>
      <w:r>
        <w:rPr>
          <w:color w:val="auto"/>
        </w:rPr>
        <w:t>17</w:t>
      </w:r>
      <w:r>
        <w:rPr>
          <w:color w:val="auto"/>
        </w:rPr>
        <w:fldChar w:fldCharType="end"/>
      </w:r>
      <w:r>
        <w:rPr>
          <w:rFonts w:ascii="宋体" w:hAnsi="宋体" w:eastAsia="宋体" w:cs="宋体"/>
          <w:color w:val="auto"/>
        </w:rPr>
        <w:fldChar w:fldCharType="end"/>
      </w:r>
    </w:p>
    <w:p>
      <w:pPr>
        <w:pStyle w:val="25"/>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_Toc27762 </w:instrText>
      </w:r>
      <w:r>
        <w:rPr>
          <w:rFonts w:ascii="宋体" w:hAnsi="宋体" w:eastAsia="宋体" w:cs="宋体"/>
          <w:color w:val="auto"/>
        </w:rPr>
        <w:fldChar w:fldCharType="separate"/>
      </w:r>
      <w:r>
        <w:rPr>
          <w:rFonts w:ascii="仿宋_GB2312" w:hAnsi="仿宋_GB2312" w:eastAsia="仿宋_GB2312" w:cs="仿宋_GB2312"/>
          <w:color w:val="auto"/>
          <w:kern w:val="36"/>
        </w:rPr>
        <w:t>7知识转移要求</w:t>
      </w:r>
      <w:r>
        <w:rPr>
          <w:color w:val="auto"/>
        </w:rPr>
        <w:tab/>
      </w:r>
      <w:r>
        <w:rPr>
          <w:color w:val="auto"/>
        </w:rPr>
        <w:fldChar w:fldCharType="begin"/>
      </w:r>
      <w:r>
        <w:rPr>
          <w:color w:val="auto"/>
        </w:rPr>
        <w:instrText xml:space="preserve"> PAGEREF _Toc27762 \h </w:instrText>
      </w:r>
      <w:r>
        <w:rPr>
          <w:color w:val="auto"/>
        </w:rPr>
        <w:fldChar w:fldCharType="separate"/>
      </w:r>
      <w:r>
        <w:rPr>
          <w:color w:val="auto"/>
        </w:rPr>
        <w:t>18</w:t>
      </w:r>
      <w:r>
        <w:rPr>
          <w:color w:val="auto"/>
        </w:rPr>
        <w:fldChar w:fldCharType="end"/>
      </w:r>
      <w:r>
        <w:rPr>
          <w:rFonts w:ascii="宋体" w:hAnsi="宋体" w:eastAsia="宋体" w:cs="宋体"/>
          <w:color w:val="auto"/>
        </w:rPr>
        <w:fldChar w:fldCharType="end"/>
      </w:r>
    </w:p>
    <w:p>
      <w:pPr>
        <w:pStyle w:val="25"/>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_Toc15388 </w:instrText>
      </w:r>
      <w:r>
        <w:rPr>
          <w:rFonts w:ascii="宋体" w:hAnsi="宋体" w:eastAsia="宋体" w:cs="宋体"/>
          <w:color w:val="auto"/>
        </w:rPr>
        <w:fldChar w:fldCharType="separate"/>
      </w:r>
      <w:r>
        <w:rPr>
          <w:rFonts w:ascii="仿宋_GB2312" w:hAnsi="仿宋_GB2312" w:eastAsia="仿宋_GB2312" w:cs="仿宋_GB2312"/>
          <w:color w:val="auto"/>
          <w:kern w:val="36"/>
        </w:rPr>
        <w:t>8风险管控要求</w:t>
      </w:r>
      <w:r>
        <w:rPr>
          <w:color w:val="auto"/>
        </w:rPr>
        <w:tab/>
      </w:r>
      <w:r>
        <w:rPr>
          <w:color w:val="auto"/>
        </w:rPr>
        <w:fldChar w:fldCharType="begin"/>
      </w:r>
      <w:r>
        <w:rPr>
          <w:color w:val="auto"/>
        </w:rPr>
        <w:instrText xml:space="preserve"> PAGEREF _Toc15388 \h </w:instrText>
      </w:r>
      <w:r>
        <w:rPr>
          <w:color w:val="auto"/>
        </w:rPr>
        <w:fldChar w:fldCharType="separate"/>
      </w:r>
      <w:r>
        <w:rPr>
          <w:color w:val="auto"/>
        </w:rPr>
        <w:t>18</w:t>
      </w:r>
      <w:r>
        <w:rPr>
          <w:color w:val="auto"/>
        </w:rPr>
        <w:fldChar w:fldCharType="end"/>
      </w:r>
      <w:r>
        <w:rPr>
          <w:rFonts w:ascii="宋体" w:hAnsi="宋体" w:eastAsia="宋体" w:cs="宋体"/>
          <w:color w:val="auto"/>
        </w:rPr>
        <w:fldChar w:fldCharType="end"/>
      </w:r>
    </w:p>
    <w:p>
      <w:pPr>
        <w:pStyle w:val="25"/>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_Toc15790 </w:instrText>
      </w:r>
      <w:r>
        <w:rPr>
          <w:rFonts w:ascii="宋体" w:hAnsi="宋体" w:eastAsia="宋体" w:cs="宋体"/>
          <w:color w:val="auto"/>
        </w:rPr>
        <w:fldChar w:fldCharType="separate"/>
      </w:r>
      <w:r>
        <w:rPr>
          <w:rFonts w:ascii="仿宋_GB2312" w:hAnsi="仿宋_GB2312" w:eastAsia="仿宋_GB2312" w:cs="仿宋_GB2312"/>
          <w:color w:val="auto"/>
          <w:kern w:val="36"/>
        </w:rPr>
        <w:t>9履约验收要求</w:t>
      </w:r>
      <w:r>
        <w:rPr>
          <w:color w:val="auto"/>
        </w:rPr>
        <w:tab/>
      </w:r>
      <w:r>
        <w:rPr>
          <w:color w:val="auto"/>
        </w:rPr>
        <w:fldChar w:fldCharType="begin"/>
      </w:r>
      <w:r>
        <w:rPr>
          <w:color w:val="auto"/>
        </w:rPr>
        <w:instrText xml:space="preserve"> PAGEREF _Toc15790 \h </w:instrText>
      </w:r>
      <w:r>
        <w:rPr>
          <w:color w:val="auto"/>
        </w:rPr>
        <w:fldChar w:fldCharType="separate"/>
      </w:r>
      <w:r>
        <w:rPr>
          <w:color w:val="auto"/>
        </w:rPr>
        <w:t>18</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_Toc13372 </w:instrText>
      </w:r>
      <w:r>
        <w:rPr>
          <w:rFonts w:ascii="宋体" w:hAnsi="宋体" w:eastAsia="宋体" w:cs="宋体"/>
          <w:color w:val="auto"/>
        </w:rPr>
        <w:fldChar w:fldCharType="separate"/>
      </w:r>
      <w:r>
        <w:rPr>
          <w:rFonts w:ascii="仿宋_GB2312" w:hAnsi="仿宋_GB2312" w:eastAsia="仿宋_GB2312" w:cs="仿宋_GB2312"/>
          <w:i w:val="0"/>
          <w:iCs w:val="0"/>
          <w:color w:val="auto"/>
        </w:rPr>
        <w:t>9.1总体要求</w:t>
      </w:r>
      <w:r>
        <w:rPr>
          <w:color w:val="auto"/>
        </w:rPr>
        <w:tab/>
      </w:r>
      <w:r>
        <w:rPr>
          <w:color w:val="auto"/>
        </w:rPr>
        <w:fldChar w:fldCharType="begin"/>
      </w:r>
      <w:r>
        <w:rPr>
          <w:color w:val="auto"/>
        </w:rPr>
        <w:instrText xml:space="preserve"> PAGEREF _Toc13372 \h </w:instrText>
      </w:r>
      <w:r>
        <w:rPr>
          <w:color w:val="auto"/>
        </w:rPr>
        <w:fldChar w:fldCharType="separate"/>
      </w:r>
      <w:r>
        <w:rPr>
          <w:color w:val="auto"/>
        </w:rPr>
        <w:t>19</w:t>
      </w:r>
      <w:r>
        <w:rPr>
          <w:color w:val="auto"/>
        </w:rPr>
        <w:fldChar w:fldCharType="end"/>
      </w:r>
      <w:r>
        <w:rPr>
          <w:rFonts w:ascii="宋体" w:hAnsi="宋体" w:eastAsia="宋体" w:cs="宋体"/>
          <w:color w:val="auto"/>
        </w:rPr>
        <w:fldChar w:fldCharType="end"/>
      </w:r>
    </w:p>
    <w:p>
      <w:pPr>
        <w:pStyle w:val="25"/>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_Toc14323 </w:instrText>
      </w:r>
      <w:r>
        <w:rPr>
          <w:rFonts w:ascii="宋体" w:hAnsi="宋体" w:eastAsia="宋体" w:cs="宋体"/>
          <w:color w:val="auto"/>
        </w:rPr>
        <w:fldChar w:fldCharType="separate"/>
      </w:r>
      <w:r>
        <w:rPr>
          <w:rFonts w:ascii="仿宋_GB2312" w:hAnsi="仿宋_GB2312" w:eastAsia="仿宋_GB2312" w:cs="仿宋_GB2312"/>
          <w:color w:val="auto"/>
          <w:kern w:val="36"/>
        </w:rPr>
        <w:t>10其他要求</w:t>
      </w:r>
      <w:r>
        <w:rPr>
          <w:color w:val="auto"/>
        </w:rPr>
        <w:tab/>
      </w:r>
      <w:r>
        <w:rPr>
          <w:color w:val="auto"/>
        </w:rPr>
        <w:fldChar w:fldCharType="begin"/>
      </w:r>
      <w:r>
        <w:rPr>
          <w:color w:val="auto"/>
        </w:rPr>
        <w:instrText xml:space="preserve"> PAGEREF _Toc14323 \h </w:instrText>
      </w:r>
      <w:r>
        <w:rPr>
          <w:color w:val="auto"/>
        </w:rPr>
        <w:fldChar w:fldCharType="separate"/>
      </w:r>
      <w:r>
        <w:rPr>
          <w:color w:val="auto"/>
        </w:rPr>
        <w:t>19</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_Toc11030 </w:instrText>
      </w:r>
      <w:r>
        <w:rPr>
          <w:rFonts w:ascii="宋体" w:hAnsi="宋体" w:eastAsia="宋体" w:cs="宋体"/>
          <w:color w:val="auto"/>
        </w:rPr>
        <w:fldChar w:fldCharType="separate"/>
      </w:r>
      <w:r>
        <w:rPr>
          <w:rFonts w:ascii="仿宋_GB2312" w:hAnsi="仿宋_GB2312" w:eastAsia="仿宋_GB2312" w:cs="仿宋_GB2312"/>
          <w:i w:val="0"/>
          <w:iCs w:val="0"/>
          <w:color w:val="auto"/>
        </w:rPr>
        <w:t>10.1必备要求</w:t>
      </w:r>
      <w:r>
        <w:rPr>
          <w:color w:val="auto"/>
        </w:rPr>
        <w:tab/>
      </w:r>
      <w:r>
        <w:rPr>
          <w:color w:val="auto"/>
        </w:rPr>
        <w:fldChar w:fldCharType="begin"/>
      </w:r>
      <w:r>
        <w:rPr>
          <w:color w:val="auto"/>
        </w:rPr>
        <w:instrText xml:space="preserve"> PAGEREF _Toc11030 \h </w:instrText>
      </w:r>
      <w:r>
        <w:rPr>
          <w:color w:val="auto"/>
        </w:rPr>
        <w:fldChar w:fldCharType="separate"/>
      </w:r>
      <w:r>
        <w:rPr>
          <w:color w:val="auto"/>
        </w:rPr>
        <w:t>20</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_Toc31106 </w:instrText>
      </w:r>
      <w:r>
        <w:rPr>
          <w:rFonts w:ascii="宋体" w:hAnsi="宋体" w:eastAsia="宋体" w:cs="宋体"/>
          <w:color w:val="auto"/>
        </w:rPr>
        <w:fldChar w:fldCharType="separate"/>
      </w:r>
      <w:r>
        <w:rPr>
          <w:rFonts w:ascii="仿宋_GB2312" w:hAnsi="仿宋_GB2312" w:eastAsia="仿宋_GB2312" w:cs="仿宋_GB2312"/>
          <w:color w:val="auto"/>
          <w:szCs w:val="28"/>
        </w:rPr>
        <w:t>10.1.1★税收信息化项目开发和应用管理工作要求</w:t>
      </w:r>
      <w:r>
        <w:rPr>
          <w:color w:val="auto"/>
        </w:rPr>
        <w:tab/>
      </w:r>
      <w:r>
        <w:rPr>
          <w:color w:val="auto"/>
        </w:rPr>
        <w:fldChar w:fldCharType="begin"/>
      </w:r>
      <w:r>
        <w:rPr>
          <w:color w:val="auto"/>
        </w:rPr>
        <w:instrText xml:space="preserve"> PAGEREF _Toc31106 \h </w:instrText>
      </w:r>
      <w:r>
        <w:rPr>
          <w:color w:val="auto"/>
        </w:rPr>
        <w:fldChar w:fldCharType="separate"/>
      </w:r>
      <w:r>
        <w:rPr>
          <w:color w:val="auto"/>
        </w:rPr>
        <w:t>20</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_Toc28335 </w:instrText>
      </w:r>
      <w:r>
        <w:rPr>
          <w:rFonts w:ascii="宋体" w:hAnsi="宋体" w:eastAsia="宋体" w:cs="宋体"/>
          <w:color w:val="auto"/>
        </w:rPr>
        <w:fldChar w:fldCharType="separate"/>
      </w:r>
      <w:r>
        <w:rPr>
          <w:rFonts w:ascii="仿宋_GB2312" w:hAnsi="仿宋_GB2312" w:eastAsia="仿宋_GB2312" w:cs="仿宋_GB2312"/>
          <w:color w:val="auto"/>
          <w:szCs w:val="28"/>
        </w:rPr>
        <w:t>10.1.2★供应链安全管理要求</w:t>
      </w:r>
      <w:r>
        <w:rPr>
          <w:color w:val="auto"/>
        </w:rPr>
        <w:tab/>
      </w:r>
      <w:r>
        <w:rPr>
          <w:color w:val="auto"/>
        </w:rPr>
        <w:fldChar w:fldCharType="begin"/>
      </w:r>
      <w:r>
        <w:rPr>
          <w:color w:val="auto"/>
        </w:rPr>
        <w:instrText xml:space="preserve"> PAGEREF _Toc28335 \h </w:instrText>
      </w:r>
      <w:r>
        <w:rPr>
          <w:color w:val="auto"/>
        </w:rPr>
        <w:fldChar w:fldCharType="separate"/>
      </w:r>
      <w:r>
        <w:rPr>
          <w:color w:val="auto"/>
        </w:rPr>
        <w:t>20</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_Toc9736 </w:instrText>
      </w:r>
      <w:r>
        <w:rPr>
          <w:rFonts w:ascii="宋体" w:hAnsi="宋体" w:eastAsia="宋体" w:cs="宋体"/>
          <w:color w:val="auto"/>
        </w:rPr>
        <w:fldChar w:fldCharType="separate"/>
      </w:r>
      <w:r>
        <w:rPr>
          <w:rFonts w:ascii="仿宋_GB2312" w:hAnsi="仿宋_GB2312" w:eastAsia="仿宋_GB2312" w:cs="仿宋_GB2312"/>
          <w:color w:val="auto"/>
          <w:szCs w:val="28"/>
        </w:rPr>
        <w:t>10.1.3★信息化服务运维人员要求</w:t>
      </w:r>
      <w:r>
        <w:rPr>
          <w:color w:val="auto"/>
        </w:rPr>
        <w:tab/>
      </w:r>
      <w:r>
        <w:rPr>
          <w:color w:val="auto"/>
        </w:rPr>
        <w:fldChar w:fldCharType="begin"/>
      </w:r>
      <w:r>
        <w:rPr>
          <w:color w:val="auto"/>
        </w:rPr>
        <w:instrText xml:space="preserve"> PAGEREF _Toc9736 \h </w:instrText>
      </w:r>
      <w:r>
        <w:rPr>
          <w:color w:val="auto"/>
        </w:rPr>
        <w:fldChar w:fldCharType="separate"/>
      </w:r>
      <w:r>
        <w:rPr>
          <w:color w:val="auto"/>
        </w:rPr>
        <w:t>21</w:t>
      </w:r>
      <w:r>
        <w:rPr>
          <w:color w:val="auto"/>
        </w:rPr>
        <w:fldChar w:fldCharType="end"/>
      </w:r>
      <w:r>
        <w:rPr>
          <w:rFonts w:ascii="宋体" w:hAnsi="宋体" w:eastAsia="宋体" w:cs="宋体"/>
          <w:color w:val="auto"/>
        </w:rPr>
        <w:fldChar w:fldCharType="end"/>
      </w:r>
    </w:p>
    <w:p>
      <w:pPr>
        <w:pStyle w:val="1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_Toc21199 </w:instrText>
      </w:r>
      <w:r>
        <w:rPr>
          <w:rFonts w:ascii="宋体" w:hAnsi="宋体" w:eastAsia="宋体" w:cs="宋体"/>
          <w:color w:val="auto"/>
        </w:rPr>
        <w:fldChar w:fldCharType="separate"/>
      </w:r>
      <w:r>
        <w:rPr>
          <w:rFonts w:ascii="仿宋_GB2312" w:hAnsi="仿宋_GB2312" w:eastAsia="仿宋_GB2312" w:cs="仿宋_GB2312"/>
          <w:color w:val="auto"/>
          <w:szCs w:val="28"/>
        </w:rPr>
        <w:t>10.1.4其他</w:t>
      </w:r>
      <w:r>
        <w:rPr>
          <w:color w:val="auto"/>
        </w:rPr>
        <w:tab/>
      </w:r>
      <w:r>
        <w:rPr>
          <w:color w:val="auto"/>
        </w:rPr>
        <w:fldChar w:fldCharType="begin"/>
      </w:r>
      <w:r>
        <w:rPr>
          <w:color w:val="auto"/>
        </w:rPr>
        <w:instrText xml:space="preserve"> PAGEREF _Toc21199 \h </w:instrText>
      </w:r>
      <w:r>
        <w:rPr>
          <w:color w:val="auto"/>
        </w:rPr>
        <w:fldChar w:fldCharType="separate"/>
      </w:r>
      <w:r>
        <w:rPr>
          <w:color w:val="auto"/>
        </w:rPr>
        <w:t>21</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_Toc19891 </w:instrText>
      </w:r>
      <w:r>
        <w:rPr>
          <w:rFonts w:ascii="宋体" w:hAnsi="宋体" w:eastAsia="宋体" w:cs="宋体"/>
          <w:color w:val="auto"/>
        </w:rPr>
        <w:fldChar w:fldCharType="separate"/>
      </w:r>
      <w:r>
        <w:rPr>
          <w:rFonts w:ascii="仿宋_GB2312" w:hAnsi="仿宋_GB2312" w:eastAsia="仿宋_GB2312" w:cs="仿宋_GB2312"/>
          <w:i w:val="0"/>
          <w:iCs w:val="0"/>
          <w:color w:val="auto"/>
        </w:rPr>
        <w:t>10.2知识产权要求</w:t>
      </w:r>
      <w:r>
        <w:rPr>
          <w:color w:val="auto"/>
        </w:rPr>
        <w:tab/>
      </w:r>
      <w:r>
        <w:rPr>
          <w:color w:val="auto"/>
        </w:rPr>
        <w:fldChar w:fldCharType="begin"/>
      </w:r>
      <w:r>
        <w:rPr>
          <w:color w:val="auto"/>
        </w:rPr>
        <w:instrText xml:space="preserve"> PAGEREF _Toc19891 \h </w:instrText>
      </w:r>
      <w:r>
        <w:rPr>
          <w:color w:val="auto"/>
        </w:rPr>
        <w:fldChar w:fldCharType="separate"/>
      </w:r>
      <w:r>
        <w:rPr>
          <w:color w:val="auto"/>
        </w:rPr>
        <w:t>22</w:t>
      </w:r>
      <w:r>
        <w:rPr>
          <w:color w:val="auto"/>
        </w:rPr>
        <w:fldChar w:fldCharType="end"/>
      </w:r>
      <w:r>
        <w:rPr>
          <w:rFonts w:ascii="宋体" w:hAnsi="宋体" w:eastAsia="宋体" w:cs="宋体"/>
          <w:color w:val="auto"/>
        </w:rPr>
        <w:fldChar w:fldCharType="end"/>
      </w:r>
    </w:p>
    <w:p>
      <w:pPr>
        <w:pStyle w:val="27"/>
        <w:tabs>
          <w:tab w:val="right" w:leader="dot" w:pos="9026"/>
        </w:tabs>
        <w:rPr>
          <w:color w:val="auto"/>
        </w:rPr>
      </w:pPr>
      <w:r>
        <w:rPr>
          <w:rFonts w:ascii="宋体" w:hAnsi="宋体" w:eastAsia="宋体" w:cs="宋体"/>
          <w:color w:val="auto"/>
        </w:rPr>
        <w:fldChar w:fldCharType="begin"/>
      </w:r>
      <w:r>
        <w:rPr>
          <w:rFonts w:ascii="宋体" w:hAnsi="宋体" w:eastAsia="宋体" w:cs="宋体"/>
          <w:color w:val="auto"/>
        </w:rPr>
        <w:instrText xml:space="preserve"> HYPERLINK \l _Toc11342 </w:instrText>
      </w:r>
      <w:r>
        <w:rPr>
          <w:rFonts w:ascii="宋体" w:hAnsi="宋体" w:eastAsia="宋体" w:cs="宋体"/>
          <w:color w:val="auto"/>
        </w:rPr>
        <w:fldChar w:fldCharType="separate"/>
      </w:r>
      <w:r>
        <w:rPr>
          <w:rFonts w:ascii="仿宋_GB2312" w:hAnsi="仿宋_GB2312" w:eastAsia="仿宋_GB2312" w:cs="仿宋_GB2312"/>
          <w:i w:val="0"/>
          <w:iCs w:val="0"/>
          <w:color w:val="auto"/>
        </w:rPr>
        <w:t>10.3付款安排建议</w:t>
      </w:r>
      <w:r>
        <w:rPr>
          <w:color w:val="auto"/>
        </w:rPr>
        <w:tab/>
      </w:r>
      <w:r>
        <w:rPr>
          <w:color w:val="auto"/>
        </w:rPr>
        <w:fldChar w:fldCharType="begin"/>
      </w:r>
      <w:r>
        <w:rPr>
          <w:color w:val="auto"/>
        </w:rPr>
        <w:instrText xml:space="preserve"> PAGEREF _Toc11342 \h </w:instrText>
      </w:r>
      <w:r>
        <w:rPr>
          <w:color w:val="auto"/>
        </w:rPr>
        <w:fldChar w:fldCharType="separate"/>
      </w:r>
      <w:r>
        <w:rPr>
          <w:color w:val="auto"/>
        </w:rPr>
        <w:t>23</w:t>
      </w:r>
      <w:r>
        <w:rPr>
          <w:color w:val="auto"/>
        </w:rPr>
        <w:fldChar w:fldCharType="end"/>
      </w:r>
      <w:r>
        <w:rPr>
          <w:rFonts w:ascii="宋体" w:hAnsi="宋体" w:eastAsia="宋体" w:cs="宋体"/>
          <w:color w:val="auto"/>
        </w:rPr>
        <w:fldChar w:fldCharType="end"/>
      </w:r>
    </w:p>
    <w:p>
      <w:pPr>
        <w:pStyle w:val="18"/>
        <w:spacing w:before="0" w:after="0" w:line="360" w:lineRule="auto"/>
        <w:jc w:val="left"/>
        <w:rPr>
          <w:color w:val="auto"/>
        </w:rPr>
      </w:pPr>
      <w:r>
        <w:rPr>
          <w:rFonts w:ascii="宋体" w:hAnsi="宋体" w:eastAsia="宋体" w:cs="宋体"/>
          <w:color w:val="auto"/>
          <w:sz w:val="32"/>
        </w:rPr>
        <w:fldChar w:fldCharType="end"/>
      </w:r>
      <w:r>
        <w:rPr>
          <w:color w:val="auto"/>
        </w:rPr>
        <w:br w:type="page"/>
      </w:r>
    </w:p>
    <w:p>
      <w:pPr>
        <w:pStyle w:val="90"/>
        <w:keepNext w:val="0"/>
        <w:spacing w:before="0" w:after="0" w:line="360" w:lineRule="auto"/>
        <w:jc w:val="center"/>
        <w:rPr>
          <w:rFonts w:ascii="仿宋_GB2312" w:hAnsi="仿宋_GB2312" w:eastAsia="仿宋_GB2312" w:cs="仿宋_GB2312"/>
          <w:b/>
          <w:bCs/>
          <w:sz w:val="32"/>
          <w:szCs w:val="32"/>
        </w:rPr>
      </w:pPr>
      <w:bookmarkStart w:id="4" w:name="_Toc256000000"/>
      <w:bookmarkStart w:id="5" w:name="_Toc14618"/>
      <w:r>
        <w:rPr>
          <w:rFonts w:ascii="仿宋_GB2312" w:hAnsi="仿宋_GB2312" w:eastAsia="仿宋_GB2312" w:cs="仿宋_GB2312"/>
          <w:kern w:val="36"/>
        </w:rPr>
        <w:t>1项目概述</w:t>
      </w:r>
      <w:bookmarkEnd w:id="4"/>
      <w:bookmarkEnd w:id="5"/>
    </w:p>
    <w:p>
      <w:pPr>
        <w:pStyle w:val="91"/>
        <w:keepNext w:val="0"/>
        <w:spacing w:before="0" w:after="0" w:line="360" w:lineRule="auto"/>
        <w:rPr>
          <w:rFonts w:ascii="仿宋_GB2312" w:hAnsi="仿宋_GB2312" w:eastAsia="仿宋_GB2312" w:cs="仿宋_GB2312"/>
          <w:b/>
          <w:bCs/>
          <w:sz w:val="28"/>
          <w:szCs w:val="28"/>
        </w:rPr>
      </w:pPr>
      <w:bookmarkStart w:id="6" w:name="_Toc256000001"/>
      <w:bookmarkStart w:id="7" w:name="_Toc19456"/>
      <w:r>
        <w:rPr>
          <w:rFonts w:ascii="仿宋_GB2312" w:hAnsi="仿宋_GB2312" w:eastAsia="仿宋_GB2312" w:cs="仿宋_GB2312"/>
          <w:i w:val="0"/>
          <w:iCs w:val="0"/>
        </w:rPr>
        <w:t>1.1项目背景</w:t>
      </w:r>
      <w:bookmarkEnd w:id="6"/>
      <w:bookmarkEnd w:id="7"/>
    </w:p>
    <w:p>
      <w:pPr>
        <w:pStyle w:val="92"/>
        <w:keepNext w:val="0"/>
        <w:spacing w:before="0" w:after="0" w:line="360" w:lineRule="auto"/>
        <w:rPr>
          <w:rFonts w:ascii="仿宋_GB2312" w:hAnsi="仿宋_GB2312" w:eastAsia="仿宋_GB2312" w:cs="仿宋_GB2312"/>
          <w:b/>
          <w:bCs/>
          <w:sz w:val="28"/>
          <w:szCs w:val="28"/>
        </w:rPr>
      </w:pPr>
      <w:bookmarkStart w:id="8" w:name="_Toc256000002"/>
      <w:bookmarkStart w:id="9" w:name="_Toc1892"/>
      <w:r>
        <w:rPr>
          <w:rFonts w:ascii="仿宋_GB2312" w:hAnsi="仿宋_GB2312" w:eastAsia="仿宋_GB2312" w:cs="仿宋_GB2312"/>
          <w:sz w:val="28"/>
          <w:szCs w:val="28"/>
        </w:rPr>
        <w:t>1.1.1项目目的、意义及背景</w:t>
      </w:r>
      <w:bookmarkEnd w:id="8"/>
      <w:bookmarkEnd w:id="9"/>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按照国家税务总局对税务系统省级数据中心基础环境设施运行维护管理工作的相关要求，聘请原厂商或第三方专业技术团队，采用专用的工具，对机房内供配电系统、空气调节系统、消防系统、机房监控与安全防范系统进行维护保养及巡查；机房严格执行7*24小时现场值班制度，技术人员24小时现场值守，轮流值班，做好机房的日常巡查巡检工作，开展运维分析，每天工作情况均有详细记录，确保机房不发生停冷、断电事件，保障基础设施和重要信息系统安全稳定运行。</w:t>
      </w:r>
    </w:p>
    <w:p>
      <w:pPr>
        <w:pStyle w:val="91"/>
        <w:keepNext w:val="0"/>
        <w:spacing w:before="0" w:after="0" w:line="360" w:lineRule="auto"/>
        <w:rPr>
          <w:rFonts w:ascii="仿宋_GB2312" w:hAnsi="仿宋_GB2312" w:eastAsia="仿宋_GB2312" w:cs="仿宋_GB2312"/>
          <w:b/>
          <w:bCs/>
          <w:sz w:val="28"/>
          <w:szCs w:val="28"/>
        </w:rPr>
      </w:pPr>
      <w:bookmarkStart w:id="10" w:name="_Toc256000003"/>
      <w:bookmarkStart w:id="11" w:name="_Toc6692"/>
      <w:r>
        <w:rPr>
          <w:rFonts w:ascii="仿宋_GB2312" w:hAnsi="仿宋_GB2312" w:eastAsia="仿宋_GB2312" w:cs="仿宋_GB2312"/>
          <w:i w:val="0"/>
          <w:iCs w:val="0"/>
        </w:rPr>
        <w:t>1.2项目内容</w:t>
      </w:r>
      <w:bookmarkEnd w:id="10"/>
      <w:bookmarkEnd w:id="11"/>
    </w:p>
    <w:p>
      <w:pPr>
        <w:pStyle w:val="92"/>
        <w:keepNext w:val="0"/>
        <w:spacing w:before="0" w:after="0" w:line="360" w:lineRule="auto"/>
        <w:rPr>
          <w:rFonts w:ascii="仿宋_GB2312" w:hAnsi="仿宋_GB2312" w:eastAsia="仿宋_GB2312" w:cs="仿宋_GB2312"/>
          <w:b/>
          <w:bCs/>
          <w:sz w:val="28"/>
          <w:szCs w:val="28"/>
        </w:rPr>
      </w:pPr>
      <w:bookmarkStart w:id="12" w:name="_Toc256000004"/>
      <w:bookmarkStart w:id="13" w:name="_Toc28559"/>
      <w:r>
        <w:rPr>
          <w:rFonts w:ascii="仿宋_GB2312" w:hAnsi="仿宋_GB2312" w:eastAsia="仿宋_GB2312" w:cs="仿宋_GB2312"/>
          <w:sz w:val="28"/>
          <w:szCs w:val="28"/>
        </w:rPr>
        <w:t>1.2.1采购内容</w:t>
      </w:r>
      <w:bookmarkEnd w:id="12"/>
      <w:bookmarkEnd w:id="13"/>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1、对省局二处机房基础设施设备开展巡检、维保服务工作。机房基础环境设施包括:供配电系统、UPS电源系统、空调新风系统、消防防雷系统、加湿净水系统等。部分设备及系统已超过保修期限，为了使机房设备能够安全、有效、稳定的运行，需要对机房内基础环境设施设备的巡检维护、保养、维修等开展技术服务保障工作。包含但不限于基础设施的日常巡检、运行建议、维护保养、故障处理、应急操作、设备维修、技术培训及应急演练，24小时技术支持等服务。负责更换机房内基础设施中所有问题部件(包括出现故障的、存在隐患的、老化的器件或板件)，负责处置运维过程中发现的各种问题，直至问题解决。</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2、南湖大路机房和人民广场机房动环监控系统维保服务。包括配电监测、UPS监测、发电机监测、空调监控、新风机监控、温湿度监测、漏水监测、消防监测、系统配置、蓄电池监测及监控软件的运行维护。</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3、派驻13名技术人员对省局二处机房执行7*24小时现场值班制度，做好机房的日常巡查巡检工作，确保机房不发生停冷、断电事件，保障基础设施和重要信息系统安全稳定运行。</w:t>
      </w:r>
    </w:p>
    <w:p>
      <w:pPr>
        <w:pStyle w:val="92"/>
        <w:keepNext w:val="0"/>
        <w:spacing w:before="0" w:after="0" w:line="360" w:lineRule="auto"/>
        <w:rPr>
          <w:rFonts w:ascii="仿宋_GB2312" w:hAnsi="仿宋_GB2312" w:eastAsia="仿宋_GB2312" w:cs="仿宋_GB2312"/>
          <w:b/>
          <w:bCs/>
          <w:sz w:val="28"/>
          <w:szCs w:val="28"/>
        </w:rPr>
      </w:pPr>
      <w:bookmarkStart w:id="14" w:name="_Toc256000005"/>
      <w:bookmarkStart w:id="15" w:name="_Toc28923"/>
      <w:r>
        <w:rPr>
          <w:rFonts w:ascii="仿宋_GB2312" w:hAnsi="仿宋_GB2312" w:eastAsia="仿宋_GB2312" w:cs="仿宋_GB2312"/>
          <w:sz w:val="28"/>
          <w:szCs w:val="28"/>
        </w:rPr>
        <w:t>1.2.2项目实施要求</w:t>
      </w:r>
      <w:bookmarkEnd w:id="14"/>
      <w:bookmarkEnd w:id="15"/>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1.2.2.1实施范围要求</w:t>
      </w:r>
    </w:p>
    <w:p>
      <w:pPr>
        <w:pStyle w:val="18"/>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国家税务总局吉林省税务局机房基础环境设备维保及基础设施技术服务。</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1.2.2.2实施时间要求</w:t>
      </w:r>
    </w:p>
    <w:p>
      <w:pPr>
        <w:pStyle w:val="93"/>
        <w:spacing w:before="0" w:after="0" w:line="360" w:lineRule="auto"/>
        <w:ind w:left="2244" w:right="0" w:hanging="1606"/>
        <w:rPr>
          <w:rFonts w:ascii="宋体" w:hAnsi="宋体" w:eastAsia="宋体" w:cs="宋体"/>
          <w:sz w:val="21"/>
          <w:szCs w:val="21"/>
        </w:rPr>
      </w:pPr>
      <w:r>
        <w:rPr>
          <w:rFonts w:ascii="仿宋_GB2312" w:hAnsi="仿宋_GB2312" w:eastAsia="仿宋_GB2312" w:cs="仿宋_GB2312"/>
          <w:sz w:val="32"/>
          <w:szCs w:val="32"/>
        </w:rPr>
        <w:t>本项目一定两年。</w:t>
      </w:r>
    </w:p>
    <w:p>
      <w:pPr>
        <w:pStyle w:val="93"/>
        <w:spacing w:before="0" w:after="0" w:line="360" w:lineRule="auto"/>
        <w:ind w:left="2238" w:right="0" w:hanging="1280"/>
        <w:rPr>
          <w:rFonts w:ascii="宋体" w:hAnsi="宋体" w:eastAsia="宋体" w:cs="宋体"/>
          <w:sz w:val="21"/>
          <w:szCs w:val="21"/>
        </w:rPr>
      </w:pPr>
      <w:r>
        <w:rPr>
          <w:rFonts w:ascii="仿宋_GB2312" w:hAnsi="仿宋_GB2312" w:eastAsia="仿宋_GB2312" w:cs="仿宋_GB2312"/>
          <w:sz w:val="32"/>
          <w:szCs w:val="32"/>
        </w:rPr>
        <w:t>一包：第一年自合同签订之日起至2025年11月30日，第二年自2025年12月1日至2026年8月31日；</w:t>
      </w:r>
    </w:p>
    <w:p>
      <w:pPr>
        <w:pStyle w:val="93"/>
        <w:spacing w:before="0" w:after="0" w:line="360" w:lineRule="auto"/>
        <w:ind w:left="2238" w:right="0" w:hanging="1280"/>
        <w:rPr>
          <w:rFonts w:ascii="宋体" w:hAnsi="宋体" w:eastAsia="宋体" w:cs="宋体"/>
          <w:sz w:val="21"/>
          <w:szCs w:val="21"/>
        </w:rPr>
      </w:pPr>
      <w:r>
        <w:rPr>
          <w:rFonts w:ascii="仿宋_GB2312" w:hAnsi="仿宋_GB2312" w:eastAsia="仿宋_GB2312" w:cs="仿宋_GB2312"/>
          <w:sz w:val="32"/>
          <w:szCs w:val="32"/>
        </w:rPr>
        <w:t>二包：第一年自自合同签订之日至2025年12月31日，第二年自2026年1月1日至2026年8月31日。</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1.2.2.3实施地点要求</w:t>
      </w:r>
    </w:p>
    <w:p>
      <w:pPr>
        <w:pStyle w:val="93"/>
        <w:spacing w:before="0" w:after="0" w:line="360" w:lineRule="auto"/>
        <w:ind w:left="0" w:right="0"/>
        <w:jc w:val="both"/>
        <w:rPr>
          <w:rFonts w:ascii="宋体" w:hAnsi="宋体" w:eastAsia="宋体" w:cs="宋体"/>
          <w:sz w:val="21"/>
          <w:szCs w:val="21"/>
        </w:rPr>
      </w:pPr>
      <w:r>
        <w:rPr>
          <w:rFonts w:ascii="仿宋_GB2312" w:hAnsi="仿宋_GB2312" w:eastAsia="仿宋_GB2312" w:cs="仿宋_GB2312"/>
          <w:sz w:val="32"/>
          <w:szCs w:val="32"/>
        </w:rPr>
        <w:t>国家税务总局吉林省税务局南湖大路机房和人民广场机房。</w:t>
      </w:r>
    </w:p>
    <w:p>
      <w:pPr>
        <w:pStyle w:val="90"/>
        <w:keepNext w:val="0"/>
        <w:spacing w:before="0" w:after="0" w:line="360" w:lineRule="auto"/>
        <w:jc w:val="center"/>
        <w:rPr>
          <w:rFonts w:ascii="仿宋_GB2312" w:hAnsi="仿宋_GB2312" w:eastAsia="仿宋_GB2312" w:cs="仿宋_GB2312"/>
          <w:b/>
          <w:bCs/>
          <w:sz w:val="32"/>
          <w:szCs w:val="32"/>
        </w:rPr>
      </w:pPr>
      <w:bookmarkStart w:id="16" w:name="_Toc256000006"/>
      <w:bookmarkStart w:id="17" w:name="_Toc10138"/>
      <w:r>
        <w:rPr>
          <w:rFonts w:ascii="仿宋_GB2312" w:hAnsi="仿宋_GB2312" w:eastAsia="仿宋_GB2312" w:cs="仿宋_GB2312"/>
          <w:kern w:val="36"/>
        </w:rPr>
        <w:t>2投标/响应要求</w:t>
      </w:r>
      <w:bookmarkEnd w:id="16"/>
      <w:bookmarkEnd w:id="17"/>
    </w:p>
    <w:p>
      <w:pPr>
        <w:pStyle w:val="91"/>
        <w:keepNext w:val="0"/>
        <w:spacing w:before="0" w:after="0" w:line="360" w:lineRule="auto"/>
        <w:rPr>
          <w:rFonts w:ascii="仿宋_GB2312" w:hAnsi="仿宋_GB2312" w:eastAsia="仿宋_GB2312" w:cs="仿宋_GB2312"/>
          <w:b/>
          <w:bCs/>
          <w:sz w:val="28"/>
          <w:szCs w:val="28"/>
        </w:rPr>
      </w:pPr>
      <w:bookmarkStart w:id="18" w:name="_Toc256000007"/>
      <w:bookmarkStart w:id="19" w:name="_Toc21319"/>
      <w:r>
        <w:rPr>
          <w:rFonts w:ascii="仿宋_GB2312" w:hAnsi="仿宋_GB2312" w:eastAsia="仿宋_GB2312" w:cs="仿宋_GB2312"/>
          <w:i w:val="0"/>
          <w:iCs w:val="0"/>
        </w:rPr>
        <w:t>2.1对供应商的要求</w:t>
      </w:r>
      <w:bookmarkEnd w:id="18"/>
      <w:bookmarkEnd w:id="19"/>
    </w:p>
    <w:p>
      <w:pPr>
        <w:pStyle w:val="92"/>
        <w:keepNext w:val="0"/>
        <w:spacing w:before="0" w:after="0" w:line="360" w:lineRule="auto"/>
        <w:rPr>
          <w:rFonts w:ascii="仿宋_GB2312" w:hAnsi="仿宋_GB2312" w:eastAsia="仿宋_GB2312" w:cs="仿宋_GB2312"/>
          <w:b/>
          <w:bCs/>
          <w:sz w:val="28"/>
          <w:szCs w:val="28"/>
        </w:rPr>
      </w:pPr>
      <w:bookmarkStart w:id="20" w:name="_Toc256000008"/>
      <w:bookmarkStart w:id="21" w:name="_Toc8469"/>
      <w:r>
        <w:rPr>
          <w:rFonts w:ascii="仿宋_GB2312" w:hAnsi="仿宋_GB2312" w:eastAsia="仿宋_GB2312" w:cs="仿宋_GB2312"/>
          <w:sz w:val="28"/>
          <w:szCs w:val="28"/>
        </w:rPr>
        <w:t>2.1.1必备资质</w:t>
      </w:r>
      <w:bookmarkEnd w:id="20"/>
      <w:bookmarkEnd w:id="21"/>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2.1.1.1投标人应遵守有关国家法律、法规和条例,具备《中华人民共和国政府采购法》第二十二条的规定和本文件中规定的条件。</w:t>
      </w:r>
    </w:p>
    <w:p>
      <w:pPr>
        <w:pStyle w:val="92"/>
        <w:keepNext w:val="0"/>
        <w:spacing w:before="0" w:after="0" w:line="360" w:lineRule="auto"/>
        <w:rPr>
          <w:rFonts w:ascii="仿宋_GB2312" w:hAnsi="仿宋_GB2312" w:eastAsia="仿宋_GB2312" w:cs="仿宋_GB2312"/>
          <w:b/>
          <w:bCs/>
          <w:sz w:val="28"/>
          <w:szCs w:val="28"/>
        </w:rPr>
      </w:pPr>
      <w:bookmarkStart w:id="22" w:name="_Toc256000009"/>
      <w:bookmarkStart w:id="23" w:name="_Toc18141"/>
      <w:r>
        <w:rPr>
          <w:rFonts w:ascii="仿宋_GB2312" w:hAnsi="仿宋_GB2312" w:eastAsia="仿宋_GB2312" w:cs="仿宋_GB2312"/>
          <w:sz w:val="28"/>
          <w:szCs w:val="28"/>
        </w:rPr>
        <w:t>2.1.2优选资质/优选指标</w:t>
      </w:r>
      <w:bookmarkEnd w:id="22"/>
      <w:bookmarkEnd w:id="23"/>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2.1.2.1相关证书</w:t>
      </w:r>
    </w:p>
    <w:tbl>
      <w:tblPr>
        <w:tblStyle w:val="32"/>
        <w:tblW w:w="5000" w:type="pct"/>
        <w:tblInd w:w="30" w:type="dxa"/>
        <w:tblLayout w:type="autofit"/>
        <w:tblCellMar>
          <w:top w:w="15" w:type="dxa"/>
          <w:left w:w="15" w:type="dxa"/>
          <w:bottom w:w="15" w:type="dxa"/>
          <w:right w:w="15" w:type="dxa"/>
        </w:tblCellMar>
      </w:tblPr>
      <w:tblGrid>
        <w:gridCol w:w="1295"/>
        <w:gridCol w:w="2591"/>
        <w:gridCol w:w="2592"/>
        <w:gridCol w:w="2592"/>
      </w:tblGrid>
      <w:tr>
        <w:tblPrEx>
          <w:tblCellMar>
            <w:top w:w="15" w:type="dxa"/>
            <w:left w:w="15" w:type="dxa"/>
            <w:bottom w:w="15" w:type="dxa"/>
            <w:right w:w="15" w:type="dxa"/>
          </w:tblCellMar>
        </w:tblPrEx>
        <w:tc>
          <w:tcPr>
            <w:tcW w:w="714"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428"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证书名称</w:t>
            </w:r>
          </w:p>
        </w:tc>
        <w:tc>
          <w:tcPr>
            <w:tcW w:w="1428"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颁发部门</w:t>
            </w:r>
          </w:p>
        </w:tc>
        <w:tc>
          <w:tcPr>
            <w:tcW w:w="1428"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相关要求</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质量管理体系认证证书(ISO9001)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国家认证认可监督管理委员会备案的第三方机构</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环境管理体系认证证书（ISO14001）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国家认证认可监督管理委员会备案的第三方机构</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职业健康安全管理体系认证证书（ISO45001）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国家认证认可监督管理委员会备案的第三方机构</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bl>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2.1.2.2成功案例</w:t>
      </w:r>
    </w:p>
    <w:p>
      <w:pPr>
        <w:pStyle w:val="93"/>
        <w:spacing w:before="0" w:after="0" w:line="360" w:lineRule="auto"/>
        <w:ind w:left="0" w:right="0"/>
        <w:jc w:val="both"/>
        <w:rPr>
          <w:rFonts w:ascii="宋体" w:hAnsi="宋体" w:eastAsia="宋体" w:cs="宋体"/>
          <w:sz w:val="21"/>
          <w:szCs w:val="21"/>
        </w:rPr>
      </w:pPr>
      <w:r>
        <w:rPr>
          <w:rFonts w:ascii="仿宋_GB2312" w:hAnsi="仿宋_GB2312" w:eastAsia="仿宋_GB2312" w:cs="仿宋_GB2312"/>
          <w:sz w:val="32"/>
          <w:szCs w:val="32"/>
        </w:rPr>
        <w:t>提供2021年1月1日以来（以合同签订日期为准）独立承担实施的相似或类似项目成功案例。</w:t>
      </w:r>
    </w:p>
    <w:p>
      <w:pPr>
        <w:pStyle w:val="92"/>
        <w:keepNext w:val="0"/>
        <w:spacing w:before="0" w:after="0" w:line="360" w:lineRule="auto"/>
        <w:rPr>
          <w:rFonts w:ascii="仿宋_GB2312" w:hAnsi="仿宋_GB2312" w:eastAsia="仿宋_GB2312" w:cs="仿宋_GB2312"/>
          <w:b/>
          <w:bCs/>
          <w:sz w:val="28"/>
          <w:szCs w:val="28"/>
        </w:rPr>
      </w:pPr>
      <w:bookmarkStart w:id="24" w:name="_Toc25310"/>
      <w:bookmarkStart w:id="25" w:name="_Toc256000010"/>
      <w:r>
        <w:rPr>
          <w:rFonts w:ascii="仿宋_GB2312" w:hAnsi="仿宋_GB2312" w:eastAsia="仿宋_GB2312" w:cs="仿宋_GB2312"/>
          <w:sz w:val="28"/>
          <w:szCs w:val="28"/>
        </w:rPr>
        <w:t>2.1.3是否允许联合体</w:t>
      </w:r>
      <w:bookmarkEnd w:id="24"/>
      <w:bookmarkEnd w:id="25"/>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否</w:t>
      </w:r>
    </w:p>
    <w:p>
      <w:pPr>
        <w:pStyle w:val="92"/>
        <w:keepNext w:val="0"/>
        <w:spacing w:before="0" w:after="0" w:line="360" w:lineRule="auto"/>
        <w:rPr>
          <w:rFonts w:ascii="仿宋_GB2312" w:hAnsi="仿宋_GB2312" w:eastAsia="仿宋_GB2312" w:cs="仿宋_GB2312"/>
          <w:b/>
          <w:bCs/>
          <w:sz w:val="28"/>
          <w:szCs w:val="28"/>
        </w:rPr>
      </w:pPr>
      <w:bookmarkStart w:id="26" w:name="_Toc256000011"/>
      <w:bookmarkStart w:id="27" w:name="_Toc30207"/>
      <w:r>
        <w:rPr>
          <w:rFonts w:ascii="仿宋_GB2312" w:hAnsi="仿宋_GB2312" w:eastAsia="仿宋_GB2312" w:cs="仿宋_GB2312"/>
          <w:sz w:val="28"/>
          <w:szCs w:val="28"/>
        </w:rPr>
        <w:t>2.1.4是否专门面向中小企业</w:t>
      </w:r>
      <w:bookmarkEnd w:id="26"/>
      <w:bookmarkEnd w:id="27"/>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本项目专门面向中小企业采购项目</w:t>
      </w:r>
    </w:p>
    <w:p>
      <w:pPr>
        <w:pStyle w:val="92"/>
        <w:keepNext w:val="0"/>
        <w:spacing w:before="0" w:after="0" w:line="360" w:lineRule="auto"/>
        <w:rPr>
          <w:rFonts w:ascii="仿宋_GB2312" w:hAnsi="仿宋_GB2312" w:eastAsia="仿宋_GB2312" w:cs="仿宋_GB2312"/>
          <w:b/>
          <w:bCs/>
          <w:sz w:val="28"/>
          <w:szCs w:val="28"/>
        </w:rPr>
      </w:pPr>
      <w:bookmarkStart w:id="28" w:name="_Toc256000012"/>
      <w:bookmarkStart w:id="29" w:name="_Toc6566"/>
      <w:r>
        <w:rPr>
          <w:rFonts w:ascii="仿宋_GB2312" w:hAnsi="仿宋_GB2312" w:eastAsia="仿宋_GB2312" w:cs="仿宋_GB2312"/>
          <w:sz w:val="28"/>
          <w:szCs w:val="28"/>
        </w:rPr>
        <w:t>2.1.5其他要求</w:t>
      </w:r>
      <w:bookmarkEnd w:id="28"/>
      <w:bookmarkEnd w:id="29"/>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根据各投标人拟投入本项目技术人员定位、岗位职责、合理。</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投标人拟投入本项目技术人员资质、专业程度、工作经验。</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项目经理的工作年限、类似项目管理经验丰富。</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投标人拟投入的高级、中级技术人员的数量、比例及稳定性情况。</w:t>
      </w:r>
    </w:p>
    <w:p>
      <w:pPr>
        <w:pStyle w:val="91"/>
        <w:keepNext w:val="0"/>
        <w:spacing w:before="0" w:after="0" w:line="360" w:lineRule="auto"/>
        <w:rPr>
          <w:rFonts w:ascii="仿宋_GB2312" w:hAnsi="仿宋_GB2312" w:eastAsia="仿宋_GB2312" w:cs="仿宋_GB2312"/>
          <w:b/>
          <w:bCs/>
          <w:sz w:val="28"/>
          <w:szCs w:val="28"/>
        </w:rPr>
      </w:pPr>
      <w:bookmarkStart w:id="30" w:name="_Toc256000013"/>
      <w:bookmarkStart w:id="31" w:name="_Toc8257"/>
      <w:r>
        <w:rPr>
          <w:rFonts w:ascii="仿宋_GB2312" w:hAnsi="仿宋_GB2312" w:eastAsia="仿宋_GB2312" w:cs="仿宋_GB2312"/>
          <w:i w:val="0"/>
          <w:iCs w:val="0"/>
        </w:rPr>
        <w:t>2.2技术部分投标/响应内容</w:t>
      </w:r>
      <w:bookmarkEnd w:id="30"/>
      <w:bookmarkEnd w:id="31"/>
    </w:p>
    <w:p>
      <w:pPr>
        <w:pStyle w:val="92"/>
        <w:keepNext w:val="0"/>
        <w:spacing w:before="0" w:after="0" w:line="360" w:lineRule="auto"/>
        <w:rPr>
          <w:rFonts w:ascii="仿宋_GB2312" w:hAnsi="仿宋_GB2312" w:eastAsia="仿宋_GB2312" w:cs="仿宋_GB2312"/>
          <w:b/>
          <w:bCs/>
          <w:sz w:val="28"/>
          <w:szCs w:val="28"/>
        </w:rPr>
      </w:pPr>
      <w:bookmarkStart w:id="32" w:name="_Toc256000014"/>
      <w:bookmarkStart w:id="33" w:name="_Toc23982"/>
      <w:r>
        <w:rPr>
          <w:rFonts w:ascii="仿宋_GB2312" w:hAnsi="仿宋_GB2312" w:eastAsia="仿宋_GB2312" w:cs="仿宋_GB2312"/>
          <w:sz w:val="28"/>
          <w:szCs w:val="28"/>
        </w:rPr>
        <w:t>2.2.1技术投标/响应总要求</w:t>
      </w:r>
      <w:bookmarkEnd w:id="32"/>
      <w:bookmarkEnd w:id="33"/>
    </w:p>
    <w:p>
      <w:pPr>
        <w:keepNext w:val="0"/>
        <w:keepLines w:val="0"/>
        <w:pageBreakBefore w:val="0"/>
        <w:widowControl/>
        <w:numPr>
          <w:ilvl w:val="0"/>
          <w:numId w:val="0"/>
        </w:numPr>
        <w:kinsoku/>
        <w:wordWrap/>
        <w:overflowPunct/>
        <w:topLinePunct w:val="0"/>
        <w:autoSpaceDE/>
        <w:autoSpaceDN/>
        <w:bidi w:val="0"/>
        <w:adjustRightInd w:val="0"/>
        <w:snapToGrid w:val="0"/>
        <w:spacing w:line="520" w:lineRule="exact"/>
        <w:ind w:left="0" w:leftChars="0" w:firstLine="640" w:firstLineChars="200"/>
        <w:jc w:val="both"/>
        <w:textAlignment w:val="auto"/>
        <w:outlineLvl w:val="9"/>
        <w:rPr>
          <w:rFonts w:hint="eastAsia" w:ascii="仿宋_GB2312" w:hAnsi="仿宋_GB2312" w:eastAsia="仿宋_GB2312" w:cs="仿宋_GB2312"/>
          <w:b w:val="0"/>
          <w:bCs/>
          <w:color w:val="auto"/>
          <w:sz w:val="32"/>
          <w:szCs w:val="32"/>
        </w:rPr>
      </w:pPr>
      <w:r>
        <w:rPr>
          <w:rFonts w:hint="eastAsia" w:ascii="仿宋_GB2312" w:hAnsi="仿宋_GB2312" w:eastAsia="仿宋_GB2312" w:cs="仿宋_GB2312"/>
          <w:b w:val="0"/>
          <w:bCs/>
          <w:color w:val="auto"/>
          <w:sz w:val="32"/>
          <w:szCs w:val="32"/>
        </w:rPr>
        <w:t>1.投标人必须针对技术部分中的需求逐个或分块作出实质性响应，其响应与采购文件内容采用同样的顺序。对每个需求的响应必须遵循如下规则：</w:t>
      </w:r>
    </w:p>
    <w:p>
      <w:pPr>
        <w:keepNext w:val="0"/>
        <w:keepLines w:val="0"/>
        <w:pageBreakBefore w:val="0"/>
        <w:widowControl/>
        <w:numPr>
          <w:ilvl w:val="0"/>
          <w:numId w:val="0"/>
        </w:numPr>
        <w:kinsoku/>
        <w:wordWrap/>
        <w:overflowPunct/>
        <w:topLinePunct w:val="0"/>
        <w:autoSpaceDE/>
        <w:autoSpaceDN/>
        <w:bidi w:val="0"/>
        <w:adjustRightInd w:val="0"/>
        <w:snapToGrid w:val="0"/>
        <w:spacing w:line="520" w:lineRule="exact"/>
        <w:ind w:left="0" w:leftChars="0" w:firstLine="640" w:firstLineChars="200"/>
        <w:jc w:val="both"/>
        <w:textAlignment w:val="auto"/>
        <w:outlineLvl w:val="9"/>
        <w:rPr>
          <w:rFonts w:hint="eastAsia" w:ascii="仿宋_GB2312" w:hAnsi="仿宋_GB2312" w:eastAsia="仿宋_GB2312" w:cs="仿宋_GB2312"/>
          <w:b w:val="0"/>
          <w:bCs/>
          <w:color w:val="auto"/>
          <w:sz w:val="32"/>
          <w:szCs w:val="32"/>
        </w:rPr>
      </w:pPr>
      <w:r>
        <w:rPr>
          <w:rFonts w:hint="eastAsia" w:ascii="仿宋_GB2312" w:hAnsi="仿宋_GB2312" w:eastAsia="仿宋_GB2312" w:cs="仿宋_GB2312"/>
          <w:b w:val="0"/>
          <w:bCs/>
          <w:color w:val="auto"/>
          <w:sz w:val="32"/>
          <w:szCs w:val="32"/>
        </w:rPr>
        <w:t>（1）重复该需求。</w:t>
      </w:r>
    </w:p>
    <w:p>
      <w:pPr>
        <w:keepNext w:val="0"/>
        <w:keepLines w:val="0"/>
        <w:pageBreakBefore w:val="0"/>
        <w:widowControl/>
        <w:numPr>
          <w:ilvl w:val="0"/>
          <w:numId w:val="0"/>
        </w:numPr>
        <w:kinsoku/>
        <w:wordWrap/>
        <w:overflowPunct/>
        <w:topLinePunct w:val="0"/>
        <w:autoSpaceDE/>
        <w:autoSpaceDN/>
        <w:bidi w:val="0"/>
        <w:adjustRightInd w:val="0"/>
        <w:snapToGrid w:val="0"/>
        <w:spacing w:line="520" w:lineRule="exact"/>
        <w:ind w:left="0" w:leftChars="0" w:firstLine="640" w:firstLineChars="200"/>
        <w:jc w:val="both"/>
        <w:textAlignment w:val="auto"/>
        <w:outlineLvl w:val="9"/>
        <w:rPr>
          <w:rFonts w:hint="eastAsia" w:ascii="仿宋_GB2312" w:hAnsi="仿宋_GB2312" w:eastAsia="仿宋_GB2312" w:cs="仿宋_GB2312"/>
          <w:b w:val="0"/>
          <w:bCs/>
          <w:color w:val="auto"/>
          <w:sz w:val="32"/>
          <w:szCs w:val="32"/>
        </w:rPr>
      </w:pPr>
      <w:r>
        <w:rPr>
          <w:rFonts w:hint="eastAsia" w:ascii="仿宋_GB2312" w:hAnsi="仿宋_GB2312" w:eastAsia="仿宋_GB2312" w:cs="仿宋_GB2312"/>
          <w:b w:val="0"/>
          <w:bCs/>
          <w:color w:val="auto"/>
          <w:sz w:val="32"/>
          <w:szCs w:val="32"/>
        </w:rPr>
        <w:t>（2）用“是/否”响应来表明该需求是否被满足。</w:t>
      </w:r>
    </w:p>
    <w:p>
      <w:pPr>
        <w:keepNext w:val="0"/>
        <w:keepLines w:val="0"/>
        <w:pageBreakBefore w:val="0"/>
        <w:widowControl/>
        <w:numPr>
          <w:ilvl w:val="0"/>
          <w:numId w:val="0"/>
        </w:numPr>
        <w:kinsoku/>
        <w:wordWrap/>
        <w:overflowPunct/>
        <w:topLinePunct w:val="0"/>
        <w:autoSpaceDE/>
        <w:autoSpaceDN/>
        <w:bidi w:val="0"/>
        <w:adjustRightInd w:val="0"/>
        <w:snapToGrid w:val="0"/>
        <w:spacing w:line="520" w:lineRule="exact"/>
        <w:ind w:left="0" w:leftChars="0" w:firstLine="640" w:firstLineChars="200"/>
        <w:jc w:val="both"/>
        <w:textAlignment w:val="auto"/>
        <w:outlineLvl w:val="9"/>
        <w:rPr>
          <w:rFonts w:hint="eastAsia" w:ascii="仿宋_GB2312" w:hAnsi="仿宋_GB2312" w:eastAsia="仿宋_GB2312" w:cs="仿宋_GB2312"/>
          <w:b w:val="0"/>
          <w:bCs/>
          <w:color w:val="auto"/>
          <w:sz w:val="32"/>
          <w:szCs w:val="32"/>
        </w:rPr>
      </w:pPr>
      <w:r>
        <w:rPr>
          <w:rFonts w:hint="eastAsia" w:ascii="仿宋_GB2312" w:hAnsi="仿宋_GB2312" w:eastAsia="仿宋_GB2312" w:cs="仿宋_GB2312"/>
          <w:b w:val="0"/>
          <w:bCs/>
          <w:color w:val="auto"/>
          <w:sz w:val="32"/>
          <w:szCs w:val="32"/>
        </w:rPr>
        <w:t>（3）简要描述投标文件如何满足该需求，如果该响应在投标文件其他部分有详述，可在该处简单应答，但必须给出确切的位置索引。</w:t>
      </w:r>
    </w:p>
    <w:p>
      <w:pPr>
        <w:keepNext w:val="0"/>
        <w:keepLines w:val="0"/>
        <w:pageBreakBefore w:val="0"/>
        <w:widowControl/>
        <w:numPr>
          <w:ilvl w:val="0"/>
          <w:numId w:val="0"/>
        </w:numPr>
        <w:kinsoku/>
        <w:wordWrap/>
        <w:overflowPunct/>
        <w:topLinePunct w:val="0"/>
        <w:autoSpaceDE/>
        <w:autoSpaceDN/>
        <w:bidi w:val="0"/>
        <w:adjustRightInd w:val="0"/>
        <w:snapToGrid w:val="0"/>
        <w:spacing w:line="520" w:lineRule="exact"/>
        <w:ind w:left="0" w:leftChars="0" w:firstLine="640" w:firstLineChars="200"/>
        <w:jc w:val="both"/>
        <w:textAlignment w:val="auto"/>
        <w:outlineLvl w:val="9"/>
        <w:rPr>
          <w:rFonts w:hint="eastAsia" w:ascii="仿宋_GB2312" w:hAnsi="仿宋_GB2312" w:eastAsia="仿宋_GB2312" w:cs="仿宋_GB2312"/>
          <w:b w:val="0"/>
          <w:bCs/>
          <w:color w:val="auto"/>
          <w:sz w:val="32"/>
          <w:szCs w:val="32"/>
        </w:rPr>
      </w:pPr>
      <w:r>
        <w:rPr>
          <w:rFonts w:hint="eastAsia" w:ascii="仿宋_GB2312" w:hAnsi="仿宋_GB2312" w:eastAsia="仿宋_GB2312" w:cs="仿宋_GB2312"/>
          <w:b w:val="0"/>
          <w:bCs/>
          <w:color w:val="auto"/>
          <w:sz w:val="32"/>
          <w:szCs w:val="32"/>
        </w:rPr>
        <w:t>（4）解释投标文件与用户需求之间的偏差，用数量来表示的需求，必须用确切的数字、单位来响应。</w:t>
      </w:r>
    </w:p>
    <w:p>
      <w:pPr>
        <w:keepNext w:val="0"/>
        <w:keepLines w:val="0"/>
        <w:pageBreakBefore w:val="0"/>
        <w:widowControl/>
        <w:numPr>
          <w:ilvl w:val="0"/>
          <w:numId w:val="0"/>
        </w:numPr>
        <w:kinsoku/>
        <w:wordWrap/>
        <w:overflowPunct/>
        <w:topLinePunct w:val="0"/>
        <w:autoSpaceDE/>
        <w:autoSpaceDN/>
        <w:bidi w:val="0"/>
        <w:adjustRightInd w:val="0"/>
        <w:snapToGrid w:val="0"/>
        <w:spacing w:line="520" w:lineRule="exact"/>
        <w:ind w:left="0" w:leftChars="0" w:firstLine="640" w:firstLineChars="200"/>
        <w:jc w:val="both"/>
        <w:textAlignment w:val="auto"/>
        <w:outlineLvl w:val="9"/>
        <w:rPr>
          <w:rFonts w:hint="eastAsia" w:ascii="仿宋_GB2312" w:hAnsi="仿宋_GB2312" w:eastAsia="仿宋_GB2312" w:cs="仿宋_GB2312"/>
          <w:b w:val="0"/>
          <w:bCs/>
          <w:color w:val="auto"/>
          <w:sz w:val="32"/>
          <w:szCs w:val="32"/>
        </w:rPr>
      </w:pPr>
      <w:r>
        <w:rPr>
          <w:rFonts w:hint="eastAsia" w:ascii="仿宋_GB2312" w:hAnsi="仿宋_GB2312" w:eastAsia="仿宋_GB2312" w:cs="仿宋_GB2312"/>
          <w:b w:val="0"/>
          <w:bCs/>
          <w:color w:val="auto"/>
          <w:sz w:val="32"/>
          <w:szCs w:val="32"/>
        </w:rPr>
        <w:t>（5）对采购文件（技术部分）的应答应至少包含采购文件技术部分中的全部内容。投标人应提供实质性确切响应，并有详细的文字描述和说明，任何仅采用“符合”、“满足”或非确定性数值（如“&gt;=”或“&lt;=”）的响应均将被视为没有对采购文件的实质性响应，从而可能导致严重后果直至投标被拒绝。</w:t>
      </w:r>
    </w:p>
    <w:p>
      <w:pPr>
        <w:keepNext w:val="0"/>
        <w:keepLines w:val="0"/>
        <w:pageBreakBefore w:val="0"/>
        <w:widowControl/>
        <w:numPr>
          <w:ilvl w:val="0"/>
          <w:numId w:val="0"/>
        </w:numPr>
        <w:kinsoku/>
        <w:wordWrap/>
        <w:overflowPunct/>
        <w:topLinePunct w:val="0"/>
        <w:autoSpaceDE/>
        <w:autoSpaceDN/>
        <w:bidi w:val="0"/>
        <w:adjustRightInd w:val="0"/>
        <w:snapToGrid w:val="0"/>
        <w:spacing w:line="520" w:lineRule="exact"/>
        <w:ind w:left="0" w:leftChars="0" w:firstLine="640" w:firstLineChars="200"/>
        <w:jc w:val="both"/>
        <w:textAlignment w:val="auto"/>
        <w:outlineLvl w:val="9"/>
        <w:rPr>
          <w:rFonts w:hint="eastAsia" w:ascii="仿宋_GB2312" w:hAnsi="仿宋_GB2312" w:eastAsia="仿宋_GB2312" w:cs="仿宋_GB2312"/>
          <w:b w:val="0"/>
          <w:bCs/>
          <w:color w:val="auto"/>
          <w:sz w:val="32"/>
          <w:szCs w:val="32"/>
        </w:rPr>
      </w:pPr>
      <w:r>
        <w:rPr>
          <w:rFonts w:hint="eastAsia" w:ascii="仿宋_GB2312" w:hAnsi="仿宋_GB2312" w:eastAsia="仿宋_GB2312" w:cs="仿宋_GB2312"/>
          <w:b w:val="0"/>
          <w:bCs/>
          <w:color w:val="auto"/>
          <w:sz w:val="32"/>
          <w:szCs w:val="32"/>
        </w:rPr>
        <w:t>（6）采购文件（技术部分）中有标注★号的，为必备服务内容，必须满足，如未作出响应，将导致投标无效。</w:t>
      </w:r>
      <w:r>
        <w:rPr>
          <w:rFonts w:hint="eastAsia" w:ascii="仿宋_GB2312" w:hAnsi="仿宋_GB2312" w:eastAsia="仿宋_GB2312" w:cs="仿宋_GB2312"/>
          <w:sz w:val="32"/>
          <w:szCs w:val="32"/>
        </w:rPr>
        <w:t>▲</w:t>
      </w:r>
      <w:r>
        <w:rPr>
          <w:rFonts w:hint="eastAsia" w:ascii="仿宋_GB2312" w:hAnsi="仿宋_GB2312" w:eastAsia="仿宋_GB2312" w:cs="仿宋_GB2312"/>
          <w:b w:val="0"/>
          <w:bCs/>
          <w:color w:val="auto"/>
          <w:sz w:val="32"/>
          <w:szCs w:val="32"/>
        </w:rPr>
        <w:t>为重要服务内容。</w:t>
      </w:r>
    </w:p>
    <w:p>
      <w:pPr>
        <w:keepNext w:val="0"/>
        <w:keepLines w:val="0"/>
        <w:pageBreakBefore w:val="0"/>
        <w:widowControl/>
        <w:numPr>
          <w:ilvl w:val="0"/>
          <w:numId w:val="0"/>
        </w:numPr>
        <w:kinsoku/>
        <w:wordWrap/>
        <w:overflowPunct/>
        <w:topLinePunct w:val="0"/>
        <w:autoSpaceDE/>
        <w:autoSpaceDN/>
        <w:bidi w:val="0"/>
        <w:adjustRightInd w:val="0"/>
        <w:snapToGrid w:val="0"/>
        <w:spacing w:line="520" w:lineRule="exact"/>
        <w:ind w:left="0" w:leftChars="0" w:firstLine="640" w:firstLineChars="200"/>
        <w:jc w:val="both"/>
        <w:textAlignment w:val="auto"/>
        <w:outlineLvl w:val="9"/>
        <w:rPr>
          <w:rFonts w:hint="eastAsia" w:ascii="仿宋_GB2312" w:hAnsi="仿宋_GB2312" w:eastAsia="仿宋_GB2312" w:cs="仿宋_GB2312"/>
          <w:b w:val="0"/>
          <w:bCs/>
          <w:color w:val="auto"/>
          <w:sz w:val="32"/>
          <w:szCs w:val="32"/>
        </w:rPr>
      </w:pPr>
      <w:r>
        <w:rPr>
          <w:rFonts w:hint="eastAsia" w:ascii="仿宋_GB2312" w:hAnsi="仿宋_GB2312" w:eastAsia="仿宋_GB2312" w:cs="仿宋_GB2312"/>
          <w:b w:val="0"/>
          <w:bCs/>
          <w:color w:val="auto"/>
          <w:sz w:val="32"/>
          <w:szCs w:val="32"/>
        </w:rPr>
        <w:t>（7）投标人认为对整个项目建设特别重要的建议，需单独说明（此项单列为可选性需求）。</w:t>
      </w:r>
    </w:p>
    <w:p>
      <w:pPr>
        <w:pStyle w:val="92"/>
        <w:keepNext w:val="0"/>
        <w:spacing w:before="0" w:after="0" w:line="360" w:lineRule="auto"/>
        <w:rPr>
          <w:rFonts w:ascii="仿宋_GB2312" w:hAnsi="仿宋_GB2312" w:eastAsia="仿宋_GB2312" w:cs="仿宋_GB2312"/>
          <w:b/>
          <w:bCs/>
          <w:sz w:val="28"/>
          <w:szCs w:val="28"/>
        </w:rPr>
      </w:pPr>
      <w:bookmarkStart w:id="34" w:name="_Toc256000015"/>
      <w:bookmarkStart w:id="35" w:name="_Toc32732"/>
      <w:r>
        <w:rPr>
          <w:rFonts w:ascii="仿宋_GB2312" w:hAnsi="仿宋_GB2312" w:eastAsia="仿宋_GB2312" w:cs="仿宋_GB2312"/>
          <w:sz w:val="28"/>
          <w:szCs w:val="28"/>
        </w:rPr>
        <w:t>2.2.2投标/响应方案要求</w:t>
      </w:r>
      <w:bookmarkEnd w:id="34"/>
      <w:bookmarkEnd w:id="35"/>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以下相关方案，若作为评审因素，则投标人应在满足★关键指标项要求的前提下，根据项目特点和采购需求，制定更为完整、详细、可操作性强的方案。</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项目需求理解：根据投标人对项目定位、建设服务目标是否精准，对所服务的数据机房运维环境和设备运行状态等相关情况描述是否准确，响应是否完整。</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项目管理方案：根据项目需求，提供适合省局机房的运维管理方案，项目管理方案合理、严谨，职责清晰，风险控制合理，具有较强可操作性。</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项目服务方案：根据项目需求，对所服务的运维环境和设备运行状态等相关情况描述准确方案要具有完整性、科学性、可行性、可验证性，每阶段方法、计划、任务的清晰程度和合理性，能够满足项目要求等。</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项目安全防护方案：根据设备及系统安全隐患检测排查、漏洞修复完善、安全解决等相关服务制定方案，方案的完整性、科学性、可行性、可验证性，每阶段方法、计划、任务的清晰程度和合理性。</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项目巡检方案：根据项目需求，提供适合省局机房运维巡检方案，方案详细、科学、合理,体现对需求的深入理解，具有较强的可操作性。</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应急保障方案：根据项目需求，提供适合省局机房常见问题应急保障方案，应急保障方案详细、科学、合理,体现对需求的深入理解，具有较强的可操作性。</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项目培训方案：根据项目需求，提供适合省局机房项目培训方案，方案应详细、科学、合理,具有较强的可操作性。</w:t>
      </w:r>
    </w:p>
    <w:p>
      <w:pPr>
        <w:pStyle w:val="93"/>
        <w:spacing w:before="0" w:after="0" w:line="360" w:lineRule="auto"/>
        <w:ind w:left="0" w:right="0"/>
        <w:jc w:val="both"/>
        <w:rPr>
          <w:rFonts w:ascii="宋体" w:hAnsi="宋体" w:eastAsia="宋体" w:cs="宋体"/>
          <w:sz w:val="21"/>
          <w:szCs w:val="21"/>
        </w:rPr>
      </w:pPr>
      <w:r>
        <w:rPr>
          <w:rFonts w:ascii="仿宋_GB2312" w:hAnsi="仿宋_GB2312" w:eastAsia="仿宋_GB2312" w:cs="仿宋_GB2312"/>
          <w:sz w:val="32"/>
          <w:szCs w:val="32"/>
        </w:rPr>
        <w:t>项目验收方案：根据项目需求，提供适合省局机房项目验收方案，方案应详细、科学、合理,具有较强的可操作性。</w:t>
      </w:r>
    </w:p>
    <w:p>
      <w:pPr>
        <w:pStyle w:val="90"/>
        <w:keepNext w:val="0"/>
        <w:spacing w:before="0" w:after="0" w:line="360" w:lineRule="auto"/>
        <w:jc w:val="center"/>
        <w:rPr>
          <w:rFonts w:ascii="仿宋_GB2312" w:hAnsi="仿宋_GB2312" w:eastAsia="仿宋_GB2312" w:cs="仿宋_GB2312"/>
          <w:b/>
          <w:bCs/>
          <w:sz w:val="32"/>
          <w:szCs w:val="32"/>
        </w:rPr>
      </w:pPr>
      <w:bookmarkStart w:id="36" w:name="_Toc256000016"/>
      <w:bookmarkStart w:id="37" w:name="_Toc24415"/>
      <w:r>
        <w:rPr>
          <w:rFonts w:ascii="仿宋_GB2312" w:hAnsi="仿宋_GB2312" w:eastAsia="仿宋_GB2312" w:cs="仿宋_GB2312"/>
          <w:kern w:val="36"/>
        </w:rPr>
        <w:t>3项目需求</w:t>
      </w:r>
      <w:bookmarkEnd w:id="36"/>
      <w:bookmarkEnd w:id="37"/>
    </w:p>
    <w:p>
      <w:pPr>
        <w:pStyle w:val="91"/>
        <w:keepNext w:val="0"/>
        <w:spacing w:before="0" w:after="0" w:line="360" w:lineRule="auto"/>
        <w:rPr>
          <w:rFonts w:ascii="仿宋_GB2312" w:hAnsi="仿宋_GB2312" w:eastAsia="仿宋_GB2312" w:cs="仿宋_GB2312"/>
          <w:b/>
          <w:bCs/>
          <w:sz w:val="28"/>
          <w:szCs w:val="28"/>
        </w:rPr>
      </w:pPr>
      <w:bookmarkStart w:id="38" w:name="_Toc256000017"/>
      <w:bookmarkStart w:id="39" w:name="_Toc11874"/>
      <w:r>
        <w:rPr>
          <w:rFonts w:ascii="仿宋_GB2312" w:hAnsi="仿宋_GB2312" w:eastAsia="仿宋_GB2312" w:cs="仿宋_GB2312"/>
          <w:i w:val="0"/>
          <w:iCs w:val="0"/>
        </w:rPr>
        <w:t>3.1总体要求</w:t>
      </w:r>
      <w:bookmarkEnd w:id="38"/>
      <w:bookmarkEnd w:id="39"/>
    </w:p>
    <w:p>
      <w:pPr>
        <w:pStyle w:val="18"/>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1、</w:t>
      </w:r>
      <w:r>
        <w:rPr>
          <w:rFonts w:ascii="仿宋_GB2312" w:hAnsi="仿宋_GB2312" w:eastAsia="仿宋_GB2312" w:cs="仿宋_GB2312"/>
          <w:sz w:val="32"/>
          <w:szCs w:val="32"/>
        </w:rPr>
        <w:t>对机房基础设施开展维护保养工作，并记录维护保养结果。</w:t>
      </w:r>
    </w:p>
    <w:p>
      <w:pPr>
        <w:pStyle w:val="18"/>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32"/>
          <w:szCs w:val="32"/>
        </w:rPr>
        <w:t>2、对机房集中监控管理系统设备维保服务。</w:t>
      </w:r>
    </w:p>
    <w:p>
      <w:pPr>
        <w:pStyle w:val="18"/>
        <w:spacing w:before="0" w:after="0" w:line="360" w:lineRule="auto"/>
        <w:rPr>
          <w:rFonts w:ascii="FangSong_GB2312" w:hAnsi="FangSong_GB2312" w:eastAsia="FangSong_GB2312" w:cs="FangSong_GB2312"/>
          <w:sz w:val="28"/>
          <w:szCs w:val="28"/>
        </w:rPr>
      </w:pPr>
      <w:r>
        <w:rPr>
          <w:rFonts w:ascii="仿宋_GB2312" w:hAnsi="仿宋_GB2312" w:eastAsia="仿宋_GB2312" w:cs="仿宋_GB2312"/>
          <w:sz w:val="32"/>
          <w:szCs w:val="32"/>
        </w:rPr>
        <w:t>3、派遣</w:t>
      </w:r>
      <w:r>
        <w:rPr>
          <w:sz w:val="32"/>
          <w:szCs w:val="32"/>
        </w:rPr>
        <w:t>13</w:t>
      </w:r>
      <w:r>
        <w:rPr>
          <w:rFonts w:ascii="仿宋_GB2312" w:hAnsi="仿宋_GB2312" w:eastAsia="仿宋_GB2312" w:cs="仿宋_GB2312"/>
          <w:sz w:val="32"/>
          <w:szCs w:val="32"/>
        </w:rPr>
        <w:t>名运维服务人员对省局两处机房开展</w:t>
      </w:r>
      <w:r>
        <w:rPr>
          <w:sz w:val="32"/>
          <w:szCs w:val="32"/>
        </w:rPr>
        <w:t>24</w:t>
      </w:r>
      <w:r>
        <w:rPr>
          <w:rFonts w:ascii="仿宋_GB2312" w:hAnsi="仿宋_GB2312" w:eastAsia="仿宋_GB2312" w:cs="仿宋_GB2312"/>
          <w:sz w:val="32"/>
          <w:szCs w:val="32"/>
        </w:rPr>
        <w:t>小时监控值守服务。</w:t>
      </w:r>
    </w:p>
    <w:p>
      <w:pPr>
        <w:pStyle w:val="91"/>
        <w:keepNext w:val="0"/>
        <w:spacing w:before="0" w:after="0" w:line="360" w:lineRule="auto"/>
        <w:rPr>
          <w:rFonts w:ascii="仿宋_GB2312" w:hAnsi="仿宋_GB2312" w:eastAsia="仿宋_GB2312" w:cs="仿宋_GB2312"/>
          <w:b/>
          <w:bCs/>
          <w:sz w:val="28"/>
          <w:szCs w:val="28"/>
        </w:rPr>
      </w:pPr>
      <w:bookmarkStart w:id="40" w:name="_Toc256000018"/>
      <w:bookmarkStart w:id="41" w:name="_Toc31141"/>
      <w:r>
        <w:rPr>
          <w:rFonts w:ascii="仿宋_GB2312" w:hAnsi="仿宋_GB2312" w:eastAsia="仿宋_GB2312" w:cs="仿宋_GB2312"/>
          <w:i w:val="0"/>
          <w:iCs w:val="0"/>
        </w:rPr>
        <w:t>3.2服务内容和要求</w:t>
      </w:r>
      <w:bookmarkEnd w:id="40"/>
      <w:bookmarkEnd w:id="41"/>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1、机房基础环境设备维保服务</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对南湖大路机房和人民广场机房基础设备开展巡检、维保服务工作,机房物理基础设施包括:供配电系统、UPS电源系统、空气调节系统、消防系统等。内容包含但不限于基础设施的日常巡检、运行建议、维护保养、故障处理、应急操作、设备维修、技术培训及应急演练，24小时技术支持等服务。负责更换机房内基础设施中所有问题部件(包括出现故障的、存在隐患的、老化的器件或板件)，负责处置运维过程中发现的各种问题，直至问题解决；购买机房所需耗材、配件、工具等。</w:t>
      </w:r>
    </w:p>
    <w:p>
      <w:pPr>
        <w:pStyle w:val="18"/>
        <w:spacing w:before="0" w:after="0" w:line="360" w:lineRule="auto"/>
        <w:ind w:firstLine="561"/>
        <w:rPr>
          <w:rFonts w:ascii="仿宋_GB2312" w:hAnsi="仿宋_GB2312" w:eastAsia="仿宋_GB2312" w:cs="仿宋_GB2312"/>
          <w:b/>
          <w:bCs/>
          <w:sz w:val="28"/>
          <w:szCs w:val="28"/>
        </w:rPr>
      </w:pPr>
      <w:r>
        <w:rPr>
          <w:rFonts w:ascii="仿宋_GB2312" w:hAnsi="仿宋_GB2312" w:eastAsia="仿宋_GB2312" w:cs="仿宋_GB2312"/>
          <w:b/>
          <w:bCs/>
          <w:sz w:val="28"/>
          <w:szCs w:val="28"/>
        </w:rPr>
        <w:t>详见附件1、附件2。</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2、机房动环监控系统维保服务</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南湖大路机房和人民广场机房动环监控系统维保服务。包括配电监测、UPS监测、发电机监测、空调监控、新风机监控、温湿度监测、漏水监测、消防监测、系统配置、蓄电池监测及监控软件的运行维护。</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b/>
          <w:bCs/>
          <w:sz w:val="28"/>
          <w:szCs w:val="28"/>
        </w:rPr>
        <w:t>详见附件1。</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3、机房基础设施技术服务内容</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入驻13名技术人员负责南湖大路机房、人民广场机房的基础设施日常运维工作，对机房内供配电系统、空气调节系统、消防系统、机房监控与安全防范系统和机房场地环境系统进行巡查，处理突发事件。</w:t>
      </w:r>
    </w:p>
    <w:p>
      <w:pPr>
        <w:pStyle w:val="18"/>
        <w:spacing w:before="0" w:after="0" w:line="360" w:lineRule="auto"/>
        <w:ind w:firstLine="561"/>
        <w:rPr>
          <w:rFonts w:ascii="仿宋_GB2312" w:hAnsi="仿宋_GB2312" w:eastAsia="仿宋_GB2312" w:cs="仿宋_GB2312"/>
          <w:b/>
          <w:bCs/>
          <w:sz w:val="28"/>
          <w:szCs w:val="28"/>
        </w:rPr>
      </w:pPr>
      <w:r>
        <w:rPr>
          <w:rFonts w:ascii="仿宋_GB2312" w:hAnsi="仿宋_GB2312" w:eastAsia="仿宋_GB2312" w:cs="仿宋_GB2312"/>
          <w:b/>
          <w:bCs/>
          <w:sz w:val="28"/>
          <w:szCs w:val="28"/>
        </w:rPr>
        <w:t>详见附件2。</w:t>
      </w:r>
    </w:p>
    <w:p>
      <w:pPr>
        <w:pStyle w:val="92"/>
        <w:keepNext w:val="0"/>
        <w:spacing w:before="0" w:after="0" w:line="360" w:lineRule="auto"/>
        <w:rPr>
          <w:rFonts w:ascii="仿宋_GB2312" w:hAnsi="仿宋_GB2312" w:eastAsia="仿宋_GB2312" w:cs="仿宋_GB2312"/>
          <w:b/>
          <w:bCs/>
          <w:sz w:val="28"/>
          <w:szCs w:val="28"/>
        </w:rPr>
      </w:pPr>
      <w:bookmarkStart w:id="42" w:name="_Toc256000019"/>
      <w:bookmarkStart w:id="43" w:name="_Toc11301"/>
      <w:r>
        <w:rPr>
          <w:rFonts w:ascii="仿宋_GB2312" w:hAnsi="仿宋_GB2312" w:eastAsia="仿宋_GB2312" w:cs="仿宋_GB2312"/>
          <w:sz w:val="28"/>
          <w:szCs w:val="28"/>
        </w:rPr>
        <w:t>3.2.1技术和服务客观指标</w:t>
      </w:r>
      <w:bookmarkEnd w:id="42"/>
      <w:bookmarkEnd w:id="43"/>
    </w:p>
    <w:p>
      <w:pPr>
        <w:pStyle w:val="92"/>
        <w:keepNext w:val="0"/>
        <w:spacing w:before="0" w:after="0" w:line="360" w:lineRule="auto"/>
        <w:rPr>
          <w:rFonts w:ascii="仿宋_GB2312" w:hAnsi="仿宋_GB2312" w:eastAsia="仿宋_GB2312" w:cs="仿宋_GB2312"/>
          <w:b/>
          <w:bCs/>
          <w:sz w:val="28"/>
          <w:szCs w:val="28"/>
        </w:rPr>
      </w:pPr>
      <w:bookmarkStart w:id="44" w:name="_Toc256000020"/>
      <w:bookmarkStart w:id="45" w:name="_Toc24638"/>
      <w:r>
        <w:rPr>
          <w:rFonts w:ascii="仿宋_GB2312" w:hAnsi="仿宋_GB2312" w:eastAsia="仿宋_GB2312" w:cs="仿宋_GB2312"/>
          <w:sz w:val="28"/>
          <w:szCs w:val="28"/>
        </w:rPr>
        <w:t>3.2.2技术和服务其他要求</w:t>
      </w:r>
      <w:bookmarkEnd w:id="44"/>
      <w:bookmarkEnd w:id="45"/>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项目技术支持服务要求包括故障修复要求、技术咨询要求、专业设备要求、中标供应商资质的要求、维护人员要求、备件库要求和其他要求。</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3.2.2.1巡检及故障修复要求</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1、技术巡检要求</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中标供应商须定期对机房基础环境设备进行全面技术检查、维护及保养，并做详细检查记录，记录包含巡检单维修单季度维护报告。</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2、故障修复要求</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故障修复指当采购方设备出现故障时，中标供应商须为采购方提供硬件设备修复、备件更换及系统软件故障排除的服务，软件备份升级检索均需由原厂工程师操作，由此产生的费用全部由中标供应商负责。</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3、服务响应要求</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在合同期内，中标供应商应为采购方提供7*24的故障修复服务，电话响应5分钟内。当设备发生故障时，故障远程预警能够第一时间发出告警提示，采购方值班员应第一时间通知中标供应商，并着手处置故障。</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4、服务时限要求</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中标供应商应自接到故障通知20分钟内派人到达现场，负责检测并排除故障。对当日无法解决的故障或故障设备将影响系统正常运行的，应提供代用设备或应急解决方案，并确保系统正常运行。</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5、服务报告要求</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中标供应商负责相关零部件的更换及维修，直至恢复设备的正常使用。故障排除后，中标供应商须出具故障处理报告，帮助采购方进行故障根源的分析和诊断，提出后续工作的改进措施。</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6、服务应急保障要求</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对于不能快速修复的特殊故障，中标供应商要能够提供机房应急保障设备，功率不小于现有使用设备，不得少于3项（包含但不限于应急发电车、移动式空调、满足机房负载使用的UPS备机）。</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7、服务零部件保障要求</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中标供应商应保证在维修更换配件时使用同型号原厂配件，保证采购方在使用产品时安全、可靠，享有完整的厂家售后服务，同时应免受第三方提出的侵犯著作权、专利权、商标权或设计权的纠纷。如中标供应商采用不符合要求的部件替换故障部件，采购方有权要求中标供应商更换，给采购方造成损失的，采购方有权要求给予损失赔偿。</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8、服务应急预案要求</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为加强风险管理意识，提高应急预案相关人员的应急处置能力，及时发现应急预案可能存在的问题，确保在紧急情况下，应急预案能够真正发挥作用，需要通过周期性的演习演练来不断检验应急体系应急预案的可靠性、有效性和可操作性。</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9、服务预防检查要求</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定期开展健康性检查和预防性维护，尽早发现机房基础环境可能存在的缺陷和安全隐患，识别可能影响运行状态的故障隐患，以便于制定基础环境维护升级计划，为开展机房基础环境维护、改造、扩容提供依据，避免潜在问题拖延导致的严重故障。</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10、服务分析表要求</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中标供应商应每年向采购方书面报送《机房异常情况及处置情况汇总表》，分析设备运转情况，归纳异常情况形成的原因, 制定下一步整改措施。</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3.2.2.2技术咨询要求</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中标供应商应免费提供技术咨询服务，包括新产品新技术通报，软硬件技术咨询，系统改进意见，提供技术解决方案(如:重要割接操作事前方案等)，项目长远规划，研究解决技术难题。</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中标供应商须以书面形式告知采购方7*24小时的专用维保服务电话、移动电话、电子邮件、传真等联系方式，用于受理故障报修，解答采购方的技术咨询问题。如联系方式有变动，中标供应商须提前以书面形式通知采购方。</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3.2.2.3备件库要求(中标后备查)</w:t>
      </w:r>
    </w:p>
    <w:p>
      <w:pPr>
        <w:pStyle w:val="18"/>
        <w:spacing w:before="0" w:after="0" w:line="360" w:lineRule="auto"/>
        <w:rPr>
          <w:rFonts w:ascii="Times New Roman" w:hAnsi="Times New Roman" w:eastAsia="Times New Roman" w:cs="Times New Roman"/>
        </w:rPr>
      </w:pPr>
      <w:r>
        <w:rPr>
          <w:rFonts w:ascii="仿宋_GB2312" w:hAnsi="仿宋_GB2312" w:eastAsia="仿宋_GB2312" w:cs="仿宋_GB2312"/>
          <w:sz w:val="32"/>
          <w:szCs w:val="32"/>
        </w:rPr>
        <w:t>中标供应商保证所提供的货物的备件库可以满足采购方日常使用、硬件故障的需求。保修期内，中标供应商免费以全新配件更换正常使用下损坏的配件，并提供免备件费、免人工费、免服务费的故障备件更换服务。中标供应商需设置备件库，其中需包含采购方基础设施设备所需的全部常用备件，备件库设备及备件应急时间应小于</w:t>
      </w:r>
      <w:r>
        <w:rPr>
          <w:sz w:val="32"/>
          <w:szCs w:val="32"/>
        </w:rPr>
        <w:t>0.5</w:t>
      </w:r>
      <w:r>
        <w:rPr>
          <w:rFonts w:ascii="仿宋_GB2312" w:hAnsi="仿宋_GB2312" w:eastAsia="仿宋_GB2312" w:cs="仿宋_GB2312"/>
          <w:sz w:val="32"/>
          <w:szCs w:val="32"/>
        </w:rPr>
        <w:t>小时。</w:t>
      </w:r>
    </w:p>
    <w:p>
      <w:pPr>
        <w:pStyle w:val="90"/>
        <w:keepNext w:val="0"/>
        <w:spacing w:before="0" w:after="0" w:line="360" w:lineRule="auto"/>
        <w:jc w:val="center"/>
        <w:rPr>
          <w:rFonts w:ascii="仿宋_GB2312" w:hAnsi="仿宋_GB2312" w:eastAsia="仿宋_GB2312" w:cs="仿宋_GB2312"/>
          <w:b/>
          <w:bCs/>
          <w:sz w:val="32"/>
          <w:szCs w:val="32"/>
        </w:rPr>
      </w:pPr>
      <w:bookmarkStart w:id="46" w:name="_Toc256000021"/>
      <w:bookmarkStart w:id="47" w:name="_Toc2006"/>
      <w:r>
        <w:rPr>
          <w:rFonts w:ascii="仿宋_GB2312" w:hAnsi="仿宋_GB2312" w:eastAsia="仿宋_GB2312" w:cs="仿宋_GB2312"/>
          <w:kern w:val="36"/>
        </w:rPr>
        <w:t>4人员要求</w:t>
      </w:r>
      <w:bookmarkEnd w:id="46"/>
      <w:bookmarkEnd w:id="47"/>
    </w:p>
    <w:p>
      <w:pPr>
        <w:pStyle w:val="91"/>
        <w:keepNext w:val="0"/>
        <w:spacing w:before="0" w:after="0" w:line="360" w:lineRule="auto"/>
        <w:rPr>
          <w:rFonts w:ascii="仿宋_GB2312" w:hAnsi="仿宋_GB2312" w:eastAsia="仿宋_GB2312" w:cs="仿宋_GB2312"/>
          <w:b/>
          <w:bCs/>
          <w:sz w:val="28"/>
          <w:szCs w:val="28"/>
        </w:rPr>
      </w:pPr>
      <w:bookmarkStart w:id="48" w:name="_Toc256000022"/>
      <w:bookmarkStart w:id="49" w:name="_Toc4439"/>
      <w:r>
        <w:rPr>
          <w:rFonts w:ascii="仿宋_GB2312" w:hAnsi="仿宋_GB2312" w:eastAsia="仿宋_GB2312" w:cs="仿宋_GB2312"/>
          <w:i w:val="0"/>
          <w:iCs w:val="0"/>
        </w:rPr>
        <w:t>4.1总体要求</w:t>
      </w:r>
      <w:bookmarkEnd w:id="48"/>
      <w:bookmarkEnd w:id="49"/>
    </w:p>
    <w:p>
      <w:pPr>
        <w:pStyle w:val="93"/>
        <w:spacing w:before="0" w:after="0" w:line="360" w:lineRule="auto"/>
        <w:ind w:left="0" w:right="0"/>
        <w:jc w:val="both"/>
        <w:rPr>
          <w:rFonts w:ascii="宋体" w:hAnsi="宋体" w:eastAsia="宋体" w:cs="宋体"/>
          <w:sz w:val="21"/>
          <w:szCs w:val="21"/>
        </w:rPr>
      </w:pPr>
      <w:r>
        <w:rPr>
          <w:rFonts w:ascii="仿宋_GB2312" w:hAnsi="仿宋_GB2312" w:eastAsia="仿宋_GB2312" w:cs="仿宋_GB2312"/>
          <w:sz w:val="32"/>
          <w:szCs w:val="32"/>
        </w:rPr>
        <w:t>中标供应商在维护配电系统、UPS系统、空调系统、新风加湿系统、净水系统系统等，需要有专业的团队，完全熟悉维保设备的性能指标，能够及时准确的做好机房基础环境设备的维修保障;7*24小时值班人员需要具备一定的机房基础环境设施运维工作经验，能够熟练处理机房设备简单故障和异常情况；了解机房安全规范和操作流程，具有安全防范意识；熟练掌握数据中心机房电气、暖通的应急操作流程，能够独立完成规定性应急操作。</w:t>
      </w:r>
    </w:p>
    <w:p>
      <w:pPr>
        <w:pStyle w:val="93"/>
        <w:spacing w:before="0" w:after="0" w:line="360" w:lineRule="auto"/>
        <w:ind w:left="0" w:right="0" w:firstLine="640"/>
        <w:jc w:val="both"/>
        <w:rPr>
          <w:rFonts w:ascii="宋体" w:hAnsi="宋体" w:eastAsia="宋体" w:cs="宋体"/>
          <w:sz w:val="21"/>
          <w:szCs w:val="21"/>
        </w:rPr>
      </w:pPr>
      <w:r>
        <w:rPr>
          <w:rFonts w:ascii="宋体" w:hAnsi="宋体" w:eastAsia="宋体" w:cs="宋体"/>
          <w:sz w:val="21"/>
          <w:szCs w:val="21"/>
        </w:rPr>
        <w:t> </w:t>
      </w:r>
    </w:p>
    <w:p>
      <w:pPr>
        <w:pStyle w:val="91"/>
        <w:keepNext w:val="0"/>
        <w:spacing w:before="0" w:after="0" w:line="360" w:lineRule="auto"/>
        <w:rPr>
          <w:rFonts w:ascii="仿宋_GB2312" w:hAnsi="仿宋_GB2312" w:eastAsia="仿宋_GB2312" w:cs="仿宋_GB2312"/>
          <w:b/>
          <w:bCs/>
          <w:sz w:val="28"/>
          <w:szCs w:val="28"/>
        </w:rPr>
      </w:pPr>
      <w:bookmarkStart w:id="50" w:name="_Toc256000023"/>
      <w:bookmarkStart w:id="51" w:name="_Toc20520"/>
      <w:r>
        <w:rPr>
          <w:rFonts w:ascii="仿宋_GB2312" w:hAnsi="仿宋_GB2312" w:eastAsia="仿宋_GB2312" w:cs="仿宋_GB2312"/>
          <w:i w:val="0"/>
          <w:iCs w:val="0"/>
        </w:rPr>
        <w:t>4.2管理团队</w:t>
      </w:r>
      <w:bookmarkEnd w:id="50"/>
      <w:bookmarkEnd w:id="51"/>
    </w:p>
    <w:p>
      <w:pPr>
        <w:pStyle w:val="92"/>
        <w:keepNext w:val="0"/>
        <w:spacing w:before="0" w:after="0" w:line="360" w:lineRule="auto"/>
        <w:rPr>
          <w:rFonts w:ascii="仿宋_GB2312" w:hAnsi="仿宋_GB2312" w:eastAsia="仿宋_GB2312" w:cs="仿宋_GB2312"/>
          <w:b/>
          <w:bCs/>
          <w:sz w:val="28"/>
          <w:szCs w:val="28"/>
        </w:rPr>
      </w:pPr>
      <w:bookmarkStart w:id="52" w:name="_Toc256000024"/>
      <w:bookmarkStart w:id="53" w:name="_Toc11562"/>
      <w:r>
        <w:rPr>
          <w:rFonts w:ascii="仿宋_GB2312" w:hAnsi="仿宋_GB2312" w:eastAsia="仿宋_GB2312" w:cs="仿宋_GB2312"/>
          <w:sz w:val="28"/>
          <w:szCs w:val="28"/>
        </w:rPr>
        <w:t>4.2.1项目经理</w:t>
      </w:r>
      <w:bookmarkEnd w:id="52"/>
      <w:bookmarkEnd w:id="53"/>
    </w:p>
    <w:p>
      <w:pPr>
        <w:pStyle w:val="93"/>
        <w:spacing w:before="0" w:after="0" w:line="360" w:lineRule="auto"/>
        <w:ind w:left="0" w:right="0" w:firstLine="642"/>
        <w:rPr>
          <w:rFonts w:ascii="FangSong_GB2312" w:hAnsi="FangSong_GB2312" w:eastAsia="FangSong_GB2312" w:cs="FangSong_GB2312"/>
          <w:sz w:val="28"/>
          <w:szCs w:val="28"/>
        </w:rPr>
      </w:pPr>
      <w:r>
        <w:rPr>
          <w:rFonts w:ascii="FangSong_GB2312" w:hAnsi="FangSong_GB2312" w:eastAsia="FangSong_GB2312" w:cs="FangSong_GB2312"/>
          <w:sz w:val="28"/>
          <w:szCs w:val="28"/>
        </w:rPr>
        <w:t> </w:t>
      </w:r>
    </w:p>
    <w:p>
      <w:pPr>
        <w:pStyle w:val="93"/>
        <w:spacing w:before="0" w:after="0" w:line="360" w:lineRule="auto"/>
        <w:ind w:firstLine="320"/>
        <w:rPr>
          <w:rFonts w:ascii="Times New Roman" w:hAnsi="Times New Roman" w:eastAsia="Times New Roman" w:cs="Times New Roman"/>
        </w:rPr>
      </w:pPr>
      <w:r>
        <w:rPr>
          <w:rFonts w:ascii="仿宋_GB2312" w:hAnsi="仿宋_GB2312" w:eastAsia="仿宋_GB2312" w:cs="仿宋_GB2312"/>
          <w:sz w:val="32"/>
          <w:szCs w:val="32"/>
        </w:rPr>
        <w:t>（1）必须为中标供应商的自有人员，具备3年以上机房运维项目管理经验，熟悉项目管理、故障排查、系统优化等工作流程，具有独立负责主导项目能力，提供近六个月的社会保险缴纳证明材料。</w:t>
      </w:r>
    </w:p>
    <w:p>
      <w:pPr>
        <w:pStyle w:val="93"/>
        <w:spacing w:before="0" w:after="0" w:line="360" w:lineRule="auto"/>
        <w:ind w:firstLine="320"/>
        <w:rPr>
          <w:rFonts w:ascii="Times New Roman" w:hAnsi="Times New Roman" w:eastAsia="Times New Roman" w:cs="Times New Roman"/>
        </w:rPr>
      </w:pPr>
      <w:r>
        <w:rPr>
          <w:rFonts w:ascii="仿宋_GB2312" w:hAnsi="仿宋_GB2312" w:eastAsia="仿宋_GB2312" w:cs="仿宋_GB2312"/>
          <w:sz w:val="32"/>
          <w:szCs w:val="32"/>
        </w:rPr>
        <w:t>（2）应全面掌握数据中心基础设施运维相关知识及各系统在数据中心中的风险要害关系，并具有相应工作经验，精通数据中心供配电系统、空气调节系统、消防系统、监控系统、场地环境等基础设施的运维相关知识及各系统在数据中心中的风险要害关系,熟悉行业相关规范,如GB50174数据中心设计规范,GBT 51314数据中心基础设施运行维护标准。</w:t>
      </w:r>
    </w:p>
    <w:p>
      <w:pPr>
        <w:pStyle w:val="93"/>
        <w:spacing w:before="0" w:after="0" w:line="360" w:lineRule="auto"/>
        <w:ind w:firstLine="320"/>
        <w:rPr>
          <w:rFonts w:ascii="Times New Roman" w:hAnsi="Times New Roman" w:eastAsia="Times New Roman" w:cs="Times New Roman"/>
        </w:rPr>
      </w:pPr>
      <w:r>
        <w:rPr>
          <w:rFonts w:ascii="仿宋_GB2312" w:hAnsi="仿宋_GB2312" w:eastAsia="仿宋_GB2312" w:cs="仿宋_GB2312"/>
          <w:sz w:val="32"/>
          <w:szCs w:val="32"/>
        </w:rPr>
        <w:t>（3）项目经理应充分了解数据中心的各类基础系统的基本信息及运行工况，能够组建并管理高效的运维团队，确保团队成员同的协作与沟通顺畅;制定井执行团队培训计划，提升团队整体技能和素质;具备项目管理经验、能够制定项目计划、任务分配及服务质量管理;具备良好的协调沟通能力，了解客户需求并提供解决方案。</w:t>
      </w:r>
    </w:p>
    <w:p>
      <w:pPr>
        <w:pStyle w:val="93"/>
        <w:spacing w:before="0" w:after="0" w:line="360" w:lineRule="auto"/>
        <w:ind w:firstLine="320"/>
        <w:rPr>
          <w:rFonts w:ascii="Times New Roman" w:hAnsi="Times New Roman" w:eastAsia="Times New Roman" w:cs="Times New Roman"/>
        </w:rPr>
      </w:pPr>
      <w:r>
        <w:rPr>
          <w:rFonts w:ascii="仿宋_GB2312" w:hAnsi="仿宋_GB2312" w:eastAsia="仿宋_GB2312" w:cs="仿宋_GB2312"/>
          <w:sz w:val="32"/>
          <w:szCs w:val="32"/>
        </w:rPr>
        <w:t>（4）项目经理能够有效控制项目风险，制定应急预案应对突点事件;具有较强的逻辑思维能力，发生问题时，能够快速分析并解决问题;能做到</w:t>
      </w:r>
      <w:r>
        <w:rPr>
          <w:sz w:val="32"/>
          <w:szCs w:val="32"/>
        </w:rPr>
        <w:t>24</w:t>
      </w:r>
      <w:r>
        <w:rPr>
          <w:rFonts w:ascii="仿宋_GB2312" w:hAnsi="仿宋_GB2312" w:eastAsia="仿宋_GB2312" w:cs="仿宋_GB2312"/>
          <w:sz w:val="32"/>
          <w:szCs w:val="32"/>
        </w:rPr>
        <w:t>小时的应急响应，处理紧急事件时确保30分钟内到达现场。</w:t>
      </w:r>
    </w:p>
    <w:p>
      <w:pPr>
        <w:pStyle w:val="91"/>
        <w:keepNext w:val="0"/>
        <w:spacing w:before="0" w:after="0" w:line="360" w:lineRule="auto"/>
        <w:rPr>
          <w:rFonts w:ascii="仿宋_GB2312" w:hAnsi="仿宋_GB2312" w:eastAsia="仿宋_GB2312" w:cs="仿宋_GB2312"/>
          <w:b/>
          <w:bCs/>
          <w:sz w:val="28"/>
          <w:szCs w:val="28"/>
        </w:rPr>
      </w:pPr>
      <w:bookmarkStart w:id="54" w:name="_Toc256000025"/>
      <w:bookmarkStart w:id="55" w:name="_Toc1913"/>
      <w:r>
        <w:rPr>
          <w:rFonts w:ascii="仿宋_GB2312" w:hAnsi="仿宋_GB2312" w:eastAsia="仿宋_GB2312" w:cs="仿宋_GB2312"/>
          <w:i w:val="0"/>
          <w:iCs w:val="0"/>
        </w:rPr>
        <w:t>4.3技术团队</w:t>
      </w:r>
      <w:bookmarkEnd w:id="54"/>
      <w:bookmarkEnd w:id="55"/>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中标供应商应配备专业的技术团队，对维保内设备配备专业的工程师，工程师应完全熟悉维保的设备性能指标，能够及时准确的进行维护和故障处理工作。</w:t>
      </w:r>
    </w:p>
    <w:p>
      <w:pPr>
        <w:pStyle w:val="92"/>
        <w:keepNext w:val="0"/>
        <w:spacing w:before="0" w:after="0" w:line="360" w:lineRule="auto"/>
        <w:rPr>
          <w:rFonts w:ascii="仿宋_GB2312" w:hAnsi="仿宋_GB2312" w:eastAsia="仿宋_GB2312" w:cs="仿宋_GB2312"/>
          <w:b/>
          <w:bCs/>
          <w:sz w:val="28"/>
          <w:szCs w:val="28"/>
        </w:rPr>
      </w:pPr>
      <w:bookmarkStart w:id="56" w:name="_Toc256000026"/>
      <w:bookmarkStart w:id="57" w:name="_Toc11133"/>
      <w:r>
        <w:rPr>
          <w:rFonts w:ascii="仿宋_GB2312" w:hAnsi="仿宋_GB2312" w:eastAsia="仿宋_GB2312" w:cs="仿宋_GB2312"/>
          <w:sz w:val="28"/>
          <w:szCs w:val="28"/>
        </w:rPr>
        <w:t>4.3.1驻场运维团队(包二)</w:t>
      </w:r>
      <w:bookmarkEnd w:id="56"/>
      <w:bookmarkEnd w:id="57"/>
    </w:p>
    <w:p>
      <w:pPr>
        <w:pStyle w:val="93"/>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（1）入驻运维人员12人执行</w:t>
      </w:r>
      <w:r>
        <w:rPr>
          <w:sz w:val="32"/>
          <w:szCs w:val="32"/>
        </w:rPr>
        <w:t>7x24</w:t>
      </w:r>
      <w:r>
        <w:rPr>
          <w:rFonts w:ascii="仿宋_GB2312" w:hAnsi="仿宋_GB2312" w:eastAsia="仿宋_GB2312" w:cs="仿宋_GB2312"/>
          <w:sz w:val="32"/>
          <w:szCs w:val="32"/>
        </w:rPr>
        <w:t>小时值班服务，为中标供应商的自有人员；熟悉机房内各类基础环境设施设备，如UPS、发电机、精密空调、消防、安防、监控等系统工作原理及维护方法；能够熟练使用各类运维工具进行设备的监控和性能优化。</w:t>
      </w:r>
    </w:p>
    <w:p>
      <w:pPr>
        <w:pStyle w:val="93"/>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2）具备一定的机房基础环境设施运维工作经验，能够熟练处理机房设备简单故障和异常情况；了解机房安全规范和操作流程，具有安全防范意识；熟练掌握数据中心机房电气、暖通的应急操作流程，能够独立完成规定性应急操作。</w:t>
      </w:r>
    </w:p>
    <w:p>
      <w:pPr>
        <w:pStyle w:val="93"/>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3）在进行设备巡检工作中，能够细致入微，确保数据的准确性和完整性；能够关注机房环境和设备的细微变化，及时发现潜在的安全隐患；能够主动学习机房基础环境设施相关专业知识和操作技能，提升自己的业务能力。</w:t>
      </w:r>
    </w:p>
    <w:p>
      <w:pPr>
        <w:pStyle w:val="93"/>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（4）能够遵守机房的各项管理制度和操作流程，能够与上级、同事和其他部门人员保持良好的沟通，及时传递信息和解决问题；具备较强抗压能力，保持冷静和理智应对各种突发情况。</w:t>
      </w:r>
    </w:p>
    <w:p>
      <w:pPr>
        <w:pStyle w:val="92"/>
        <w:keepNext w:val="0"/>
        <w:spacing w:before="0" w:after="0" w:line="360" w:lineRule="auto"/>
        <w:rPr>
          <w:rFonts w:ascii="仿宋_GB2312" w:hAnsi="仿宋_GB2312" w:eastAsia="仿宋_GB2312" w:cs="仿宋_GB2312"/>
          <w:b/>
          <w:bCs/>
          <w:sz w:val="28"/>
          <w:szCs w:val="28"/>
        </w:rPr>
      </w:pPr>
      <w:bookmarkStart w:id="58" w:name="_Toc256000027"/>
      <w:bookmarkStart w:id="59" w:name="_Toc20942"/>
      <w:r>
        <w:rPr>
          <w:rFonts w:ascii="仿宋_GB2312" w:hAnsi="仿宋_GB2312" w:eastAsia="仿宋_GB2312" w:cs="仿宋_GB2312"/>
          <w:sz w:val="28"/>
          <w:szCs w:val="28"/>
        </w:rPr>
        <w:t>4.3.2维护维修团队</w:t>
      </w:r>
      <w:bookmarkEnd w:id="58"/>
      <w:bookmarkEnd w:id="59"/>
    </w:p>
    <w:p>
      <w:pPr>
        <w:pStyle w:val="93"/>
        <w:spacing w:before="0" w:after="0" w:line="360" w:lineRule="auto"/>
        <w:ind w:left="0" w:right="0" w:firstLine="320"/>
        <w:jc w:val="both"/>
        <w:rPr>
          <w:rFonts w:ascii="宋体" w:hAnsi="宋体" w:eastAsia="宋体" w:cs="宋体"/>
          <w:sz w:val="21"/>
          <w:szCs w:val="21"/>
        </w:rPr>
      </w:pPr>
      <w:r>
        <w:rPr>
          <w:rFonts w:ascii="仿宋_GB2312" w:hAnsi="仿宋_GB2312" w:eastAsia="仿宋_GB2312" w:cs="仿宋_GB2312"/>
          <w:sz w:val="32"/>
          <w:szCs w:val="32"/>
        </w:rPr>
        <w:t>（1）所有系统的维护操作工程师均需持证上岗，电气工程师≥2人，制冷与空调作业人员≥4人，电工操作员≥8人，安全员≥2人。具有3年以上机房设备维护工作组验，熟悉不同类型机房的环境特点和维护需求;能够应对复杂的机房环境和高要求的维护任务，在面对机房设备故障时，能迅速准确的判断问题所在，通过观察、检测和分析，找出故障根源。所有工程师必须为中标供应商的自有人员，提供近六个月的社会保险缴纳证明材料。</w:t>
      </w:r>
    </w:p>
    <w:p>
      <w:pPr>
        <w:pStyle w:val="93"/>
        <w:spacing w:before="0" w:after="0" w:line="360" w:lineRule="auto"/>
        <w:ind w:left="0" w:right="0" w:firstLine="320"/>
        <w:jc w:val="both"/>
        <w:rPr>
          <w:rFonts w:ascii="宋体" w:hAnsi="宋体" w:eastAsia="宋体" w:cs="宋体"/>
          <w:sz w:val="21"/>
          <w:szCs w:val="21"/>
        </w:rPr>
      </w:pPr>
      <w:r>
        <w:rPr>
          <w:rFonts w:ascii="仿宋_GB2312" w:hAnsi="仿宋_GB2312" w:eastAsia="仿宋_GB2312" w:cs="仿宋_GB2312"/>
          <w:sz w:val="32"/>
          <w:szCs w:val="32"/>
        </w:rPr>
        <w:t>（2）维修及安装作业前需进行自我安全教育并有安全人员现场监督，具有高度责任心，对机房设备的安全问题运行负责，认真履行维护职责，及时发现和解决问题，在维护工作中保持专注，确保不遗漏任何细节，当出现紧急情况时，能够采取有效措施，最大限度减少损失。</w:t>
      </w:r>
    </w:p>
    <w:p>
      <w:pPr>
        <w:pStyle w:val="93"/>
        <w:spacing w:before="0" w:after="0" w:line="360" w:lineRule="auto"/>
        <w:ind w:left="0" w:right="0"/>
        <w:jc w:val="both"/>
        <w:rPr>
          <w:rFonts w:ascii="宋体" w:hAnsi="宋体" w:eastAsia="宋体" w:cs="宋体"/>
          <w:sz w:val="21"/>
          <w:szCs w:val="21"/>
        </w:rPr>
      </w:pPr>
      <w:r>
        <w:rPr>
          <w:rFonts w:ascii="仿宋_GB2312" w:hAnsi="仿宋_GB2312" w:eastAsia="仿宋_GB2312" w:cs="仿宋_GB2312"/>
          <w:sz w:val="32"/>
          <w:szCs w:val="32"/>
        </w:rPr>
        <w:t>（3）具有扎实的专业基础，熟练掌握所维修维护设备的基本原理、工作工况、常规故障的解决方案、应急故障的处理预案等维修相关知识，并取得相关资格认证，具有相应工作经验。</w:t>
      </w:r>
    </w:p>
    <w:p>
      <w:pPr>
        <w:pStyle w:val="91"/>
        <w:keepNext w:val="0"/>
        <w:spacing w:before="0" w:after="0" w:line="360" w:lineRule="auto"/>
        <w:rPr>
          <w:rFonts w:ascii="仿宋_GB2312" w:hAnsi="仿宋_GB2312" w:eastAsia="仿宋_GB2312" w:cs="仿宋_GB2312"/>
          <w:b/>
          <w:bCs/>
          <w:sz w:val="28"/>
          <w:szCs w:val="28"/>
        </w:rPr>
      </w:pPr>
      <w:bookmarkStart w:id="60" w:name="_Toc256000028"/>
      <w:bookmarkStart w:id="61" w:name="_Toc26163"/>
      <w:r>
        <w:rPr>
          <w:rFonts w:ascii="仿宋_GB2312" w:hAnsi="仿宋_GB2312" w:eastAsia="仿宋_GB2312" w:cs="仿宋_GB2312"/>
          <w:i w:val="0"/>
          <w:iCs w:val="0"/>
        </w:rPr>
        <w:t>4.4优选资质/优选指标</w:t>
      </w:r>
      <w:bookmarkEnd w:id="60"/>
      <w:bookmarkEnd w:id="61"/>
    </w:p>
    <w:tbl>
      <w:tblPr>
        <w:tblStyle w:val="32"/>
        <w:tblW w:w="5000" w:type="pct"/>
        <w:tblInd w:w="30" w:type="dxa"/>
        <w:tblLayout w:type="autofit"/>
        <w:tblCellMar>
          <w:top w:w="15" w:type="dxa"/>
          <w:left w:w="15" w:type="dxa"/>
          <w:bottom w:w="15" w:type="dxa"/>
          <w:right w:w="15" w:type="dxa"/>
        </w:tblCellMar>
      </w:tblPr>
      <w:tblGrid>
        <w:gridCol w:w="1007"/>
        <w:gridCol w:w="2015"/>
        <w:gridCol w:w="2016"/>
        <w:gridCol w:w="2016"/>
        <w:gridCol w:w="2016"/>
      </w:tblGrid>
      <w:tr>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人员类别</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人员岗位</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是否作为加分项</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技术团队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驻场运维工程师</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具有电工或制冷与空调作业资格证书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技术团队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维修维护工程师</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具有厂家认证、电工证、制冷与空调作业证、工程师认证等资格证书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pPr>
        <w:pStyle w:val="90"/>
        <w:keepNext w:val="0"/>
        <w:spacing w:before="0" w:after="0" w:line="360" w:lineRule="auto"/>
        <w:jc w:val="center"/>
        <w:rPr>
          <w:rFonts w:ascii="仿宋_GB2312" w:hAnsi="仿宋_GB2312" w:eastAsia="仿宋_GB2312" w:cs="仿宋_GB2312"/>
          <w:b/>
          <w:bCs/>
          <w:sz w:val="32"/>
          <w:szCs w:val="32"/>
        </w:rPr>
      </w:pPr>
      <w:bookmarkStart w:id="62" w:name="_Toc6055"/>
      <w:bookmarkStart w:id="63" w:name="_Toc256000029"/>
      <w:r>
        <w:rPr>
          <w:rFonts w:ascii="仿宋_GB2312" w:hAnsi="仿宋_GB2312" w:eastAsia="仿宋_GB2312" w:cs="仿宋_GB2312"/>
          <w:kern w:val="36"/>
        </w:rPr>
        <w:t>5管理实施要求</w:t>
      </w:r>
      <w:bookmarkEnd w:id="62"/>
      <w:bookmarkEnd w:id="63"/>
    </w:p>
    <w:p>
      <w:pPr>
        <w:pStyle w:val="93"/>
        <w:spacing w:before="0" w:after="0" w:line="360" w:lineRule="auto"/>
        <w:ind w:left="0" w:right="0" w:firstLine="642"/>
        <w:rPr>
          <w:rFonts w:ascii="宋体" w:hAnsi="宋体" w:eastAsia="宋体" w:cs="宋体"/>
          <w:sz w:val="21"/>
          <w:szCs w:val="21"/>
        </w:rPr>
      </w:pPr>
      <w:r>
        <w:rPr>
          <w:b/>
          <w:bCs/>
          <w:sz w:val="32"/>
          <w:szCs w:val="32"/>
        </w:rPr>
        <w:t>5.1</w:t>
      </w:r>
      <w:r>
        <w:rPr>
          <w:rFonts w:ascii="仿宋_GB2312" w:hAnsi="仿宋_GB2312" w:eastAsia="仿宋_GB2312" w:cs="仿宋_GB2312"/>
          <w:b/>
          <w:bCs/>
          <w:sz w:val="32"/>
          <w:szCs w:val="32"/>
        </w:rPr>
        <w:t>中标供应商负责对机房基础设施开展维护保养工作，并记录维护保养结果。</w:t>
      </w:r>
    </w:p>
    <w:p>
      <w:pPr>
        <w:pStyle w:val="93"/>
        <w:spacing w:before="0" w:after="0" w:line="360" w:lineRule="auto"/>
        <w:ind w:left="0" w:right="0" w:firstLine="640"/>
        <w:rPr>
          <w:rFonts w:ascii="宋体" w:hAnsi="宋体" w:eastAsia="宋体" w:cs="宋体"/>
          <w:sz w:val="21"/>
          <w:szCs w:val="21"/>
        </w:rPr>
      </w:pPr>
      <w:r>
        <w:rPr>
          <w:rFonts w:ascii="仿宋_GB2312" w:hAnsi="仿宋_GB2312" w:eastAsia="仿宋_GB2312" w:cs="仿宋_GB2312"/>
          <w:sz w:val="32"/>
          <w:szCs w:val="32"/>
        </w:rPr>
        <w:t>包括定期对</w:t>
      </w:r>
      <w:r>
        <w:rPr>
          <w:sz w:val="32"/>
          <w:szCs w:val="32"/>
        </w:rPr>
        <w:t>UPS</w:t>
      </w:r>
      <w:r>
        <w:rPr>
          <w:rFonts w:ascii="仿宋_GB2312" w:hAnsi="仿宋_GB2312" w:eastAsia="仿宋_GB2312" w:cs="仿宋_GB2312"/>
          <w:sz w:val="32"/>
          <w:szCs w:val="32"/>
        </w:rPr>
        <w:t>维护、蓄电池维护、配电柜维护、精密空调维护、加湿机维护、净水系统维护等。</w:t>
      </w:r>
    </w:p>
    <w:p>
      <w:pPr>
        <w:pStyle w:val="93"/>
        <w:spacing w:before="0" w:after="0" w:line="360" w:lineRule="auto"/>
        <w:ind w:left="0" w:right="0" w:firstLine="640"/>
        <w:rPr>
          <w:rFonts w:ascii="宋体" w:hAnsi="宋体" w:eastAsia="宋体" w:cs="宋体"/>
          <w:b/>
          <w:bCs/>
          <w:sz w:val="21"/>
          <w:szCs w:val="21"/>
        </w:rPr>
      </w:pPr>
      <w:r>
        <w:rPr>
          <w:rFonts w:ascii="仿宋_GB2312" w:hAnsi="仿宋_GB2312" w:eastAsia="仿宋_GB2312" w:cs="仿宋_GB2312"/>
          <w:b/>
          <w:bCs/>
          <w:sz w:val="32"/>
          <w:szCs w:val="32"/>
        </w:rPr>
        <w:t>详见附件1、附件2。</w:t>
      </w:r>
    </w:p>
    <w:p>
      <w:pPr>
        <w:pStyle w:val="93"/>
        <w:spacing w:before="0" w:after="0" w:line="360" w:lineRule="auto"/>
        <w:ind w:left="0" w:right="0" w:firstLine="642"/>
        <w:rPr>
          <w:rFonts w:ascii="宋体" w:hAnsi="宋体" w:eastAsia="宋体" w:cs="宋体"/>
          <w:sz w:val="21"/>
          <w:szCs w:val="21"/>
        </w:rPr>
      </w:pPr>
      <w:r>
        <w:rPr>
          <w:b/>
          <w:bCs/>
          <w:sz w:val="32"/>
          <w:szCs w:val="32"/>
        </w:rPr>
        <w:t>5.2</w:t>
      </w:r>
      <w:r>
        <w:rPr>
          <w:rFonts w:ascii="仿宋_GB2312" w:hAnsi="仿宋_GB2312" w:eastAsia="仿宋_GB2312" w:cs="仿宋_GB2312"/>
          <w:b/>
          <w:bCs/>
          <w:sz w:val="32"/>
          <w:szCs w:val="32"/>
        </w:rPr>
        <w:t>二处机房集中监控管理系统设备维保服务</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定期对二处机房集中监控管理系统开展日常检查和系统巡检，并生成《维保记录表》和《巡检记录表》并存档。检查内容包括配电监测、UPS监测、发电机监测、空调监控、新风机监控、温湿度监测、漏水监测、消防监测、系统配置、蓄电池监测及监控软件的运行维护。</w:t>
      </w:r>
    </w:p>
    <w:p>
      <w:pPr>
        <w:pStyle w:val="93"/>
        <w:spacing w:before="0" w:after="0" w:line="360" w:lineRule="auto"/>
        <w:ind w:left="0" w:right="0" w:firstLine="640"/>
        <w:jc w:val="both"/>
        <w:rPr>
          <w:rFonts w:ascii="宋体" w:hAnsi="宋体" w:eastAsia="宋体" w:cs="宋体"/>
          <w:b/>
          <w:bCs/>
          <w:sz w:val="21"/>
          <w:szCs w:val="21"/>
        </w:rPr>
      </w:pPr>
      <w:r>
        <w:rPr>
          <w:rFonts w:ascii="仿宋_GB2312" w:hAnsi="仿宋_GB2312" w:eastAsia="仿宋_GB2312" w:cs="仿宋_GB2312"/>
          <w:b/>
          <w:bCs/>
          <w:sz w:val="32"/>
          <w:szCs w:val="32"/>
        </w:rPr>
        <w:t>详见附件1。</w:t>
      </w:r>
    </w:p>
    <w:p>
      <w:pPr>
        <w:pStyle w:val="93"/>
        <w:spacing w:before="0" w:after="0" w:line="360" w:lineRule="auto"/>
        <w:ind w:left="0" w:right="0" w:firstLine="642"/>
        <w:jc w:val="both"/>
        <w:rPr>
          <w:rFonts w:ascii="宋体" w:hAnsi="宋体" w:eastAsia="宋体" w:cs="宋体"/>
          <w:sz w:val="21"/>
          <w:szCs w:val="21"/>
        </w:rPr>
      </w:pPr>
      <w:r>
        <w:rPr>
          <w:b/>
          <w:bCs/>
          <w:sz w:val="32"/>
          <w:szCs w:val="32"/>
        </w:rPr>
        <w:t>5.3</w:t>
      </w:r>
      <w:r>
        <w:rPr>
          <w:rFonts w:ascii="仿宋_GB2312" w:hAnsi="仿宋_GB2312" w:eastAsia="仿宋_GB2312" w:cs="仿宋_GB2312"/>
          <w:b/>
          <w:bCs/>
          <w:sz w:val="32"/>
          <w:szCs w:val="32"/>
        </w:rPr>
        <w:t>由中标单位派遣</w:t>
      </w:r>
      <w:r>
        <w:rPr>
          <w:b/>
          <w:bCs/>
          <w:sz w:val="32"/>
          <w:szCs w:val="32"/>
        </w:rPr>
        <w:t>13</w:t>
      </w:r>
      <w:r>
        <w:rPr>
          <w:rFonts w:ascii="仿宋_GB2312" w:hAnsi="仿宋_GB2312" w:eastAsia="仿宋_GB2312" w:cs="仿宋_GB2312"/>
          <w:b/>
          <w:bCs/>
          <w:sz w:val="32"/>
          <w:szCs w:val="32"/>
        </w:rPr>
        <w:t>名运维服务人员对省局两处机房开展</w:t>
      </w:r>
      <w:r>
        <w:rPr>
          <w:b/>
          <w:bCs/>
          <w:sz w:val="32"/>
          <w:szCs w:val="32"/>
        </w:rPr>
        <w:t>24</w:t>
      </w:r>
      <w:r>
        <w:rPr>
          <w:rFonts w:ascii="仿宋_GB2312" w:hAnsi="仿宋_GB2312" w:eastAsia="仿宋_GB2312" w:cs="仿宋_GB2312"/>
          <w:b/>
          <w:bCs/>
          <w:sz w:val="32"/>
          <w:szCs w:val="32"/>
        </w:rPr>
        <w:t>小时监控值守服务。</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包括轮流值班，设备安装、操作系统安装维护、故障恢复以及相关服务。值班人员值班期间不得饮酒、外出，保持手机</w:t>
      </w:r>
      <w:r>
        <w:rPr>
          <w:sz w:val="32"/>
          <w:szCs w:val="32"/>
        </w:rPr>
        <w:t>24</w:t>
      </w:r>
      <w:r>
        <w:rPr>
          <w:rFonts w:ascii="仿宋_GB2312" w:hAnsi="仿宋_GB2312" w:eastAsia="仿宋_GB2312" w:cs="仿宋_GB2312"/>
          <w:sz w:val="32"/>
          <w:szCs w:val="32"/>
        </w:rPr>
        <w:t>小时联系顺畅；值班人员收到机房报警短信、电话或相关人员的通知后，采取必要措施进行抢救，同时向采购方机房负责人汇报情况</w:t>
      </w:r>
      <w:r>
        <w:rPr>
          <w:sz w:val="32"/>
          <w:szCs w:val="32"/>
        </w:rPr>
        <w:t>,</w:t>
      </w:r>
      <w:r>
        <w:rPr>
          <w:rFonts w:ascii="仿宋_GB2312" w:hAnsi="仿宋_GB2312" w:eastAsia="仿宋_GB2312" w:cs="仿宋_GB2312"/>
          <w:sz w:val="32"/>
          <w:szCs w:val="32"/>
        </w:rPr>
        <w:t>确保机房不发生停冷、断电事件。</w:t>
      </w:r>
    </w:p>
    <w:p>
      <w:pPr>
        <w:pStyle w:val="93"/>
        <w:spacing w:before="0" w:after="0" w:line="360" w:lineRule="auto"/>
        <w:ind w:left="0" w:right="0" w:firstLine="640"/>
        <w:rPr>
          <w:rFonts w:ascii="宋体" w:hAnsi="宋体" w:eastAsia="宋体" w:cs="宋体"/>
          <w:b/>
          <w:bCs/>
          <w:sz w:val="21"/>
          <w:szCs w:val="21"/>
        </w:rPr>
      </w:pPr>
      <w:r>
        <w:rPr>
          <w:rFonts w:ascii="仿宋_GB2312" w:hAnsi="仿宋_GB2312" w:eastAsia="仿宋_GB2312" w:cs="仿宋_GB2312"/>
          <w:b/>
          <w:bCs/>
          <w:sz w:val="32"/>
          <w:szCs w:val="32"/>
        </w:rPr>
        <w:t>详见附件2。</w:t>
      </w:r>
    </w:p>
    <w:p>
      <w:pPr>
        <w:pStyle w:val="90"/>
        <w:keepNext w:val="0"/>
        <w:spacing w:before="0" w:after="0" w:line="360" w:lineRule="auto"/>
        <w:jc w:val="center"/>
        <w:rPr>
          <w:rFonts w:ascii="仿宋_GB2312" w:hAnsi="仿宋_GB2312" w:eastAsia="仿宋_GB2312" w:cs="仿宋_GB2312"/>
          <w:b/>
          <w:bCs/>
          <w:sz w:val="32"/>
          <w:szCs w:val="32"/>
        </w:rPr>
      </w:pPr>
      <w:bookmarkStart w:id="64" w:name="_Toc256000030"/>
      <w:bookmarkStart w:id="65" w:name="_Toc26962"/>
      <w:r>
        <w:rPr>
          <w:rFonts w:ascii="仿宋_GB2312" w:hAnsi="仿宋_GB2312" w:eastAsia="仿宋_GB2312" w:cs="仿宋_GB2312"/>
          <w:kern w:val="36"/>
        </w:rPr>
        <w:t>6保密要求</w:t>
      </w:r>
      <w:bookmarkEnd w:id="64"/>
      <w:bookmarkEnd w:id="65"/>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双方应对在合同签订或履行过程中所接触的对方信息，包括但不限于知识产权、技术资料、技术诀窍、内部管理及其他相关信息，负有保密义务。</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中标商在使用用户方为其提供的数据、程序、用户名、口令、资料及甲方相关的业务和技术文档，包括方案设计细节、程序文件、数据结构，以及相关业务系统的硬软件、文档、测试和测试产生的数据时，应遵循以下约定：</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应以审慎态度避免泄露、公开或传播甲方的信息；</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未经用户书面许可，不得对有关信息进行修改、补充、复制；</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未经用户书面许可，不得将信息以任何方式（如 E－mail）携带出采购方场所；</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未经甲方书面许可，不得将信息透露给任何其他人；</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甲方以书面形式提出的其他保密措施。保密期限不受合同有效期的限制，在合同有效期结束后，信息接受方仍应承担保密义务，直至该等信息成为公开信息。</w:t>
      </w:r>
    </w:p>
    <w:p>
      <w:pPr>
        <w:pStyle w:val="93"/>
        <w:spacing w:before="0" w:after="0" w:line="360" w:lineRule="auto"/>
        <w:ind w:left="0" w:right="0" w:firstLine="640"/>
        <w:jc w:val="both"/>
        <w:rPr>
          <w:rFonts w:ascii="宋体" w:hAnsi="宋体" w:eastAsia="宋体" w:cs="宋体"/>
          <w:sz w:val="21"/>
          <w:szCs w:val="21"/>
        </w:rPr>
      </w:pPr>
      <w:r>
        <w:rPr>
          <w:rFonts w:ascii="仿宋_GB2312" w:hAnsi="仿宋_GB2312" w:eastAsia="仿宋_GB2312" w:cs="仿宋_GB2312"/>
          <w:sz w:val="32"/>
          <w:szCs w:val="32"/>
        </w:rPr>
        <w:t>双方如出现泄密行为，泄密方应承担相关的法律责任并承担由此给对方造成的经济损失。</w:t>
      </w:r>
    </w:p>
    <w:p>
      <w:pPr>
        <w:pStyle w:val="90"/>
        <w:keepNext w:val="0"/>
        <w:spacing w:before="0" w:after="0" w:line="360" w:lineRule="auto"/>
        <w:jc w:val="center"/>
        <w:rPr>
          <w:rFonts w:ascii="仿宋_GB2312" w:hAnsi="仿宋_GB2312" w:eastAsia="仿宋_GB2312" w:cs="仿宋_GB2312"/>
          <w:b/>
          <w:bCs/>
          <w:sz w:val="32"/>
          <w:szCs w:val="32"/>
        </w:rPr>
      </w:pPr>
      <w:bookmarkStart w:id="66" w:name="_Toc256000031"/>
      <w:bookmarkStart w:id="67" w:name="_Toc27762"/>
      <w:r>
        <w:rPr>
          <w:rFonts w:ascii="仿宋_GB2312" w:hAnsi="仿宋_GB2312" w:eastAsia="仿宋_GB2312" w:cs="仿宋_GB2312"/>
          <w:kern w:val="36"/>
        </w:rPr>
        <w:t>7知识转移要求</w:t>
      </w:r>
      <w:bookmarkEnd w:id="66"/>
      <w:bookmarkEnd w:id="67"/>
    </w:p>
    <w:p>
      <w:pPr>
        <w:pStyle w:val="93"/>
        <w:spacing w:before="0" w:after="0" w:line="360" w:lineRule="auto"/>
        <w:ind w:left="0" w:right="0"/>
        <w:jc w:val="both"/>
        <w:rPr>
          <w:rFonts w:ascii="宋体" w:hAnsi="宋体" w:eastAsia="宋体" w:cs="宋体"/>
          <w:sz w:val="21"/>
          <w:szCs w:val="21"/>
        </w:rPr>
      </w:pPr>
      <w:r>
        <w:rPr>
          <w:rFonts w:ascii="仿宋_GB2312" w:hAnsi="仿宋_GB2312" w:eastAsia="仿宋_GB2312" w:cs="仿宋_GB2312"/>
          <w:sz w:val="32"/>
          <w:szCs w:val="32"/>
        </w:rPr>
        <w:t>中标方需保证所提供的服务不侵犯第三方的知识产权（专利权、商标权、版权等），因侵害第三方知识产权而产生的法律责任，全部由中标方承担。</w:t>
      </w:r>
    </w:p>
    <w:p>
      <w:pPr>
        <w:pStyle w:val="90"/>
        <w:keepNext w:val="0"/>
        <w:spacing w:before="0" w:after="0" w:line="360" w:lineRule="auto"/>
        <w:jc w:val="center"/>
        <w:rPr>
          <w:rFonts w:ascii="仿宋_GB2312" w:hAnsi="仿宋_GB2312" w:eastAsia="仿宋_GB2312" w:cs="仿宋_GB2312"/>
          <w:b/>
          <w:bCs/>
          <w:sz w:val="32"/>
          <w:szCs w:val="32"/>
        </w:rPr>
      </w:pPr>
      <w:bookmarkStart w:id="68" w:name="_Toc256000032"/>
      <w:bookmarkStart w:id="69" w:name="_Toc15388"/>
      <w:r>
        <w:rPr>
          <w:rFonts w:ascii="仿宋_GB2312" w:hAnsi="仿宋_GB2312" w:eastAsia="仿宋_GB2312" w:cs="仿宋_GB2312"/>
          <w:kern w:val="36"/>
        </w:rPr>
        <w:t>8风险管控要求</w:t>
      </w:r>
      <w:bookmarkEnd w:id="68"/>
      <w:bookmarkEnd w:id="69"/>
    </w:p>
    <w:p>
      <w:pPr>
        <w:pStyle w:val="93"/>
        <w:spacing w:before="0" w:after="0" w:line="360" w:lineRule="auto"/>
        <w:ind w:firstLine="640"/>
        <w:rPr>
          <w:rFonts w:ascii="Times New Roman" w:hAnsi="Times New Roman" w:eastAsia="Times New Roman" w:cs="Times New Roman"/>
        </w:rPr>
      </w:pPr>
      <w:r>
        <w:rPr>
          <w:rFonts w:ascii="仿宋_GB2312" w:hAnsi="仿宋_GB2312" w:eastAsia="仿宋_GB2312" w:cs="仿宋_GB2312"/>
          <w:color w:val="000000"/>
          <w:sz w:val="32"/>
          <w:szCs w:val="32"/>
        </w:rPr>
        <w:t>严格按照税务机关网络安全管理制度执行，主动开展系统漏洞扫描和风险评估，规避网络安全风险。对税务机关扫描系统漏洞，需在2个小时内响应，24 小时内处理，特殊情况需向相关部门报备申请。</w:t>
      </w:r>
    </w:p>
    <w:p>
      <w:pPr>
        <w:pStyle w:val="90"/>
        <w:keepNext w:val="0"/>
        <w:spacing w:before="0" w:after="0" w:line="360" w:lineRule="auto"/>
        <w:jc w:val="center"/>
        <w:rPr>
          <w:rFonts w:ascii="仿宋_GB2312" w:hAnsi="仿宋_GB2312" w:eastAsia="仿宋_GB2312" w:cs="仿宋_GB2312"/>
          <w:b/>
          <w:bCs/>
          <w:sz w:val="32"/>
          <w:szCs w:val="32"/>
        </w:rPr>
      </w:pPr>
      <w:bookmarkStart w:id="70" w:name="_Toc256000033"/>
      <w:bookmarkStart w:id="71" w:name="_Toc15790"/>
      <w:r>
        <w:rPr>
          <w:rFonts w:ascii="仿宋_GB2312" w:hAnsi="仿宋_GB2312" w:eastAsia="仿宋_GB2312" w:cs="仿宋_GB2312"/>
          <w:kern w:val="36"/>
        </w:rPr>
        <w:t>9履约验收要求</w:t>
      </w:r>
      <w:bookmarkEnd w:id="70"/>
      <w:bookmarkEnd w:id="71"/>
    </w:p>
    <w:p>
      <w:pPr>
        <w:pStyle w:val="91"/>
        <w:keepNext w:val="0"/>
        <w:spacing w:before="0" w:after="0" w:line="360" w:lineRule="auto"/>
        <w:rPr>
          <w:rFonts w:ascii="仿宋_GB2312" w:hAnsi="仿宋_GB2312" w:eastAsia="仿宋_GB2312" w:cs="仿宋_GB2312"/>
          <w:b/>
          <w:bCs/>
          <w:sz w:val="28"/>
          <w:szCs w:val="28"/>
        </w:rPr>
      </w:pPr>
      <w:bookmarkStart w:id="72" w:name="_Toc256000034"/>
      <w:bookmarkStart w:id="73" w:name="_Toc13372"/>
      <w:r>
        <w:rPr>
          <w:rFonts w:ascii="仿宋_GB2312" w:hAnsi="仿宋_GB2312" w:eastAsia="仿宋_GB2312" w:cs="仿宋_GB2312"/>
          <w:i w:val="0"/>
          <w:iCs w:val="0"/>
        </w:rPr>
        <w:t>9.1总体要求</w:t>
      </w:r>
      <w:bookmarkEnd w:id="72"/>
      <w:bookmarkEnd w:id="73"/>
    </w:p>
    <w:tbl>
      <w:tblPr>
        <w:tblStyle w:val="32"/>
        <w:tblW w:w="5000" w:type="pct"/>
        <w:tblInd w:w="30" w:type="dxa"/>
        <w:tblLayout w:type="autofit"/>
        <w:tblCellMar>
          <w:top w:w="15" w:type="dxa"/>
          <w:left w:w="15" w:type="dxa"/>
          <w:bottom w:w="15" w:type="dxa"/>
          <w:right w:w="15" w:type="dxa"/>
        </w:tblCellMar>
      </w:tblPr>
      <w:tblGrid>
        <w:gridCol w:w="4535"/>
        <w:gridCol w:w="4535"/>
      </w:tblGrid>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验收要求</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第1次验收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2024年9月30日前，中标供应商提供中期验收报告。中标人在此次验收期内对所有应质保的软件、硬件按照合同要求进行相应的维修和维护，以满足合同内的所有内容，出具验收文档。若因中标人没有满足合同或招标需求所列的任一条款，或因服务人员误操作等原因引起火灾、停冷、断电等事故，造成系统中断，给采购方带来损失，或者不满足采购方相关运维标准的，采购方可按照合同要求终止合同，并由采购方进行损失程度认定，向中标人提出索赔，索赔金额按照合同要求进行。</w:t>
            </w:r>
            <w:r>
              <w:rPr>
                <w:rFonts w:ascii="仿宋_GB2312" w:hAnsi="仿宋_GB2312" w:eastAsia="仿宋_GB2312" w:cs="仿宋_GB2312"/>
                <w:b/>
                <w:bCs/>
                <w:i w:val="0"/>
                <w:iCs w:val="0"/>
                <w:smallCaps w:val="0"/>
                <w:color w:val="000000"/>
                <w:sz w:val="21"/>
                <w:szCs w:val="21"/>
              </w:rPr>
              <w:br w:type="textWrapping"/>
            </w:r>
            <w:r>
              <w:rPr>
                <w:rFonts w:ascii="仿宋_GB2312" w:hAnsi="仿宋_GB2312" w:eastAsia="仿宋_GB2312" w:cs="仿宋_GB2312"/>
                <w:b/>
                <w:bCs/>
                <w:i w:val="0"/>
                <w:iCs w:val="0"/>
                <w:smallCaps w:val="0"/>
                <w:color w:val="000000"/>
                <w:sz w:val="21"/>
                <w:szCs w:val="21"/>
              </w:rPr>
              <w:t>当遇到国家重大政策调整或其它不可抗力时，可能对维保的设备进行调整，如遇维护设备减少，采购方有权要求中标供应商按照比例返还维护费。</w:t>
            </w:r>
            <w:r>
              <w:rPr>
                <w:rFonts w:ascii="仿宋_GB2312" w:hAnsi="仿宋_GB2312" w:eastAsia="仿宋_GB2312" w:cs="仿宋_GB2312"/>
                <w:b/>
                <w:bCs/>
                <w:i w:val="0"/>
                <w:iCs w:val="0"/>
                <w:smallCaps w:val="0"/>
                <w:color w:val="000000"/>
                <w:sz w:val="21"/>
                <w:szCs w:val="21"/>
              </w:rPr>
              <w:br w:type="textWrapping"/>
            </w:r>
            <w:r>
              <w:rPr>
                <w:rFonts w:ascii="仿宋_GB2312" w:hAnsi="仿宋_GB2312" w:eastAsia="仿宋_GB2312" w:cs="仿宋_GB2312"/>
                <w:b/>
                <w:bCs/>
                <w:i w:val="0"/>
                <w:iCs w:val="0"/>
                <w:smallCaps w:val="0"/>
                <w:color w:val="000000"/>
                <w:sz w:val="21"/>
                <w:szCs w:val="21"/>
              </w:rPr>
              <w:t>中标供应商要制定比较详细、完整的项目验收方案。该项目最终向我单位提交《配电系统巡检报告》、《UPS系统巡检报告》、《空调加湿净水系统巡检报告》、《发电机组系统巡检报告》《动环监控系统巡检报告》等文档。</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第2次验收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在项目期结束后，中标供应商提供终期验收报告。中标人在此次验收期内对所有应质保的软件、硬件按照合同要求进行相应的维修和维护，以满足合同内的所有内容，出具验收文档。若因中标人没有满足合同或招标需求所列的任一条款，或因服务人员误操作等原因引起火灾、停冷、断电等事故，造成系统中断，给采购方带来损失，或者不满足采购方相关运维标准的，采购方可按照合同要求终止合同，并由采购方进行损失程度认定，向中标人提出索赔，索赔金额按照合同要求进行。</w:t>
            </w:r>
            <w:r>
              <w:rPr>
                <w:rFonts w:ascii="仿宋_GB2312" w:hAnsi="仿宋_GB2312" w:eastAsia="仿宋_GB2312" w:cs="仿宋_GB2312"/>
                <w:b/>
                <w:bCs/>
                <w:i w:val="0"/>
                <w:iCs w:val="0"/>
                <w:smallCaps w:val="0"/>
                <w:color w:val="000000"/>
                <w:sz w:val="21"/>
                <w:szCs w:val="21"/>
              </w:rPr>
              <w:br w:type="textWrapping"/>
            </w:r>
            <w:r>
              <w:rPr>
                <w:rFonts w:ascii="仿宋_GB2312" w:hAnsi="仿宋_GB2312" w:eastAsia="仿宋_GB2312" w:cs="仿宋_GB2312"/>
                <w:b/>
                <w:bCs/>
                <w:i w:val="0"/>
                <w:iCs w:val="0"/>
                <w:smallCaps w:val="0"/>
                <w:color w:val="000000"/>
                <w:sz w:val="21"/>
                <w:szCs w:val="21"/>
              </w:rPr>
              <w:t>当遇到国家重大政策调整或其它不可抗力时，可能对维保的设备进行调整，如遇维护设备减少，采购方有权要求中标供应商按照比例返还维护费。</w:t>
            </w:r>
            <w:r>
              <w:rPr>
                <w:rFonts w:ascii="仿宋_GB2312" w:hAnsi="仿宋_GB2312" w:eastAsia="仿宋_GB2312" w:cs="仿宋_GB2312"/>
                <w:b/>
                <w:bCs/>
                <w:i w:val="0"/>
                <w:iCs w:val="0"/>
                <w:smallCaps w:val="0"/>
                <w:color w:val="000000"/>
                <w:sz w:val="21"/>
                <w:szCs w:val="21"/>
              </w:rPr>
              <w:br w:type="textWrapping"/>
            </w:r>
            <w:r>
              <w:rPr>
                <w:rFonts w:ascii="仿宋_GB2312" w:hAnsi="仿宋_GB2312" w:eastAsia="仿宋_GB2312" w:cs="仿宋_GB2312"/>
                <w:b/>
                <w:bCs/>
                <w:i w:val="0"/>
                <w:iCs w:val="0"/>
                <w:smallCaps w:val="0"/>
                <w:color w:val="000000"/>
                <w:sz w:val="21"/>
                <w:szCs w:val="21"/>
              </w:rPr>
              <w:t>中标供应商要制定比较详细、完整的项目验收方案。该项目最终向我单位提交《配电系统巡检报告》、《UPS系统巡检报告》、《空调加湿净水系统巡检报告》、《发电机组系统巡检报告》《动环监控系统巡检报告》等文档。</w:t>
            </w:r>
          </w:p>
        </w:tc>
      </w:tr>
    </w:tbl>
    <w:p>
      <w:pPr>
        <w:pStyle w:val="90"/>
        <w:keepNext w:val="0"/>
        <w:spacing w:before="0" w:after="0" w:line="360" w:lineRule="auto"/>
        <w:jc w:val="center"/>
        <w:rPr>
          <w:rFonts w:ascii="仿宋_GB2312" w:hAnsi="仿宋_GB2312" w:eastAsia="仿宋_GB2312" w:cs="仿宋_GB2312"/>
          <w:b/>
          <w:bCs/>
          <w:sz w:val="32"/>
          <w:szCs w:val="32"/>
        </w:rPr>
      </w:pPr>
      <w:bookmarkStart w:id="74" w:name="_Toc14323"/>
      <w:bookmarkStart w:id="75" w:name="_Toc256000035"/>
      <w:r>
        <w:rPr>
          <w:rFonts w:ascii="仿宋_GB2312" w:hAnsi="仿宋_GB2312" w:eastAsia="仿宋_GB2312" w:cs="仿宋_GB2312"/>
          <w:kern w:val="36"/>
        </w:rPr>
        <w:t>10其他要求</w:t>
      </w:r>
      <w:bookmarkEnd w:id="74"/>
      <w:bookmarkEnd w:id="75"/>
    </w:p>
    <w:p>
      <w:pPr>
        <w:pStyle w:val="91"/>
        <w:keepNext w:val="0"/>
        <w:spacing w:before="0" w:after="0" w:line="360" w:lineRule="auto"/>
        <w:rPr>
          <w:rFonts w:ascii="仿宋_GB2312" w:hAnsi="仿宋_GB2312" w:eastAsia="仿宋_GB2312" w:cs="仿宋_GB2312"/>
          <w:b/>
          <w:bCs/>
          <w:sz w:val="28"/>
          <w:szCs w:val="28"/>
        </w:rPr>
      </w:pPr>
      <w:bookmarkStart w:id="76" w:name="_Toc256000036"/>
      <w:bookmarkStart w:id="77" w:name="_Toc11030"/>
      <w:r>
        <w:rPr>
          <w:rFonts w:ascii="仿宋_GB2312" w:hAnsi="仿宋_GB2312" w:eastAsia="仿宋_GB2312" w:cs="仿宋_GB2312"/>
          <w:i w:val="0"/>
          <w:iCs w:val="0"/>
        </w:rPr>
        <w:t>10.1必备要求</w:t>
      </w:r>
      <w:bookmarkEnd w:id="76"/>
      <w:bookmarkEnd w:id="77"/>
    </w:p>
    <w:p>
      <w:pPr>
        <w:pStyle w:val="92"/>
        <w:keepNext w:val="0"/>
        <w:spacing w:before="0" w:after="0" w:line="360" w:lineRule="auto"/>
        <w:rPr>
          <w:rFonts w:ascii="仿宋_GB2312" w:hAnsi="仿宋_GB2312" w:eastAsia="仿宋_GB2312" w:cs="仿宋_GB2312"/>
          <w:b/>
          <w:bCs/>
          <w:sz w:val="28"/>
          <w:szCs w:val="28"/>
        </w:rPr>
      </w:pPr>
      <w:bookmarkStart w:id="78" w:name="_Toc256000037"/>
      <w:bookmarkStart w:id="79" w:name="_Toc31106"/>
      <w:r>
        <w:rPr>
          <w:rFonts w:ascii="仿宋_GB2312" w:hAnsi="仿宋_GB2312" w:eastAsia="仿宋_GB2312" w:cs="仿宋_GB2312"/>
          <w:sz w:val="28"/>
          <w:szCs w:val="28"/>
        </w:rPr>
        <w:t>10.1.1★税收信息化项目开发和应用管理工作要求</w:t>
      </w:r>
      <w:bookmarkEnd w:id="78"/>
      <w:bookmarkEnd w:id="79"/>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供应商在采购以及后续项目实施过程中，应严格遵守国家税务总局税收信息化项目开发和应用管理工作要求。对于因失信行为纳入《税务系统信息化服务商失信行为记录名单》的供应商，存在一般失信行为的，由采购人函告服务商；存在严重失信行为的，由采购人约谈服务商主要负责人；对于违反合同约定的，依据合同约定及政府采购有关规定，采购人可采取要求限期改正、在应付合同金额中扣除违约金、解除合同、拒绝参加税务系统政府采购活动等措施；对于存在影响恶劣的严重违法失信行为的，由采购人按规定推送财政部纳入政府采购严重违法失信行为记录名单。</w:t>
      </w:r>
    </w:p>
    <w:p>
      <w:pPr>
        <w:pStyle w:val="92"/>
        <w:keepNext w:val="0"/>
        <w:spacing w:before="0" w:after="0" w:line="360" w:lineRule="auto"/>
        <w:rPr>
          <w:rFonts w:ascii="仿宋_GB2312" w:hAnsi="仿宋_GB2312" w:eastAsia="仿宋_GB2312" w:cs="仿宋_GB2312"/>
          <w:b/>
          <w:bCs/>
          <w:sz w:val="28"/>
          <w:szCs w:val="28"/>
        </w:rPr>
      </w:pPr>
      <w:bookmarkStart w:id="80" w:name="_Toc256000038"/>
      <w:bookmarkStart w:id="81" w:name="_Toc28335"/>
      <w:r>
        <w:rPr>
          <w:rFonts w:ascii="仿宋_GB2312" w:hAnsi="仿宋_GB2312" w:eastAsia="仿宋_GB2312" w:cs="仿宋_GB2312"/>
          <w:sz w:val="28"/>
          <w:szCs w:val="28"/>
        </w:rPr>
        <w:t>10.1.2★供应链安全管理要求</w:t>
      </w:r>
      <w:bookmarkEnd w:id="80"/>
      <w:bookmarkEnd w:id="81"/>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1、人员资格要求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（1）签订承诺书。供应商应严格落实国家税务总局网络安全和保密管理要求，承担技术支持人员的网络安全和保密管理责任，按采购人要求签订协议和承诺书。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（2）开展背景审查。供应商承担技术支持人员背景审查工作，提供其身份证明、履历、家庭成员及主要社会关系、无犯罪记录证明等材料，并提交采购人进行备案。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设置网络安全负责人（由驻场运维人员兼任）。供应商为本项目配备一名网络安全负责人，该负责人具备独立决策能力并保持相对稳定，在项目实施的全过程负责网络安全工作，组织落实各项网络安全要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2、日常行为规范要求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（2）教育培训要求。供应商负责对技术支持人员进行网络和数据安全法律法规、网络安全意识、网络安全管理、网络安全技能、保密意识以及网络安全警示教育等培训，上岗前对其进行考核。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3、违约惩戒措施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供应商对供应链安全管理责任落实不到位，造成安全事件或产生不良影响的，采购人按照《税务系统信息化服务商失信行为记录名单制度（试行）》（税总办征科发〔2022〕1号）要求，组织对供应商进行失信行为认定，并采取相应的处置措施。</w:t>
      </w:r>
    </w:p>
    <w:p>
      <w:pPr>
        <w:pStyle w:val="92"/>
        <w:keepNext w:val="0"/>
        <w:spacing w:before="0" w:after="0" w:line="360" w:lineRule="auto"/>
        <w:rPr>
          <w:rFonts w:ascii="仿宋_GB2312" w:hAnsi="仿宋_GB2312" w:eastAsia="仿宋_GB2312" w:cs="仿宋_GB2312"/>
          <w:b/>
          <w:bCs/>
          <w:sz w:val="28"/>
          <w:szCs w:val="28"/>
        </w:rPr>
      </w:pPr>
      <w:bookmarkStart w:id="82" w:name="_Toc256000039"/>
      <w:bookmarkStart w:id="83" w:name="_Toc9736"/>
      <w:r>
        <w:rPr>
          <w:rFonts w:ascii="仿宋_GB2312" w:hAnsi="仿宋_GB2312" w:eastAsia="仿宋_GB2312" w:cs="仿宋_GB2312"/>
          <w:sz w:val="28"/>
          <w:szCs w:val="28"/>
        </w:rPr>
        <w:t>10.1.3★信息化服务运维人员要求</w:t>
      </w:r>
      <w:bookmarkEnd w:id="82"/>
      <w:bookmarkEnd w:id="83"/>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本项目涉及信息化服务运维人员的，运维人员应当是运维单位的正式人员，或者是与运维单位签订1年以上劳动合同且实际工作满1年的人员，常驻运维人员应当为技术骨干。</w:t>
      </w:r>
    </w:p>
    <w:p>
      <w:pPr>
        <w:pStyle w:val="18"/>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同一驻场运维人员在同一服务期内不得为两个或以上信息化项目提供驻场服务。</w:t>
      </w:r>
    </w:p>
    <w:p>
      <w:pPr>
        <w:pStyle w:val="92"/>
        <w:keepNext w:val="0"/>
        <w:spacing w:before="0" w:after="0" w:line="360" w:lineRule="auto"/>
        <w:rPr>
          <w:rFonts w:ascii="仿宋_GB2312" w:hAnsi="仿宋_GB2312" w:eastAsia="仿宋_GB2312" w:cs="仿宋_GB2312"/>
          <w:b/>
          <w:bCs/>
          <w:sz w:val="28"/>
          <w:szCs w:val="28"/>
        </w:rPr>
      </w:pPr>
      <w:bookmarkStart w:id="84" w:name="_Toc256000040"/>
      <w:bookmarkStart w:id="85" w:name="_Toc21199"/>
      <w:r>
        <w:rPr>
          <w:rFonts w:ascii="仿宋_GB2312" w:hAnsi="仿宋_GB2312" w:eastAsia="仿宋_GB2312" w:cs="仿宋_GB2312"/>
          <w:sz w:val="28"/>
          <w:szCs w:val="28"/>
        </w:rPr>
        <w:t>10.1.4其他</w:t>
      </w:r>
      <w:bookmarkEnd w:id="84"/>
      <w:bookmarkEnd w:id="85"/>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91"/>
        <w:keepNext w:val="0"/>
        <w:spacing w:before="0" w:after="0" w:line="360" w:lineRule="auto"/>
        <w:rPr>
          <w:rFonts w:ascii="仿宋_GB2312" w:hAnsi="仿宋_GB2312" w:eastAsia="仿宋_GB2312" w:cs="仿宋_GB2312"/>
          <w:b/>
          <w:bCs/>
          <w:sz w:val="28"/>
          <w:szCs w:val="28"/>
        </w:rPr>
      </w:pPr>
      <w:bookmarkStart w:id="86" w:name="_Toc256000041"/>
      <w:bookmarkStart w:id="87" w:name="_Toc19891"/>
      <w:r>
        <w:rPr>
          <w:rFonts w:ascii="仿宋_GB2312" w:hAnsi="仿宋_GB2312" w:eastAsia="仿宋_GB2312" w:cs="仿宋_GB2312"/>
          <w:i w:val="0"/>
          <w:iCs w:val="0"/>
        </w:rPr>
        <w:t>10.2知识产权要求</w:t>
      </w:r>
      <w:bookmarkEnd w:id="86"/>
      <w:bookmarkEnd w:id="87"/>
    </w:p>
    <w:p>
      <w:pPr>
        <w:pStyle w:val="93"/>
        <w:spacing w:before="0" w:after="0" w:line="360" w:lineRule="auto"/>
        <w:ind w:firstLine="640"/>
        <w:rPr>
          <w:rFonts w:ascii="Times New Roman" w:hAnsi="Times New Roman" w:eastAsia="Times New Roman" w:cs="Times New Roman"/>
        </w:rPr>
      </w:pPr>
      <w:r>
        <w:rPr>
          <w:rFonts w:ascii="仿宋_GB2312" w:hAnsi="仿宋_GB2312" w:eastAsia="仿宋_GB2312" w:cs="仿宋_GB2312"/>
          <w:color w:val="000000"/>
          <w:sz w:val="32"/>
          <w:szCs w:val="32"/>
        </w:rPr>
        <w:t>中标供应商需保证所提供的服务不侵犯第三方的知识产权（专利权、商标权、版权等），因侵害第三方知识产权而产生的法律责任，全部由中标供应商承担。</w:t>
      </w:r>
    </w:p>
    <w:p>
      <w:pPr>
        <w:pStyle w:val="93"/>
        <w:spacing w:before="0" w:after="0" w:line="360" w:lineRule="auto"/>
        <w:ind w:firstLine="640"/>
        <w:rPr>
          <w:rFonts w:ascii="Times New Roman" w:hAnsi="Times New Roman" w:eastAsia="Times New Roman" w:cs="Times New Roman"/>
        </w:rPr>
      </w:pPr>
      <w:r>
        <w:rPr>
          <w:rFonts w:ascii="仿宋_GB2312" w:hAnsi="仿宋_GB2312" w:eastAsia="仿宋_GB2312" w:cs="仿宋_GB2312"/>
          <w:color w:val="000000"/>
          <w:sz w:val="32"/>
          <w:szCs w:val="32"/>
        </w:rPr>
        <w:t>中标供应商禁止另行开发合同业务需求范围内、供纳税人、缴费人使用的软件；禁止在合同履行期间“围猎”税务人员，对违反以上规定的，将纳入失信名单；对于违反网络安全规定行为造成不良后果的中标供应商，3年内限制参加税务系统政府采购活动；中标供应商应建立防止违法违规聘用离职税务人员风险控制制度，如出现违法违规聘用离职税务人员行为，采购人有权对中标供应商采取以下措施：限期改正、要求支付违约金、解除合同、3年内限制参加所聘人员原单位及下属单位信息化项目政府采购活动等措施。投标人针对以上内容提供承诺函。</w:t>
      </w:r>
    </w:p>
    <w:p>
      <w:pPr>
        <w:pStyle w:val="91"/>
        <w:keepNext w:val="0"/>
        <w:spacing w:before="0" w:after="0" w:line="360" w:lineRule="auto"/>
        <w:rPr>
          <w:rFonts w:ascii="仿宋_GB2312" w:hAnsi="仿宋_GB2312" w:eastAsia="仿宋_GB2312" w:cs="仿宋_GB2312"/>
          <w:b/>
          <w:bCs/>
          <w:sz w:val="28"/>
          <w:szCs w:val="28"/>
        </w:rPr>
      </w:pPr>
      <w:bookmarkStart w:id="88" w:name="_Toc256000042"/>
      <w:bookmarkStart w:id="89" w:name="_Toc11342"/>
      <w:r>
        <w:rPr>
          <w:rFonts w:ascii="仿宋_GB2312" w:hAnsi="仿宋_GB2312" w:eastAsia="仿宋_GB2312" w:cs="仿宋_GB2312"/>
          <w:i w:val="0"/>
          <w:iCs w:val="0"/>
        </w:rPr>
        <w:t>10.3付款安排建议</w:t>
      </w:r>
      <w:bookmarkEnd w:id="88"/>
      <w:bookmarkEnd w:id="89"/>
    </w:p>
    <w:tbl>
      <w:tblPr>
        <w:tblStyle w:val="32"/>
        <w:tblW w:w="5000" w:type="pct"/>
        <w:tblInd w:w="30" w:type="dxa"/>
        <w:tblLayout w:type="autofit"/>
        <w:tblCellMar>
          <w:top w:w="15" w:type="dxa"/>
          <w:left w:w="15" w:type="dxa"/>
          <w:bottom w:w="15" w:type="dxa"/>
          <w:right w:w="15" w:type="dxa"/>
        </w:tblCellMar>
      </w:tblPr>
      <w:tblGrid>
        <w:gridCol w:w="1814"/>
        <w:gridCol w:w="5442"/>
        <w:gridCol w:w="1814"/>
      </w:tblGrid>
      <w:tr>
        <w:tblPrEx>
          <w:tblCellMar>
            <w:top w:w="15" w:type="dxa"/>
            <w:left w:w="15" w:type="dxa"/>
            <w:bottom w:w="15" w:type="dxa"/>
            <w:right w:w="15" w:type="dxa"/>
          </w:tblCellMar>
        </w:tblPrEx>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2025年2月28日前，中标供应商提出付款申请并出具合法等额发票后支付合同金额（第一年合同金额）的30%；</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30.0</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服务期内无任何问题并经验收合格后，2025年9月30日前支付剩余合同金额（第一年合同金额的70%）</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70.0</w:t>
            </w:r>
          </w:p>
        </w:tc>
      </w:tr>
    </w:tbl>
    <w:p>
      <w:pPr>
        <w:jc w:val="center"/>
        <w:outlineLvl w:val="0"/>
        <w:rPr>
          <w:rFonts w:hint="eastAsia" w:ascii="方正小标宋_GBK" w:hAnsi="方正小标宋_GBK" w:eastAsia="方正小标宋_GBK" w:cs="方正小标宋_GBK"/>
          <w:b w:val="0"/>
          <w:bCs w:val="0"/>
          <w:color w:val="auto"/>
          <w:sz w:val="32"/>
          <w:szCs w:val="32"/>
          <w:highlight w:val="none"/>
          <w:lang w:val="en-US" w:eastAsia="zh-CN"/>
        </w:rPr>
      </w:pPr>
    </w:p>
    <w:p>
      <w:pPr>
        <w:ind w:left="1050" w:leftChars="500" w:firstLine="0" w:firstLineChars="0"/>
        <w:jc w:val="both"/>
        <w:rPr>
          <w:rFonts w:hint="eastAsia" w:ascii="方正小标宋_GBK" w:hAnsi="方正小标宋_GBK" w:eastAsia="方正小标宋_GBK" w:cs="方正小标宋_GBK"/>
          <w:b w:val="0"/>
          <w:bCs w:val="0"/>
          <w:color w:val="auto"/>
          <w:sz w:val="32"/>
          <w:szCs w:val="32"/>
          <w:highlight w:val="none"/>
          <w:lang w:val="en-US" w:eastAsia="zh-CN"/>
        </w:rPr>
      </w:pPr>
      <w:r>
        <w:rPr>
          <w:rFonts w:hint="eastAsia" w:ascii="方正小标宋_GBK" w:hAnsi="方正小标宋_GBK" w:eastAsia="方正小标宋_GBK" w:cs="方正小标宋_GBK"/>
          <w:b w:val="0"/>
          <w:bCs w:val="0"/>
          <w:color w:val="auto"/>
          <w:sz w:val="32"/>
          <w:szCs w:val="32"/>
          <w:highlight w:val="none"/>
          <w:lang w:val="en-US" w:eastAsia="zh-CN"/>
        </w:rPr>
        <w:t>“满足指标要求情况”内容</w:t>
      </w:r>
      <w:r>
        <w:rPr>
          <w:rFonts w:hint="default" w:ascii="方正小标宋_GBK" w:hAnsi="方正小标宋_GBK" w:eastAsia="方正小标宋_GBK" w:cs="方正小标宋_GBK"/>
          <w:b w:val="0"/>
          <w:bCs w:val="0"/>
          <w:color w:val="auto"/>
          <w:sz w:val="32"/>
          <w:szCs w:val="32"/>
          <w:highlight w:val="none"/>
          <w:lang w:val="en-US" w:eastAsia="zh-CN"/>
        </w:rPr>
        <w:t>（</w:t>
      </w:r>
      <w:r>
        <w:rPr>
          <w:rFonts w:hint="eastAsia" w:ascii="方正小标宋_GBK" w:hAnsi="方正小标宋_GBK" w:eastAsia="方正小标宋_GBK" w:cs="方正小标宋_GBK"/>
          <w:b w:val="0"/>
          <w:bCs w:val="0"/>
          <w:color w:val="auto"/>
          <w:sz w:val="32"/>
          <w:szCs w:val="32"/>
          <w:highlight w:val="none"/>
          <w:lang w:val="en-US" w:eastAsia="zh-CN"/>
        </w:rPr>
        <w:t>包一</w:t>
      </w:r>
      <w:r>
        <w:rPr>
          <w:rFonts w:hint="default" w:ascii="方正小标宋_GBK" w:hAnsi="方正小标宋_GBK" w:eastAsia="方正小标宋_GBK" w:cs="方正小标宋_GBK"/>
          <w:b w:val="0"/>
          <w:bCs w:val="0"/>
          <w:color w:val="auto"/>
          <w:sz w:val="32"/>
          <w:szCs w:val="32"/>
          <w:highlight w:val="none"/>
          <w:lang w:val="en-US" w:eastAsia="zh-CN"/>
        </w:rPr>
        <w:t>）</w:t>
      </w:r>
      <w:r>
        <w:rPr>
          <w:rFonts w:hint="eastAsia" w:ascii="方正小标宋_GBK" w:hAnsi="方正小标宋_GBK" w:eastAsia="方正小标宋_GBK" w:cs="方正小标宋_GBK"/>
          <w:b w:val="0"/>
          <w:bCs w:val="0"/>
          <w:color w:val="auto"/>
          <w:sz w:val="32"/>
          <w:szCs w:val="32"/>
          <w:highlight w:val="none"/>
          <w:lang w:val="en-US" w:eastAsia="zh-CN"/>
        </w:rPr>
        <w:t>概括版</w:t>
      </w:r>
    </w:p>
    <w:tbl>
      <w:tblPr>
        <w:tblStyle w:val="32"/>
        <w:tblpPr w:leftFromText="180" w:rightFromText="180" w:vertAnchor="text" w:horzAnchor="page" w:tblpX="1222" w:tblpY="384"/>
        <w:tblOverlap w:val="never"/>
        <w:tblW w:w="98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4"/>
        <w:gridCol w:w="720"/>
        <w:gridCol w:w="681"/>
        <w:gridCol w:w="770"/>
        <w:gridCol w:w="5575"/>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0" w:hRule="exact"/>
        </w:trPr>
        <w:tc>
          <w:tcPr>
            <w:tcW w:w="694" w:type="dxa"/>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序号</w:t>
            </w:r>
          </w:p>
        </w:tc>
        <w:tc>
          <w:tcPr>
            <w:tcW w:w="720" w:type="dxa"/>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产品名称</w:t>
            </w: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指标种类</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指标名称</w:t>
            </w:r>
          </w:p>
        </w:tc>
        <w:tc>
          <w:tcPr>
            <w:tcW w:w="5575"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指标内容</w:t>
            </w:r>
          </w:p>
        </w:tc>
        <w:tc>
          <w:tcPr>
            <w:tcW w:w="1440" w:type="dxa"/>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证明材料要求（官网截图或产品说明书或白皮书或承诺书等证明材料）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4"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restart"/>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21"/>
                <w:szCs w:val="21"/>
                <w:lang w:val="en-US" w:eastAsia="zh-CN" w:bidi="ar-SA"/>
              </w:rPr>
              <w:t>基础设施设备维保服务内容</w:t>
            </w: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巡检</w:t>
            </w: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要求</w:t>
            </w:r>
          </w:p>
          <w:p>
            <w:pPr>
              <w:adjustRightInd w:val="0"/>
              <w:snapToGrid w:val="0"/>
              <w:spacing w:line="360" w:lineRule="auto"/>
              <w:jc w:val="both"/>
              <w:rPr>
                <w:rFonts w:hint="eastAsia" w:ascii="宋体" w:hAnsi="宋体" w:eastAsia="宋体" w:cs="宋体"/>
                <w:kern w:val="2"/>
                <w:sz w:val="18"/>
                <w:szCs w:val="18"/>
                <w:lang w:val="en-US" w:eastAsia="zh-CN" w:bidi="ar-SA"/>
              </w:rPr>
            </w:pPr>
          </w:p>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5575" w:type="dxa"/>
            <w:noWrap w:val="0"/>
            <w:vAlign w:val="center"/>
          </w:tcPr>
          <w:p>
            <w:pPr>
              <w:spacing w:line="240" w:lineRule="auto"/>
              <w:ind w:firstLine="360" w:firstLineChars="200"/>
              <w:rPr>
                <w:rFonts w:hint="eastAsia" w:ascii="宋体" w:hAnsi="宋体" w:eastAsia="宋体" w:cs="宋体"/>
                <w:color w:val="000000"/>
                <w:sz w:val="18"/>
                <w:szCs w:val="18"/>
              </w:rPr>
            </w:pPr>
            <w:r>
              <w:rPr>
                <w:rFonts w:hint="eastAsia" w:ascii="宋体" w:hAnsi="宋体" w:eastAsia="宋体" w:cs="宋体"/>
                <w:color w:val="000000"/>
                <w:sz w:val="18"/>
                <w:szCs w:val="18"/>
              </w:rPr>
              <w:t>中标供应商须定期对机房基础环境设备进行全面技术检查、维护及保养，并做详细检查记录，记录包含巡检单维修单</w:t>
            </w:r>
            <w:r>
              <w:rPr>
                <w:rFonts w:hint="eastAsia" w:ascii="宋体" w:hAnsi="宋体" w:eastAsia="宋体" w:cs="宋体"/>
                <w:color w:val="000000"/>
                <w:sz w:val="18"/>
                <w:szCs w:val="18"/>
                <w:lang w:val="en-US" w:eastAsia="zh-CN"/>
              </w:rPr>
              <w:t>季</w:t>
            </w:r>
            <w:r>
              <w:rPr>
                <w:rFonts w:hint="eastAsia" w:ascii="宋体" w:hAnsi="宋体" w:eastAsia="宋体" w:cs="宋体"/>
                <w:color w:val="000000"/>
                <w:sz w:val="18"/>
                <w:szCs w:val="18"/>
              </w:rPr>
              <w:t>度维护报告。</w:t>
            </w:r>
          </w:p>
          <w:p>
            <w:pPr>
              <w:adjustRightInd w:val="0"/>
              <w:snapToGrid w:val="0"/>
              <w:spacing w:line="240" w:lineRule="auto"/>
              <w:jc w:val="left"/>
              <w:rPr>
                <w:rFonts w:hint="eastAsia" w:ascii="宋体" w:hAnsi="宋体" w:eastAsia="宋体" w:cs="宋体"/>
                <w:kern w:val="2"/>
                <w:sz w:val="18"/>
                <w:szCs w:val="18"/>
                <w:lang w:val="en-US" w:eastAsia="zh-CN" w:bidi="ar-SA"/>
              </w:rPr>
            </w:pPr>
          </w:p>
        </w:tc>
        <w:tc>
          <w:tcPr>
            <w:tcW w:w="1440" w:type="dxa"/>
            <w:noWrap w:val="0"/>
            <w:vAlign w:val="center"/>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2"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21"/>
                <w:szCs w:val="21"/>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故障</w:t>
            </w: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修复</w:t>
            </w: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要求</w:t>
            </w:r>
          </w:p>
        </w:tc>
        <w:tc>
          <w:tcPr>
            <w:tcW w:w="5575" w:type="dxa"/>
            <w:noWrap w:val="0"/>
            <w:vAlign w:val="center"/>
          </w:tcPr>
          <w:p>
            <w:pPr>
              <w:spacing w:line="240" w:lineRule="auto"/>
              <w:ind w:firstLine="360" w:firstLineChars="200"/>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故障修复指当采购方设备出现故障时，中标供应商须为采购方提供硬件设备修复、备件更换及系统软件故障排除的服务，</w:t>
            </w:r>
            <w:r>
              <w:rPr>
                <w:rFonts w:hint="eastAsia" w:ascii="宋体" w:hAnsi="宋体" w:eastAsia="宋体" w:cs="宋体"/>
                <w:color w:val="000000"/>
                <w:sz w:val="18"/>
                <w:szCs w:val="18"/>
                <w:highlight w:val="none"/>
                <w:lang w:eastAsia="zh-CN"/>
              </w:rPr>
              <w:t>软件备份升级检索均需由原厂工程师操作，</w:t>
            </w:r>
            <w:r>
              <w:rPr>
                <w:rFonts w:hint="eastAsia" w:ascii="宋体" w:hAnsi="宋体" w:eastAsia="宋体" w:cs="宋体"/>
                <w:color w:val="000000"/>
                <w:sz w:val="18"/>
                <w:szCs w:val="18"/>
                <w:highlight w:val="none"/>
              </w:rPr>
              <w:t>由此产生的费用全部由中标供应商负责。</w:t>
            </w:r>
          </w:p>
          <w:p>
            <w:pPr>
              <w:adjustRightInd w:val="0"/>
              <w:snapToGrid w:val="0"/>
              <w:spacing w:line="360" w:lineRule="auto"/>
              <w:jc w:val="left"/>
              <w:rPr>
                <w:rFonts w:hint="eastAsia" w:ascii="宋体" w:hAnsi="宋体" w:eastAsia="宋体" w:cs="宋体"/>
                <w:color w:val="000000"/>
                <w:sz w:val="18"/>
                <w:szCs w:val="18"/>
              </w:rPr>
            </w:pP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3"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21"/>
                <w:szCs w:val="21"/>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ind w:firstLine="180" w:firstLineChars="100"/>
              <w:jc w:val="both"/>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响应</w:t>
            </w: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要求</w:t>
            </w:r>
          </w:p>
        </w:tc>
        <w:tc>
          <w:tcPr>
            <w:tcW w:w="5575" w:type="dxa"/>
            <w:noWrap w:val="0"/>
            <w:vAlign w:val="center"/>
          </w:tcPr>
          <w:p>
            <w:pPr>
              <w:spacing w:line="240" w:lineRule="auto"/>
              <w:rPr>
                <w:rFonts w:hint="eastAsia" w:ascii="宋体" w:hAnsi="宋体" w:eastAsia="宋体" w:cs="宋体"/>
                <w:sz w:val="18"/>
                <w:szCs w:val="18"/>
                <w:highlight w:val="none"/>
              </w:rPr>
            </w:pPr>
            <w:r>
              <w:rPr>
                <w:rFonts w:hint="eastAsia" w:ascii="宋体" w:hAnsi="宋体" w:eastAsia="宋体" w:cs="宋体"/>
                <w:color w:val="000000"/>
                <w:sz w:val="18"/>
                <w:szCs w:val="18"/>
                <w:highlight w:val="none"/>
              </w:rPr>
              <w:t>在合同期内，中标供应商应为采购方提供7*24的故障修复服务</w:t>
            </w:r>
            <w:r>
              <w:rPr>
                <w:rFonts w:hint="eastAsia" w:ascii="宋体" w:hAnsi="宋体" w:eastAsia="宋体" w:cs="宋体"/>
                <w:color w:val="000000"/>
                <w:sz w:val="18"/>
                <w:szCs w:val="18"/>
                <w:highlight w:val="none"/>
                <w:lang w:eastAsia="zh-CN"/>
              </w:rPr>
              <w:t>，电话响应</w:t>
            </w:r>
            <w:r>
              <w:rPr>
                <w:rFonts w:hint="eastAsia" w:ascii="宋体" w:hAnsi="宋体" w:eastAsia="宋体" w:cs="宋体"/>
                <w:color w:val="000000"/>
                <w:sz w:val="18"/>
                <w:szCs w:val="18"/>
                <w:highlight w:val="none"/>
                <w:lang w:val="en-US" w:eastAsia="zh-CN"/>
              </w:rPr>
              <w:t>5分钟内</w:t>
            </w:r>
            <w:r>
              <w:rPr>
                <w:rFonts w:hint="eastAsia" w:ascii="宋体" w:hAnsi="宋体" w:eastAsia="宋体" w:cs="宋体"/>
                <w:color w:val="000000"/>
                <w:sz w:val="18"/>
                <w:szCs w:val="18"/>
                <w:highlight w:val="none"/>
              </w:rPr>
              <w:t>。当设备发生故障时，故障远程预警能够第一时间发出告警提示，采购方值班员应第一时间通知中标供应商，并着手处置故障。</w:t>
            </w:r>
          </w:p>
          <w:p>
            <w:pPr>
              <w:adjustRightInd w:val="0"/>
              <w:snapToGrid w:val="0"/>
              <w:spacing w:line="360" w:lineRule="auto"/>
              <w:jc w:val="left"/>
              <w:rPr>
                <w:rFonts w:hint="eastAsia" w:ascii="宋体" w:hAnsi="宋体" w:eastAsia="宋体" w:cs="宋体"/>
                <w:color w:val="000000"/>
                <w:sz w:val="18"/>
                <w:szCs w:val="18"/>
              </w:rPr>
            </w:pP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4"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21"/>
                <w:szCs w:val="21"/>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时限</w:t>
            </w: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要求</w:t>
            </w:r>
          </w:p>
        </w:tc>
        <w:tc>
          <w:tcPr>
            <w:tcW w:w="5575" w:type="dxa"/>
            <w:noWrap w:val="0"/>
            <w:vAlign w:val="center"/>
          </w:tcPr>
          <w:p>
            <w:pPr>
              <w:adjustRightInd w:val="0"/>
              <w:snapToGrid w:val="0"/>
              <w:spacing w:line="360" w:lineRule="auto"/>
              <w:jc w:val="left"/>
              <w:rPr>
                <w:rFonts w:hint="eastAsia" w:ascii="宋体" w:hAnsi="宋体" w:eastAsia="宋体" w:cs="宋体"/>
                <w:color w:val="000000"/>
                <w:sz w:val="18"/>
                <w:szCs w:val="18"/>
              </w:rPr>
            </w:pPr>
            <w:r>
              <w:rPr>
                <w:rFonts w:hint="eastAsia" w:ascii="宋体" w:hAnsi="宋体" w:eastAsia="宋体" w:cs="宋体"/>
                <w:color w:val="000000"/>
                <w:sz w:val="18"/>
                <w:szCs w:val="18"/>
              </w:rPr>
              <w:t>中标供应商应自接到故障通知</w:t>
            </w:r>
            <w:r>
              <w:rPr>
                <w:rFonts w:hint="eastAsia" w:ascii="宋体" w:hAnsi="宋体" w:eastAsia="宋体" w:cs="宋体"/>
                <w:color w:val="000000"/>
                <w:sz w:val="18"/>
                <w:szCs w:val="18"/>
                <w:lang w:val="en-US" w:eastAsia="zh-CN"/>
              </w:rPr>
              <w:t>20分钟</w:t>
            </w:r>
            <w:r>
              <w:rPr>
                <w:rFonts w:hint="eastAsia" w:ascii="宋体" w:hAnsi="宋体" w:eastAsia="宋体" w:cs="宋体"/>
                <w:color w:val="000000"/>
                <w:sz w:val="18"/>
                <w:szCs w:val="18"/>
              </w:rPr>
              <w:t>内派人到达现场，负责检测并排除故障。对当日无法解决的故障或故障设备将影响系统正常运行的，应提供代用设备或应急解决方案，并确保系统正常运行。</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1"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21"/>
                <w:szCs w:val="21"/>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报告要求</w:t>
            </w:r>
          </w:p>
        </w:tc>
        <w:tc>
          <w:tcPr>
            <w:tcW w:w="5575" w:type="dxa"/>
            <w:noWrap w:val="0"/>
            <w:vAlign w:val="center"/>
          </w:tcPr>
          <w:p>
            <w:pPr>
              <w:adjustRightInd w:val="0"/>
              <w:snapToGrid w:val="0"/>
              <w:spacing w:line="360" w:lineRule="auto"/>
              <w:jc w:val="left"/>
              <w:rPr>
                <w:rFonts w:hint="eastAsia" w:ascii="宋体" w:hAnsi="宋体" w:eastAsia="宋体" w:cs="宋体"/>
                <w:color w:val="000000"/>
                <w:sz w:val="18"/>
                <w:szCs w:val="18"/>
              </w:rPr>
            </w:pPr>
            <w:r>
              <w:rPr>
                <w:rFonts w:hint="eastAsia" w:ascii="宋体" w:hAnsi="宋体" w:eastAsia="宋体" w:cs="宋体"/>
                <w:color w:val="000000"/>
                <w:sz w:val="18"/>
                <w:szCs w:val="18"/>
                <w:lang w:eastAsia="zh-CN"/>
              </w:rPr>
              <w:t>中标供应商负责相关零部件的更换及维修，直至恢复设备的正常使用。故障排除后，中标供应商须出具故障处理报告，帮助采购方进行故障根源的分析和诊断，提出后续工作的改进措施。</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2"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21"/>
                <w:szCs w:val="21"/>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highlight w:val="none"/>
                <w:lang w:val="en-US" w:eastAsia="zh-CN" w:bidi="ar-SA"/>
              </w:rPr>
            </w:pPr>
            <w:r>
              <w:rPr>
                <w:rFonts w:hint="eastAsia" w:ascii="宋体" w:hAnsi="宋体" w:eastAsia="宋体" w:cs="宋体"/>
                <w:kern w:val="2"/>
                <w:sz w:val="18"/>
                <w:szCs w:val="18"/>
                <w:highlight w:val="none"/>
                <w:lang w:val="en-US" w:eastAsia="zh-CN" w:bidi="ar-SA"/>
              </w:rPr>
              <w:t>特殊故障保障</w:t>
            </w: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highlight w:val="none"/>
                <w:lang w:val="en-US" w:eastAsia="zh-CN" w:bidi="ar-SA"/>
              </w:rPr>
              <w:t>要求</w:t>
            </w:r>
          </w:p>
        </w:tc>
        <w:tc>
          <w:tcPr>
            <w:tcW w:w="5575" w:type="dxa"/>
            <w:noWrap w:val="0"/>
            <w:vAlign w:val="center"/>
          </w:tcPr>
          <w:p>
            <w:pPr>
              <w:spacing w:line="240" w:lineRule="auto"/>
              <w:ind w:firstLine="360" w:firstLineChars="200"/>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对于不能快速修复的特殊故障，中标供应商要能够提供机房应急保障设备</w:t>
            </w:r>
            <w:r>
              <w:rPr>
                <w:rFonts w:hint="eastAsia" w:ascii="宋体" w:hAnsi="宋体" w:eastAsia="宋体" w:cs="宋体"/>
                <w:color w:val="000000"/>
                <w:sz w:val="18"/>
                <w:szCs w:val="18"/>
                <w:highlight w:val="none"/>
                <w:lang w:eastAsia="zh-CN"/>
              </w:rPr>
              <w:t>，功率不小于现有使用设备</w:t>
            </w:r>
            <w:r>
              <w:rPr>
                <w:rFonts w:hint="eastAsia" w:ascii="宋体" w:hAnsi="宋体" w:eastAsia="宋体" w:cs="宋体"/>
                <w:color w:val="000000"/>
                <w:sz w:val="18"/>
                <w:szCs w:val="18"/>
                <w:highlight w:val="none"/>
              </w:rPr>
              <w:t>，不得少于3项</w:t>
            </w:r>
            <w:r>
              <w:rPr>
                <w:rFonts w:hint="eastAsia" w:ascii="宋体" w:hAnsi="宋体" w:eastAsia="宋体" w:cs="宋体"/>
                <w:color w:val="000000"/>
                <w:sz w:val="18"/>
                <w:szCs w:val="18"/>
                <w:highlight w:val="none"/>
                <w:lang w:eastAsia="zh-CN"/>
              </w:rPr>
              <w:t>（包含但不限于应急发电车、移动式空调、满足机房负载使用的</w:t>
            </w:r>
            <w:r>
              <w:rPr>
                <w:rFonts w:hint="eastAsia" w:ascii="宋体" w:hAnsi="宋体" w:eastAsia="宋体" w:cs="宋体"/>
                <w:color w:val="000000"/>
                <w:sz w:val="18"/>
                <w:szCs w:val="18"/>
                <w:highlight w:val="none"/>
                <w:lang w:val="en-US" w:eastAsia="zh-CN"/>
              </w:rPr>
              <w:t>UPS备机</w:t>
            </w:r>
            <w:r>
              <w:rPr>
                <w:rFonts w:hint="eastAsia" w:ascii="宋体" w:hAnsi="宋体" w:eastAsia="宋体" w:cs="宋体"/>
                <w:color w:val="000000"/>
                <w:sz w:val="18"/>
                <w:szCs w:val="18"/>
                <w:highlight w:val="none"/>
                <w:lang w:eastAsia="zh-CN"/>
              </w:rPr>
              <w:t>）</w:t>
            </w:r>
            <w:r>
              <w:rPr>
                <w:rFonts w:hint="eastAsia" w:ascii="宋体" w:hAnsi="宋体" w:eastAsia="宋体" w:cs="宋体"/>
                <w:color w:val="000000"/>
                <w:sz w:val="18"/>
                <w:szCs w:val="18"/>
                <w:highlight w:val="none"/>
              </w:rPr>
              <w:t>。</w:t>
            </w:r>
          </w:p>
          <w:p>
            <w:pPr>
              <w:adjustRightInd w:val="0"/>
              <w:snapToGrid w:val="0"/>
              <w:spacing w:line="360" w:lineRule="auto"/>
              <w:jc w:val="left"/>
              <w:rPr>
                <w:rFonts w:hint="eastAsia" w:ascii="宋体" w:hAnsi="宋体" w:eastAsia="宋体" w:cs="宋体"/>
                <w:color w:val="000000"/>
                <w:sz w:val="18"/>
                <w:szCs w:val="18"/>
              </w:rPr>
            </w:pP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4"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21"/>
                <w:szCs w:val="21"/>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零部件保障要求</w:t>
            </w:r>
          </w:p>
        </w:tc>
        <w:tc>
          <w:tcPr>
            <w:tcW w:w="5575" w:type="dxa"/>
            <w:noWrap w:val="0"/>
            <w:vAlign w:val="center"/>
          </w:tcPr>
          <w:p>
            <w:pPr>
              <w:adjustRightInd w:val="0"/>
              <w:snapToGrid w:val="0"/>
              <w:spacing w:line="360" w:lineRule="auto"/>
              <w:jc w:val="left"/>
              <w:rPr>
                <w:rFonts w:hint="eastAsia" w:ascii="宋体" w:hAnsi="宋体" w:eastAsia="宋体" w:cs="宋体"/>
                <w:color w:val="000000"/>
                <w:sz w:val="18"/>
                <w:szCs w:val="18"/>
              </w:rPr>
            </w:pPr>
            <w:r>
              <w:rPr>
                <w:rFonts w:hint="eastAsia" w:ascii="宋体" w:hAnsi="宋体" w:eastAsia="宋体" w:cs="宋体"/>
                <w:color w:val="000000"/>
                <w:sz w:val="18"/>
                <w:szCs w:val="18"/>
              </w:rPr>
              <w:t>中标供应商应保证在维修更换配件时使用同型号原厂配件，保证采购方在使用产品时安全、可靠，享有完整的厂家售后服务，同时应免受第三方提出的侵犯著作权、专利权、商标权或设计权的纠纷。如中标供应商采用不符合要求的部件替换故障部件，采购方有权要求中标供应商更换，给采购方造成损失的，采购方有权要求给予损失赔偿。</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9"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21"/>
                <w:szCs w:val="21"/>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highlight w:val="none"/>
                <w:lang w:val="en-US" w:eastAsia="zh-CN" w:bidi="ar-SA"/>
              </w:rPr>
              <w:t>定期演练要求</w:t>
            </w:r>
          </w:p>
        </w:tc>
        <w:tc>
          <w:tcPr>
            <w:tcW w:w="5575" w:type="dxa"/>
            <w:noWrap w:val="0"/>
            <w:vAlign w:val="center"/>
          </w:tcPr>
          <w:p>
            <w:pPr>
              <w:snapToGrid w:val="0"/>
              <w:spacing w:line="396" w:lineRule="auto"/>
              <w:jc w:val="left"/>
              <w:rPr>
                <w:rFonts w:hint="eastAsia" w:ascii="仿宋_GB2312" w:hAnsi="仿宋_GB2312" w:eastAsia="仿宋_GB2312" w:cs="仿宋_GB2312"/>
                <w:color w:val="000000"/>
                <w:sz w:val="32"/>
                <w:szCs w:val="32"/>
                <w:highlight w:val="red"/>
                <w:lang w:eastAsia="zh-CN"/>
              </w:rPr>
            </w:pPr>
            <w:r>
              <w:rPr>
                <w:rFonts w:hint="eastAsia" w:ascii="宋体" w:hAnsi="宋体" w:eastAsia="宋体" w:cs="宋体"/>
                <w:color w:val="000000"/>
                <w:sz w:val="18"/>
                <w:szCs w:val="18"/>
                <w:lang w:eastAsia="zh-CN"/>
              </w:rPr>
              <w:t>为</w:t>
            </w:r>
            <w:r>
              <w:rPr>
                <w:rFonts w:hint="eastAsia" w:ascii="宋体" w:hAnsi="宋体" w:eastAsia="宋体" w:cs="宋体"/>
                <w:color w:val="000000"/>
                <w:sz w:val="18"/>
                <w:szCs w:val="18"/>
                <w:highlight w:val="none"/>
              </w:rPr>
              <w:t>加强风险管理意识，提高相关人员的应急处置能力，及时发现可能存在的问题，确保在紧急情况下，能够真正发挥作用，需要通过周期性的演习演练来不断检验应急体系的可靠性、有效性和可操作性</w:t>
            </w:r>
            <w:r>
              <w:rPr>
                <w:rFonts w:hint="eastAsia" w:ascii="宋体" w:hAnsi="宋体" w:eastAsia="宋体" w:cs="宋体"/>
                <w:color w:val="000000"/>
                <w:sz w:val="18"/>
                <w:szCs w:val="18"/>
                <w:highlight w:val="none"/>
                <w:lang w:eastAsia="zh-CN"/>
              </w:rPr>
              <w:t>。</w:t>
            </w:r>
          </w:p>
          <w:p>
            <w:pPr>
              <w:adjustRightInd w:val="0"/>
              <w:snapToGrid w:val="0"/>
              <w:spacing w:line="360" w:lineRule="auto"/>
              <w:jc w:val="left"/>
              <w:rPr>
                <w:rFonts w:hint="eastAsia" w:ascii="宋体" w:hAnsi="宋体" w:eastAsia="宋体" w:cs="宋体"/>
                <w:color w:val="000000"/>
                <w:sz w:val="18"/>
                <w:szCs w:val="18"/>
              </w:rPr>
            </w:pP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4"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21"/>
                <w:szCs w:val="21"/>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highlight w:val="none"/>
                <w:lang w:val="en-US" w:eastAsia="zh-CN" w:bidi="ar-SA"/>
              </w:rPr>
            </w:pPr>
            <w:r>
              <w:rPr>
                <w:rFonts w:hint="eastAsia" w:ascii="宋体" w:hAnsi="宋体" w:eastAsia="宋体" w:cs="宋体"/>
                <w:kern w:val="2"/>
                <w:sz w:val="18"/>
                <w:szCs w:val="18"/>
                <w:highlight w:val="none"/>
                <w:lang w:val="en-US" w:eastAsia="zh-CN" w:bidi="ar-SA"/>
              </w:rPr>
              <w:t>定期检查维护</w:t>
            </w: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highlight w:val="none"/>
                <w:lang w:val="en-US" w:eastAsia="zh-CN" w:bidi="ar-SA"/>
              </w:rPr>
              <w:t>要求</w:t>
            </w:r>
          </w:p>
        </w:tc>
        <w:tc>
          <w:tcPr>
            <w:tcW w:w="5575" w:type="dxa"/>
            <w:noWrap w:val="0"/>
            <w:vAlign w:val="center"/>
          </w:tcPr>
          <w:p>
            <w:pPr>
              <w:adjustRightInd w:val="0"/>
              <w:snapToGrid w:val="0"/>
              <w:spacing w:line="360" w:lineRule="auto"/>
              <w:jc w:val="left"/>
              <w:rPr>
                <w:rFonts w:hint="eastAsia" w:ascii="宋体" w:hAnsi="宋体" w:eastAsia="宋体" w:cs="宋体"/>
                <w:color w:val="000000"/>
                <w:sz w:val="18"/>
                <w:szCs w:val="18"/>
              </w:rPr>
            </w:pPr>
            <w:r>
              <w:rPr>
                <w:rFonts w:hint="eastAsia" w:ascii="宋体" w:hAnsi="宋体" w:eastAsia="宋体" w:cs="宋体"/>
                <w:sz w:val="18"/>
                <w:szCs w:val="18"/>
                <w:highlight w:val="none"/>
              </w:rPr>
              <w:t>定期开展健康性检查和预防性维护，尽早发现机房基础环境可能存在的缺陷和安全隐患，识别可能影响运行状态的故障隐患，以便于制定基础环境维护升级计划，为开展机房基础环境维护、改造、扩容提供依据，避免潜在问题拖延导致的严重故障。</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4"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21"/>
                <w:szCs w:val="21"/>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分析表要求</w:t>
            </w:r>
          </w:p>
        </w:tc>
        <w:tc>
          <w:tcPr>
            <w:tcW w:w="5575" w:type="dxa"/>
            <w:noWrap w:val="0"/>
            <w:vAlign w:val="center"/>
          </w:tcPr>
          <w:p>
            <w:pPr>
              <w:spacing w:line="360" w:lineRule="auto"/>
              <w:rPr>
                <w:rFonts w:hint="default" w:ascii="仿宋_GB2312" w:hAnsi="仿宋_GB2312" w:eastAsia="仿宋_GB2312" w:cs="仿宋_GB2312"/>
                <w:color w:val="000000"/>
                <w:sz w:val="32"/>
                <w:szCs w:val="32"/>
              </w:rPr>
            </w:pPr>
            <w:r>
              <w:rPr>
                <w:rFonts w:hint="eastAsia" w:ascii="宋体" w:hAnsi="宋体" w:eastAsia="宋体" w:cs="宋体"/>
                <w:color w:val="000000"/>
                <w:sz w:val="18"/>
                <w:szCs w:val="18"/>
              </w:rPr>
              <w:t>供应商应每年向采购方书面报送《机房异常情况及处置情况汇总表》，分析设备运转情况，归纳异常情况形成的原因, 制定下一步整改措施。</w:t>
            </w:r>
          </w:p>
          <w:p>
            <w:pPr>
              <w:adjustRightInd w:val="0"/>
              <w:snapToGrid w:val="0"/>
              <w:spacing w:line="360" w:lineRule="auto"/>
              <w:jc w:val="left"/>
              <w:rPr>
                <w:rFonts w:hint="eastAsia" w:ascii="宋体" w:hAnsi="宋体" w:eastAsia="宋体" w:cs="宋体"/>
                <w:color w:val="000000"/>
                <w:sz w:val="18"/>
                <w:szCs w:val="18"/>
              </w:rPr>
            </w:pP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3"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eastAsia="zh-CN"/>
              </w:rPr>
              <w:t>咨询要求</w:t>
            </w:r>
          </w:p>
        </w:tc>
        <w:tc>
          <w:tcPr>
            <w:tcW w:w="5575" w:type="dxa"/>
            <w:noWrap w:val="0"/>
            <w:vAlign w:val="center"/>
          </w:tcPr>
          <w:p>
            <w:pPr>
              <w:adjustRightInd w:val="0"/>
              <w:snapToGrid w:val="0"/>
              <w:spacing w:line="360" w:lineRule="auto"/>
              <w:jc w:val="left"/>
              <w:rPr>
                <w:rFonts w:hint="eastAsia" w:ascii="宋体" w:hAnsi="宋体" w:eastAsia="宋体" w:cs="宋体"/>
                <w:kern w:val="2"/>
                <w:sz w:val="18"/>
                <w:szCs w:val="18"/>
                <w:lang w:val="en-US" w:eastAsia="zh-CN" w:bidi="ar-SA"/>
              </w:rPr>
            </w:pPr>
            <w:r>
              <w:rPr>
                <w:rFonts w:hint="eastAsia" w:ascii="宋体" w:hAnsi="宋体" w:eastAsia="宋体" w:cs="宋体"/>
                <w:color w:val="000000"/>
                <w:sz w:val="18"/>
                <w:szCs w:val="18"/>
              </w:rPr>
              <w:t>中标供应商应免费提供技术咨询服务，包括新产品新技术通报，软硬件技术咨询，系统改进意见，提供技术解决方案(如:重要割接操作事前方案等)，项目长远规划，研究解决技术难题。</w:t>
            </w:r>
          </w:p>
        </w:tc>
        <w:tc>
          <w:tcPr>
            <w:tcW w:w="1440" w:type="dxa"/>
            <w:noWrap w:val="0"/>
            <w:vAlign w:val="center"/>
          </w:tcPr>
          <w:p>
            <w:pPr>
              <w:adjustRightInd w:val="0"/>
              <w:snapToGrid w:val="0"/>
              <w:spacing w:line="360" w:lineRule="auto"/>
              <w:jc w:val="both"/>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8"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咨询要求</w:t>
            </w:r>
          </w:p>
        </w:tc>
        <w:tc>
          <w:tcPr>
            <w:tcW w:w="5575" w:type="dxa"/>
            <w:noWrap w:val="0"/>
            <w:vAlign w:val="center"/>
          </w:tcPr>
          <w:p>
            <w:pPr>
              <w:adjustRightInd w:val="0"/>
              <w:snapToGrid w:val="0"/>
              <w:spacing w:line="360" w:lineRule="auto"/>
              <w:jc w:val="left"/>
              <w:rPr>
                <w:rFonts w:hint="eastAsia" w:ascii="宋体" w:hAnsi="宋体" w:eastAsia="宋体" w:cs="宋体"/>
                <w:color w:val="000000"/>
                <w:sz w:val="18"/>
                <w:szCs w:val="18"/>
              </w:rPr>
            </w:pPr>
            <w:r>
              <w:rPr>
                <w:rFonts w:hint="eastAsia" w:ascii="宋体" w:hAnsi="宋体" w:eastAsia="宋体" w:cs="宋体"/>
                <w:color w:val="000000"/>
                <w:sz w:val="18"/>
                <w:szCs w:val="18"/>
              </w:rPr>
              <w:t>中标供应商须以书面形式告知采购方7*24小时的专用维保服务电话、移动电话、电子邮件、传真等联系方式，用于受理故障报修，解答采购方的技术咨询问题。如联系方式有变动，中标供应商须提前以书面形式通知采购方。</w:t>
            </w:r>
          </w:p>
        </w:tc>
        <w:tc>
          <w:tcPr>
            <w:tcW w:w="1440" w:type="dxa"/>
            <w:noWrap w:val="0"/>
            <w:vAlign w:val="center"/>
          </w:tcPr>
          <w:p>
            <w:pPr>
              <w:adjustRightInd w:val="0"/>
              <w:snapToGrid w:val="0"/>
              <w:spacing w:line="360" w:lineRule="auto"/>
              <w:jc w:val="both"/>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2"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highlight w:val="none"/>
                <w:lang w:val="en-US" w:eastAsia="zh-CN" w:bidi="ar-SA"/>
              </w:rPr>
              <w:t>专业团队要求</w:t>
            </w:r>
          </w:p>
        </w:tc>
        <w:tc>
          <w:tcPr>
            <w:tcW w:w="5575" w:type="dxa"/>
            <w:noWrap w:val="0"/>
            <w:vAlign w:val="center"/>
          </w:tcPr>
          <w:p>
            <w:pPr>
              <w:spacing w:line="240" w:lineRule="auto"/>
              <w:rPr>
                <w:rFonts w:hint="default" w:ascii="仿宋_GB2312" w:hAnsi="仿宋_GB2312" w:eastAsia="仿宋_GB2312" w:cs="仿宋_GB2312"/>
                <w:color w:val="000000"/>
                <w:sz w:val="32"/>
                <w:szCs w:val="32"/>
              </w:rPr>
            </w:pPr>
            <w:r>
              <w:rPr>
                <w:rFonts w:hint="eastAsia" w:ascii="宋体" w:hAnsi="宋体" w:eastAsia="宋体" w:cs="宋体"/>
                <w:color w:val="000000"/>
                <w:sz w:val="18"/>
                <w:szCs w:val="18"/>
                <w:lang w:eastAsia="zh-CN"/>
              </w:rPr>
              <w:t>中标</w:t>
            </w:r>
            <w:r>
              <w:rPr>
                <w:rFonts w:hint="eastAsia" w:ascii="宋体" w:hAnsi="宋体" w:eastAsia="宋体" w:cs="宋体"/>
                <w:color w:val="000000"/>
                <w:sz w:val="18"/>
                <w:szCs w:val="18"/>
              </w:rPr>
              <w:t>供应商在维护配电系统、UPS系统、空调系统、新风加湿系统、净水系统系统等，需要有专业的团队，完全熟悉维保设备的</w:t>
            </w:r>
            <w:r>
              <w:rPr>
                <w:rFonts w:hint="eastAsia" w:ascii="宋体" w:hAnsi="宋体" w:eastAsia="宋体" w:cs="宋体"/>
                <w:color w:val="000000"/>
                <w:sz w:val="18"/>
                <w:szCs w:val="18"/>
                <w:lang w:eastAsia="zh-CN"/>
              </w:rPr>
              <w:t>性能指标</w:t>
            </w:r>
            <w:r>
              <w:rPr>
                <w:rFonts w:hint="eastAsia" w:ascii="宋体" w:hAnsi="宋体" w:eastAsia="宋体" w:cs="宋体"/>
                <w:color w:val="000000"/>
                <w:sz w:val="18"/>
                <w:szCs w:val="18"/>
              </w:rPr>
              <w:t>，能够及时准确的做好机房基础环境设备的维修保障</w:t>
            </w:r>
            <w:r>
              <w:rPr>
                <w:rFonts w:hint="eastAsia" w:ascii="宋体" w:hAnsi="宋体" w:eastAsia="宋体" w:cs="宋体"/>
                <w:bCs/>
                <w:color w:val="000000"/>
                <w:sz w:val="18"/>
                <w:szCs w:val="18"/>
              </w:rPr>
              <w:t>，做好动环监控系统软件升级服务</w:t>
            </w:r>
            <w:r>
              <w:rPr>
                <w:rFonts w:hint="eastAsia" w:ascii="宋体" w:hAnsi="宋体" w:eastAsia="宋体" w:cs="宋体"/>
                <w:color w:val="000000"/>
                <w:sz w:val="18"/>
                <w:szCs w:val="18"/>
              </w:rPr>
              <w:t>工作，软件升级及维保服务要求中标供应商提供原厂商服务。对动环监控系统提供完整的巡检方案，保证机房监控系统安全、稳定运行。</w:t>
            </w:r>
          </w:p>
          <w:p>
            <w:pPr>
              <w:adjustRightInd w:val="0"/>
              <w:snapToGrid w:val="0"/>
              <w:spacing w:line="360" w:lineRule="auto"/>
              <w:jc w:val="left"/>
              <w:rPr>
                <w:rFonts w:hint="eastAsia" w:ascii="宋体" w:hAnsi="宋体" w:eastAsia="宋体" w:cs="宋体"/>
                <w:kern w:val="2"/>
                <w:sz w:val="18"/>
                <w:szCs w:val="18"/>
                <w:lang w:val="en-US" w:eastAsia="zh-CN" w:bidi="ar-SA"/>
              </w:rPr>
            </w:pPr>
          </w:p>
        </w:tc>
        <w:tc>
          <w:tcPr>
            <w:tcW w:w="1440" w:type="dxa"/>
            <w:noWrap w:val="0"/>
            <w:vAlign w:val="center"/>
          </w:tcPr>
          <w:p>
            <w:pPr>
              <w:adjustRightInd w:val="0"/>
              <w:snapToGrid w:val="0"/>
              <w:spacing w:line="360" w:lineRule="auto"/>
              <w:jc w:val="both"/>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0"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restart"/>
            <w:noWrap w:val="0"/>
            <w:vAlign w:val="top"/>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机房设备健康检查技术要求</w:t>
            </w: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UPS</w:t>
            </w:r>
          </w:p>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维护保养工作内容</w:t>
            </w:r>
          </w:p>
        </w:tc>
        <w:tc>
          <w:tcPr>
            <w:tcW w:w="5575" w:type="dxa"/>
            <w:noWrap w:val="0"/>
            <w:vAlign w:val="center"/>
          </w:tcPr>
          <w:p>
            <w:pPr>
              <w:adjustRightInd w:val="0"/>
              <w:snapToGrid w:val="0"/>
              <w:spacing w:line="360" w:lineRule="auto"/>
              <w:jc w:val="left"/>
              <w:rPr>
                <w:rFonts w:hint="eastAsia" w:ascii="宋体" w:hAnsi="宋体" w:eastAsia="宋体" w:cs="宋体"/>
                <w:kern w:val="2"/>
                <w:sz w:val="18"/>
                <w:szCs w:val="18"/>
                <w:lang w:val="en-US" w:eastAsia="zh-CN" w:bidi="ar-SA"/>
              </w:rPr>
            </w:pPr>
            <w:r>
              <w:rPr>
                <w:rFonts w:hint="eastAsia" w:ascii="宋体" w:hAnsi="宋体" w:eastAsia="宋体" w:cs="宋体"/>
                <w:color w:val="000000"/>
                <w:sz w:val="18"/>
                <w:szCs w:val="18"/>
                <w:lang w:eastAsia="zh-CN"/>
              </w:rPr>
              <w:t>每月开展</w:t>
            </w:r>
            <w:r>
              <w:rPr>
                <w:rFonts w:hint="eastAsia" w:ascii="宋体" w:hAnsi="宋体" w:eastAsia="宋体" w:cs="宋体"/>
                <w:color w:val="000000"/>
                <w:sz w:val="18"/>
                <w:szCs w:val="18"/>
              </w:rPr>
              <w:t>环境检查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运行情况检查与备份</w:t>
            </w:r>
            <w:r>
              <w:rPr>
                <w:rFonts w:hint="eastAsia" w:ascii="宋体" w:hAnsi="宋体" w:eastAsia="宋体" w:cs="宋体"/>
                <w:sz w:val="18"/>
                <w:szCs w:val="18"/>
                <w:lang w:eastAsia="zh-CN"/>
              </w:rPr>
              <w:t>，</w:t>
            </w:r>
            <w:r>
              <w:rPr>
                <w:rFonts w:hint="eastAsia" w:ascii="宋体" w:hAnsi="宋体" w:eastAsia="宋体" w:cs="宋体"/>
                <w:color w:val="000000"/>
                <w:sz w:val="18"/>
                <w:szCs w:val="18"/>
              </w:rPr>
              <w:t>除尘与紧固</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电气检查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关键部件更换</w:t>
            </w:r>
            <w:r>
              <w:rPr>
                <w:rFonts w:hint="eastAsia" w:ascii="宋体" w:hAnsi="宋体" w:eastAsia="宋体" w:cs="宋体"/>
                <w:color w:val="000000"/>
                <w:sz w:val="18"/>
                <w:szCs w:val="18"/>
                <w:lang w:eastAsia="zh-CN"/>
              </w:rPr>
              <w:t>。</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1"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蓄电</w:t>
            </w: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维护保养工作内容</w:t>
            </w:r>
          </w:p>
        </w:tc>
        <w:tc>
          <w:tcPr>
            <w:tcW w:w="5575" w:type="dxa"/>
            <w:noWrap w:val="0"/>
            <w:vAlign w:val="center"/>
          </w:tcPr>
          <w:p>
            <w:pPr>
              <w:rPr>
                <w:rFonts w:hint="eastAsia" w:ascii="宋体" w:hAnsi="宋体" w:eastAsia="宋体" w:cs="宋体"/>
                <w:kern w:val="2"/>
                <w:sz w:val="18"/>
                <w:szCs w:val="18"/>
                <w:lang w:val="en-US" w:eastAsia="zh-CN" w:bidi="ar-SA"/>
              </w:rPr>
            </w:pPr>
            <w:r>
              <w:rPr>
                <w:rFonts w:hint="eastAsia" w:ascii="宋体" w:hAnsi="宋体" w:eastAsia="宋体" w:cs="宋体"/>
                <w:color w:val="000000"/>
                <w:sz w:val="18"/>
                <w:szCs w:val="18"/>
                <w:lang w:eastAsia="zh-CN"/>
              </w:rPr>
              <w:t>每月开展</w:t>
            </w:r>
            <w:r>
              <w:rPr>
                <w:rFonts w:hint="eastAsia" w:ascii="宋体" w:hAnsi="宋体" w:eastAsia="宋体" w:cs="宋体"/>
                <w:color w:val="000000"/>
                <w:sz w:val="18"/>
                <w:szCs w:val="18"/>
              </w:rPr>
              <w:t>蓄电池外观检查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蓄电池室环境检查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蓄电池连接电缆检查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蓄电池内阻检查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蓄电池活化</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蓄电池电压检查</w:t>
            </w:r>
            <w:r>
              <w:rPr>
                <w:rFonts w:hint="eastAsia" w:ascii="宋体" w:hAnsi="宋体" w:eastAsia="宋体" w:cs="宋体"/>
                <w:color w:val="000000"/>
                <w:sz w:val="18"/>
                <w:szCs w:val="18"/>
                <w:lang w:eastAsia="zh-CN"/>
              </w:rPr>
              <w:t>。</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4"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配电柜维护保养工作内容</w:t>
            </w:r>
          </w:p>
        </w:tc>
        <w:tc>
          <w:tcPr>
            <w:tcW w:w="5575" w:type="dxa"/>
            <w:noWrap w:val="0"/>
            <w:vAlign w:val="center"/>
          </w:tcPr>
          <w:p>
            <w:pPr>
              <w:rPr>
                <w:rFonts w:hint="eastAsia" w:ascii="宋体" w:hAnsi="宋体" w:eastAsia="宋体" w:cs="宋体"/>
                <w:sz w:val="18"/>
                <w:szCs w:val="18"/>
                <w:lang w:eastAsia="zh-CN"/>
              </w:rPr>
            </w:pPr>
            <w:r>
              <w:rPr>
                <w:rFonts w:hint="eastAsia" w:ascii="宋体" w:hAnsi="宋体" w:eastAsia="宋体" w:cs="宋体"/>
                <w:color w:val="000000"/>
                <w:sz w:val="18"/>
                <w:szCs w:val="18"/>
                <w:lang w:eastAsia="zh-CN"/>
              </w:rPr>
              <w:t>每月对维保范围内的</w:t>
            </w:r>
            <w:r>
              <w:rPr>
                <w:rFonts w:hint="eastAsia" w:ascii="宋体" w:hAnsi="宋体" w:eastAsia="宋体" w:cs="宋体"/>
                <w:color w:val="000000"/>
                <w:sz w:val="18"/>
                <w:szCs w:val="18"/>
              </w:rPr>
              <w:t>低压电器及其成套配电装置检查</w:t>
            </w:r>
            <w:r>
              <w:rPr>
                <w:rFonts w:hint="eastAsia" w:ascii="宋体" w:hAnsi="宋体" w:eastAsia="宋体" w:cs="宋体"/>
                <w:color w:val="000000"/>
                <w:sz w:val="18"/>
                <w:szCs w:val="18"/>
                <w:lang w:eastAsia="zh-CN"/>
              </w:rPr>
              <w:t>，检查运行状态，查找风险隐患，提出解决建议。</w:t>
            </w:r>
          </w:p>
          <w:p>
            <w:pPr>
              <w:adjustRightInd w:val="0"/>
              <w:snapToGrid w:val="0"/>
              <w:spacing w:line="360" w:lineRule="auto"/>
              <w:jc w:val="left"/>
              <w:rPr>
                <w:rFonts w:hint="eastAsia" w:ascii="宋体" w:hAnsi="宋体" w:eastAsia="宋体" w:cs="宋体"/>
                <w:color w:val="000000"/>
                <w:sz w:val="18"/>
                <w:szCs w:val="18"/>
              </w:rPr>
            </w:pP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8"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精密空调维护保养工作内容</w:t>
            </w:r>
          </w:p>
        </w:tc>
        <w:tc>
          <w:tcPr>
            <w:tcW w:w="5575" w:type="dxa"/>
            <w:noWrap w:val="0"/>
            <w:vAlign w:val="center"/>
          </w:tcPr>
          <w:p>
            <w:pPr>
              <w:rPr>
                <w:rFonts w:hint="eastAsia" w:ascii="宋体" w:hAnsi="宋体" w:eastAsia="宋体" w:cs="宋体"/>
                <w:sz w:val="18"/>
                <w:szCs w:val="18"/>
                <w:lang w:eastAsia="zh-CN"/>
              </w:rPr>
            </w:pPr>
            <w:r>
              <w:rPr>
                <w:rFonts w:hint="eastAsia" w:ascii="宋体" w:hAnsi="宋体" w:eastAsia="宋体" w:cs="宋体"/>
                <w:color w:val="000000"/>
                <w:sz w:val="18"/>
                <w:szCs w:val="18"/>
                <w:lang w:eastAsia="zh-CN"/>
              </w:rPr>
              <w:t>每月对精密空调开展</w:t>
            </w:r>
            <w:r>
              <w:rPr>
                <w:rFonts w:hint="eastAsia" w:ascii="宋体" w:hAnsi="宋体" w:eastAsia="宋体" w:cs="宋体"/>
                <w:color w:val="000000"/>
                <w:sz w:val="18"/>
                <w:szCs w:val="18"/>
              </w:rPr>
              <w:t>操作面板主板</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风机</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加湿器</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蒸发器</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冷凝器</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压缩机</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电气</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过滤网</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PTC加热器</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电磁阀</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膨胀阀</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干燥过滤器</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给排水管路</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冷冻油酸度测试</w:t>
            </w:r>
            <w:r>
              <w:rPr>
                <w:rFonts w:hint="eastAsia" w:ascii="宋体" w:hAnsi="宋体" w:eastAsia="宋体" w:cs="宋体"/>
                <w:color w:val="000000"/>
                <w:sz w:val="18"/>
                <w:szCs w:val="18"/>
                <w:lang w:eastAsia="zh-CN"/>
              </w:rPr>
              <w:t>。</w:t>
            </w:r>
          </w:p>
          <w:p>
            <w:pPr>
              <w:adjustRightInd w:val="0"/>
              <w:snapToGrid w:val="0"/>
              <w:spacing w:line="360" w:lineRule="auto"/>
              <w:jc w:val="left"/>
              <w:rPr>
                <w:rFonts w:hint="eastAsia" w:ascii="宋体" w:hAnsi="宋体" w:eastAsia="宋体" w:cs="宋体"/>
                <w:kern w:val="2"/>
                <w:sz w:val="18"/>
                <w:szCs w:val="18"/>
                <w:lang w:val="en-US" w:eastAsia="zh-CN" w:bidi="ar-SA"/>
              </w:rPr>
            </w:pP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0"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加湿机维护保养工作内容</w:t>
            </w:r>
          </w:p>
        </w:tc>
        <w:tc>
          <w:tcPr>
            <w:tcW w:w="5575" w:type="dxa"/>
            <w:noWrap w:val="0"/>
            <w:vAlign w:val="center"/>
          </w:tcPr>
          <w:p>
            <w:pPr>
              <w:rPr>
                <w:rFonts w:hint="eastAsia" w:ascii="宋体" w:hAnsi="宋体" w:eastAsia="宋体" w:cs="宋体"/>
                <w:kern w:val="2"/>
                <w:sz w:val="18"/>
                <w:szCs w:val="18"/>
                <w:lang w:val="en-US" w:eastAsia="zh-CN" w:bidi="ar-SA"/>
              </w:rPr>
            </w:pPr>
            <w:r>
              <w:rPr>
                <w:rFonts w:hint="eastAsia" w:ascii="宋体" w:hAnsi="宋体" w:eastAsia="宋体" w:cs="宋体"/>
                <w:color w:val="000000"/>
                <w:sz w:val="18"/>
                <w:szCs w:val="18"/>
                <w:lang w:eastAsia="zh-CN"/>
              </w:rPr>
              <w:t>每月对加湿设备的</w:t>
            </w:r>
            <w:r>
              <w:rPr>
                <w:rFonts w:hint="eastAsia" w:ascii="宋体" w:hAnsi="宋体" w:eastAsia="宋体" w:cs="宋体"/>
                <w:color w:val="000000"/>
                <w:sz w:val="18"/>
                <w:szCs w:val="18"/>
              </w:rPr>
              <w:t>控制面板主板</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风机</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湿度传感器</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湿膜</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水泵</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洒水喷淋管</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水箱</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浮球阀</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水位检测器</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电磁阀</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给排水管路</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过滤网</w:t>
            </w:r>
            <w:r>
              <w:rPr>
                <w:rFonts w:hint="eastAsia" w:ascii="宋体" w:hAnsi="宋体" w:eastAsia="宋体" w:cs="宋体"/>
                <w:color w:val="000000"/>
                <w:sz w:val="18"/>
                <w:szCs w:val="18"/>
                <w:lang w:eastAsia="zh-CN"/>
              </w:rPr>
              <w:t>检查。</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8"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净水系统维护保养工作内容</w:t>
            </w:r>
          </w:p>
        </w:tc>
        <w:tc>
          <w:tcPr>
            <w:tcW w:w="5575" w:type="dxa"/>
            <w:noWrap w:val="0"/>
            <w:vAlign w:val="center"/>
          </w:tcPr>
          <w:p>
            <w:pPr>
              <w:rPr>
                <w:rFonts w:hint="eastAsia" w:ascii="宋体" w:hAnsi="宋体" w:eastAsia="宋体" w:cs="宋体"/>
                <w:kern w:val="2"/>
                <w:sz w:val="18"/>
                <w:szCs w:val="18"/>
                <w:lang w:val="en-US" w:eastAsia="zh-CN" w:bidi="ar-SA"/>
              </w:rPr>
            </w:pPr>
            <w:r>
              <w:rPr>
                <w:rFonts w:hint="eastAsia" w:ascii="宋体" w:hAnsi="宋体" w:eastAsia="宋体" w:cs="宋体"/>
                <w:color w:val="000000"/>
                <w:sz w:val="18"/>
                <w:szCs w:val="18"/>
                <w:lang w:eastAsia="zh-CN"/>
              </w:rPr>
              <w:t>每月对净水系统的</w:t>
            </w:r>
            <w:r>
              <w:rPr>
                <w:rFonts w:hint="eastAsia" w:ascii="宋体" w:hAnsi="宋体" w:eastAsia="宋体" w:cs="宋体"/>
                <w:color w:val="000000"/>
                <w:sz w:val="18"/>
                <w:szCs w:val="18"/>
              </w:rPr>
              <w:t>控制面板主板</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反冲洗电磁阀</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超滤膜</w:t>
            </w:r>
            <w:r>
              <w:rPr>
                <w:rFonts w:hint="eastAsia" w:ascii="宋体" w:hAnsi="宋体" w:eastAsia="宋体" w:cs="宋体"/>
                <w:color w:val="000000"/>
                <w:sz w:val="18"/>
                <w:szCs w:val="18"/>
                <w:lang w:eastAsia="zh-CN"/>
              </w:rPr>
              <w:t>检查，</w:t>
            </w:r>
            <w:r>
              <w:rPr>
                <w:rFonts w:hint="eastAsia" w:ascii="宋体" w:hAnsi="宋体" w:eastAsia="宋体" w:cs="宋体"/>
                <w:sz w:val="18"/>
                <w:szCs w:val="18"/>
                <w:lang w:eastAsia="zh-CN"/>
              </w:rPr>
              <w:t>检查</w:t>
            </w:r>
            <w:r>
              <w:rPr>
                <w:rFonts w:hint="eastAsia" w:ascii="宋体" w:hAnsi="宋体" w:eastAsia="宋体" w:cs="宋体"/>
                <w:color w:val="000000"/>
                <w:sz w:val="18"/>
                <w:szCs w:val="18"/>
              </w:rPr>
              <w:t>PP棉滤芯</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阻垢碳棒</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O型密封圈</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电导率检测</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旁通阀</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电源</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给排水管路</w:t>
            </w:r>
            <w:r>
              <w:rPr>
                <w:rFonts w:hint="eastAsia" w:ascii="宋体" w:hAnsi="宋体" w:eastAsia="宋体" w:cs="宋体"/>
                <w:color w:val="000000"/>
                <w:sz w:val="18"/>
                <w:szCs w:val="18"/>
                <w:lang w:eastAsia="zh-CN"/>
              </w:rPr>
              <w:t>检查。</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5"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restart"/>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机房集中监控管理系统维护</w:t>
            </w: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要求</w:t>
            </w: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vMerge w:val="restart"/>
            <w:noWrap w:val="0"/>
            <w:vAlign w:val="center"/>
          </w:tcPr>
          <w:p>
            <w:pPr>
              <w:adjustRightInd w:val="0"/>
              <w:snapToGrid w:val="0"/>
              <w:spacing w:line="360" w:lineRule="auto"/>
              <w:jc w:val="both"/>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日常</w:t>
            </w:r>
          </w:p>
          <w:p>
            <w:pPr>
              <w:adjustRightInd w:val="0"/>
              <w:snapToGrid w:val="0"/>
              <w:spacing w:line="360" w:lineRule="auto"/>
              <w:jc w:val="both"/>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检查</w:t>
            </w:r>
          </w:p>
        </w:tc>
        <w:tc>
          <w:tcPr>
            <w:tcW w:w="5575" w:type="dxa"/>
            <w:noWrap w:val="0"/>
            <w:vAlign w:val="center"/>
          </w:tcPr>
          <w:p>
            <w:pPr>
              <w:spacing w:line="240" w:lineRule="auto"/>
              <w:rPr>
                <w:rFonts w:hint="eastAsia" w:ascii="宋体" w:hAnsi="宋体" w:eastAsia="宋体" w:cs="宋体"/>
                <w:bCs/>
                <w:color w:val="000000"/>
                <w:sz w:val="18"/>
                <w:szCs w:val="18"/>
                <w:highlight w:val="none"/>
              </w:rPr>
            </w:pPr>
            <w:r>
              <w:rPr>
                <w:rFonts w:hint="eastAsia" w:ascii="宋体" w:hAnsi="宋体" w:eastAsia="宋体" w:cs="宋体"/>
                <w:bCs/>
                <w:color w:val="000000"/>
                <w:sz w:val="18"/>
                <w:szCs w:val="18"/>
              </w:rPr>
              <w:t>检查分析事件及异常的记录，是否系统存在不稳定情况，对监控系统进行综合性的分析。</w:t>
            </w:r>
            <w:r>
              <w:rPr>
                <w:rFonts w:hint="eastAsia" w:ascii="宋体" w:hAnsi="宋体" w:eastAsia="宋体" w:cs="宋体"/>
                <w:bCs/>
                <w:color w:val="000000"/>
                <w:sz w:val="18"/>
                <w:szCs w:val="18"/>
                <w:highlight w:val="none"/>
              </w:rPr>
              <w:t>从多个方面对</w:t>
            </w:r>
            <w:r>
              <w:rPr>
                <w:rFonts w:hint="eastAsia" w:ascii="宋体" w:hAnsi="宋体" w:eastAsia="宋体" w:cs="宋体"/>
                <w:bCs/>
                <w:color w:val="000000"/>
                <w:sz w:val="18"/>
                <w:szCs w:val="18"/>
                <w:highlight w:val="none"/>
                <w:lang w:val="en-US" w:eastAsia="zh-CN"/>
              </w:rPr>
              <w:t>监控</w:t>
            </w:r>
            <w:r>
              <w:rPr>
                <w:rFonts w:hint="eastAsia" w:ascii="宋体" w:hAnsi="宋体" w:eastAsia="宋体" w:cs="宋体"/>
                <w:bCs/>
                <w:color w:val="000000"/>
                <w:sz w:val="18"/>
                <w:szCs w:val="18"/>
                <w:highlight w:val="none"/>
              </w:rPr>
              <w:t>主机服务器的硬件设备及操作系统进行监控管理和性能管理。对系统日志进行分类扫描查询。通过数据采集和分析，运维监控平台能够及时对</w:t>
            </w:r>
            <w:r>
              <w:rPr>
                <w:rFonts w:hint="eastAsia" w:ascii="宋体" w:hAnsi="宋体" w:eastAsia="宋体" w:cs="宋体"/>
                <w:bCs/>
                <w:color w:val="000000"/>
                <w:sz w:val="18"/>
                <w:szCs w:val="18"/>
                <w:highlight w:val="none"/>
                <w:lang w:val="en-US" w:eastAsia="zh-CN"/>
              </w:rPr>
              <w:t>所监控的设备</w:t>
            </w:r>
            <w:r>
              <w:rPr>
                <w:rFonts w:hint="eastAsia" w:ascii="宋体" w:hAnsi="宋体" w:eastAsia="宋体" w:cs="宋体"/>
                <w:bCs/>
                <w:color w:val="000000"/>
                <w:sz w:val="18"/>
                <w:szCs w:val="18"/>
                <w:highlight w:val="none"/>
              </w:rPr>
              <w:t>的故障事件发送报警，并采取相应的故障处理措施，保证</w:t>
            </w:r>
            <w:r>
              <w:rPr>
                <w:rFonts w:hint="eastAsia" w:ascii="宋体" w:hAnsi="宋体" w:eastAsia="宋体" w:cs="宋体"/>
                <w:bCs/>
                <w:color w:val="000000"/>
                <w:sz w:val="18"/>
                <w:szCs w:val="18"/>
                <w:highlight w:val="none"/>
                <w:lang w:val="en-US" w:eastAsia="zh-CN"/>
              </w:rPr>
              <w:t>监控系统</w:t>
            </w:r>
            <w:r>
              <w:rPr>
                <w:rFonts w:hint="eastAsia" w:ascii="宋体" w:hAnsi="宋体" w:eastAsia="宋体" w:cs="宋体"/>
                <w:bCs/>
                <w:color w:val="000000"/>
                <w:sz w:val="18"/>
                <w:szCs w:val="18"/>
                <w:highlight w:val="none"/>
              </w:rPr>
              <w:t>的正常运行。</w:t>
            </w:r>
          </w:p>
          <w:p>
            <w:pPr>
              <w:adjustRightInd w:val="0"/>
              <w:snapToGrid w:val="0"/>
              <w:spacing w:line="360" w:lineRule="auto"/>
              <w:jc w:val="left"/>
              <w:rPr>
                <w:rFonts w:hint="eastAsia" w:ascii="宋体" w:hAnsi="宋体" w:eastAsia="宋体" w:cs="宋体"/>
                <w:kern w:val="2"/>
                <w:sz w:val="18"/>
                <w:szCs w:val="18"/>
                <w:lang w:val="en-US" w:eastAsia="zh-CN" w:bidi="ar-SA"/>
              </w:rPr>
            </w:pP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4"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vMerge w:val="continue"/>
            <w:noWrap w:val="0"/>
            <w:vAlign w:val="center"/>
          </w:tcPr>
          <w:p>
            <w:pPr>
              <w:adjustRightInd w:val="0"/>
              <w:snapToGrid w:val="0"/>
              <w:spacing w:line="360" w:lineRule="auto"/>
              <w:jc w:val="both"/>
              <w:rPr>
                <w:rFonts w:hint="default" w:ascii="宋体" w:hAnsi="宋体" w:eastAsia="宋体" w:cs="宋体"/>
                <w:kern w:val="2"/>
                <w:sz w:val="18"/>
                <w:szCs w:val="18"/>
                <w:lang w:val="en-US" w:eastAsia="zh-CN" w:bidi="ar-SA"/>
              </w:rPr>
            </w:pPr>
          </w:p>
        </w:tc>
        <w:tc>
          <w:tcPr>
            <w:tcW w:w="5575" w:type="dxa"/>
            <w:noWrap w:val="0"/>
            <w:vAlign w:val="center"/>
          </w:tcPr>
          <w:p>
            <w:pPr>
              <w:rPr>
                <w:rFonts w:hint="eastAsia" w:ascii="宋体" w:hAnsi="宋体" w:eastAsia="宋体" w:cs="宋体"/>
                <w:kern w:val="2"/>
                <w:sz w:val="18"/>
                <w:szCs w:val="18"/>
                <w:lang w:val="en-US" w:eastAsia="zh-CN" w:bidi="ar-SA"/>
              </w:rPr>
            </w:pPr>
            <w:r>
              <w:rPr>
                <w:rFonts w:hint="eastAsia" w:ascii="宋体" w:hAnsi="宋体" w:eastAsia="宋体" w:cs="宋体"/>
                <w:bCs/>
                <w:color w:val="000000"/>
                <w:sz w:val="18"/>
                <w:szCs w:val="18"/>
              </w:rPr>
              <w:t>记录系统出现异常情况及故障的频率，真实地记录整个事件处理过程，并对出现的重大问题，做到及时上报；特别是对监控安全运行存在巨大隐患的事件做好仔细记录并做截屏，如死机、断电等故障。</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4"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both"/>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系统</w:t>
            </w:r>
          </w:p>
          <w:p>
            <w:pPr>
              <w:adjustRightInd w:val="0"/>
              <w:snapToGrid w:val="0"/>
              <w:spacing w:line="360" w:lineRule="auto"/>
              <w:jc w:val="both"/>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巡检</w:t>
            </w:r>
          </w:p>
        </w:tc>
        <w:tc>
          <w:tcPr>
            <w:tcW w:w="5575" w:type="dxa"/>
            <w:noWrap w:val="0"/>
            <w:vAlign w:val="center"/>
          </w:tcPr>
          <w:p>
            <w:pPr>
              <w:spacing w:line="240" w:lineRule="auto"/>
              <w:ind w:firstLine="360" w:firstLineChars="200"/>
              <w:rPr>
                <w:rFonts w:hint="eastAsia" w:ascii="宋体" w:hAnsi="宋体" w:eastAsia="宋体" w:cs="宋体"/>
                <w:bCs/>
                <w:color w:val="000000"/>
                <w:sz w:val="18"/>
                <w:szCs w:val="18"/>
                <w:highlight w:val="none"/>
              </w:rPr>
            </w:pPr>
            <w:r>
              <w:rPr>
                <w:rFonts w:hint="eastAsia" w:ascii="宋体" w:hAnsi="宋体" w:eastAsia="宋体" w:cs="宋体"/>
                <w:bCs/>
                <w:color w:val="000000"/>
                <w:sz w:val="18"/>
                <w:szCs w:val="18"/>
                <w:highlight w:val="none"/>
              </w:rPr>
              <w:t>制定相应的巡检计划，设备厂家工程师安排每年</w:t>
            </w:r>
            <w:r>
              <w:rPr>
                <w:rFonts w:hint="eastAsia" w:ascii="宋体" w:hAnsi="宋体" w:eastAsia="宋体" w:cs="宋体"/>
                <w:bCs/>
                <w:color w:val="000000"/>
                <w:sz w:val="18"/>
                <w:szCs w:val="18"/>
                <w:highlight w:val="none"/>
                <w:lang w:val="en-US" w:eastAsia="zh-CN"/>
              </w:rPr>
              <w:t>2</w:t>
            </w:r>
            <w:r>
              <w:rPr>
                <w:rFonts w:hint="eastAsia" w:ascii="宋体" w:hAnsi="宋体" w:eastAsia="宋体" w:cs="宋体"/>
                <w:bCs/>
                <w:color w:val="000000"/>
                <w:sz w:val="18"/>
                <w:szCs w:val="18"/>
                <w:highlight w:val="none"/>
              </w:rPr>
              <w:t>次现场</w:t>
            </w:r>
            <w:r>
              <w:rPr>
                <w:rFonts w:hint="eastAsia" w:ascii="宋体" w:hAnsi="宋体" w:eastAsia="宋体" w:cs="宋体"/>
                <w:bCs/>
                <w:color w:val="000000"/>
                <w:sz w:val="18"/>
                <w:szCs w:val="18"/>
                <w:highlight w:val="none"/>
                <w:lang w:eastAsia="zh-CN"/>
              </w:rPr>
              <w:t>系统性</w:t>
            </w:r>
            <w:r>
              <w:rPr>
                <w:rFonts w:hint="eastAsia" w:ascii="宋体" w:hAnsi="宋体" w:eastAsia="宋体" w:cs="宋体"/>
                <w:bCs/>
                <w:color w:val="000000"/>
                <w:sz w:val="18"/>
                <w:szCs w:val="18"/>
                <w:highlight w:val="none"/>
              </w:rPr>
              <w:t>巡检</w:t>
            </w:r>
            <w:r>
              <w:rPr>
                <w:rFonts w:hint="eastAsia" w:ascii="宋体" w:hAnsi="宋体" w:eastAsia="宋体" w:cs="宋体"/>
                <w:bCs/>
                <w:color w:val="000000"/>
                <w:sz w:val="18"/>
                <w:szCs w:val="18"/>
                <w:highlight w:val="none"/>
                <w:lang w:eastAsia="zh-CN"/>
              </w:rPr>
              <w:t>分析</w:t>
            </w:r>
            <w:r>
              <w:rPr>
                <w:rFonts w:hint="eastAsia" w:ascii="宋体" w:hAnsi="宋体" w:eastAsia="宋体" w:cs="宋体"/>
                <w:bCs/>
                <w:color w:val="000000"/>
                <w:sz w:val="18"/>
                <w:szCs w:val="18"/>
                <w:highlight w:val="none"/>
              </w:rPr>
              <w:t>服务工作，</w:t>
            </w:r>
            <w:r>
              <w:rPr>
                <w:rFonts w:hint="eastAsia" w:ascii="宋体" w:hAnsi="宋体" w:eastAsia="宋体" w:cs="宋体"/>
                <w:bCs/>
                <w:color w:val="000000"/>
                <w:sz w:val="18"/>
                <w:szCs w:val="18"/>
                <w:highlight w:val="none"/>
                <w:lang w:eastAsia="zh-CN"/>
              </w:rPr>
              <w:t>逐点逐条梳理</w:t>
            </w:r>
            <w:r>
              <w:rPr>
                <w:rFonts w:hint="eastAsia" w:ascii="宋体" w:hAnsi="宋体" w:eastAsia="宋体" w:cs="宋体"/>
                <w:bCs/>
                <w:color w:val="000000"/>
                <w:sz w:val="18"/>
                <w:szCs w:val="18"/>
                <w:highlight w:val="none"/>
              </w:rPr>
              <w:t>监控</w:t>
            </w:r>
            <w:r>
              <w:rPr>
                <w:rFonts w:hint="eastAsia" w:ascii="宋体" w:hAnsi="宋体" w:eastAsia="宋体" w:cs="宋体"/>
                <w:bCs/>
                <w:color w:val="000000"/>
                <w:sz w:val="18"/>
                <w:szCs w:val="18"/>
                <w:highlight w:val="none"/>
                <w:lang w:eastAsia="zh-CN"/>
              </w:rPr>
              <w:t>参数并</w:t>
            </w:r>
            <w:r>
              <w:rPr>
                <w:rFonts w:hint="eastAsia" w:ascii="宋体" w:hAnsi="宋体" w:eastAsia="宋体" w:cs="宋体"/>
                <w:bCs/>
                <w:color w:val="000000"/>
                <w:sz w:val="18"/>
                <w:szCs w:val="18"/>
                <w:highlight w:val="none"/>
              </w:rPr>
              <w:t>策略调整</w:t>
            </w:r>
            <w:r>
              <w:rPr>
                <w:rFonts w:hint="eastAsia" w:ascii="宋体" w:hAnsi="宋体" w:eastAsia="宋体" w:cs="宋体"/>
                <w:bCs/>
                <w:color w:val="000000"/>
                <w:sz w:val="18"/>
                <w:szCs w:val="18"/>
                <w:highlight w:val="none"/>
                <w:lang w:eastAsia="zh-CN"/>
              </w:rPr>
              <w:t>优化</w:t>
            </w:r>
            <w:r>
              <w:rPr>
                <w:rFonts w:hint="eastAsia" w:ascii="宋体" w:hAnsi="宋体" w:eastAsia="宋体" w:cs="宋体"/>
                <w:bCs/>
                <w:color w:val="000000"/>
                <w:sz w:val="18"/>
                <w:szCs w:val="18"/>
                <w:highlight w:val="none"/>
              </w:rPr>
              <w:t>，24小时电话支持服务。完成对系统的全面巡检，排查隐患，解决故障、优化系统，确保系统稳定运行。工程师完成巡检后立即按规范填写巡检报告《巡检记录表》并存档，并在维保期满时提交年度报告。</w:t>
            </w:r>
          </w:p>
          <w:p>
            <w:pPr>
              <w:rPr>
                <w:rFonts w:hint="eastAsia" w:ascii="宋体" w:hAnsi="宋体" w:eastAsia="宋体" w:cs="宋体"/>
                <w:kern w:val="2"/>
                <w:sz w:val="18"/>
                <w:szCs w:val="18"/>
                <w:lang w:val="en-US" w:eastAsia="zh-CN" w:bidi="ar-SA"/>
              </w:rPr>
            </w:pPr>
          </w:p>
        </w:tc>
        <w:tc>
          <w:tcPr>
            <w:tcW w:w="1440" w:type="dxa"/>
            <w:noWrap w:val="0"/>
            <w:vAlign w:val="center"/>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exact"/>
        </w:trPr>
        <w:tc>
          <w:tcPr>
            <w:tcW w:w="694" w:type="dxa"/>
            <w:noWrap w:val="0"/>
            <w:vAlign w:val="top"/>
          </w:tcPr>
          <w:p>
            <w:pPr>
              <w:numPr>
                <w:ilvl w:val="0"/>
                <w:numId w:val="6"/>
              </w:numPr>
              <w:adjustRightInd w:val="0"/>
              <w:snapToGrid w:val="0"/>
              <w:spacing w:line="360" w:lineRule="auto"/>
              <w:ind w:left="425" w:leftChars="0" w:hanging="425" w:firstLineChars="0"/>
              <w:jc w:val="both"/>
              <w:rPr>
                <w:rFonts w:hint="eastAsia" w:ascii="宋体" w:hAnsi="宋体" w:eastAsia="宋体" w:cs="宋体"/>
                <w:kern w:val="2"/>
                <w:sz w:val="18"/>
                <w:szCs w:val="18"/>
                <w:lang w:val="en-US" w:eastAsia="zh-CN" w:bidi="ar-SA"/>
              </w:rPr>
            </w:pP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both"/>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故障记录</w:t>
            </w:r>
          </w:p>
        </w:tc>
        <w:tc>
          <w:tcPr>
            <w:tcW w:w="5575" w:type="dxa"/>
            <w:noWrap w:val="0"/>
            <w:vAlign w:val="center"/>
          </w:tcPr>
          <w:p>
            <w:pPr>
              <w:spacing w:line="240" w:lineRule="auto"/>
              <w:ind w:firstLine="360" w:firstLineChars="200"/>
              <w:rPr>
                <w:rFonts w:hint="eastAsia" w:ascii="宋体" w:hAnsi="宋体" w:eastAsia="宋体" w:cs="宋体"/>
                <w:bCs/>
                <w:color w:val="000000"/>
                <w:sz w:val="18"/>
                <w:szCs w:val="18"/>
                <w:highlight w:val="none"/>
              </w:rPr>
            </w:pPr>
            <w:r>
              <w:rPr>
                <w:rFonts w:hint="eastAsia" w:ascii="宋体" w:hAnsi="宋体" w:eastAsia="宋体" w:cs="宋体"/>
                <w:bCs/>
                <w:color w:val="000000"/>
                <w:sz w:val="18"/>
                <w:szCs w:val="18"/>
                <w:highlight w:val="none"/>
              </w:rPr>
              <w:t>无论设备发生故障还是监控系统本身发生故障，采取相应的处理方式。工程师每次处理故障完毕后立即按规范填写故障维护报告《维保记录表》并存档，在维保期满时提交年度报告。</w:t>
            </w:r>
          </w:p>
          <w:p>
            <w:pPr>
              <w:rPr>
                <w:rFonts w:hint="eastAsia" w:ascii="宋体" w:hAnsi="宋体" w:eastAsia="宋体" w:cs="宋体"/>
                <w:bCs/>
                <w:color w:val="000000"/>
                <w:sz w:val="18"/>
                <w:szCs w:val="18"/>
              </w:rPr>
            </w:pPr>
          </w:p>
        </w:tc>
        <w:tc>
          <w:tcPr>
            <w:tcW w:w="1440" w:type="dxa"/>
            <w:noWrap w:val="0"/>
            <w:vAlign w:val="center"/>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exact"/>
        </w:trPr>
        <w:tc>
          <w:tcPr>
            <w:tcW w:w="694" w:type="dxa"/>
            <w:noWrap w:val="0"/>
            <w:vAlign w:val="top"/>
          </w:tcPr>
          <w:p>
            <w:pPr>
              <w:spacing w:line="240" w:lineRule="auto"/>
              <w:rPr>
                <w:rFonts w:hint="default" w:ascii="宋体" w:hAnsi="宋体" w:eastAsia="宋体" w:cs="宋体"/>
                <w:bCs/>
                <w:color w:val="000000"/>
                <w:sz w:val="18"/>
                <w:szCs w:val="18"/>
                <w:highlight w:val="none"/>
                <w:lang w:val="en-US" w:eastAsia="zh-CN"/>
              </w:rPr>
            </w:pPr>
            <w:r>
              <w:rPr>
                <w:rFonts w:hint="eastAsia" w:ascii="宋体" w:hAnsi="宋体" w:eastAsia="宋体" w:cs="宋体"/>
                <w:bCs/>
                <w:color w:val="000000"/>
                <w:sz w:val="18"/>
                <w:szCs w:val="18"/>
                <w:highlight w:val="none"/>
                <w:lang w:val="en-US" w:eastAsia="zh-CN"/>
              </w:rPr>
              <w:t>24</w:t>
            </w:r>
          </w:p>
        </w:tc>
        <w:tc>
          <w:tcPr>
            <w:tcW w:w="720" w:type="dxa"/>
            <w:vMerge w:val="continue"/>
            <w:noWrap w:val="0"/>
            <w:vAlign w:val="top"/>
          </w:tcPr>
          <w:p>
            <w:pPr>
              <w:spacing w:line="240" w:lineRule="auto"/>
              <w:ind w:firstLine="360" w:firstLineChars="200"/>
              <w:rPr>
                <w:rFonts w:hint="eastAsia" w:ascii="宋体" w:hAnsi="宋体" w:eastAsia="宋体" w:cs="宋体"/>
                <w:bCs/>
                <w:color w:val="000000"/>
                <w:sz w:val="18"/>
                <w:szCs w:val="18"/>
                <w:highlight w:val="none"/>
                <w:lang w:val="en-US" w:eastAsia="zh-CN"/>
              </w:rPr>
            </w:pPr>
          </w:p>
        </w:tc>
        <w:tc>
          <w:tcPr>
            <w:tcW w:w="681" w:type="dxa"/>
            <w:noWrap w:val="0"/>
            <w:vAlign w:val="center"/>
          </w:tcPr>
          <w:p>
            <w:pPr>
              <w:spacing w:line="240" w:lineRule="auto"/>
              <w:ind w:firstLine="360" w:firstLineChars="200"/>
              <w:rPr>
                <w:rFonts w:hint="eastAsia" w:ascii="宋体" w:hAnsi="宋体" w:eastAsia="宋体" w:cs="宋体"/>
                <w:bCs/>
                <w:color w:val="000000"/>
                <w:sz w:val="18"/>
                <w:szCs w:val="18"/>
                <w:highlight w:val="none"/>
                <w:lang w:val="en-US" w:eastAsia="zh-CN"/>
              </w:rPr>
            </w:pPr>
            <w:r>
              <w:rPr>
                <w:rFonts w:hint="eastAsia" w:ascii="宋体" w:hAnsi="宋体" w:eastAsia="宋体" w:cs="宋体"/>
                <w:bCs/>
                <w:color w:val="000000"/>
                <w:sz w:val="18"/>
                <w:szCs w:val="18"/>
                <w:highlight w:val="none"/>
                <w:lang w:val="en-US" w:eastAsia="zh-CN"/>
              </w:rPr>
              <w:t>▲</w:t>
            </w:r>
          </w:p>
        </w:tc>
        <w:tc>
          <w:tcPr>
            <w:tcW w:w="770" w:type="dxa"/>
            <w:noWrap w:val="0"/>
            <w:vAlign w:val="center"/>
          </w:tcPr>
          <w:p>
            <w:pPr>
              <w:spacing w:line="240" w:lineRule="auto"/>
              <w:rPr>
                <w:rFonts w:hint="eastAsia" w:ascii="宋体" w:hAnsi="宋体" w:eastAsia="宋体" w:cs="宋体"/>
                <w:bCs/>
                <w:color w:val="000000"/>
                <w:sz w:val="18"/>
                <w:szCs w:val="18"/>
                <w:highlight w:val="none"/>
                <w:lang w:val="en-US" w:eastAsia="zh-CN"/>
              </w:rPr>
            </w:pPr>
            <w:r>
              <w:rPr>
                <w:rFonts w:hint="eastAsia" w:ascii="宋体" w:hAnsi="宋体" w:eastAsia="宋体" w:cs="宋体"/>
                <w:bCs/>
                <w:color w:val="000000"/>
                <w:sz w:val="18"/>
                <w:szCs w:val="18"/>
                <w:highlight w:val="none"/>
                <w:lang w:val="en-US" w:eastAsia="zh-CN"/>
              </w:rPr>
              <w:t>故障处理</w:t>
            </w:r>
          </w:p>
        </w:tc>
        <w:tc>
          <w:tcPr>
            <w:tcW w:w="5575" w:type="dxa"/>
            <w:noWrap w:val="0"/>
            <w:vAlign w:val="center"/>
          </w:tcPr>
          <w:p>
            <w:pPr>
              <w:spacing w:line="240" w:lineRule="auto"/>
              <w:ind w:firstLine="360" w:firstLineChars="200"/>
              <w:rPr>
                <w:rFonts w:hint="eastAsia" w:ascii="宋体" w:hAnsi="宋体" w:eastAsia="宋体" w:cs="宋体"/>
                <w:bCs/>
                <w:color w:val="000000"/>
                <w:sz w:val="18"/>
                <w:szCs w:val="18"/>
                <w:highlight w:val="none"/>
              </w:rPr>
            </w:pPr>
            <w:r>
              <w:rPr>
                <w:rFonts w:hint="eastAsia" w:ascii="宋体" w:hAnsi="宋体" w:eastAsia="宋体" w:cs="宋体"/>
                <w:bCs/>
                <w:color w:val="000000"/>
                <w:sz w:val="18"/>
                <w:szCs w:val="18"/>
                <w:highlight w:val="none"/>
              </w:rPr>
              <w:t>当发现被监控设备发生故障时，检查各主要被监控设备的状态与报警，由中标人及时联系相关设备供应商处理。</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highlight w:val="yellow"/>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exact"/>
        </w:trPr>
        <w:tc>
          <w:tcPr>
            <w:tcW w:w="694" w:type="dxa"/>
            <w:noWrap w:val="0"/>
            <w:vAlign w:val="top"/>
          </w:tcPr>
          <w:p>
            <w:pPr>
              <w:numPr>
                <w:ilvl w:val="0"/>
                <w:numId w:val="0"/>
              </w:numPr>
              <w:adjustRightInd w:val="0"/>
              <w:snapToGrid w:val="0"/>
              <w:spacing w:line="360" w:lineRule="auto"/>
              <w:ind w:leftChars="0"/>
              <w:jc w:val="both"/>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25</w:t>
            </w: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both"/>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监控系统故障</w:t>
            </w:r>
          </w:p>
        </w:tc>
        <w:tc>
          <w:tcPr>
            <w:tcW w:w="5575" w:type="dxa"/>
            <w:noWrap w:val="0"/>
            <w:vAlign w:val="center"/>
          </w:tcPr>
          <w:p>
            <w:pPr>
              <w:rPr>
                <w:rFonts w:hint="eastAsia" w:ascii="宋体" w:hAnsi="宋体" w:eastAsia="宋体" w:cs="宋体"/>
                <w:kern w:val="2"/>
                <w:sz w:val="18"/>
                <w:szCs w:val="18"/>
                <w:lang w:val="en-US" w:eastAsia="zh-CN" w:bidi="ar-SA"/>
              </w:rPr>
            </w:pPr>
            <w:r>
              <w:rPr>
                <w:rFonts w:hint="eastAsia" w:ascii="宋体" w:hAnsi="宋体" w:eastAsia="宋体" w:cs="宋体"/>
                <w:bCs/>
                <w:color w:val="000000"/>
                <w:sz w:val="18"/>
                <w:szCs w:val="18"/>
              </w:rPr>
              <w:t>监控系统故障由专业客服工程师负责及时处理。监控系统故障等级分三级：一级紧急故障、二级严重故障、三级一般故障，客服工程师采取相应故障响应方式进行针对性处理，远程处理不了的</w:t>
            </w:r>
            <w:r>
              <w:rPr>
                <w:rFonts w:hint="eastAsia" w:ascii="宋体" w:hAnsi="宋体" w:eastAsia="宋体" w:cs="宋体"/>
                <w:bCs/>
                <w:color w:val="000000"/>
                <w:sz w:val="18"/>
                <w:szCs w:val="18"/>
                <w:lang w:eastAsia="zh-CN"/>
              </w:rPr>
              <w:t>原厂</w:t>
            </w:r>
            <w:r>
              <w:rPr>
                <w:rFonts w:hint="eastAsia" w:ascii="宋体" w:hAnsi="宋体" w:eastAsia="宋体" w:cs="宋体"/>
                <w:bCs/>
                <w:color w:val="000000"/>
                <w:sz w:val="18"/>
                <w:szCs w:val="18"/>
              </w:rPr>
              <w:t>工程师需及时赶到现场处置。</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exact"/>
        </w:trPr>
        <w:tc>
          <w:tcPr>
            <w:tcW w:w="694" w:type="dxa"/>
            <w:noWrap w:val="0"/>
            <w:vAlign w:val="top"/>
          </w:tcPr>
          <w:p>
            <w:pPr>
              <w:numPr>
                <w:ilvl w:val="0"/>
                <w:numId w:val="0"/>
              </w:numPr>
              <w:adjustRightInd w:val="0"/>
              <w:snapToGrid w:val="0"/>
              <w:spacing w:line="360" w:lineRule="auto"/>
              <w:ind w:leftChars="0"/>
              <w:jc w:val="both"/>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26</w:t>
            </w: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both"/>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按需</w:t>
            </w:r>
          </w:p>
          <w:p>
            <w:pPr>
              <w:adjustRightInd w:val="0"/>
              <w:snapToGrid w:val="0"/>
              <w:spacing w:line="360" w:lineRule="auto"/>
              <w:jc w:val="both"/>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维护</w:t>
            </w:r>
          </w:p>
        </w:tc>
        <w:tc>
          <w:tcPr>
            <w:tcW w:w="5575" w:type="dxa"/>
            <w:noWrap w:val="0"/>
            <w:vAlign w:val="center"/>
          </w:tcPr>
          <w:p>
            <w:pPr>
              <w:spacing w:line="240" w:lineRule="auto"/>
              <w:ind w:firstLine="360" w:firstLineChars="200"/>
              <w:rPr>
                <w:rFonts w:hint="eastAsia" w:ascii="宋体" w:hAnsi="宋体" w:eastAsia="宋体" w:cs="宋体"/>
                <w:bCs/>
                <w:color w:val="000000"/>
                <w:sz w:val="18"/>
                <w:szCs w:val="18"/>
              </w:rPr>
            </w:pPr>
            <w:r>
              <w:rPr>
                <w:rFonts w:hint="eastAsia" w:ascii="宋体" w:hAnsi="宋体" w:eastAsia="宋体" w:cs="宋体"/>
                <w:bCs/>
                <w:color w:val="000000"/>
                <w:sz w:val="18"/>
                <w:szCs w:val="18"/>
              </w:rPr>
              <w:t>因省局二处机房被监控设备位置发生变更等原因，导致监控不能正常运行的，中标供应商应根据需要及时派人对监控设备的软件和硬件进行调整</w:t>
            </w:r>
            <w:r>
              <w:rPr>
                <w:rFonts w:hint="eastAsia" w:ascii="宋体" w:hAnsi="宋体" w:eastAsia="宋体" w:cs="宋体"/>
                <w:bCs/>
                <w:color w:val="000000"/>
                <w:sz w:val="18"/>
                <w:szCs w:val="18"/>
                <w:lang w:eastAsia="zh-CN"/>
              </w:rPr>
              <w:t>，软件每月需由原厂工程师进行系统检测，系统升级服务</w:t>
            </w:r>
            <w:r>
              <w:rPr>
                <w:rFonts w:hint="eastAsia" w:ascii="宋体" w:hAnsi="宋体" w:eastAsia="宋体" w:cs="宋体"/>
                <w:bCs/>
                <w:color w:val="000000"/>
                <w:sz w:val="18"/>
                <w:szCs w:val="18"/>
              </w:rPr>
              <w:t>。</w:t>
            </w:r>
          </w:p>
          <w:p>
            <w:pPr>
              <w:rPr>
                <w:rFonts w:hint="eastAsia" w:ascii="宋体" w:hAnsi="宋体" w:eastAsia="宋体" w:cs="宋体"/>
                <w:bCs/>
                <w:color w:val="000000"/>
                <w:sz w:val="18"/>
                <w:szCs w:val="18"/>
              </w:rPr>
            </w:pPr>
          </w:p>
        </w:tc>
        <w:tc>
          <w:tcPr>
            <w:tcW w:w="1440" w:type="dxa"/>
            <w:noWrap w:val="0"/>
            <w:vAlign w:val="center"/>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4" w:hRule="exact"/>
        </w:trPr>
        <w:tc>
          <w:tcPr>
            <w:tcW w:w="694" w:type="dxa"/>
            <w:noWrap w:val="0"/>
            <w:vAlign w:val="top"/>
          </w:tcPr>
          <w:p>
            <w:pPr>
              <w:numPr>
                <w:ilvl w:val="0"/>
                <w:numId w:val="0"/>
              </w:numPr>
              <w:adjustRightInd w:val="0"/>
              <w:snapToGrid w:val="0"/>
              <w:spacing w:line="360" w:lineRule="auto"/>
              <w:ind w:leftChars="0"/>
              <w:jc w:val="both"/>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27</w:t>
            </w:r>
          </w:p>
        </w:tc>
        <w:tc>
          <w:tcPr>
            <w:tcW w:w="720" w:type="dxa"/>
            <w:vMerge w:val="restart"/>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设备</w:t>
            </w: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备件维保服务要求</w:t>
            </w: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备件库要求</w:t>
            </w:r>
          </w:p>
        </w:tc>
        <w:tc>
          <w:tcPr>
            <w:tcW w:w="5575" w:type="dxa"/>
            <w:noWrap w:val="0"/>
            <w:vAlign w:val="center"/>
          </w:tcPr>
          <w:p>
            <w:pPr>
              <w:spacing w:line="240" w:lineRule="auto"/>
              <w:ind w:firstLine="360" w:firstLineChars="200"/>
              <w:rPr>
                <w:rFonts w:hint="eastAsia" w:ascii="宋体" w:hAnsi="宋体" w:eastAsia="宋体" w:cs="宋体"/>
                <w:sz w:val="18"/>
                <w:szCs w:val="18"/>
                <w:highlight w:val="none"/>
                <w:lang w:eastAsia="zh-CN"/>
              </w:rPr>
            </w:pPr>
            <w:r>
              <w:rPr>
                <w:rFonts w:hint="eastAsia" w:ascii="宋体" w:hAnsi="宋体" w:eastAsia="宋体" w:cs="宋体"/>
                <w:color w:val="000000"/>
                <w:sz w:val="18"/>
                <w:szCs w:val="18"/>
                <w:highlight w:val="none"/>
                <w:lang w:eastAsia="zh-CN"/>
              </w:rPr>
              <w:t>中标供应商保证所提供的货物的备件库可以满足采购方日常使用、硬件故障的需求。保修期内，中标供应商免费以全新配件更换正常使用下损坏的配件，并提供免备件费、免人工费、免服务费的故障备件更换服务。</w:t>
            </w:r>
          </w:p>
          <w:p>
            <w:pPr>
              <w:rPr>
                <w:rFonts w:hint="default" w:ascii="宋体" w:hAnsi="宋体" w:eastAsia="宋体" w:cs="宋体"/>
                <w:kern w:val="2"/>
                <w:sz w:val="18"/>
                <w:szCs w:val="18"/>
                <w:lang w:val="en-US" w:eastAsia="zh-CN" w:bidi="ar-SA"/>
              </w:rPr>
            </w:pPr>
          </w:p>
        </w:tc>
        <w:tc>
          <w:tcPr>
            <w:tcW w:w="1440" w:type="dxa"/>
            <w:noWrap w:val="0"/>
            <w:vAlign w:val="center"/>
          </w:tcPr>
          <w:p>
            <w:pPr>
              <w:adjustRightInd w:val="0"/>
              <w:snapToGrid w:val="0"/>
              <w:spacing w:line="360" w:lineRule="auto"/>
              <w:jc w:val="both"/>
              <w:rPr>
                <w:rFonts w:hint="default" w:ascii="宋体" w:hAnsi="宋体" w:eastAsia="宋体" w:cs="宋体"/>
                <w:kern w:val="2"/>
                <w:sz w:val="18"/>
                <w:szCs w:val="18"/>
                <w:highlight w:val="yellow"/>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4" w:hRule="exact"/>
        </w:trPr>
        <w:tc>
          <w:tcPr>
            <w:tcW w:w="694" w:type="dxa"/>
            <w:noWrap w:val="0"/>
            <w:vAlign w:val="top"/>
          </w:tcPr>
          <w:p>
            <w:pPr>
              <w:numPr>
                <w:ilvl w:val="0"/>
                <w:numId w:val="0"/>
              </w:numPr>
              <w:adjustRightInd w:val="0"/>
              <w:snapToGrid w:val="0"/>
              <w:spacing w:line="360" w:lineRule="auto"/>
              <w:ind w:leftChars="0"/>
              <w:jc w:val="both"/>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28</w:t>
            </w: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备件库时间要求</w:t>
            </w:r>
          </w:p>
        </w:tc>
        <w:tc>
          <w:tcPr>
            <w:tcW w:w="5575" w:type="dxa"/>
            <w:noWrap w:val="0"/>
            <w:vAlign w:val="center"/>
          </w:tcPr>
          <w:p>
            <w:pPr>
              <w:rPr>
                <w:rFonts w:hint="default" w:ascii="宋体" w:hAnsi="宋体" w:eastAsia="宋体" w:cs="宋体"/>
                <w:kern w:val="2"/>
                <w:sz w:val="18"/>
                <w:szCs w:val="18"/>
                <w:lang w:val="en-US" w:eastAsia="zh-CN" w:bidi="ar-SA"/>
              </w:rPr>
            </w:pPr>
            <w:r>
              <w:rPr>
                <w:rFonts w:hint="default" w:ascii="宋体" w:hAnsi="宋体" w:eastAsia="宋体" w:cs="宋体"/>
                <w:kern w:val="2"/>
                <w:sz w:val="18"/>
                <w:szCs w:val="18"/>
                <w:lang w:val="en-US" w:eastAsia="zh-CN" w:bidi="ar-SA"/>
              </w:rPr>
              <w:t>中标供应商需设置备件库，其中需包含采购方基础设施设备所需的全部常用备件，备件库设备及备件应急时间应小于0.5小时。</w:t>
            </w:r>
          </w:p>
        </w:tc>
        <w:tc>
          <w:tcPr>
            <w:tcW w:w="1440" w:type="dxa"/>
            <w:noWrap w:val="0"/>
            <w:vAlign w:val="center"/>
          </w:tcPr>
          <w:p>
            <w:pPr>
              <w:adjustRightInd w:val="0"/>
              <w:snapToGrid w:val="0"/>
              <w:spacing w:line="360" w:lineRule="auto"/>
              <w:jc w:val="both"/>
              <w:rPr>
                <w:rFonts w:hint="eastAsia" w:ascii="宋体" w:hAnsi="宋体" w:eastAsia="宋体" w:cs="宋体"/>
                <w:kern w:val="2"/>
                <w:sz w:val="18"/>
                <w:szCs w:val="18"/>
                <w:highlight w:val="yellow"/>
                <w:lang w:val="en-US" w:eastAsia="zh-CN" w:bidi="ar-SA"/>
              </w:rPr>
            </w:pPr>
            <w:r>
              <w:rPr>
                <w:rFonts w:hint="eastAsia" w:ascii="宋体" w:hAnsi="宋体" w:eastAsia="宋体" w:cs="宋体"/>
                <w:kern w:val="2"/>
                <w:sz w:val="18"/>
                <w:szCs w:val="18"/>
                <w:lang w:val="en-US" w:eastAsia="zh-CN" w:bidi="ar-SA"/>
              </w:rPr>
              <w:t>提供承诺书</w:t>
            </w:r>
          </w:p>
        </w:tc>
      </w:tr>
    </w:tbl>
    <w:p>
      <w:pPr>
        <w:pStyle w:val="2"/>
        <w:numPr>
          <w:ilvl w:val="0"/>
          <w:numId w:val="0"/>
        </w:numPr>
        <w:tabs>
          <w:tab w:val="left" w:pos="780"/>
          <w:tab w:val="clear" w:pos="1008"/>
        </w:tabs>
        <w:ind w:leftChars="0"/>
        <w:rPr>
          <w:rFonts w:hint="default"/>
          <w:lang w:val="en-US" w:eastAsia="zh-CN"/>
        </w:rPr>
      </w:pPr>
    </w:p>
    <w:p/>
    <w:p>
      <w:pPr>
        <w:jc w:val="center"/>
        <w:outlineLvl w:val="0"/>
        <w:rPr>
          <w:rFonts w:hint="eastAsia" w:ascii="方正小标宋_GBK" w:hAnsi="方正小标宋_GBK" w:eastAsia="方正小标宋_GBK" w:cs="方正小标宋_GBK"/>
          <w:b w:val="0"/>
          <w:bCs w:val="0"/>
          <w:color w:val="auto"/>
          <w:sz w:val="32"/>
          <w:szCs w:val="32"/>
          <w:highlight w:val="none"/>
          <w:lang w:val="en-US" w:eastAsia="zh-CN"/>
        </w:rPr>
      </w:pPr>
    </w:p>
    <w:p>
      <w:pPr>
        <w:ind w:left="1050" w:leftChars="500" w:firstLine="0" w:firstLineChars="0"/>
        <w:jc w:val="both"/>
        <w:rPr>
          <w:rFonts w:hint="eastAsia" w:ascii="方正小标宋_GBK" w:hAnsi="方正小标宋_GBK" w:eastAsia="方正小标宋_GBK" w:cs="方正小标宋_GBK"/>
          <w:b w:val="0"/>
          <w:bCs w:val="0"/>
          <w:color w:val="auto"/>
          <w:sz w:val="32"/>
          <w:szCs w:val="32"/>
          <w:highlight w:val="none"/>
          <w:lang w:val="en-US" w:eastAsia="zh-CN"/>
        </w:rPr>
      </w:pPr>
      <w:r>
        <w:rPr>
          <w:rFonts w:hint="eastAsia" w:ascii="方正小标宋_GBK" w:hAnsi="方正小标宋_GBK" w:eastAsia="方正小标宋_GBK" w:cs="方正小标宋_GBK"/>
          <w:b w:val="0"/>
          <w:bCs w:val="0"/>
          <w:color w:val="auto"/>
          <w:sz w:val="32"/>
          <w:szCs w:val="32"/>
          <w:highlight w:val="none"/>
          <w:lang w:val="en-US" w:eastAsia="zh-CN"/>
        </w:rPr>
        <w:t>“满足指标要求情况”内容</w:t>
      </w:r>
      <w:r>
        <w:rPr>
          <w:rFonts w:hint="default" w:ascii="方正小标宋_GBK" w:hAnsi="方正小标宋_GBK" w:eastAsia="方正小标宋_GBK" w:cs="方正小标宋_GBK"/>
          <w:b w:val="0"/>
          <w:bCs w:val="0"/>
          <w:color w:val="auto"/>
          <w:sz w:val="32"/>
          <w:szCs w:val="32"/>
          <w:highlight w:val="none"/>
          <w:lang w:val="en-US" w:eastAsia="zh-CN"/>
        </w:rPr>
        <w:t>（</w:t>
      </w:r>
      <w:r>
        <w:rPr>
          <w:rFonts w:hint="eastAsia" w:ascii="方正小标宋_GBK" w:hAnsi="方正小标宋_GBK" w:eastAsia="方正小标宋_GBK" w:cs="方正小标宋_GBK"/>
          <w:b w:val="0"/>
          <w:bCs w:val="0"/>
          <w:color w:val="auto"/>
          <w:sz w:val="32"/>
          <w:szCs w:val="32"/>
          <w:highlight w:val="none"/>
          <w:lang w:val="en-US" w:eastAsia="zh-CN"/>
        </w:rPr>
        <w:t>包二</w:t>
      </w:r>
      <w:r>
        <w:rPr>
          <w:rFonts w:hint="default" w:ascii="方正小标宋_GBK" w:hAnsi="方正小标宋_GBK" w:eastAsia="方正小标宋_GBK" w:cs="方正小标宋_GBK"/>
          <w:b w:val="0"/>
          <w:bCs w:val="0"/>
          <w:color w:val="auto"/>
          <w:sz w:val="32"/>
          <w:szCs w:val="32"/>
          <w:highlight w:val="none"/>
          <w:lang w:val="en-US" w:eastAsia="zh-CN"/>
        </w:rPr>
        <w:t>）</w:t>
      </w:r>
      <w:r>
        <w:rPr>
          <w:rFonts w:hint="eastAsia" w:ascii="方正小标宋_GBK" w:hAnsi="方正小标宋_GBK" w:eastAsia="方正小标宋_GBK" w:cs="方正小标宋_GBK"/>
          <w:b w:val="0"/>
          <w:bCs w:val="0"/>
          <w:color w:val="auto"/>
          <w:sz w:val="32"/>
          <w:szCs w:val="32"/>
          <w:highlight w:val="none"/>
          <w:lang w:val="en-US" w:eastAsia="zh-CN"/>
        </w:rPr>
        <w:t>概括版</w:t>
      </w:r>
    </w:p>
    <w:p>
      <w:pPr>
        <w:jc w:val="center"/>
        <w:outlineLvl w:val="0"/>
        <w:rPr>
          <w:rFonts w:hint="eastAsia" w:ascii="方正小标宋_GBK" w:hAnsi="方正小标宋_GBK" w:eastAsia="方正小标宋_GBK" w:cs="方正小标宋_GBK"/>
          <w:b w:val="0"/>
          <w:bCs w:val="0"/>
          <w:color w:val="auto"/>
          <w:sz w:val="32"/>
          <w:szCs w:val="32"/>
          <w:highlight w:val="none"/>
          <w:lang w:val="en-US" w:eastAsia="zh-CN"/>
        </w:rPr>
      </w:pPr>
    </w:p>
    <w:tbl>
      <w:tblPr>
        <w:tblStyle w:val="32"/>
        <w:tblpPr w:leftFromText="180" w:rightFromText="180" w:vertAnchor="text" w:horzAnchor="page" w:tblpX="1222" w:tblpY="384"/>
        <w:tblOverlap w:val="never"/>
        <w:tblW w:w="98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4"/>
        <w:gridCol w:w="720"/>
        <w:gridCol w:w="681"/>
        <w:gridCol w:w="770"/>
        <w:gridCol w:w="5575"/>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0" w:hRule="exact"/>
        </w:trPr>
        <w:tc>
          <w:tcPr>
            <w:tcW w:w="694"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序号</w:t>
            </w:r>
          </w:p>
        </w:tc>
        <w:tc>
          <w:tcPr>
            <w:tcW w:w="72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产品名称</w:t>
            </w: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指标种类</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指标名称</w:t>
            </w:r>
          </w:p>
        </w:tc>
        <w:tc>
          <w:tcPr>
            <w:tcW w:w="5575"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指标内容</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证明材料要求（官网截图或产品说明书或白皮书或承诺书等证明材料）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5"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1</w:t>
            </w:r>
          </w:p>
        </w:tc>
        <w:tc>
          <w:tcPr>
            <w:tcW w:w="720" w:type="dxa"/>
            <w:vMerge w:val="restart"/>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基础设施技术服务内容</w:t>
            </w: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配置管理</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对机房基础设施及设备进行配置管理，通过对供配电系统、空气调节系统、消防系统、动环监控系统和机房场地环境等系统进行记录更新，掌握机房基础设施资源配置和使用情况，把握机房的变化情况及时发现资源配置瓶颈，提供趋势预测及基础数据支持，为机房扩容提供决策依据，实现机房资源合理部署。</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0"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2</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运行监控</w:t>
            </w:r>
          </w:p>
        </w:tc>
        <w:tc>
          <w:tcPr>
            <w:tcW w:w="5575" w:type="dxa"/>
            <w:noWrap w:val="0"/>
            <w:vAlign w:val="center"/>
          </w:tcPr>
          <w:p>
            <w:pPr>
              <w:adjustRightInd w:val="0"/>
              <w:snapToGrid w:val="0"/>
              <w:spacing w:line="360" w:lineRule="auto"/>
              <w:jc w:val="left"/>
              <w:rPr>
                <w:rFonts w:hint="default"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按照预设的监控周期采集预定义的各子系统设备的运行状态及工作参数, 记录历史数据和报警事件，形成运维基础数据，为整个数据中心运维提供历史数据进行趋势分析，保障数据中心内系统的正常、有效运行。</w:t>
            </w:r>
          </w:p>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 w:hRule="exact"/>
        </w:trPr>
        <w:tc>
          <w:tcPr>
            <w:tcW w:w="694" w:type="dxa"/>
            <w:noWrap w:val="0"/>
            <w:vAlign w:val="center"/>
          </w:tcPr>
          <w:p>
            <w:pPr>
              <w:rPr>
                <w:rFonts w:hint="default"/>
                <w:lang w:val="en-US" w:eastAsia="zh-CN"/>
              </w:rPr>
            </w:pPr>
            <w:r>
              <w:rPr>
                <w:rFonts w:hint="eastAsia" w:ascii="仿宋_GB2312" w:hAnsi="仿宋_GB2312" w:eastAsia="仿宋_GB2312" w:cs="仿宋_GB2312"/>
                <w:kern w:val="2"/>
                <w:sz w:val="18"/>
                <w:szCs w:val="18"/>
                <w:lang w:val="en-US" w:eastAsia="zh-CN" w:bidi="ar-SA"/>
              </w:rPr>
              <w:t>3</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健康检查</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定期开展健康性检查和预防性维护，尽早发现机房基础环境可能存在的缺陷和安全隐患，识别可能影响运行状态的故障隐患，以便于制定基础环境维护升级计划，为开展机房基础环境维护、改造、扩容提供依据，避免潜在问题拖延导致的严重故障。</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8"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4</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restart"/>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故障管理</w:t>
            </w:r>
          </w:p>
        </w:tc>
        <w:tc>
          <w:tcPr>
            <w:tcW w:w="5575" w:type="dxa"/>
            <w:noWrap w:val="0"/>
            <w:vAlign w:val="center"/>
          </w:tcPr>
          <w:p>
            <w:pPr>
              <w:adjustRightInd w:val="0"/>
              <w:snapToGrid w:val="0"/>
              <w:spacing w:line="360" w:lineRule="auto"/>
              <w:jc w:val="left"/>
              <w:rPr>
                <w:rFonts w:hint="default"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在机房各子系统发生故障时，应及时发现、迅速定位、稳妥解决，尽快恢复系统基本功能，将其对业务的负面影响减到最小，并通过对故障处理的记录、分析和总结，提出优化建议或改进措施，进一步提高数据中心基础环境的稳定性和健壮性。</w:t>
            </w:r>
          </w:p>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3"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5</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continue"/>
            <w:noWrap w:val="0"/>
            <w:vAlign w:val="center"/>
          </w:tcPr>
          <w:p>
            <w:pPr>
              <w:adjustRightInd w:val="0"/>
              <w:snapToGrid w:val="0"/>
              <w:spacing w:line="360" w:lineRule="auto"/>
              <w:jc w:val="center"/>
              <w:rPr>
                <w:rFonts w:hint="default" w:ascii="仿宋_GB2312" w:hAnsi="仿宋_GB2312" w:eastAsia="仿宋_GB2312" w:cs="仿宋_GB2312"/>
                <w:kern w:val="2"/>
                <w:sz w:val="18"/>
                <w:szCs w:val="18"/>
                <w:lang w:val="en-US" w:eastAsia="zh-CN" w:bidi="ar-SA"/>
              </w:rPr>
            </w:pP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运维人员应按要求如实填写《机房故障记录表》，该表包括但不限于设备名称、故障时间、故障现象、受影响系统、解决过程描述、处理结果、经验总结。</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3"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6</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分析与报告</w:t>
            </w:r>
          </w:p>
        </w:tc>
        <w:tc>
          <w:tcPr>
            <w:tcW w:w="5575" w:type="dxa"/>
            <w:noWrap w:val="0"/>
            <w:vAlign w:val="center"/>
          </w:tcPr>
          <w:p>
            <w:pPr>
              <w:adjustRightInd w:val="0"/>
              <w:snapToGrid w:val="0"/>
              <w:spacing w:line="360" w:lineRule="auto"/>
              <w:jc w:val="left"/>
              <w:rPr>
                <w:rFonts w:hint="default"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通过对机房基础设施的运行状况、负载状况、容量状况和故障处理等方面进行分析，及时发现机房存在的运行问题、性能瓶颈和故障隐患；总结故障处理经验，提高故障的响应时间和处理速度；有针对性的提出整改和优化方案，确保基础设施和IT设备的健康、高效、稳定运行。</w:t>
            </w:r>
          </w:p>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7</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机房事务管理</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事务管理主要是对与机房相关的事务性工作进行日常管理，包括人员管理、设备机房的管理和机房值班管理。通过加强对机房事务性工作的管理，提高机房安全管理水平，强化机房保障和应急能力。</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8</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文档管理</w:t>
            </w:r>
          </w:p>
        </w:tc>
        <w:tc>
          <w:tcPr>
            <w:tcW w:w="5575" w:type="dxa"/>
            <w:noWrap w:val="0"/>
            <w:vAlign w:val="center"/>
          </w:tcPr>
          <w:p>
            <w:pPr>
              <w:adjustRightInd w:val="0"/>
              <w:snapToGrid w:val="0"/>
              <w:spacing w:line="360" w:lineRule="auto"/>
              <w:jc w:val="left"/>
              <w:rPr>
                <w:rFonts w:hint="default"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收集机房基础设施运维过程中形成的各种文档，统一按文档编号、文档名称、文档用途等栏目登记，便于在运维工作中查询调阅。将机房基础设施运维形成的各种文档，进行编号登记，为日后的检查和运维提供支持和依据，提升基础设施运维管理水平。</w:t>
            </w:r>
          </w:p>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5"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9</w:t>
            </w:r>
          </w:p>
        </w:tc>
        <w:tc>
          <w:tcPr>
            <w:tcW w:w="720" w:type="dxa"/>
            <w:vMerge w:val="restart"/>
            <w:noWrap w:val="0"/>
            <w:vAlign w:val="center"/>
          </w:tcPr>
          <w:p>
            <w:pPr>
              <w:adjustRightInd w:val="0"/>
              <w:snapToGrid w:val="0"/>
              <w:spacing w:line="360" w:lineRule="auto"/>
              <w:jc w:val="center"/>
              <w:rPr>
                <w:rFonts w:hint="default"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技术支持服务要求</w:t>
            </w:r>
          </w:p>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restart"/>
            <w:noWrap w:val="0"/>
            <w:vAlign w:val="center"/>
          </w:tcPr>
          <w:p>
            <w:pPr>
              <w:adjustRightInd w:val="0"/>
              <w:snapToGrid w:val="0"/>
              <w:spacing w:line="360" w:lineRule="auto"/>
              <w:jc w:val="center"/>
              <w:rPr>
                <w:rFonts w:hint="default"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故障修复要求</w:t>
            </w:r>
          </w:p>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在整个维护服务保修期内，中标供应商应为采购人提供7*24的故障修复服务。当设备发生故障时，故障能够第一时间发出告警提示，值班人员应第一时间通知中标供应商，并着手处置故障</w:t>
            </w:r>
            <w:r>
              <w:rPr>
                <w:rFonts w:hint="eastAsia" w:ascii="仿宋_GB2312" w:hAnsi="仿宋_GB2312" w:eastAsia="仿宋_GB2312" w:cs="仿宋_GB2312"/>
                <w:kern w:val="2"/>
                <w:sz w:val="18"/>
                <w:szCs w:val="18"/>
                <w:lang w:val="en-US" w:eastAsia="zh-CN" w:bidi="ar-SA"/>
              </w:rPr>
              <w:t>。</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3"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10</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5575" w:type="dxa"/>
            <w:noWrap w:val="0"/>
            <w:vAlign w:val="center"/>
          </w:tcPr>
          <w:p>
            <w:pPr>
              <w:adjustRightInd w:val="0"/>
              <w:snapToGrid w:val="0"/>
              <w:spacing w:line="360" w:lineRule="auto"/>
              <w:jc w:val="left"/>
              <w:rPr>
                <w:rFonts w:hint="default"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中标供应商应自接到故障通知1小时内派人到达现场，负责检测并排除故障。对当日无法解决的故障或故障设备将影响系统正常运行的，应提供代用设备或应急解决方案，并确保系统正常运行。</w:t>
            </w:r>
          </w:p>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11</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5575" w:type="dxa"/>
            <w:noWrap w:val="0"/>
            <w:vAlign w:val="center"/>
          </w:tcPr>
          <w:p>
            <w:pPr>
              <w:adjustRightInd w:val="0"/>
              <w:snapToGrid w:val="0"/>
              <w:spacing w:line="360" w:lineRule="auto"/>
              <w:jc w:val="left"/>
              <w:rPr>
                <w:rFonts w:hint="default"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中标供应商负责相关零部件的更换及维修，直至恢复设备的正常使用。故障排除后，中标供应商须出具故障处理报告，帮助采购人进行故障根源的分析和诊断，提出后续工作的改进措施。</w:t>
            </w:r>
          </w:p>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12</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对于不能快速修复的特殊故障，中标供应商要能够提供机房应急保障设备，不得少于3项</w:t>
            </w:r>
            <w:r>
              <w:rPr>
                <w:rFonts w:hint="eastAsia" w:ascii="仿宋_GB2312" w:hAnsi="仿宋_GB2312" w:eastAsia="仿宋_GB2312" w:cs="仿宋_GB2312"/>
                <w:kern w:val="2"/>
                <w:sz w:val="18"/>
                <w:szCs w:val="18"/>
                <w:lang w:val="en-US" w:eastAsia="zh-CN" w:bidi="ar-SA"/>
              </w:rPr>
              <w:t>（包含但不限于应急发电车、移动式空调、满足机房负载使用的UPS备机）</w:t>
            </w:r>
            <w:r>
              <w:rPr>
                <w:rFonts w:hint="default" w:ascii="仿宋_GB2312" w:hAnsi="仿宋_GB2312" w:eastAsia="仿宋_GB2312" w:cs="仿宋_GB2312"/>
                <w:kern w:val="2"/>
                <w:sz w:val="18"/>
                <w:szCs w:val="18"/>
                <w:lang w:val="en-US" w:eastAsia="zh-CN" w:bidi="ar-SA"/>
              </w:rPr>
              <w:t>。</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5"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13</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5575" w:type="dxa"/>
            <w:noWrap w:val="0"/>
            <w:vAlign w:val="center"/>
          </w:tcPr>
          <w:p>
            <w:pPr>
              <w:adjustRightInd w:val="0"/>
              <w:snapToGrid w:val="0"/>
              <w:spacing w:line="360" w:lineRule="auto"/>
              <w:jc w:val="left"/>
              <w:rPr>
                <w:rFonts w:hint="default"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中标供应商应保证采购人在使用产品时安全、可靠，享有完整的售后服务，同时应免受第三方提出的侵犯著作权、专利权、商标权或设计权的纠纷。如中标供应商采用不符合要求的部件替换故障部件，采购人有权要求中标供应商更换，给采购人造成损失的，采购人有权要求给予损失赔偿。</w:t>
            </w:r>
          </w:p>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14</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中标供应商应每年向采购人书面报送《机房异常情况及处置情况汇总表》，分析设备运转情况，归纳异常情况形成的原因, 制定下一步整改措施。</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15</w:t>
            </w: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restart"/>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咨询要求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中标供应商应免费提供技术咨询服务，包括新产品新技术通报，软硬件技术咨询，系统改进意见，提供技术解决方案(如:重要割接操作事前方案等)，项目长远规划，研究解决技术难题。</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exact"/>
        </w:trPr>
        <w:tc>
          <w:tcPr>
            <w:tcW w:w="694" w:type="dxa"/>
            <w:noWrap w:val="0"/>
            <w:vAlign w:val="center"/>
          </w:tcPr>
          <w:p>
            <w:pPr>
              <w:numPr>
                <w:ilvl w:val="0"/>
                <w:numId w:val="0"/>
              </w:numPr>
              <w:adjustRightInd w:val="0"/>
              <w:snapToGrid w:val="0"/>
              <w:spacing w:line="360" w:lineRule="auto"/>
              <w:ind w:leftChars="0"/>
              <w:jc w:val="both"/>
              <w:rPr>
                <w:rFonts w:hint="default"/>
                <w:lang w:val="en-US" w:eastAsia="zh-CN"/>
              </w:rPr>
            </w:pPr>
            <w:r>
              <w:rPr>
                <w:rFonts w:hint="eastAsia" w:ascii="仿宋_GB2312" w:hAnsi="仿宋_GB2312" w:eastAsia="仿宋_GB2312" w:cs="仿宋_GB2312"/>
                <w:kern w:val="2"/>
                <w:sz w:val="18"/>
                <w:szCs w:val="18"/>
                <w:lang w:val="en-US" w:eastAsia="zh-CN" w:bidi="ar-SA"/>
              </w:rPr>
              <w:t>16</w:t>
            </w:r>
          </w:p>
          <w:p>
            <w:pPr>
              <w:pStyle w:val="2"/>
              <w:rPr>
                <w:rFonts w:hint="default"/>
                <w:lang w:val="en-US" w:eastAsia="zh-CN"/>
              </w:rPr>
            </w:pP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5575" w:type="dxa"/>
            <w:noWrap w:val="0"/>
            <w:vAlign w:val="center"/>
          </w:tcPr>
          <w:p>
            <w:pPr>
              <w:adjustRightInd w:val="0"/>
              <w:snapToGrid w:val="0"/>
              <w:spacing w:line="360" w:lineRule="auto"/>
              <w:jc w:val="left"/>
              <w:rPr>
                <w:rFonts w:hint="default"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中标供应商须以书面形式告知采购人7*24小时的专用维保服务电话、移动电话、电子邮件、传真等联系方式以及提供支持服务过程中需要采购人准备的设备信息(加产品序列号等)，用于受理故障报修，解答采购人的技术咨询问题。如联系方式有变动，投标人须提前以书面形式通知采购人。</w:t>
            </w:r>
          </w:p>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0" w:hRule="exact"/>
        </w:trPr>
        <w:tc>
          <w:tcPr>
            <w:tcW w:w="694" w:type="dxa"/>
            <w:noWrap w:val="0"/>
            <w:vAlign w:val="top"/>
          </w:tcPr>
          <w:p>
            <w:pPr>
              <w:numPr>
                <w:ilvl w:val="0"/>
                <w:numId w:val="0"/>
              </w:numPr>
              <w:adjustRightInd w:val="0"/>
              <w:snapToGrid w:val="0"/>
              <w:spacing w:line="360" w:lineRule="auto"/>
              <w:ind w:leftChars="0"/>
              <w:jc w:val="both"/>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17</w:t>
            </w:r>
          </w:p>
        </w:tc>
        <w:tc>
          <w:tcPr>
            <w:tcW w:w="720" w:type="dxa"/>
            <w:vMerge w:val="restart"/>
            <w:noWrap w:val="0"/>
            <w:vAlign w:val="top"/>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机房设备健康检查技术要求</w:t>
            </w: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UPS</w:t>
            </w:r>
          </w:p>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维护保养工作内容</w:t>
            </w:r>
          </w:p>
        </w:tc>
        <w:tc>
          <w:tcPr>
            <w:tcW w:w="5575" w:type="dxa"/>
            <w:noWrap w:val="0"/>
            <w:vAlign w:val="center"/>
          </w:tcPr>
          <w:p>
            <w:pPr>
              <w:adjustRightInd w:val="0"/>
              <w:snapToGrid w:val="0"/>
              <w:spacing w:line="360" w:lineRule="auto"/>
              <w:jc w:val="left"/>
              <w:rPr>
                <w:rFonts w:hint="eastAsia" w:ascii="宋体" w:hAnsi="宋体" w:eastAsia="宋体" w:cs="宋体"/>
                <w:kern w:val="2"/>
                <w:sz w:val="18"/>
                <w:szCs w:val="18"/>
                <w:lang w:val="en-US" w:eastAsia="zh-CN" w:bidi="ar-SA"/>
              </w:rPr>
            </w:pPr>
            <w:r>
              <w:rPr>
                <w:rFonts w:hint="eastAsia" w:ascii="宋体" w:hAnsi="宋体" w:eastAsia="宋体" w:cs="宋体"/>
                <w:color w:val="000000"/>
                <w:sz w:val="18"/>
                <w:szCs w:val="18"/>
                <w:lang w:eastAsia="zh-CN"/>
              </w:rPr>
              <w:t>每月开展</w:t>
            </w:r>
            <w:r>
              <w:rPr>
                <w:rFonts w:hint="eastAsia" w:ascii="宋体" w:hAnsi="宋体" w:eastAsia="宋体" w:cs="宋体"/>
                <w:color w:val="000000"/>
                <w:sz w:val="18"/>
                <w:szCs w:val="18"/>
              </w:rPr>
              <w:t>环境检查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运行情况检查与备份</w:t>
            </w:r>
            <w:r>
              <w:rPr>
                <w:rFonts w:hint="eastAsia" w:ascii="宋体" w:hAnsi="宋体" w:eastAsia="宋体" w:cs="宋体"/>
                <w:sz w:val="18"/>
                <w:szCs w:val="18"/>
                <w:lang w:eastAsia="zh-CN"/>
              </w:rPr>
              <w:t>，</w:t>
            </w:r>
            <w:r>
              <w:rPr>
                <w:rFonts w:hint="eastAsia" w:ascii="宋体" w:hAnsi="宋体" w:eastAsia="宋体" w:cs="宋体"/>
                <w:color w:val="000000"/>
                <w:sz w:val="18"/>
                <w:szCs w:val="18"/>
              </w:rPr>
              <w:t>除尘与紧固</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电气检查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关键部件更换</w:t>
            </w:r>
            <w:r>
              <w:rPr>
                <w:rFonts w:hint="eastAsia" w:ascii="宋体" w:hAnsi="宋体" w:eastAsia="宋体" w:cs="宋体"/>
                <w:color w:val="000000"/>
                <w:sz w:val="18"/>
                <w:szCs w:val="18"/>
                <w:lang w:eastAsia="zh-CN"/>
              </w:rPr>
              <w:t>。</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1" w:hRule="exact"/>
        </w:trPr>
        <w:tc>
          <w:tcPr>
            <w:tcW w:w="694" w:type="dxa"/>
            <w:noWrap w:val="0"/>
            <w:vAlign w:val="top"/>
          </w:tcPr>
          <w:p>
            <w:pPr>
              <w:numPr>
                <w:ilvl w:val="0"/>
                <w:numId w:val="0"/>
              </w:numPr>
              <w:adjustRightInd w:val="0"/>
              <w:snapToGrid w:val="0"/>
              <w:spacing w:line="360" w:lineRule="auto"/>
              <w:ind w:leftChars="0"/>
              <w:jc w:val="both"/>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18</w:t>
            </w: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蓄电</w:t>
            </w:r>
          </w:p>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维护保养工作内容</w:t>
            </w:r>
          </w:p>
        </w:tc>
        <w:tc>
          <w:tcPr>
            <w:tcW w:w="5575" w:type="dxa"/>
            <w:noWrap w:val="0"/>
            <w:vAlign w:val="center"/>
          </w:tcPr>
          <w:p>
            <w:pPr>
              <w:rPr>
                <w:rFonts w:hint="eastAsia" w:ascii="宋体" w:hAnsi="宋体" w:eastAsia="宋体" w:cs="宋体"/>
                <w:kern w:val="2"/>
                <w:sz w:val="18"/>
                <w:szCs w:val="18"/>
                <w:lang w:val="en-US" w:eastAsia="zh-CN" w:bidi="ar-SA"/>
              </w:rPr>
            </w:pPr>
            <w:r>
              <w:rPr>
                <w:rFonts w:hint="eastAsia" w:ascii="宋体" w:hAnsi="宋体" w:eastAsia="宋体" w:cs="宋体"/>
                <w:color w:val="000000"/>
                <w:sz w:val="18"/>
                <w:szCs w:val="18"/>
                <w:lang w:eastAsia="zh-CN"/>
              </w:rPr>
              <w:t>每月开展</w:t>
            </w:r>
            <w:r>
              <w:rPr>
                <w:rFonts w:hint="eastAsia" w:ascii="宋体" w:hAnsi="宋体" w:eastAsia="宋体" w:cs="宋体"/>
                <w:color w:val="000000"/>
                <w:sz w:val="18"/>
                <w:szCs w:val="18"/>
              </w:rPr>
              <w:t>蓄电池外观检查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蓄电池室环境检查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蓄电池连接电缆检查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蓄电池内阻检查</w:t>
            </w:r>
            <w:r>
              <w:rPr>
                <w:rFonts w:hint="eastAsia" w:ascii="宋体" w:hAnsi="宋体" w:eastAsia="宋体" w:cs="宋体"/>
                <w:color w:val="000000"/>
                <w:sz w:val="18"/>
                <w:szCs w:val="18"/>
                <w:lang w:eastAsia="zh-CN"/>
              </w:rPr>
              <w:t>，</w:t>
            </w:r>
            <w:r>
              <w:rPr>
                <w:rFonts w:hint="eastAsia" w:ascii="宋体" w:hAnsi="宋体" w:eastAsia="宋体" w:cs="宋体"/>
                <w:color w:val="000000"/>
                <w:sz w:val="18"/>
                <w:szCs w:val="18"/>
              </w:rPr>
              <w:t>蓄电池活化</w:t>
            </w:r>
            <w:r>
              <w:rPr>
                <w:rFonts w:hint="eastAsia" w:ascii="宋体" w:hAnsi="宋体" w:eastAsia="宋体" w:cs="宋体"/>
                <w:color w:val="000000"/>
                <w:sz w:val="18"/>
                <w:szCs w:val="18"/>
                <w:lang w:eastAsia="zh-CN"/>
              </w:rPr>
              <w:t>检查，</w:t>
            </w:r>
            <w:r>
              <w:rPr>
                <w:rFonts w:hint="eastAsia" w:ascii="宋体" w:hAnsi="宋体" w:eastAsia="宋体" w:cs="宋体"/>
                <w:color w:val="000000"/>
                <w:sz w:val="18"/>
                <w:szCs w:val="18"/>
              </w:rPr>
              <w:t>蓄电池电压检查</w:t>
            </w:r>
            <w:r>
              <w:rPr>
                <w:rFonts w:hint="eastAsia" w:ascii="宋体" w:hAnsi="宋体" w:eastAsia="宋体" w:cs="宋体"/>
                <w:color w:val="000000"/>
                <w:sz w:val="18"/>
                <w:szCs w:val="18"/>
                <w:lang w:eastAsia="zh-CN"/>
              </w:rPr>
              <w:t>。</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4" w:hRule="exact"/>
        </w:trPr>
        <w:tc>
          <w:tcPr>
            <w:tcW w:w="694" w:type="dxa"/>
            <w:noWrap w:val="0"/>
            <w:vAlign w:val="top"/>
          </w:tcPr>
          <w:p>
            <w:pPr>
              <w:numPr>
                <w:ilvl w:val="0"/>
                <w:numId w:val="0"/>
              </w:numPr>
              <w:adjustRightInd w:val="0"/>
              <w:snapToGrid w:val="0"/>
              <w:spacing w:line="360" w:lineRule="auto"/>
              <w:ind w:leftChars="0"/>
              <w:jc w:val="both"/>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19</w:t>
            </w: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配电柜维护保养工作内容</w:t>
            </w:r>
          </w:p>
        </w:tc>
        <w:tc>
          <w:tcPr>
            <w:tcW w:w="5575" w:type="dxa"/>
            <w:noWrap w:val="0"/>
            <w:vAlign w:val="center"/>
          </w:tcPr>
          <w:p>
            <w:pPr>
              <w:rPr>
                <w:rFonts w:hint="eastAsia" w:ascii="宋体" w:hAnsi="宋体" w:eastAsia="宋体" w:cs="宋体"/>
                <w:sz w:val="18"/>
                <w:szCs w:val="18"/>
                <w:lang w:eastAsia="zh-CN"/>
              </w:rPr>
            </w:pPr>
            <w:r>
              <w:rPr>
                <w:rFonts w:hint="eastAsia" w:ascii="宋体" w:hAnsi="宋体" w:eastAsia="宋体" w:cs="宋体"/>
                <w:color w:val="000000"/>
                <w:sz w:val="18"/>
                <w:szCs w:val="18"/>
                <w:lang w:eastAsia="zh-CN"/>
              </w:rPr>
              <w:t>每月对维保范围内的</w:t>
            </w:r>
            <w:r>
              <w:rPr>
                <w:rFonts w:hint="eastAsia" w:ascii="宋体" w:hAnsi="宋体" w:eastAsia="宋体" w:cs="宋体"/>
                <w:color w:val="000000"/>
                <w:sz w:val="18"/>
                <w:szCs w:val="18"/>
              </w:rPr>
              <w:t>低压电器及其成套配电装置检查</w:t>
            </w:r>
            <w:r>
              <w:rPr>
                <w:rFonts w:hint="eastAsia" w:ascii="宋体" w:hAnsi="宋体" w:eastAsia="宋体" w:cs="宋体"/>
                <w:color w:val="000000"/>
                <w:sz w:val="18"/>
                <w:szCs w:val="18"/>
                <w:lang w:eastAsia="zh-CN"/>
              </w:rPr>
              <w:t>，检查运行状态，查找风险隐患，提出解决建议。</w:t>
            </w:r>
          </w:p>
          <w:p>
            <w:pPr>
              <w:adjustRightInd w:val="0"/>
              <w:snapToGrid w:val="0"/>
              <w:spacing w:line="360" w:lineRule="auto"/>
              <w:jc w:val="left"/>
              <w:rPr>
                <w:rFonts w:hint="eastAsia" w:ascii="宋体" w:hAnsi="宋体" w:eastAsia="宋体" w:cs="宋体"/>
                <w:color w:val="000000"/>
                <w:sz w:val="18"/>
                <w:szCs w:val="18"/>
              </w:rPr>
            </w:pP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8" w:hRule="exact"/>
        </w:trPr>
        <w:tc>
          <w:tcPr>
            <w:tcW w:w="694" w:type="dxa"/>
            <w:noWrap w:val="0"/>
            <w:vAlign w:val="top"/>
          </w:tcPr>
          <w:p>
            <w:pPr>
              <w:numPr>
                <w:ilvl w:val="0"/>
                <w:numId w:val="0"/>
              </w:numPr>
              <w:adjustRightInd w:val="0"/>
              <w:snapToGrid w:val="0"/>
              <w:spacing w:line="360" w:lineRule="auto"/>
              <w:ind w:leftChars="0"/>
              <w:jc w:val="both"/>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20</w:t>
            </w: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精密空调维护保养工作内容</w:t>
            </w:r>
          </w:p>
        </w:tc>
        <w:tc>
          <w:tcPr>
            <w:tcW w:w="5575" w:type="dxa"/>
            <w:noWrap w:val="0"/>
            <w:vAlign w:val="center"/>
          </w:tcPr>
          <w:p>
            <w:pPr>
              <w:rPr>
                <w:rFonts w:hint="eastAsia" w:ascii="宋体" w:hAnsi="宋体" w:eastAsia="宋体" w:cs="宋体"/>
                <w:sz w:val="18"/>
                <w:szCs w:val="18"/>
                <w:lang w:eastAsia="zh-CN"/>
              </w:rPr>
            </w:pPr>
            <w:r>
              <w:rPr>
                <w:rFonts w:hint="eastAsia" w:ascii="宋体" w:hAnsi="宋体" w:eastAsia="宋体" w:cs="宋体"/>
                <w:color w:val="000000"/>
                <w:sz w:val="18"/>
                <w:szCs w:val="18"/>
                <w:lang w:eastAsia="zh-CN"/>
              </w:rPr>
              <w:t>每月对精密空调开展</w:t>
            </w:r>
            <w:r>
              <w:rPr>
                <w:rFonts w:hint="eastAsia" w:ascii="宋体" w:hAnsi="宋体" w:eastAsia="宋体" w:cs="宋体"/>
                <w:color w:val="000000"/>
                <w:sz w:val="18"/>
                <w:szCs w:val="18"/>
              </w:rPr>
              <w:t>操作面板主板</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风机</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加湿器</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蒸发器</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冷凝器</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压缩机</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电气</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过滤网</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PTC加热器</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电磁阀</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膨胀阀</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干燥过滤器</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给排水管路</w:t>
            </w:r>
            <w:r>
              <w:rPr>
                <w:rFonts w:hint="eastAsia" w:ascii="宋体" w:hAnsi="宋体" w:eastAsia="宋体" w:cs="宋体"/>
                <w:color w:val="000000"/>
                <w:sz w:val="18"/>
                <w:szCs w:val="18"/>
                <w:lang w:eastAsia="zh-CN"/>
              </w:rPr>
              <w:t>检测，</w:t>
            </w:r>
            <w:r>
              <w:rPr>
                <w:rFonts w:hint="eastAsia" w:ascii="宋体" w:hAnsi="宋体" w:eastAsia="宋体" w:cs="宋体"/>
                <w:color w:val="000000"/>
                <w:sz w:val="18"/>
                <w:szCs w:val="18"/>
              </w:rPr>
              <w:t>冷冻油酸度测试</w:t>
            </w:r>
            <w:r>
              <w:rPr>
                <w:rFonts w:hint="eastAsia" w:ascii="宋体" w:hAnsi="宋体" w:eastAsia="宋体" w:cs="宋体"/>
                <w:color w:val="000000"/>
                <w:sz w:val="18"/>
                <w:szCs w:val="18"/>
                <w:lang w:eastAsia="zh-CN"/>
              </w:rPr>
              <w:t>。</w:t>
            </w:r>
          </w:p>
          <w:p>
            <w:pPr>
              <w:adjustRightInd w:val="0"/>
              <w:snapToGrid w:val="0"/>
              <w:spacing w:line="360" w:lineRule="auto"/>
              <w:jc w:val="left"/>
              <w:rPr>
                <w:rFonts w:hint="eastAsia" w:ascii="宋体" w:hAnsi="宋体" w:eastAsia="宋体" w:cs="宋体"/>
                <w:kern w:val="2"/>
                <w:sz w:val="18"/>
                <w:szCs w:val="18"/>
                <w:lang w:val="en-US" w:eastAsia="zh-CN" w:bidi="ar-SA"/>
              </w:rPr>
            </w:pP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0" w:hRule="exact"/>
        </w:trPr>
        <w:tc>
          <w:tcPr>
            <w:tcW w:w="694" w:type="dxa"/>
            <w:noWrap w:val="0"/>
            <w:vAlign w:val="top"/>
          </w:tcPr>
          <w:p>
            <w:pPr>
              <w:numPr>
                <w:ilvl w:val="0"/>
                <w:numId w:val="0"/>
              </w:numPr>
              <w:adjustRightInd w:val="0"/>
              <w:snapToGrid w:val="0"/>
              <w:spacing w:line="360" w:lineRule="auto"/>
              <w:ind w:leftChars="0"/>
              <w:jc w:val="both"/>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21</w:t>
            </w:r>
          </w:p>
        </w:tc>
        <w:tc>
          <w:tcPr>
            <w:tcW w:w="720" w:type="dxa"/>
            <w:vMerge w:val="continue"/>
            <w:noWrap w:val="0"/>
            <w:vAlign w:val="top"/>
          </w:tcPr>
          <w:p>
            <w:pPr>
              <w:adjustRightInd w:val="0"/>
              <w:snapToGrid w:val="0"/>
              <w:spacing w:line="360" w:lineRule="auto"/>
              <w:jc w:val="center"/>
              <w:rPr>
                <w:rFonts w:hint="eastAsia" w:ascii="宋体" w:hAnsi="宋体" w:eastAsia="宋体" w:cs="宋体"/>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w:t>
            </w:r>
          </w:p>
        </w:tc>
        <w:tc>
          <w:tcPr>
            <w:tcW w:w="770" w:type="dxa"/>
            <w:noWrap w:val="0"/>
            <w:vAlign w:val="center"/>
          </w:tcPr>
          <w:p>
            <w:pPr>
              <w:adjustRightInd w:val="0"/>
              <w:snapToGrid w:val="0"/>
              <w:spacing w:line="360" w:lineRule="auto"/>
              <w:jc w:val="center"/>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发电机组维护保养工作内容</w:t>
            </w:r>
          </w:p>
        </w:tc>
        <w:tc>
          <w:tcPr>
            <w:tcW w:w="5575" w:type="dxa"/>
            <w:noWrap w:val="0"/>
            <w:vAlign w:val="center"/>
          </w:tcPr>
          <w:p>
            <w:pPr>
              <w:rPr>
                <w:rFonts w:hint="eastAsia" w:ascii="宋体" w:hAnsi="宋体" w:eastAsia="宋体" w:cs="宋体"/>
                <w:kern w:val="2"/>
                <w:sz w:val="18"/>
                <w:szCs w:val="18"/>
                <w:lang w:val="en-US" w:eastAsia="zh-CN" w:bidi="ar-SA"/>
              </w:rPr>
            </w:pPr>
            <w:r>
              <w:rPr>
                <w:rFonts w:hint="eastAsia" w:ascii="宋体" w:hAnsi="宋体" w:eastAsia="宋体" w:cs="宋体"/>
                <w:color w:val="000000"/>
                <w:sz w:val="18"/>
                <w:szCs w:val="18"/>
                <w:lang w:eastAsia="zh-CN"/>
              </w:rPr>
              <w:t>每月检查发动机润滑油位、冷却液位、清洁散热器外部、空气滤清器阻塞指示器、发动机有无漏水和漏油、各电气部分是否可靠、蓄电池电解液位、机组电气线路是否有松动、异常现象，各仪表是否准确。检查喷油器、涡轮增压器，定期更换机油、三滤、冷却液</w:t>
            </w:r>
          </w:p>
        </w:tc>
        <w:tc>
          <w:tcPr>
            <w:tcW w:w="1440" w:type="dxa"/>
            <w:noWrap w:val="0"/>
            <w:vAlign w:val="center"/>
          </w:tcPr>
          <w:p>
            <w:pPr>
              <w:adjustRightInd w:val="0"/>
              <w:snapToGrid w:val="0"/>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22</w:t>
            </w:r>
          </w:p>
        </w:tc>
        <w:tc>
          <w:tcPr>
            <w:tcW w:w="720" w:type="dxa"/>
            <w:vMerge w:val="restart"/>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服务人员的要求</w:t>
            </w: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人员配置</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default" w:ascii="宋体" w:hAnsi="宋体" w:eastAsia="宋体" w:cs="宋体"/>
                <w:color w:val="000000"/>
                <w:sz w:val="18"/>
                <w:szCs w:val="18"/>
                <w:lang w:val="en-US" w:eastAsia="zh-CN"/>
              </w:rPr>
              <w:t>由中标供应商派遣1名项目经理和不少于12名运维服务人员进驻吉林省税务局南湖大路机房、人民广场机房作为一线人员进行现场维护服务工作。派驻人员须为中标供应商的自有人员。</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2" w:hRule="exact"/>
        </w:trPr>
        <w:tc>
          <w:tcPr>
            <w:tcW w:w="694" w:type="dxa"/>
            <w:noWrap w:val="0"/>
            <w:vAlign w:val="center"/>
          </w:tcPr>
          <w:p>
            <w:pPr>
              <w:numPr>
                <w:ilvl w:val="0"/>
                <w:numId w:val="0"/>
              </w:numPr>
              <w:adjustRightInd w:val="0"/>
              <w:snapToGrid w:val="0"/>
              <w:spacing w:line="360" w:lineRule="auto"/>
              <w:ind w:leftChars="0"/>
              <w:jc w:val="both"/>
              <w:rPr>
                <w:rFonts w:hint="default"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23</w:t>
            </w:r>
          </w:p>
        </w:tc>
        <w:tc>
          <w:tcPr>
            <w:tcW w:w="720" w:type="dxa"/>
            <w:vMerge w:val="continue"/>
            <w:noWrap w:val="0"/>
            <w:vAlign w:val="center"/>
          </w:tcPr>
          <w:p>
            <w:pPr>
              <w:adjustRightInd w:val="0"/>
              <w:snapToGrid w:val="0"/>
              <w:spacing w:line="360" w:lineRule="auto"/>
              <w:jc w:val="center"/>
              <w:rPr>
                <w:rFonts w:hint="default"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人员配置</w:t>
            </w:r>
          </w:p>
        </w:tc>
        <w:tc>
          <w:tcPr>
            <w:tcW w:w="5575" w:type="dxa"/>
            <w:noWrap w:val="0"/>
            <w:vAlign w:val="center"/>
          </w:tcPr>
          <w:p>
            <w:pPr>
              <w:rPr>
                <w:rFonts w:hint="eastAsia" w:ascii="仿宋_GB2312" w:hAnsi="仿宋_GB2312" w:eastAsia="仿宋_GB2312" w:cs="仿宋_GB2312"/>
                <w:kern w:val="2"/>
                <w:sz w:val="18"/>
                <w:szCs w:val="18"/>
                <w:lang w:val="en-US" w:eastAsia="zh-CN" w:bidi="ar-SA"/>
              </w:rPr>
            </w:pPr>
            <w:r>
              <w:rPr>
                <w:rFonts w:hint="default" w:ascii="宋体" w:hAnsi="宋体" w:eastAsia="宋体" w:cs="宋体"/>
                <w:color w:val="000000"/>
                <w:sz w:val="18"/>
                <w:szCs w:val="18"/>
                <w:lang w:val="en-US" w:eastAsia="zh-CN"/>
              </w:rPr>
              <w:t>开展24小时监控值守服务，轮流值班，设备安装、操作系统安装维护、故障恢复以及相关服务</w:t>
            </w:r>
            <w:r>
              <w:rPr>
                <w:rFonts w:hint="eastAsia" w:ascii="宋体" w:hAnsi="宋体" w:eastAsia="宋体" w:cs="宋体"/>
                <w:color w:val="000000"/>
                <w:sz w:val="18"/>
                <w:szCs w:val="18"/>
                <w:lang w:val="en-US" w:eastAsia="zh-CN"/>
              </w:rPr>
              <w:t>工作，</w:t>
            </w:r>
            <w:r>
              <w:rPr>
                <w:rFonts w:hint="default" w:ascii="宋体" w:hAnsi="宋体" w:eastAsia="宋体" w:cs="宋体"/>
                <w:color w:val="000000"/>
                <w:sz w:val="18"/>
                <w:szCs w:val="18"/>
                <w:lang w:val="en-US" w:eastAsia="zh-CN"/>
              </w:rPr>
              <w:t>值班人员收到机房报警通知后，采取必要措施进行抢救，同时向采购方机房负责人汇报情况,确保机房不发生停冷、断电事件。</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7" w:hRule="exact"/>
        </w:trPr>
        <w:tc>
          <w:tcPr>
            <w:tcW w:w="694" w:type="dxa"/>
            <w:noWrap w:val="0"/>
            <w:vAlign w:val="center"/>
          </w:tcPr>
          <w:p>
            <w:pPr>
              <w:numPr>
                <w:ilvl w:val="0"/>
                <w:numId w:val="6"/>
              </w:numPr>
              <w:adjustRightInd w:val="0"/>
              <w:snapToGrid w:val="0"/>
              <w:spacing w:line="360" w:lineRule="auto"/>
              <w:ind w:left="425" w:leftChars="0" w:hanging="425" w:firstLineChars="0"/>
              <w:jc w:val="center"/>
              <w:rPr>
                <w:rFonts w:hint="eastAsia" w:ascii="仿宋_GB2312" w:hAnsi="仿宋_GB2312" w:eastAsia="仿宋_GB2312" w:cs="仿宋_GB2312"/>
                <w:kern w:val="2"/>
                <w:sz w:val="18"/>
                <w:szCs w:val="18"/>
                <w:lang w:val="en-US" w:eastAsia="zh-CN" w:bidi="ar-SA"/>
              </w:rPr>
            </w:pP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restart"/>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驻场运维人员</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宋体" w:hAnsi="宋体" w:eastAsia="宋体" w:cs="宋体"/>
                <w:color w:val="000000"/>
                <w:sz w:val="18"/>
                <w:szCs w:val="18"/>
                <w:lang w:val="en-US" w:eastAsia="zh-CN"/>
              </w:rPr>
              <w:t>入驻运维人员熟悉机房内各类基础环境设施设备，如UPS、发电机、精密空调、消防、安防、监控等系统工作原理及维护方法；能够熟练使用各类运维工具进行设备的监控和性能优化。</w:t>
            </w:r>
          </w:p>
        </w:tc>
        <w:tc>
          <w:tcPr>
            <w:tcW w:w="1440" w:type="dxa"/>
            <w:noWrap w:val="0"/>
            <w:vAlign w:val="center"/>
          </w:tcPr>
          <w:p>
            <w:pPr>
              <w:adjustRightInd w:val="0"/>
              <w:snapToGrid w:val="0"/>
              <w:spacing w:line="360" w:lineRule="auto"/>
              <w:jc w:val="both"/>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5" w:hRule="exact"/>
        </w:trPr>
        <w:tc>
          <w:tcPr>
            <w:tcW w:w="694" w:type="dxa"/>
            <w:noWrap w:val="0"/>
            <w:vAlign w:val="center"/>
          </w:tcPr>
          <w:p>
            <w:pPr>
              <w:numPr>
                <w:ilvl w:val="0"/>
                <w:numId w:val="6"/>
              </w:numPr>
              <w:adjustRightInd w:val="0"/>
              <w:snapToGrid w:val="0"/>
              <w:spacing w:line="360" w:lineRule="auto"/>
              <w:ind w:left="425" w:leftChars="0" w:hanging="425" w:firstLineChars="0"/>
              <w:jc w:val="center"/>
              <w:rPr>
                <w:rFonts w:hint="eastAsia" w:ascii="仿宋_GB2312" w:hAnsi="仿宋_GB2312" w:eastAsia="仿宋_GB2312" w:cs="仿宋_GB2312"/>
                <w:kern w:val="2"/>
                <w:sz w:val="18"/>
                <w:szCs w:val="18"/>
                <w:lang w:val="en-US" w:eastAsia="zh-CN" w:bidi="ar-SA"/>
              </w:rPr>
            </w:pP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宋体" w:hAnsi="宋体" w:eastAsia="宋体" w:cs="宋体"/>
                <w:color w:val="000000"/>
                <w:sz w:val="18"/>
                <w:szCs w:val="18"/>
                <w:lang w:val="en-US" w:eastAsia="zh-CN"/>
              </w:rPr>
              <w:t>具备一定的机房基础环境设施运维工作经验，能够熟练处理机房设备简单故障和异常情况；了解机房安全规范和操作流程，具有安全防范意识；熟练掌握数据中心机房电气、暖通的应急操作流程，能够独立完成规定性应急操作。</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9" w:hRule="exact"/>
        </w:trPr>
        <w:tc>
          <w:tcPr>
            <w:tcW w:w="694" w:type="dxa"/>
            <w:noWrap w:val="0"/>
            <w:vAlign w:val="center"/>
          </w:tcPr>
          <w:p>
            <w:pPr>
              <w:numPr>
                <w:ilvl w:val="0"/>
                <w:numId w:val="6"/>
              </w:numPr>
              <w:adjustRightInd w:val="0"/>
              <w:snapToGrid w:val="0"/>
              <w:spacing w:line="360" w:lineRule="auto"/>
              <w:ind w:left="425" w:leftChars="0" w:hanging="425" w:firstLineChars="0"/>
              <w:jc w:val="center"/>
              <w:rPr>
                <w:rFonts w:hint="eastAsia" w:ascii="仿宋_GB2312" w:hAnsi="仿宋_GB2312" w:eastAsia="仿宋_GB2312" w:cs="仿宋_GB2312"/>
                <w:kern w:val="2"/>
                <w:sz w:val="18"/>
                <w:szCs w:val="18"/>
                <w:lang w:val="en-US" w:eastAsia="zh-CN" w:bidi="ar-SA"/>
              </w:rPr>
            </w:pP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维护</w:t>
            </w:r>
            <w:r>
              <w:rPr>
                <w:rFonts w:hint="eastAsia" w:ascii="仿宋_GB2312" w:hAnsi="仿宋_GB2312" w:eastAsia="仿宋_GB2312" w:cs="仿宋_GB2312"/>
                <w:kern w:val="2"/>
                <w:sz w:val="18"/>
                <w:szCs w:val="18"/>
                <w:lang w:val="en-US" w:eastAsia="zh-CN" w:bidi="ar-SA"/>
              </w:rPr>
              <w:t>操作</w:t>
            </w:r>
            <w:r>
              <w:rPr>
                <w:rFonts w:hint="default" w:ascii="仿宋_GB2312" w:hAnsi="仿宋_GB2312" w:eastAsia="仿宋_GB2312" w:cs="仿宋_GB2312"/>
                <w:kern w:val="2"/>
                <w:sz w:val="18"/>
                <w:szCs w:val="18"/>
                <w:lang w:val="en-US" w:eastAsia="zh-CN" w:bidi="ar-SA"/>
              </w:rPr>
              <w:t>工程师</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宋体" w:hAnsi="宋体" w:eastAsia="宋体" w:cs="宋体"/>
                <w:color w:val="000000"/>
                <w:sz w:val="18"/>
                <w:szCs w:val="18"/>
                <w:lang w:val="en-US" w:eastAsia="zh-CN"/>
              </w:rPr>
              <w:t>具有3年以上机房设备维护工作经验，熟悉不同类型机房的环境特点和维护需求；能够应对复杂的机房环境和高要求的维护任务；在面对机房故障时，能够迅速准确的判断问题所在，通过观察、检测和分析，找出故障根源。</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3" w:hRule="exact"/>
        </w:trPr>
        <w:tc>
          <w:tcPr>
            <w:tcW w:w="694" w:type="dxa"/>
            <w:noWrap w:val="0"/>
            <w:vAlign w:val="center"/>
          </w:tcPr>
          <w:p>
            <w:pPr>
              <w:numPr>
                <w:ilvl w:val="0"/>
                <w:numId w:val="6"/>
              </w:numPr>
              <w:adjustRightInd w:val="0"/>
              <w:snapToGrid w:val="0"/>
              <w:spacing w:line="360" w:lineRule="auto"/>
              <w:ind w:left="425" w:leftChars="0" w:hanging="425" w:firstLineChars="0"/>
              <w:jc w:val="center"/>
              <w:rPr>
                <w:rFonts w:hint="eastAsia" w:ascii="仿宋_GB2312" w:hAnsi="仿宋_GB2312" w:eastAsia="仿宋_GB2312" w:cs="仿宋_GB2312"/>
                <w:kern w:val="2"/>
                <w:sz w:val="18"/>
                <w:szCs w:val="18"/>
                <w:lang w:val="en-US" w:eastAsia="zh-CN" w:bidi="ar-SA"/>
              </w:rPr>
            </w:pPr>
          </w:p>
        </w:tc>
        <w:tc>
          <w:tcPr>
            <w:tcW w:w="72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备件库要求</w:t>
            </w: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备件库要求</w:t>
            </w:r>
          </w:p>
        </w:tc>
        <w:tc>
          <w:tcPr>
            <w:tcW w:w="55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default" w:ascii="仿宋_GB2312" w:hAnsi="仿宋_GB2312" w:eastAsia="仿宋_GB2312" w:cs="仿宋_GB2312"/>
                <w:kern w:val="2"/>
                <w:sz w:val="18"/>
                <w:szCs w:val="18"/>
                <w:lang w:val="en-US" w:eastAsia="zh-CN" w:bidi="ar-SA"/>
              </w:rPr>
              <w:t>中标供应商保证所提供的货物的备件库可以满足采购方日常使用、硬件故障的需求。保修期内，中标供应商免费以全新配件更换正常使用下损坏的配件，并提供免备件费、免人工费、免服务费的故障备件更换服务。</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kern w:val="2"/>
                <w:sz w:val="18"/>
                <w:szCs w:val="18"/>
                <w:lang w:val="en-US" w:eastAsia="zh-CN" w:bidi="ar-SA"/>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exact"/>
        </w:trPr>
        <w:tc>
          <w:tcPr>
            <w:tcW w:w="694" w:type="dxa"/>
            <w:noWrap w:val="0"/>
            <w:vAlign w:val="center"/>
          </w:tcPr>
          <w:p>
            <w:pPr>
              <w:numPr>
                <w:ilvl w:val="0"/>
                <w:numId w:val="6"/>
              </w:numPr>
              <w:adjustRightInd w:val="0"/>
              <w:snapToGrid w:val="0"/>
              <w:spacing w:line="360" w:lineRule="auto"/>
              <w:ind w:left="425" w:leftChars="0" w:hanging="425" w:firstLineChars="0"/>
              <w:jc w:val="center"/>
              <w:rPr>
                <w:rFonts w:hint="eastAsia" w:ascii="仿宋_GB2312" w:hAnsi="仿宋_GB2312" w:eastAsia="仿宋_GB2312" w:cs="仿宋_GB2312"/>
                <w:kern w:val="2"/>
                <w:sz w:val="18"/>
                <w:szCs w:val="18"/>
                <w:highlight w:val="none"/>
                <w:lang w:val="en-US" w:eastAsia="zh-CN" w:bidi="ar-SA"/>
              </w:rPr>
            </w:pPr>
          </w:p>
        </w:tc>
        <w:tc>
          <w:tcPr>
            <w:tcW w:w="72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highlight w:val="none"/>
                <w:lang w:val="en-US" w:eastAsia="zh-CN" w:bidi="ar-SA"/>
              </w:rPr>
            </w:pPr>
            <w:r>
              <w:rPr>
                <w:rFonts w:hint="default" w:ascii="仿宋_GB2312" w:hAnsi="仿宋_GB2312" w:eastAsia="仿宋_GB2312" w:cs="仿宋_GB2312"/>
                <w:kern w:val="2"/>
                <w:sz w:val="18"/>
                <w:szCs w:val="18"/>
                <w:highlight w:val="none"/>
                <w:lang w:val="en-US" w:eastAsia="zh-CN" w:bidi="ar-SA"/>
              </w:rPr>
              <w:t>备件库要求</w:t>
            </w: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highlight w:val="none"/>
                <w:lang w:val="en-US" w:eastAsia="zh-CN" w:bidi="ar-SA"/>
              </w:rPr>
            </w:pPr>
            <w:r>
              <w:rPr>
                <w:rFonts w:hint="eastAsia" w:ascii="仿宋_GB2312" w:hAnsi="仿宋_GB2312" w:eastAsia="仿宋_GB2312" w:cs="仿宋_GB2312"/>
                <w:kern w:val="2"/>
                <w:sz w:val="18"/>
                <w:szCs w:val="18"/>
                <w:highlight w:val="none"/>
                <w:lang w:val="en-US" w:eastAsia="zh-CN" w:bidi="ar-SA"/>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highlight w:val="none"/>
                <w:lang w:val="en-US" w:eastAsia="zh-CN" w:bidi="ar-SA"/>
              </w:rPr>
            </w:pPr>
            <w:r>
              <w:rPr>
                <w:rFonts w:hint="default" w:ascii="仿宋_GB2312" w:hAnsi="仿宋_GB2312" w:eastAsia="仿宋_GB2312" w:cs="仿宋_GB2312"/>
                <w:kern w:val="2"/>
                <w:sz w:val="18"/>
                <w:szCs w:val="18"/>
                <w:highlight w:val="none"/>
                <w:lang w:val="en-US" w:eastAsia="zh-CN" w:bidi="ar-SA"/>
              </w:rPr>
              <w:t>备件库要求</w:t>
            </w:r>
          </w:p>
        </w:tc>
        <w:tc>
          <w:tcPr>
            <w:tcW w:w="55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60" w:lineRule="auto"/>
              <w:jc w:val="left"/>
              <w:rPr>
                <w:rFonts w:hint="eastAsia" w:ascii="仿宋_GB2312" w:hAnsi="仿宋_GB2312" w:eastAsia="仿宋_GB2312" w:cs="仿宋_GB2312"/>
                <w:kern w:val="2"/>
                <w:sz w:val="18"/>
                <w:szCs w:val="18"/>
                <w:highlight w:val="none"/>
                <w:lang w:val="en-US" w:eastAsia="zh-CN" w:bidi="ar-SA"/>
              </w:rPr>
            </w:pPr>
            <w:r>
              <w:rPr>
                <w:rFonts w:hint="default" w:ascii="仿宋_GB2312" w:hAnsi="仿宋_GB2312" w:eastAsia="仿宋_GB2312" w:cs="仿宋_GB2312"/>
                <w:kern w:val="2"/>
                <w:sz w:val="18"/>
                <w:szCs w:val="18"/>
                <w:highlight w:val="none"/>
                <w:lang w:val="en-US" w:eastAsia="zh-CN" w:bidi="ar-SA"/>
              </w:rPr>
              <w:t>中标供应商需设置备件库，其中需包含采购方基础设施设备所需的全部常用备件，备件库设备及备件应急时间应小于0.5小时。</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highlight w:val="none"/>
                <w:lang w:val="en-US" w:eastAsia="zh-CN" w:bidi="ar-SA"/>
              </w:rPr>
            </w:pPr>
            <w:r>
              <w:rPr>
                <w:rFonts w:hint="eastAsia" w:ascii="仿宋_GB2312" w:hAnsi="仿宋_GB2312" w:eastAsia="仿宋_GB2312" w:cs="仿宋_GB2312"/>
                <w:kern w:val="2"/>
                <w:sz w:val="18"/>
                <w:szCs w:val="18"/>
                <w:highlight w:val="none"/>
                <w:lang w:val="en-US" w:eastAsia="zh-CN" w:bidi="ar-SA"/>
              </w:rPr>
              <w:t>提供承诺书</w:t>
            </w:r>
          </w:p>
        </w:tc>
      </w:tr>
    </w:tbl>
    <w:p/>
    <w:p>
      <w:pPr>
        <w:pStyle w:val="18"/>
        <w:spacing w:before="0" w:after="0" w:line="360" w:lineRule="auto"/>
        <w:jc w:val="left"/>
      </w:pPr>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FangSong_GB2312">
    <w:altName w:val="仿宋"/>
    <w:panose1 w:val="02010609030101010101"/>
    <w:charset w:val="86"/>
    <w:family w:val="auto"/>
    <w:pitch w:val="default"/>
    <w:sig w:usb0="00000000" w:usb1="00000000" w:usb2="00000000" w:usb3="00000000" w:csb0="00040000" w:csb1="00000000"/>
  </w:font>
  <w:font w:name="长城仿宋">
    <w:altName w:val="微软雅黑"/>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default"/>
    <w:sig w:usb0="A00002EF" w:usb1="4000207B" w:usb2="00000000"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auto"/>
    <w:pitch w:val="default"/>
    <w:sig w:usb0="00000000" w:usb1="00000000" w:usb2="00000000" w:usb3="00000000" w:csb0="00040000" w:csb1="00000000"/>
  </w:font>
  <w:font w:name="方正小标宋_GBK">
    <w:altName w:val="Arial Unicode MS"/>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spacing w:before="0" w:after="0" w:line="360" w:lineRule="auto"/>
      <w:jc w:val="center"/>
    </w:pPr>
    <w:r>
      <w:fldChar w:fldCharType="begin"/>
    </w:r>
    <w:r>
      <w:instrText xml:space="preserve"> PAGE </w:instrText>
    </w:r>
    <w:r>
      <w:fldChar w:fldCharType="separate"/>
    </w:r>
    <w:r>
      <w:t>13</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3FF3F3"/>
    <w:multiLevelType w:val="singleLevel"/>
    <w:tmpl w:val="B73FF3F3"/>
    <w:lvl w:ilvl="0" w:tentative="0">
      <w:start w:val="1"/>
      <w:numFmt w:val="decimal"/>
      <w:lvlText w:val="%1"/>
      <w:lvlJc w:val="left"/>
      <w:pPr>
        <w:tabs>
          <w:tab w:val="left" w:pos="420"/>
        </w:tabs>
        <w:ind w:left="425" w:hanging="425"/>
      </w:pPr>
      <w:rPr>
        <w:rFonts w:hint="default"/>
      </w:rPr>
    </w:lvl>
  </w:abstractNum>
  <w:abstractNum w:abstractNumId="1">
    <w:nsid w:val="F9FB07A5"/>
    <w:multiLevelType w:val="singleLevel"/>
    <w:tmpl w:val="F9FB07A5"/>
    <w:lvl w:ilvl="0" w:tentative="0">
      <w:start w:val="1"/>
      <w:numFmt w:val="decimal"/>
      <w:pStyle w:val="11"/>
      <w:lvlText w:val="%1."/>
      <w:lvlJc w:val="left"/>
      <w:pPr>
        <w:tabs>
          <w:tab w:val="left" w:pos="780"/>
        </w:tabs>
        <w:ind w:left="780" w:hanging="360"/>
      </w:pPr>
    </w:lvl>
  </w:abstractNum>
  <w:abstractNum w:abstractNumId="2">
    <w:nsid w:val="00000002"/>
    <w:multiLevelType w:val="multilevel"/>
    <w:tmpl w:val="00000002"/>
    <w:lvl w:ilvl="0" w:tentative="0">
      <w:start w:val="1"/>
      <w:numFmt w:val="decimal"/>
      <w:pStyle w:val="84"/>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0000003"/>
    <w:multiLevelType w:val="multilevel"/>
    <w:tmpl w:val="00000003"/>
    <w:lvl w:ilvl="0" w:tentative="0">
      <w:start w:val="1"/>
      <w:numFmt w:val="decimal"/>
      <w:pStyle w:val="64"/>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4"/>
  </w:num>
  <w:num w:numId="2">
    <w:abstractNumId w:val="1"/>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val="1"/>
  <w:documentProtection w:enforcement="0"/>
  <w:defaultTabStop w:val="420"/>
  <w:drawingGridVerticalSpacing w:val="156"/>
  <w:displayHorizontalDrawingGridEvery w:val="0"/>
  <w:displayVerticalDrawingGridEvery w:val="2"/>
  <w:doNotShadeFormData w:val="1"/>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6682F5"/>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54689E"/>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36666"/>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7FF9BF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721C95"/>
    <w:rsid w:val="78B17334"/>
    <w:rsid w:val="78BF35B7"/>
    <w:rsid w:val="78BFFCAD"/>
    <w:rsid w:val="78EC26A9"/>
    <w:rsid w:val="78F47AA0"/>
    <w:rsid w:val="79537D73"/>
    <w:rsid w:val="796339EC"/>
    <w:rsid w:val="796626C4"/>
    <w:rsid w:val="797314CF"/>
    <w:rsid w:val="79BDAD24"/>
    <w:rsid w:val="79D57C8B"/>
    <w:rsid w:val="79DEFEBC"/>
    <w:rsid w:val="79EC868E"/>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248FA"/>
    <w:rsid w:val="7F7728FA"/>
    <w:rsid w:val="7F775E50"/>
    <w:rsid w:val="7F7B1AD9"/>
    <w:rsid w:val="7F7FA620"/>
    <w:rsid w:val="7F7FD998"/>
    <w:rsid w:val="7F8EB047"/>
    <w:rsid w:val="7F9E0363"/>
    <w:rsid w:val="7FA71501"/>
    <w:rsid w:val="7FA7C79F"/>
    <w:rsid w:val="7FAEB9FE"/>
    <w:rsid w:val="7FB75728"/>
    <w:rsid w:val="7FB7A248"/>
    <w:rsid w:val="7FB9BB9E"/>
    <w:rsid w:val="7FBC0CC7"/>
    <w:rsid w:val="7FBF1612"/>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B731F4A"/>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37FB"/>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4402D"/>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7DF67"/>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4AEC"/>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FFFFB6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9"/>
    <w:qFormat/>
    <w:uiPriority w:val="0"/>
    <w:pPr>
      <w:keepNext/>
      <w:keepLines/>
      <w:spacing w:before="340" w:after="330" w:line="576" w:lineRule="auto"/>
      <w:outlineLvl w:val="0"/>
    </w:pPr>
    <w:rPr>
      <w:b/>
      <w:bCs/>
      <w:kern w:val="44"/>
      <w:sz w:val="44"/>
      <w:szCs w:val="44"/>
    </w:rPr>
  </w:style>
  <w:style w:type="paragraph" w:styleId="4">
    <w:name w:val="heading 2"/>
    <w:basedOn w:val="3"/>
    <w:next w:val="5"/>
    <w:qFormat/>
    <w:uiPriority w:val="0"/>
    <w:pPr>
      <w:numPr>
        <w:ilvl w:val="1"/>
        <w:numId w:val="1"/>
      </w:numPr>
      <w:tabs>
        <w:tab w:val="left" w:pos="2400"/>
      </w:tabs>
      <w:spacing w:before="260" w:afterLines="50" w:line="416" w:lineRule="auto"/>
      <w:outlineLvl w:val="1"/>
    </w:pPr>
    <w:rPr>
      <w:rFonts w:ascii="Arial" w:hAnsi="Arial" w:eastAsia="黑体" w:cs="Calibri"/>
      <w:sz w:val="32"/>
      <w:szCs w:val="32"/>
    </w:rPr>
  </w:style>
  <w:style w:type="paragraph" w:styleId="5">
    <w:name w:val="heading 3"/>
    <w:basedOn w:val="1"/>
    <w:next w:val="1"/>
    <w:link w:val="40"/>
    <w:qFormat/>
    <w:uiPriority w:val="0"/>
    <w:pPr>
      <w:keepNext/>
      <w:keepLines/>
      <w:tabs>
        <w:tab w:val="left" w:pos="0"/>
      </w:tabs>
      <w:spacing w:before="260" w:after="260" w:line="415" w:lineRule="auto"/>
      <w:outlineLvl w:val="2"/>
    </w:pPr>
    <w:rPr>
      <w:b/>
      <w:sz w:val="32"/>
      <w:szCs w:val="32"/>
    </w:rPr>
  </w:style>
  <w:style w:type="paragraph" w:styleId="6">
    <w:name w:val="heading 4"/>
    <w:basedOn w:val="1"/>
    <w:next w:val="1"/>
    <w:link w:val="41"/>
    <w:qFormat/>
    <w:uiPriority w:val="0"/>
    <w:pPr>
      <w:keepNext/>
      <w:autoSpaceDE w:val="0"/>
      <w:autoSpaceDN w:val="0"/>
      <w:adjustRightInd w:val="0"/>
      <w:jc w:val="left"/>
      <w:outlineLvl w:val="3"/>
    </w:pPr>
    <w:rPr>
      <w:rFonts w:ascii="宋体" w:hAnsi="宋体"/>
      <w:color w:val="0000FF"/>
      <w:kern w:val="0"/>
      <w:sz w:val="28"/>
      <w:szCs w:val="20"/>
    </w:rPr>
  </w:style>
  <w:style w:type="paragraph" w:styleId="2">
    <w:name w:val="heading 5"/>
    <w:basedOn w:val="1"/>
    <w:next w:val="1"/>
    <w:link w:val="42"/>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7">
    <w:name w:val="heading 6"/>
    <w:basedOn w:val="1"/>
    <w:next w:val="1"/>
    <w:link w:val="43"/>
    <w:qFormat/>
    <w:uiPriority w:val="0"/>
    <w:pPr>
      <w:keepNext/>
      <w:keepLines/>
      <w:tabs>
        <w:tab w:val="left" w:pos="1152"/>
      </w:tabs>
      <w:spacing w:before="240" w:after="64" w:line="319" w:lineRule="auto"/>
      <w:ind w:left="1152" w:hanging="1152"/>
      <w:outlineLvl w:val="5"/>
    </w:pPr>
    <w:rPr>
      <w:rFonts w:ascii="Arial" w:hAnsi="Arial" w:eastAsia="黑体"/>
      <w:b/>
      <w:bCs/>
      <w:sz w:val="24"/>
    </w:rPr>
  </w:style>
  <w:style w:type="paragraph" w:styleId="8">
    <w:name w:val="heading 7"/>
    <w:basedOn w:val="1"/>
    <w:next w:val="1"/>
    <w:link w:val="44"/>
    <w:qFormat/>
    <w:uiPriority w:val="0"/>
    <w:pPr>
      <w:keepNext/>
      <w:keepLines/>
      <w:tabs>
        <w:tab w:val="left" w:pos="1296"/>
      </w:tabs>
      <w:spacing w:before="240" w:after="64" w:line="319" w:lineRule="auto"/>
      <w:ind w:left="1296" w:hanging="1296"/>
      <w:outlineLvl w:val="6"/>
    </w:pPr>
    <w:rPr>
      <w:b/>
      <w:bCs/>
      <w:sz w:val="24"/>
    </w:rPr>
  </w:style>
  <w:style w:type="paragraph" w:styleId="9">
    <w:name w:val="heading 8"/>
    <w:basedOn w:val="1"/>
    <w:next w:val="1"/>
    <w:link w:val="45"/>
    <w:qFormat/>
    <w:uiPriority w:val="0"/>
    <w:pPr>
      <w:keepNext/>
      <w:keepLines/>
      <w:tabs>
        <w:tab w:val="left" w:pos="1440"/>
      </w:tabs>
      <w:spacing w:before="240" w:after="64" w:line="319" w:lineRule="auto"/>
      <w:ind w:left="1440" w:hanging="1440"/>
      <w:outlineLvl w:val="7"/>
    </w:pPr>
    <w:rPr>
      <w:rFonts w:ascii="Arial" w:hAnsi="Arial" w:eastAsia="黑体"/>
      <w:sz w:val="24"/>
    </w:rPr>
  </w:style>
  <w:style w:type="paragraph" w:styleId="10">
    <w:name w:val="heading 9"/>
    <w:basedOn w:val="1"/>
    <w:next w:val="1"/>
    <w:link w:val="46"/>
    <w:qFormat/>
    <w:uiPriority w:val="0"/>
    <w:pPr>
      <w:keepNext/>
      <w:keepLines/>
      <w:tabs>
        <w:tab w:val="left" w:pos="1584"/>
      </w:tabs>
      <w:spacing w:before="240" w:after="64" w:line="319" w:lineRule="auto"/>
      <w:ind w:left="1584" w:hanging="1584"/>
      <w:outlineLvl w:val="8"/>
    </w:pPr>
    <w:rPr>
      <w:rFonts w:ascii="Arial" w:hAnsi="Arial" w:eastAsia="黑体"/>
      <w:szCs w:val="21"/>
    </w:rPr>
  </w:style>
  <w:style w:type="character" w:default="1" w:styleId="33">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11">
    <w:name w:val="List Number 2"/>
    <w:basedOn w:val="1"/>
    <w:qFormat/>
    <w:uiPriority w:val="0"/>
    <w:pPr>
      <w:numPr>
        <w:ilvl w:val="0"/>
        <w:numId w:val="2"/>
      </w:numPr>
    </w:pPr>
  </w:style>
  <w:style w:type="paragraph" w:styleId="12">
    <w:name w:val="Document Map"/>
    <w:basedOn w:val="1"/>
    <w:link w:val="47"/>
    <w:qFormat/>
    <w:uiPriority w:val="0"/>
    <w:pPr>
      <w:shd w:val="clear" w:color="auto" w:fill="000080"/>
    </w:pPr>
    <w:rPr>
      <w:kern w:val="0"/>
      <w:sz w:val="20"/>
      <w:shd w:val="clear" w:color="auto" w:fill="000080"/>
    </w:rPr>
  </w:style>
  <w:style w:type="paragraph" w:styleId="13">
    <w:name w:val="annotation text"/>
    <w:basedOn w:val="1"/>
    <w:qFormat/>
    <w:uiPriority w:val="0"/>
    <w:pPr>
      <w:jc w:val="left"/>
    </w:pPr>
  </w:style>
  <w:style w:type="paragraph" w:styleId="14">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5">
    <w:name w:val="Body Text"/>
    <w:basedOn w:val="1"/>
    <w:link w:val="38"/>
    <w:qFormat/>
    <w:uiPriority w:val="0"/>
    <w:pPr>
      <w:spacing w:after="120"/>
    </w:pPr>
  </w:style>
  <w:style w:type="paragraph" w:styleId="16">
    <w:name w:val="Body Text Indent"/>
    <w:basedOn w:val="1"/>
    <w:link w:val="48"/>
    <w:qFormat/>
    <w:uiPriority w:val="0"/>
    <w:pPr>
      <w:ind w:firstLine="360"/>
    </w:pPr>
    <w:rPr>
      <w:kern w:val="0"/>
      <w:sz w:val="20"/>
      <w:szCs w:val="20"/>
    </w:rPr>
  </w:style>
  <w:style w:type="paragraph" w:styleId="17">
    <w:name w:val="toc 3"/>
    <w:basedOn w:val="1"/>
    <w:next w:val="18"/>
    <w:qFormat/>
    <w:uiPriority w:val="0"/>
    <w:pPr>
      <w:widowControl/>
      <w:spacing w:after="0" w:line="240" w:lineRule="auto"/>
      <w:ind w:left="480"/>
      <w:jc w:val="left"/>
    </w:pPr>
    <w:rPr>
      <w:rFonts w:eastAsia="Times New Roman"/>
      <w:kern w:val="0"/>
      <w:sz w:val="24"/>
      <w:lang w:eastAsia="en-US"/>
    </w:rPr>
  </w:style>
  <w:style w:type="paragraph" w:customStyle="1" w:styleId="18">
    <w:name w:val="Normal_0"/>
    <w:qFormat/>
    <w:uiPriority w:val="0"/>
    <w:pPr>
      <w:spacing w:after="160" w:line="259" w:lineRule="auto"/>
    </w:pPr>
    <w:rPr>
      <w:rFonts w:ascii="Times New Roman" w:hAnsi="Times New Roman" w:eastAsia="Times New Roman" w:cs="Times New Roman"/>
      <w:sz w:val="24"/>
      <w:szCs w:val="24"/>
      <w:lang w:val="en-US" w:eastAsia="en-US" w:bidi="ar-SA"/>
    </w:rPr>
  </w:style>
  <w:style w:type="paragraph" w:styleId="19">
    <w:name w:val="Plain Text"/>
    <w:basedOn w:val="1"/>
    <w:link w:val="49"/>
    <w:qFormat/>
    <w:uiPriority w:val="0"/>
    <w:pPr>
      <w:spacing w:after="0"/>
    </w:pPr>
    <w:rPr>
      <w:rFonts w:ascii="宋体" w:hAnsi="Courier New"/>
      <w:kern w:val="0"/>
      <w:sz w:val="20"/>
      <w:szCs w:val="21"/>
    </w:rPr>
  </w:style>
  <w:style w:type="paragraph" w:styleId="20">
    <w:name w:val="Date"/>
    <w:basedOn w:val="1"/>
    <w:next w:val="1"/>
    <w:link w:val="50"/>
    <w:qFormat/>
    <w:uiPriority w:val="0"/>
    <w:pPr>
      <w:ind w:left="100" w:leftChars="2500"/>
    </w:pPr>
    <w:rPr>
      <w:kern w:val="0"/>
      <w:sz w:val="20"/>
    </w:rPr>
  </w:style>
  <w:style w:type="paragraph" w:styleId="21">
    <w:name w:val="Body Text Indent 2"/>
    <w:basedOn w:val="1"/>
    <w:link w:val="51"/>
    <w:qFormat/>
    <w:uiPriority w:val="0"/>
    <w:pPr>
      <w:ind w:firstLine="630"/>
    </w:pPr>
    <w:rPr>
      <w:rFonts w:ascii="宋体"/>
      <w:kern w:val="0"/>
      <w:sz w:val="28"/>
      <w:szCs w:val="20"/>
    </w:rPr>
  </w:style>
  <w:style w:type="paragraph" w:styleId="22">
    <w:name w:val="Balloon Text"/>
    <w:basedOn w:val="1"/>
    <w:link w:val="52"/>
    <w:qFormat/>
    <w:uiPriority w:val="0"/>
    <w:rPr>
      <w:kern w:val="0"/>
      <w:sz w:val="18"/>
      <w:szCs w:val="18"/>
    </w:rPr>
  </w:style>
  <w:style w:type="paragraph" w:styleId="23">
    <w:name w:val="footer"/>
    <w:basedOn w:val="1"/>
    <w:link w:val="53"/>
    <w:qFormat/>
    <w:uiPriority w:val="0"/>
    <w:pPr>
      <w:tabs>
        <w:tab w:val="center" w:pos="4140"/>
        <w:tab w:val="right" w:pos="8300"/>
      </w:tabs>
      <w:snapToGrid w:val="0"/>
      <w:spacing w:after="0"/>
      <w:jc w:val="left"/>
    </w:pPr>
    <w:rPr>
      <w:kern w:val="0"/>
      <w:sz w:val="18"/>
    </w:rPr>
  </w:style>
  <w:style w:type="paragraph" w:styleId="24">
    <w:name w:val="header"/>
    <w:basedOn w:val="1"/>
    <w:link w:val="54"/>
    <w:qFormat/>
    <w:uiPriority w:val="0"/>
    <w:pPr>
      <w:pBdr>
        <w:bottom w:val="single" w:color="auto" w:sz="6" w:space="1"/>
      </w:pBdr>
      <w:tabs>
        <w:tab w:val="center" w:pos="4153"/>
        <w:tab w:val="right" w:pos="8306"/>
      </w:tabs>
      <w:snapToGrid w:val="0"/>
      <w:jc w:val="center"/>
    </w:pPr>
    <w:rPr>
      <w:kern w:val="0"/>
      <w:sz w:val="18"/>
      <w:szCs w:val="18"/>
    </w:rPr>
  </w:style>
  <w:style w:type="paragraph" w:styleId="25">
    <w:name w:val="toc 1"/>
    <w:basedOn w:val="1"/>
    <w:next w:val="1"/>
    <w:qFormat/>
    <w:uiPriority w:val="0"/>
    <w:pPr>
      <w:spacing w:before="120" w:after="120"/>
      <w:jc w:val="left"/>
    </w:pPr>
    <w:rPr>
      <w:b/>
      <w:bCs/>
      <w:caps/>
      <w:sz w:val="20"/>
      <w:szCs w:val="20"/>
    </w:rPr>
  </w:style>
  <w:style w:type="paragraph" w:styleId="26">
    <w:name w:val="Body Text Indent 3"/>
    <w:basedOn w:val="1"/>
    <w:link w:val="55"/>
    <w:qFormat/>
    <w:uiPriority w:val="0"/>
    <w:pPr>
      <w:spacing w:line="360" w:lineRule="auto"/>
      <w:ind w:firstLine="480" w:firstLineChars="200"/>
      <w:jc w:val="left"/>
    </w:pPr>
    <w:rPr>
      <w:kern w:val="0"/>
      <w:sz w:val="24"/>
      <w:szCs w:val="20"/>
    </w:rPr>
  </w:style>
  <w:style w:type="paragraph" w:styleId="27">
    <w:name w:val="toc 2"/>
    <w:basedOn w:val="1"/>
    <w:next w:val="18"/>
    <w:qFormat/>
    <w:uiPriority w:val="0"/>
    <w:pPr>
      <w:widowControl/>
      <w:spacing w:after="0" w:line="240" w:lineRule="auto"/>
      <w:ind w:left="240"/>
      <w:jc w:val="left"/>
    </w:pPr>
    <w:rPr>
      <w:rFonts w:eastAsia="Times New Roman"/>
      <w:kern w:val="0"/>
      <w:sz w:val="24"/>
      <w:lang w:eastAsia="en-US"/>
    </w:rPr>
  </w:style>
  <w:style w:type="paragraph" w:styleId="28">
    <w:name w:val="Body Text 2"/>
    <w:basedOn w:val="1"/>
    <w:link w:val="56"/>
    <w:qFormat/>
    <w:uiPriority w:val="0"/>
    <w:rPr>
      <w:rFonts w:ascii="FangSong_GB2312" w:eastAsia="FangSong_GB2312"/>
      <w:kern w:val="0"/>
      <w:sz w:val="28"/>
      <w:szCs w:val="20"/>
    </w:rPr>
  </w:style>
  <w:style w:type="paragraph" w:styleId="29">
    <w:name w:val="Normal (Web)"/>
    <w:basedOn w:val="1"/>
    <w:qFormat/>
    <w:uiPriority w:val="0"/>
    <w:pPr>
      <w:spacing w:before="100" w:beforeAutospacing="1" w:after="100" w:afterAutospacing="1"/>
      <w:jc w:val="left"/>
    </w:pPr>
    <w:rPr>
      <w:kern w:val="0"/>
      <w:sz w:val="24"/>
    </w:rPr>
  </w:style>
  <w:style w:type="paragraph" w:styleId="30">
    <w:name w:val="Title"/>
    <w:basedOn w:val="1"/>
    <w:link w:val="57"/>
    <w:qFormat/>
    <w:uiPriority w:val="0"/>
    <w:pPr>
      <w:spacing w:before="240" w:after="60"/>
      <w:jc w:val="center"/>
      <w:outlineLvl w:val="0"/>
    </w:pPr>
    <w:rPr>
      <w:rFonts w:ascii="Cambria" w:hAnsi="Cambria"/>
      <w:b/>
      <w:bCs/>
      <w:kern w:val="0"/>
      <w:sz w:val="32"/>
      <w:szCs w:val="32"/>
    </w:rPr>
  </w:style>
  <w:style w:type="paragraph" w:styleId="31">
    <w:name w:val="Body Text First Indent"/>
    <w:basedOn w:val="15"/>
    <w:link w:val="58"/>
    <w:qFormat/>
    <w:uiPriority w:val="0"/>
    <w:pPr>
      <w:ind w:firstLine="420" w:firstLineChars="100"/>
    </w:pPr>
    <w:rPr>
      <w:kern w:val="0"/>
      <w:sz w:val="20"/>
    </w:rPr>
  </w:style>
  <w:style w:type="character" w:styleId="34">
    <w:name w:val="Strong"/>
    <w:qFormat/>
    <w:uiPriority w:val="0"/>
    <w:rPr>
      <w:rFonts w:ascii="Times New Roman" w:hAnsi="Times New Roman" w:eastAsia="宋体" w:cs="Times New Roman"/>
      <w:b/>
    </w:rPr>
  </w:style>
  <w:style w:type="character" w:styleId="35">
    <w:name w:val="page number"/>
    <w:qFormat/>
    <w:uiPriority w:val="0"/>
    <w:rPr>
      <w:rFonts w:ascii="Times New Roman" w:hAnsi="Times New Roman" w:eastAsia="宋体" w:cs="Times New Roman"/>
    </w:rPr>
  </w:style>
  <w:style w:type="character" w:styleId="36">
    <w:name w:val="FollowedHyperlink"/>
    <w:qFormat/>
    <w:uiPriority w:val="0"/>
    <w:rPr>
      <w:rFonts w:hint="eastAsia" w:ascii="微软雅黑" w:hAnsi="微软雅黑" w:eastAsia="微软雅黑" w:cs="微软雅黑"/>
      <w:color w:val="02396F"/>
      <w:u w:val="single"/>
    </w:rPr>
  </w:style>
  <w:style w:type="character" w:styleId="37">
    <w:name w:val="Hyperlink"/>
    <w:qFormat/>
    <w:uiPriority w:val="0"/>
    <w:rPr>
      <w:rFonts w:ascii="Times New Roman" w:hAnsi="Times New Roman" w:eastAsia="宋体" w:cs="Times New Roman"/>
      <w:color w:val="0000FF"/>
      <w:u w:val="single"/>
    </w:rPr>
  </w:style>
  <w:style w:type="character" w:customStyle="1" w:styleId="38">
    <w:name w:val="Body Text Char"/>
    <w:link w:val="15"/>
    <w:qFormat/>
    <w:uiPriority w:val="0"/>
    <w:rPr>
      <w:rFonts w:ascii="Times New Roman" w:hAnsi="Times New Roman" w:eastAsia="宋体" w:cs="Times New Roman"/>
      <w:kern w:val="2"/>
      <w:sz w:val="21"/>
      <w:szCs w:val="24"/>
      <w:lang w:val="en-US" w:eastAsia="zh-CN" w:bidi="ar-SA"/>
    </w:rPr>
  </w:style>
  <w:style w:type="character" w:customStyle="1" w:styleId="39">
    <w:name w:val="Heading 1 Char"/>
    <w:link w:val="3"/>
    <w:qFormat/>
    <w:uiPriority w:val="0"/>
    <w:rPr>
      <w:rFonts w:ascii="Times New Roman" w:hAnsi="Times New Roman" w:eastAsia="宋体" w:cs="Times New Roman"/>
      <w:b/>
      <w:bCs/>
      <w:kern w:val="44"/>
      <w:sz w:val="44"/>
      <w:szCs w:val="44"/>
      <w:lang w:val="en-US" w:eastAsia="zh-CN" w:bidi="ar-SA"/>
    </w:rPr>
  </w:style>
  <w:style w:type="character" w:customStyle="1" w:styleId="40">
    <w:name w:val="Heading 3 Char"/>
    <w:link w:val="5"/>
    <w:qFormat/>
    <w:uiPriority w:val="0"/>
    <w:rPr>
      <w:rFonts w:ascii="Times New Roman" w:hAnsi="Times New Roman" w:eastAsia="宋体" w:cs="Times New Roman"/>
      <w:b/>
      <w:bCs/>
      <w:kern w:val="2"/>
      <w:sz w:val="32"/>
      <w:szCs w:val="32"/>
      <w:lang w:val="en-US" w:eastAsia="zh-CN" w:bidi="ar-SA"/>
    </w:rPr>
  </w:style>
  <w:style w:type="character" w:customStyle="1" w:styleId="41">
    <w:name w:val="Heading 4 Char"/>
    <w:link w:val="6"/>
    <w:qFormat/>
    <w:uiPriority w:val="0"/>
    <w:rPr>
      <w:rFonts w:ascii="宋体" w:hAnsi="宋体" w:eastAsia="宋体" w:cs="Times New Roman"/>
      <w:color w:val="0000FF"/>
      <w:sz w:val="28"/>
      <w:lang w:val="en-US" w:eastAsia="zh-CN" w:bidi="ar-SA"/>
    </w:rPr>
  </w:style>
  <w:style w:type="character" w:customStyle="1" w:styleId="42">
    <w:name w:val="Heading 5 Char"/>
    <w:link w:val="2"/>
    <w:qFormat/>
    <w:uiPriority w:val="0"/>
    <w:rPr>
      <w:rFonts w:ascii="Verdana" w:hAnsi="Verdana" w:eastAsia="宋体" w:cs="Times New Roman"/>
      <w:b/>
      <w:bCs/>
      <w:kern w:val="2"/>
      <w:sz w:val="28"/>
      <w:szCs w:val="28"/>
      <w:lang w:val="en-US" w:eastAsia="zh-CN" w:bidi="ar-SA"/>
    </w:rPr>
  </w:style>
  <w:style w:type="character" w:customStyle="1" w:styleId="43">
    <w:name w:val="Heading 6 Char"/>
    <w:link w:val="7"/>
    <w:qFormat/>
    <w:uiPriority w:val="0"/>
    <w:rPr>
      <w:rFonts w:ascii="Arial" w:hAnsi="Arial" w:eastAsia="黑体" w:cs="Times New Roman"/>
      <w:b/>
      <w:bCs/>
      <w:kern w:val="2"/>
      <w:sz w:val="24"/>
      <w:szCs w:val="24"/>
      <w:lang w:val="en-US" w:eastAsia="zh-CN" w:bidi="ar-SA"/>
    </w:rPr>
  </w:style>
  <w:style w:type="character" w:customStyle="1" w:styleId="44">
    <w:name w:val="Heading 7 Char"/>
    <w:link w:val="8"/>
    <w:qFormat/>
    <w:uiPriority w:val="0"/>
    <w:rPr>
      <w:rFonts w:ascii="Times New Roman" w:hAnsi="Times New Roman" w:eastAsia="宋体" w:cs="Times New Roman"/>
      <w:b/>
      <w:bCs/>
      <w:kern w:val="2"/>
      <w:sz w:val="24"/>
      <w:szCs w:val="24"/>
      <w:lang w:val="en-US" w:eastAsia="zh-CN" w:bidi="ar-SA"/>
    </w:rPr>
  </w:style>
  <w:style w:type="character" w:customStyle="1" w:styleId="45">
    <w:name w:val="Heading 8 Char"/>
    <w:link w:val="9"/>
    <w:qFormat/>
    <w:uiPriority w:val="0"/>
    <w:rPr>
      <w:rFonts w:ascii="Arial" w:hAnsi="Arial" w:eastAsia="黑体" w:cs="Times New Roman"/>
      <w:kern w:val="2"/>
      <w:sz w:val="24"/>
      <w:szCs w:val="24"/>
      <w:lang w:val="en-US" w:eastAsia="zh-CN" w:bidi="ar-SA"/>
    </w:rPr>
  </w:style>
  <w:style w:type="character" w:customStyle="1" w:styleId="46">
    <w:name w:val="Heading 9 Char"/>
    <w:link w:val="10"/>
    <w:qFormat/>
    <w:uiPriority w:val="0"/>
    <w:rPr>
      <w:rFonts w:ascii="Arial" w:hAnsi="Arial" w:eastAsia="黑体" w:cs="Times New Roman"/>
      <w:kern w:val="2"/>
      <w:sz w:val="21"/>
      <w:szCs w:val="21"/>
      <w:lang w:val="en-US" w:eastAsia="zh-CN" w:bidi="ar-SA"/>
    </w:rPr>
  </w:style>
  <w:style w:type="character" w:customStyle="1" w:styleId="47">
    <w:name w:val="Document Map Char"/>
    <w:link w:val="12"/>
    <w:qFormat/>
    <w:uiPriority w:val="0"/>
    <w:rPr>
      <w:rFonts w:ascii="Times New Roman" w:hAnsi="Times New Roman" w:eastAsia="宋体" w:cs="Times New Roman"/>
      <w:szCs w:val="24"/>
      <w:shd w:val="clear" w:color="auto" w:fill="000080"/>
      <w:lang w:bidi="ar-SA"/>
    </w:rPr>
  </w:style>
  <w:style w:type="character" w:customStyle="1" w:styleId="48">
    <w:name w:val="Body Text Indent Char"/>
    <w:link w:val="16"/>
    <w:qFormat/>
    <w:uiPriority w:val="0"/>
    <w:rPr>
      <w:rFonts w:ascii="Times New Roman" w:hAnsi="Times New Roman" w:eastAsia="宋体" w:cs="Times New Roman"/>
      <w:lang w:bidi="ar-SA"/>
    </w:rPr>
  </w:style>
  <w:style w:type="character" w:customStyle="1" w:styleId="49">
    <w:name w:val="Plain Text Char"/>
    <w:link w:val="19"/>
    <w:qFormat/>
    <w:uiPriority w:val="0"/>
    <w:rPr>
      <w:rFonts w:ascii="宋体" w:hAnsi="Courier New" w:eastAsia="宋体" w:cs="Times New Roman"/>
      <w:szCs w:val="21"/>
      <w:lang w:bidi="ar-SA"/>
    </w:rPr>
  </w:style>
  <w:style w:type="character" w:customStyle="1" w:styleId="50">
    <w:name w:val="Date Char"/>
    <w:link w:val="20"/>
    <w:qFormat/>
    <w:uiPriority w:val="0"/>
    <w:rPr>
      <w:rFonts w:ascii="Times New Roman" w:hAnsi="Times New Roman" w:eastAsia="宋体" w:cs="Times New Roman"/>
      <w:szCs w:val="24"/>
      <w:lang w:bidi="ar-SA"/>
    </w:rPr>
  </w:style>
  <w:style w:type="character" w:customStyle="1" w:styleId="51">
    <w:name w:val="Body Text Indent 2 Char"/>
    <w:link w:val="21"/>
    <w:qFormat/>
    <w:uiPriority w:val="0"/>
    <w:rPr>
      <w:rFonts w:ascii="宋体" w:hAnsi="Times New Roman" w:eastAsia="宋体" w:cs="Times New Roman"/>
      <w:sz w:val="28"/>
      <w:lang w:bidi="ar-SA"/>
    </w:rPr>
  </w:style>
  <w:style w:type="character" w:customStyle="1" w:styleId="52">
    <w:name w:val="Balloon Text Char"/>
    <w:link w:val="22"/>
    <w:qFormat/>
    <w:uiPriority w:val="0"/>
    <w:rPr>
      <w:rFonts w:ascii="Times New Roman" w:hAnsi="Times New Roman" w:eastAsia="宋体" w:cs="Times New Roman"/>
      <w:sz w:val="18"/>
      <w:szCs w:val="18"/>
      <w:lang w:bidi="ar-SA"/>
    </w:rPr>
  </w:style>
  <w:style w:type="character" w:customStyle="1" w:styleId="53">
    <w:name w:val="Footer Char"/>
    <w:link w:val="23"/>
    <w:qFormat/>
    <w:uiPriority w:val="0"/>
    <w:rPr>
      <w:rFonts w:ascii="Times New Roman" w:hAnsi="Times New Roman" w:eastAsia="宋体" w:cs="Times New Roman"/>
      <w:sz w:val="18"/>
      <w:szCs w:val="24"/>
      <w:lang w:bidi="ar-SA"/>
    </w:rPr>
  </w:style>
  <w:style w:type="character" w:customStyle="1" w:styleId="54">
    <w:name w:val="Header Char"/>
    <w:link w:val="24"/>
    <w:qFormat/>
    <w:uiPriority w:val="0"/>
    <w:rPr>
      <w:rFonts w:ascii="Times New Roman" w:hAnsi="Times New Roman" w:eastAsia="宋体" w:cs="Times New Roman"/>
      <w:sz w:val="18"/>
      <w:szCs w:val="18"/>
      <w:lang w:bidi="ar-SA"/>
    </w:rPr>
  </w:style>
  <w:style w:type="character" w:customStyle="1" w:styleId="55">
    <w:name w:val="Body Text Indent 3 Char"/>
    <w:link w:val="26"/>
    <w:qFormat/>
    <w:uiPriority w:val="0"/>
    <w:rPr>
      <w:rFonts w:ascii="Times New Roman" w:hAnsi="Times New Roman" w:eastAsia="宋体" w:cs="Times New Roman"/>
      <w:sz w:val="24"/>
      <w:lang w:bidi="ar-SA"/>
    </w:rPr>
  </w:style>
  <w:style w:type="character" w:customStyle="1" w:styleId="56">
    <w:name w:val="Body Text 2 Char"/>
    <w:link w:val="28"/>
    <w:qFormat/>
    <w:uiPriority w:val="0"/>
    <w:rPr>
      <w:rFonts w:ascii="FangSong_GB2312" w:hAnsi="Times New Roman" w:eastAsia="FangSong_GB2312" w:cs="Times New Roman"/>
      <w:sz w:val="28"/>
      <w:lang w:bidi="ar-SA"/>
    </w:rPr>
  </w:style>
  <w:style w:type="character" w:customStyle="1" w:styleId="57">
    <w:name w:val="Title Char"/>
    <w:link w:val="30"/>
    <w:qFormat/>
    <w:uiPriority w:val="0"/>
    <w:rPr>
      <w:rFonts w:ascii="Cambria" w:hAnsi="Cambria" w:eastAsia="宋体" w:cs="Times New Roman"/>
      <w:b/>
      <w:bCs/>
      <w:sz w:val="32"/>
      <w:szCs w:val="32"/>
      <w:lang w:bidi="ar-SA"/>
    </w:rPr>
  </w:style>
  <w:style w:type="character" w:customStyle="1" w:styleId="58">
    <w:name w:val="Body Text First Indent Char"/>
    <w:link w:val="31"/>
    <w:qFormat/>
    <w:uiPriority w:val="0"/>
    <w:rPr>
      <w:rFonts w:ascii="Times New Roman" w:hAnsi="Times New Roman" w:eastAsia="宋体" w:cs="Times New Roman"/>
      <w:szCs w:val="24"/>
      <w:lang w:bidi="ar-SA"/>
    </w:rPr>
  </w:style>
  <w:style w:type="character" w:customStyle="1" w:styleId="59">
    <w:name w:val="gjfg"/>
    <w:basedOn w:val="33"/>
    <w:qFormat/>
    <w:uiPriority w:val="0"/>
  </w:style>
  <w:style w:type="character" w:customStyle="1" w:styleId="60">
    <w:name w:val="cfdate"/>
    <w:qFormat/>
    <w:uiPriority w:val="0"/>
    <w:rPr>
      <w:rFonts w:ascii="Times New Roman" w:hAnsi="Times New Roman" w:eastAsia="宋体" w:cs="Times New Roman"/>
      <w:color w:val="333333"/>
      <w:sz w:val="12"/>
      <w:szCs w:val="12"/>
    </w:rPr>
  </w:style>
  <w:style w:type="character" w:customStyle="1" w:styleId="61">
    <w:name w:val="正文文本 Char1"/>
    <w:qFormat/>
    <w:uiPriority w:val="0"/>
    <w:rPr>
      <w:rFonts w:ascii="Times New Roman" w:hAnsi="Times New Roman" w:eastAsia="宋体" w:cs="Times New Roman"/>
      <w:szCs w:val="24"/>
    </w:rPr>
  </w:style>
  <w:style w:type="character" w:customStyle="1" w:styleId="62">
    <w:name w:val="redfilenumber"/>
    <w:qFormat/>
    <w:uiPriority w:val="0"/>
    <w:rPr>
      <w:rFonts w:ascii="Times New Roman" w:hAnsi="Times New Roman" w:eastAsia="宋体" w:cs="Times New Roman"/>
      <w:color w:val="BA2636"/>
      <w:sz w:val="12"/>
      <w:szCs w:val="12"/>
    </w:rPr>
  </w:style>
  <w:style w:type="character" w:customStyle="1" w:styleId="63">
    <w:name w:val="ll2 Char Char"/>
    <w:link w:val="64"/>
    <w:qFormat/>
    <w:uiPriority w:val="0"/>
    <w:rPr>
      <w:rFonts w:ascii="宋体" w:hAnsi="宋体" w:eastAsia="Times New Roman" w:cs="Times New Roman"/>
      <w:bCs/>
      <w:color w:val="000000"/>
      <w:sz w:val="24"/>
      <w:szCs w:val="32"/>
      <w:lang w:val="en-US" w:eastAsia="zh-CN" w:bidi="ar-SA"/>
    </w:rPr>
  </w:style>
  <w:style w:type="paragraph" w:customStyle="1" w:styleId="64">
    <w:name w:val="ll2"/>
    <w:link w:val="63"/>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5">
    <w:name w:val="Style .. + 宋体 五号 Black Char"/>
    <w:link w:val="66"/>
    <w:qFormat/>
    <w:uiPriority w:val="0"/>
    <w:rPr>
      <w:rFonts w:ascii="宋体" w:hAnsi="宋体" w:eastAsia="宋体" w:cs="Times New Roman"/>
      <w:color w:val="000000"/>
      <w:sz w:val="24"/>
      <w:lang w:bidi="ar-SA"/>
    </w:rPr>
  </w:style>
  <w:style w:type="paragraph" w:customStyle="1" w:styleId="66">
    <w:name w:val="Style .. + 宋体 五号 Black"/>
    <w:basedOn w:val="1"/>
    <w:link w:val="65"/>
    <w:qFormat/>
    <w:uiPriority w:val="0"/>
    <w:pPr>
      <w:autoSpaceDE w:val="0"/>
      <w:autoSpaceDN w:val="0"/>
      <w:adjustRightInd w:val="0"/>
      <w:spacing w:line="360" w:lineRule="auto"/>
      <w:jc w:val="left"/>
    </w:pPr>
    <w:rPr>
      <w:rFonts w:ascii="宋体" w:hAnsi="宋体"/>
      <w:color w:val="000000"/>
      <w:kern w:val="0"/>
      <w:sz w:val="24"/>
      <w:szCs w:val="20"/>
    </w:rPr>
  </w:style>
  <w:style w:type="character" w:customStyle="1" w:styleId="67">
    <w:name w:val="15"/>
    <w:basedOn w:val="33"/>
    <w:qFormat/>
    <w:uiPriority w:val="0"/>
    <w:rPr>
      <w:rFonts w:hint="default" w:ascii="Times New Roman" w:hAnsi="Times New Roman" w:eastAsia="宋体" w:cs="Times New Roman"/>
    </w:rPr>
  </w:style>
  <w:style w:type="character" w:customStyle="1" w:styleId="68">
    <w:name w:val="正文文字 Char"/>
    <w:link w:val="69"/>
    <w:qFormat/>
    <w:uiPriority w:val="0"/>
    <w:rPr>
      <w:rFonts w:ascii="Times New Roman" w:hAnsi="Times New Roman" w:eastAsia="宋体" w:cs="Times New Roman"/>
      <w:sz w:val="24"/>
      <w:szCs w:val="24"/>
      <w:lang w:bidi="ar-SA"/>
    </w:rPr>
  </w:style>
  <w:style w:type="paragraph" w:customStyle="1" w:styleId="69">
    <w:name w:val="正文文字"/>
    <w:basedOn w:val="1"/>
    <w:link w:val="68"/>
    <w:qFormat/>
    <w:uiPriority w:val="0"/>
    <w:pPr>
      <w:spacing w:before="60" w:after="60" w:line="360" w:lineRule="auto"/>
      <w:ind w:firstLine="200" w:firstLineChars="200"/>
      <w:jc w:val="left"/>
    </w:pPr>
    <w:rPr>
      <w:kern w:val="0"/>
      <w:sz w:val="24"/>
    </w:rPr>
  </w:style>
  <w:style w:type="character" w:customStyle="1" w:styleId="70">
    <w:name w:val="文档正文 Char"/>
    <w:link w:val="71"/>
    <w:qFormat/>
    <w:uiPriority w:val="0"/>
    <w:rPr>
      <w:rFonts w:ascii="长城仿宋" w:hAnsi="Times New Roman" w:eastAsia="宋体" w:cs="Times New Roman"/>
      <w:sz w:val="24"/>
      <w:lang w:bidi="ar-SA"/>
    </w:rPr>
  </w:style>
  <w:style w:type="paragraph" w:customStyle="1" w:styleId="71">
    <w:name w:val="文档正文"/>
    <w:basedOn w:val="1"/>
    <w:link w:val="70"/>
    <w:qFormat/>
    <w:uiPriority w:val="0"/>
    <w:pPr>
      <w:adjustRightInd w:val="0"/>
      <w:spacing w:line="480" w:lineRule="atLeast"/>
      <w:ind w:firstLine="567"/>
    </w:pPr>
    <w:rPr>
      <w:rFonts w:ascii="长城仿宋"/>
      <w:kern w:val="0"/>
      <w:sz w:val="24"/>
      <w:szCs w:val="20"/>
    </w:rPr>
  </w:style>
  <w:style w:type="character" w:customStyle="1" w:styleId="72">
    <w:name w:val="displayarti"/>
    <w:qFormat/>
    <w:uiPriority w:val="0"/>
    <w:rPr>
      <w:rFonts w:ascii="Times New Roman" w:hAnsi="Times New Roman" w:eastAsia="宋体" w:cs="Times New Roman"/>
      <w:color w:val="FFFFFF"/>
      <w:shd w:val="clear" w:color="auto" w:fill="A00000"/>
    </w:rPr>
  </w:style>
  <w:style w:type="character" w:customStyle="1" w:styleId="73">
    <w:name w:val="redfilefwwh"/>
    <w:qFormat/>
    <w:uiPriority w:val="0"/>
    <w:rPr>
      <w:rFonts w:ascii="Times New Roman" w:hAnsi="Times New Roman" w:eastAsia="宋体" w:cs="Times New Roman"/>
      <w:color w:val="BA2636"/>
      <w:sz w:val="12"/>
      <w:szCs w:val="12"/>
    </w:rPr>
  </w:style>
  <w:style w:type="character" w:customStyle="1" w:styleId="74">
    <w:name w:val="qxdate"/>
    <w:qFormat/>
    <w:uiPriority w:val="0"/>
    <w:rPr>
      <w:rFonts w:ascii="Times New Roman" w:hAnsi="Times New Roman" w:eastAsia="宋体" w:cs="Times New Roman"/>
      <w:color w:val="333333"/>
      <w:sz w:val="12"/>
      <w:szCs w:val="12"/>
    </w:rPr>
  </w:style>
  <w:style w:type="paragraph" w:customStyle="1" w:styleId="75">
    <w:name w:val="_Style 3"/>
    <w:basedOn w:val="3"/>
    <w:next w:val="1"/>
    <w:qFormat/>
    <w:uiPriority w:val="0"/>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76">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7">
    <w:name w:val="标题 5（有编号）（绿盟科技）"/>
    <w:basedOn w:val="1"/>
    <w:next w:val="76"/>
    <w:qFormat/>
    <w:uiPriority w:val="0"/>
    <w:pPr>
      <w:keepNext/>
      <w:keepLines/>
      <w:numPr>
        <w:ilvl w:val="4"/>
        <w:numId w:val="4"/>
      </w:numPr>
      <w:spacing w:before="280" w:after="156" w:line="377" w:lineRule="auto"/>
      <w:jc w:val="left"/>
      <w:outlineLvl w:val="4"/>
    </w:pPr>
    <w:rPr>
      <w:rFonts w:ascii="Arial" w:hAnsi="Arial" w:eastAsia="黑体" w:cs="黑体"/>
      <w:b/>
      <w:kern w:val="0"/>
      <w:sz w:val="24"/>
      <w:szCs w:val="28"/>
    </w:rPr>
  </w:style>
  <w:style w:type="paragraph" w:customStyle="1" w:styleId="78">
    <w:name w:val="Char"/>
    <w:basedOn w:val="1"/>
    <w:qFormat/>
    <w:uiPriority w:val="0"/>
    <w:rPr>
      <w:rFonts w:ascii="Tahoma" w:hAnsi="Tahoma"/>
      <w:sz w:val="24"/>
      <w:szCs w:val="20"/>
    </w:rPr>
  </w:style>
  <w:style w:type="paragraph" w:styleId="79">
    <w:name w:val="List Paragraph"/>
    <w:basedOn w:val="1"/>
    <w:qFormat/>
    <w:uiPriority w:val="34"/>
    <w:pPr>
      <w:ind w:firstLine="420"/>
    </w:pPr>
    <w:rPr>
      <w:kern w:val="0"/>
      <w:szCs w:val="21"/>
    </w:rPr>
  </w:style>
  <w:style w:type="paragraph" w:customStyle="1" w:styleId="80">
    <w:name w:val="正常"/>
    <w:basedOn w:val="81"/>
    <w:qFormat/>
    <w:uiPriority w:val="0"/>
    <w:rPr>
      <w:sz w:val="24"/>
    </w:rPr>
  </w:style>
  <w:style w:type="paragraph" w:customStyle="1" w:styleId="81">
    <w:name w:val="小正常"/>
    <w:basedOn w:val="1"/>
    <w:qFormat/>
    <w:uiPriority w:val="0"/>
    <w:rPr>
      <w:sz w:val="20"/>
      <w:szCs w:val="20"/>
    </w:rPr>
  </w:style>
  <w:style w:type="paragraph" w:customStyle="1" w:styleId="82">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83">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4">
    <w:name w:val="样式1"/>
    <w:basedOn w:val="1"/>
    <w:qFormat/>
    <w:uiPriority w:val="0"/>
    <w:pPr>
      <w:numPr>
        <w:ilvl w:val="0"/>
        <w:numId w:val="5"/>
      </w:numPr>
      <w:adjustRightInd w:val="0"/>
    </w:pPr>
    <w:rPr>
      <w:rFonts w:ascii="宋体" w:hAnsi="宋体"/>
      <w:kern w:val="0"/>
      <w:szCs w:val="20"/>
    </w:rPr>
  </w:style>
  <w:style w:type="paragraph" w:customStyle="1" w:styleId="85">
    <w:name w:val="Char Char Char"/>
    <w:basedOn w:val="1"/>
    <w:qFormat/>
    <w:uiPriority w:val="0"/>
    <w:rPr>
      <w:rFonts w:ascii="Tahoma" w:hAnsi="Tahoma"/>
      <w:sz w:val="24"/>
      <w:szCs w:val="20"/>
    </w:rPr>
  </w:style>
  <w:style w:type="paragraph" w:customStyle="1" w:styleId="86">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table" w:customStyle="1" w:styleId="87">
    <w:name w:val="Table Normal_0"/>
    <w:unhideWhenUsed/>
    <w:qFormat/>
    <w:uiPriority w:val="0"/>
    <w:pPr>
      <w:spacing w:after="160" w:line="259" w:lineRule="auto"/>
    </w:pPr>
    <w:tblPr>
      <w:tblCellMar>
        <w:top w:w="0" w:type="dxa"/>
        <w:left w:w="0" w:type="dxa"/>
        <w:bottom w:w="0" w:type="dxa"/>
        <w:right w:w="0" w:type="dxa"/>
      </w:tblCellMar>
    </w:tblPr>
  </w:style>
  <w:style w:type="character" w:customStyle="1" w:styleId="88">
    <w:name w:val="Hyperlink_0"/>
    <w:basedOn w:val="33"/>
    <w:qFormat/>
    <w:uiPriority w:val="0"/>
    <w:rPr>
      <w:color w:val="0000FF"/>
      <w:u w:val="single"/>
    </w:rPr>
  </w:style>
  <w:style w:type="paragraph" w:customStyle="1" w:styleId="89">
    <w:name w:val="TOC 1_0"/>
    <w:basedOn w:val="1"/>
    <w:next w:val="18"/>
    <w:qFormat/>
    <w:uiPriority w:val="0"/>
    <w:pPr>
      <w:widowControl/>
      <w:spacing w:after="0" w:line="240" w:lineRule="auto"/>
      <w:jc w:val="left"/>
    </w:pPr>
    <w:rPr>
      <w:rFonts w:eastAsia="Times New Roman"/>
      <w:kern w:val="0"/>
      <w:sz w:val="24"/>
      <w:lang w:eastAsia="en-US"/>
    </w:rPr>
  </w:style>
  <w:style w:type="paragraph" w:customStyle="1" w:styleId="90">
    <w:name w:val="Heading 1_0"/>
    <w:basedOn w:val="1"/>
    <w:next w:val="18"/>
    <w:qFormat/>
    <w:uiPriority w:val="0"/>
    <w:pPr>
      <w:keepNext/>
      <w:widowControl/>
      <w:spacing w:before="240" w:after="60" w:line="240" w:lineRule="auto"/>
      <w:jc w:val="left"/>
      <w:outlineLvl w:val="0"/>
    </w:pPr>
    <w:rPr>
      <w:rFonts w:ascii="Arial" w:hAnsi="Arial" w:eastAsia="Times New Roman" w:cs="Arial"/>
      <w:b/>
      <w:bCs/>
      <w:kern w:val="32"/>
      <w:sz w:val="32"/>
      <w:szCs w:val="32"/>
      <w:lang w:eastAsia="en-US"/>
    </w:rPr>
  </w:style>
  <w:style w:type="paragraph" w:customStyle="1" w:styleId="91">
    <w:name w:val="Heading 2_0"/>
    <w:basedOn w:val="1"/>
    <w:next w:val="18"/>
    <w:qFormat/>
    <w:uiPriority w:val="0"/>
    <w:pPr>
      <w:keepNext/>
      <w:widowControl/>
      <w:spacing w:before="240" w:after="60" w:line="240" w:lineRule="auto"/>
      <w:jc w:val="left"/>
      <w:outlineLvl w:val="1"/>
    </w:pPr>
    <w:rPr>
      <w:rFonts w:ascii="Arial" w:hAnsi="Arial" w:eastAsia="Times New Roman" w:cs="Arial"/>
      <w:b/>
      <w:bCs/>
      <w:i/>
      <w:iCs/>
      <w:kern w:val="0"/>
      <w:sz w:val="28"/>
      <w:szCs w:val="28"/>
      <w:lang w:eastAsia="en-US"/>
    </w:rPr>
  </w:style>
  <w:style w:type="paragraph" w:customStyle="1" w:styleId="92">
    <w:name w:val="Heading 3_0"/>
    <w:basedOn w:val="1"/>
    <w:next w:val="18"/>
    <w:qFormat/>
    <w:uiPriority w:val="0"/>
    <w:pPr>
      <w:keepNext/>
      <w:widowControl/>
      <w:spacing w:before="240" w:after="60" w:line="240" w:lineRule="auto"/>
      <w:jc w:val="left"/>
      <w:outlineLvl w:val="2"/>
    </w:pPr>
    <w:rPr>
      <w:rFonts w:ascii="Arial" w:hAnsi="Arial" w:eastAsia="Times New Roman" w:cs="Arial"/>
      <w:b/>
      <w:bCs/>
      <w:kern w:val="0"/>
      <w:sz w:val="26"/>
      <w:szCs w:val="26"/>
      <w:lang w:eastAsia="en-US"/>
    </w:rPr>
  </w:style>
  <w:style w:type="paragraph" w:customStyle="1" w:styleId="93">
    <w:name w:val="MsoNormal"/>
    <w:basedOn w:val="1"/>
    <w:qFormat/>
    <w:uiPriority w:val="0"/>
    <w:pPr>
      <w:widowControl/>
      <w:spacing w:after="0" w:line="240" w:lineRule="auto"/>
      <w:jc w:val="left"/>
    </w:pPr>
    <w:rPr>
      <w:rFonts w:eastAsia="Times New Roman"/>
      <w:kern w:val="0"/>
      <w:sz w:val="24"/>
      <w:lang w:eastAsia="en-US"/>
    </w:rPr>
  </w:style>
  <w:style w:type="paragraph" w:customStyle="1" w:styleId="94">
    <w:name w:val="Heading 4_0"/>
    <w:basedOn w:val="1"/>
    <w:next w:val="18"/>
    <w:qFormat/>
    <w:uiPriority w:val="0"/>
    <w:pPr>
      <w:keepNext/>
      <w:widowControl/>
      <w:spacing w:before="240" w:after="60" w:line="240" w:lineRule="auto"/>
      <w:jc w:val="left"/>
      <w:outlineLvl w:val="3"/>
    </w:pPr>
    <w:rPr>
      <w:rFonts w:eastAsia="Times New Roman"/>
      <w:b/>
      <w:bCs/>
      <w:kern w:val="0"/>
      <w:sz w:val="28"/>
      <w:szCs w:val="28"/>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Pages>
  <Words>9</Words>
  <Characters>53</Characters>
  <Lines>1</Lines>
  <Paragraphs>1</Paragraphs>
  <TotalTime>1</TotalTime>
  <ScaleCrop>false</ScaleCrop>
  <LinksUpToDate>false</LinksUpToDate>
  <CharactersWithSpaces>61</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2020-05-12T07:26:00Z</dcterms:created>
  <dc:creator>Administrator</dc:creator>
  <cp:lastModifiedBy>勾云瀚</cp:lastModifiedBy>
  <cp:lastPrinted>2023-10-04T11:04:00Z</cp:lastPrinted>
  <dcterms:modified xsi:type="dcterms:W3CDTF">2024-12-06T08:24:32Z</dcterms:modified>
  <dc:title>招 标 文 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2052-11.8.2.8959</vt:lpwstr>
  </property>
</Properties>
</file>