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Java 21.6.0 -->
  <w:body>
    <w:p>
      <w:pPr>
        <w:widowControl w:val="0"/>
        <w:topLinePunct/>
        <w:autoSpaceDE w:val="0"/>
        <w:autoSpaceDN w:val="0"/>
        <w:spacing w:before="0" w:after="0" w:line="360" w:lineRule="auto"/>
        <w:jc w:val="center"/>
        <w:rPr>
          <w:rFonts w:ascii="宋体" w:eastAsia="宋体" w:hAnsi="宋体" w:cs="宋体" w:hint="eastAsia"/>
          <w:b/>
          <w:sz w:val="96"/>
          <w:szCs w:val="96"/>
          <w:lang w:eastAsia="zh-CN"/>
        </w:rPr>
      </w:pPr>
      <w:bookmarkStart w:id="0" w:name="_GoBack"/>
      <w:bookmarkEnd w:id="0"/>
    </w:p>
    <w:p>
      <w:pPr>
        <w:widowControl w:val="0"/>
        <w:topLinePunct/>
        <w:autoSpaceDE w:val="0"/>
        <w:autoSpaceDN w:val="0"/>
        <w:spacing w:before="0" w:after="0" w:line="360" w:lineRule="auto"/>
        <w:jc w:val="center"/>
        <w:rPr>
          <w:rFonts w:ascii="宋体" w:eastAsia="宋体" w:hAnsi="宋体" w:cs="宋体" w:hint="eastAsia"/>
          <w:b/>
          <w:sz w:val="96"/>
          <w:szCs w:val="96"/>
          <w:lang w:eastAsia="zh-CN"/>
        </w:rPr>
      </w:pPr>
      <w:r>
        <w:rPr>
          <w:rFonts w:ascii="宋体" w:eastAsia="宋体" w:hAnsi="宋体" w:cs="宋体" w:hint="eastAsia"/>
          <w:b/>
          <w:sz w:val="96"/>
          <w:szCs w:val="96"/>
          <w:lang w:eastAsia="zh-CN"/>
        </w:rPr>
        <w:t>采 购 需 求</w:t>
      </w: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30"/>
          <w:szCs w:val="30"/>
          <w:lang w:eastAsia="zh-CN"/>
        </w:rPr>
      </w:pPr>
      <w:r>
        <w:rPr>
          <w:rFonts w:ascii="宋体" w:eastAsia="宋体" w:hAnsi="宋体" w:cs="宋体" w:hint="eastAsia"/>
          <w:b/>
          <w:sz w:val="30"/>
          <w:szCs w:val="30"/>
          <w:lang w:eastAsia="zh-CN"/>
        </w:rPr>
        <w:t>项目名称：</w:t>
      </w:r>
      <w:bookmarkStart w:id="1" w:name="项目名称_projectName"/>
      <w:r>
        <w:rPr>
          <w:rFonts w:ascii="宋体" w:eastAsia="宋体" w:hAnsi="宋体" w:cs="宋体" w:hint="eastAsia"/>
          <w:b/>
          <w:sz w:val="30"/>
          <w:szCs w:val="30"/>
          <w:lang w:eastAsia="zh-CN"/>
        </w:rPr>
        <w:t>国家税务总局白城市税务局2026年食堂食材采购项目</w:t>
      </w:r>
      <w:bookmarkEnd w:id="1"/>
    </w:p>
    <w:p>
      <w:pPr>
        <w:widowControl w:val="0"/>
        <w:spacing w:before="0" w:after="0" w:line="360" w:lineRule="auto"/>
        <w:jc w:val="both"/>
        <w:rPr>
          <w:rFonts w:ascii="宋体" w:eastAsia="宋体" w:hAnsi="宋体" w:cs="宋体" w:hint="eastAsia"/>
          <w:kern w:val="2"/>
          <w:sz w:val="32"/>
          <w:szCs w:val="32"/>
          <w:lang w:eastAsia="zh-CN"/>
        </w:rPr>
      </w:pPr>
    </w:p>
    <w:p>
      <w:pPr>
        <w:widowControl w:val="0"/>
        <w:spacing w:before="0" w:after="0" w:line="360" w:lineRule="auto"/>
        <w:jc w:val="both"/>
        <w:rPr>
          <w:rFonts w:ascii="宋体" w:eastAsia="宋体" w:hAnsi="宋体" w:cs="宋体"/>
          <w:kern w:val="2"/>
          <w:sz w:val="32"/>
          <w:szCs w:val="32"/>
          <w:lang w:eastAsia="zh-CN"/>
        </w:rPr>
      </w:pPr>
    </w:p>
    <w:p>
      <w:pPr>
        <w:widowControl w:val="0"/>
        <w:spacing w:before="0" w:after="0" w:line="360" w:lineRule="auto"/>
        <w:jc w:val="both"/>
        <w:rPr>
          <w:rFonts w:ascii="宋体" w:eastAsia="宋体" w:hAnsi="宋体" w:cs="宋体" w:hint="eastAsia"/>
          <w:kern w:val="2"/>
          <w:sz w:val="32"/>
          <w:szCs w:val="32"/>
          <w:lang w:eastAsia="zh-CN"/>
        </w:rPr>
      </w:pPr>
    </w:p>
    <w:p>
      <w:pPr>
        <w:widowControl w:val="0"/>
        <w:topLinePunct/>
        <w:autoSpaceDE w:val="0"/>
        <w:autoSpaceDN w:val="0"/>
        <w:spacing w:before="0" w:after="0" w:line="360" w:lineRule="auto"/>
        <w:jc w:val="both"/>
        <w:rPr>
          <w:rFonts w:ascii="宋体" w:eastAsia="宋体" w:hAnsi="宋体" w:cs="宋体" w:hint="eastAsia"/>
          <w:sz w:val="32"/>
          <w:szCs w:val="32"/>
          <w:lang w:eastAsia="zh-CN"/>
        </w:rPr>
      </w:pPr>
    </w:p>
    <w:p>
      <w:pPr>
        <w:spacing w:before="0" w:after="0" w:line="360" w:lineRule="auto"/>
        <w:jc w:val="center"/>
        <w:rPr>
          <w:rFonts w:eastAsia="宋体"/>
        </w:rPr>
      </w:pPr>
      <w:bookmarkStart w:id="2" w:name="生成日期_currentDateTime_ym"/>
      <w:r>
        <w:rPr>
          <w:rFonts w:ascii="宋体" w:eastAsia="宋体" w:hAnsi="宋体" w:cs="宋体" w:hint="eastAsia"/>
          <w:sz w:val="36"/>
          <w:szCs w:val="36"/>
          <w:lang w:eastAsia="zh-CN"/>
        </w:rPr>
        <w:t>2025年12月</w:t>
      </w:r>
      <w:bookmarkEnd w:id="2"/>
    </w:p>
    <w:p w:rsidR="00A77B3E">
      <w:pPr>
        <w:spacing w:before="0" w:after="0" w:line="360" w:lineRule="auto"/>
        <w:jc w:val="center"/>
        <w:rPr>
          <w:rFonts w:ascii="SimSun" w:eastAsia="SimSun" w:hAnsi="SimSun" w:cs="SimSun"/>
          <w:sz w:val="32"/>
        </w:rPr>
      </w:pPr>
      <w:r>
        <w:br w:type="page"/>
      </w: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1.2.1项目建设思路</w:t>
        </w:r>
        <w:r>
          <w:tab/>
        </w:r>
        <w:r>
          <w:fldChar w:fldCharType="begin"/>
        </w:r>
        <w:r>
          <w:instrText xml:space="preserve"> PAGEREF _Toc256000004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1.2.2采购内容</w:t>
        </w:r>
        <w:r>
          <w:tab/>
        </w:r>
        <w:r>
          <w:fldChar w:fldCharType="begin"/>
        </w:r>
        <w:r>
          <w:instrText xml:space="preserve"> PAGEREF _Toc256000005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1.2.3项目实施要求</w:t>
        </w:r>
        <w:r>
          <w:tab/>
        </w:r>
        <w:r>
          <w:fldChar w:fldCharType="begin"/>
        </w:r>
        <w:r>
          <w:instrText xml:space="preserve"> PAGEREF _Toc256000006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1.3其他要求</w:t>
        </w:r>
        <w:r>
          <w:tab/>
        </w:r>
        <w:r>
          <w:fldChar w:fldCharType="begin"/>
        </w:r>
        <w:r>
          <w:instrText xml:space="preserve"> PAGEREF _Toc256000007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1.3.1采购标的需执行的相关标准规范</w:t>
        </w:r>
        <w:r>
          <w:tab/>
        </w:r>
        <w:r>
          <w:fldChar w:fldCharType="begin"/>
        </w:r>
        <w:r>
          <w:instrText xml:space="preserve"> PAGEREF _Toc256000008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kern w:val="36"/>
          </w:rPr>
          <w:t>2投标/响应要求</w:t>
        </w:r>
        <w:r>
          <w:tab/>
        </w:r>
        <w:r>
          <w:fldChar w:fldCharType="begin"/>
        </w:r>
        <w:r>
          <w:instrText xml:space="preserve"> PAGEREF _Toc256000009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2.1对供应商的要求</w:t>
        </w:r>
        <w:r>
          <w:tab/>
        </w:r>
        <w:r>
          <w:fldChar w:fldCharType="begin"/>
        </w:r>
        <w:r>
          <w:instrText xml:space="preserve"> PAGEREF _Toc256000010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2.1.1必备资质</w:t>
        </w:r>
        <w:r>
          <w:tab/>
        </w:r>
        <w:r>
          <w:fldChar w:fldCharType="begin"/>
        </w:r>
        <w:r>
          <w:instrText xml:space="preserve"> PAGEREF _Toc256000011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2.1.2优选资质/优选指标</w:t>
        </w:r>
        <w:r>
          <w:tab/>
        </w:r>
        <w:r>
          <w:fldChar w:fldCharType="begin"/>
        </w:r>
        <w:r>
          <w:instrText xml:space="preserve"> PAGEREF _Toc256000012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2.1.3是否允许联合体</w:t>
        </w:r>
        <w:r>
          <w:tab/>
        </w:r>
        <w:r>
          <w:fldChar w:fldCharType="begin"/>
        </w:r>
        <w:r>
          <w:instrText xml:space="preserve"> PAGEREF _Toc256000013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2.1.4是否专门面向中小企业</w:t>
        </w:r>
        <w:r>
          <w:tab/>
        </w:r>
        <w:r>
          <w:fldChar w:fldCharType="begin"/>
        </w:r>
        <w:r>
          <w:instrText xml:space="preserve"> PAGEREF _Toc256000014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2.2技术部分投标/响应内容</w:t>
        </w:r>
        <w:r>
          <w:tab/>
        </w:r>
        <w:r>
          <w:fldChar w:fldCharType="begin"/>
        </w:r>
        <w:r>
          <w:instrText xml:space="preserve"> PAGEREF _Toc256000015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2.2.1技术投标/响应总要求</w:t>
        </w:r>
        <w:r>
          <w:tab/>
        </w:r>
        <w:r>
          <w:fldChar w:fldCharType="begin"/>
        </w:r>
        <w:r>
          <w:instrText xml:space="preserve"> PAGEREF _Toc256000016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2.2.2投标/响应方案要求</w:t>
        </w:r>
        <w:r>
          <w:tab/>
        </w:r>
        <w:r>
          <w:fldChar w:fldCharType="begin"/>
        </w:r>
        <w:r>
          <w:instrText xml:space="preserve"> PAGEREF _Toc256000017 \h </w:instrText>
        </w:r>
        <w:r>
          <w:fldChar w:fldCharType="separate"/>
        </w:r>
        <w:r>
          <w:t>6</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kern w:val="36"/>
          </w:rPr>
          <w:t>3项目需求</w:t>
        </w:r>
        <w:r>
          <w:tab/>
        </w:r>
        <w:r>
          <w:fldChar w:fldCharType="begin"/>
        </w:r>
        <w:r>
          <w:instrText xml:space="preserve"> PAGEREF _Toc256000018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3.1总体要求</w:t>
        </w:r>
        <w:r>
          <w:tab/>
        </w:r>
        <w:r>
          <w:fldChar w:fldCharType="begin"/>
        </w:r>
        <w:r>
          <w:instrText xml:space="preserve"> PAGEREF _Toc256000019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3.2采购产品一览表</w:t>
        </w:r>
        <w:r>
          <w:tab/>
        </w:r>
        <w:r>
          <w:fldChar w:fldCharType="begin"/>
        </w:r>
        <w:r>
          <w:instrText xml:space="preserve"> PAGEREF _Toc256000020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3.3采购产品详细清单及技术指标</w:t>
        </w:r>
        <w:r>
          <w:tab/>
        </w:r>
        <w:r>
          <w:fldChar w:fldCharType="begin"/>
        </w:r>
        <w:r>
          <w:instrText xml:space="preserve"> PAGEREF _Toc256000021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3.4服务要求</w:t>
        </w:r>
        <w:r>
          <w:tab/>
        </w:r>
        <w:r>
          <w:fldChar w:fldCharType="begin"/>
        </w:r>
        <w:r>
          <w:instrText xml:space="preserve"> PAGEREF _Toc256000022 \h </w:instrText>
        </w:r>
        <w:r>
          <w:fldChar w:fldCharType="separate"/>
        </w:r>
        <w:r>
          <w:t>10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3.5其他要求</w:t>
        </w:r>
        <w:r>
          <w:tab/>
        </w:r>
        <w:r>
          <w:fldChar w:fldCharType="begin"/>
        </w:r>
        <w:r>
          <w:instrText xml:space="preserve"> PAGEREF _Toc256000023 \h </w:instrText>
        </w:r>
        <w:r>
          <w:fldChar w:fldCharType="separate"/>
        </w:r>
        <w:r>
          <w:t>10</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kern w:val="36"/>
          </w:rPr>
          <w:t>4人员要求</w:t>
        </w:r>
        <w:r>
          <w:tab/>
        </w:r>
        <w:r>
          <w:fldChar w:fldCharType="begin"/>
        </w:r>
        <w:r>
          <w:instrText xml:space="preserve"> PAGEREF _Toc256000024 \h </w:instrText>
        </w:r>
        <w:r>
          <w:fldChar w:fldCharType="separate"/>
        </w:r>
        <w:r>
          <w:t>10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4.1团队要求</w:t>
        </w:r>
        <w:r>
          <w:tab/>
        </w:r>
        <w:r>
          <w:fldChar w:fldCharType="begin"/>
        </w:r>
        <w:r>
          <w:instrText xml:space="preserve"> PAGEREF _Toc256000025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4.1.1服务团队要求</w:t>
        </w:r>
        <w:r>
          <w:tab/>
        </w:r>
        <w:r>
          <w:fldChar w:fldCharType="begin"/>
        </w:r>
        <w:r>
          <w:instrText xml:space="preserve"> PAGEREF _Toc256000026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kern w:val="36"/>
          </w:rPr>
          <w:t>5管理实施要求</w:t>
        </w:r>
        <w:r>
          <w:tab/>
        </w:r>
        <w:r>
          <w:fldChar w:fldCharType="begin"/>
        </w:r>
        <w:r>
          <w:instrText xml:space="preserve"> PAGEREF _Toc256000027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kern w:val="36"/>
          </w:rPr>
          <w:t>6风险管控要求</w:t>
        </w:r>
        <w:r>
          <w:tab/>
        </w:r>
        <w:r>
          <w:fldChar w:fldCharType="begin"/>
        </w:r>
        <w:r>
          <w:instrText xml:space="preserve"> PAGEREF _Toc256000028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kern w:val="36"/>
          </w:rPr>
          <w:t>7履约验收要求</w:t>
        </w:r>
        <w:r>
          <w:tab/>
        </w:r>
        <w:r>
          <w:fldChar w:fldCharType="begin"/>
        </w:r>
        <w:r>
          <w:instrText xml:space="preserve"> PAGEREF _Toc256000029 \h </w:instrText>
        </w:r>
        <w:r>
          <w:fldChar w:fldCharType="separate"/>
        </w:r>
        <w:r>
          <w:t>13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rPr>
          <w:t>7.1总体要求</w:t>
        </w:r>
        <w:r>
          <w:tab/>
        </w:r>
        <w:r>
          <w:fldChar w:fldCharType="begin"/>
        </w:r>
        <w:r>
          <w:instrText xml:space="preserve"> PAGEREF _Toc256000030 \h </w:instrText>
        </w:r>
        <w:r>
          <w:fldChar w:fldCharType="separate"/>
        </w:r>
        <w:r>
          <w:t>13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rPr>
          <w:t>7.2具体要求</w:t>
        </w:r>
        <w:r>
          <w:tab/>
        </w:r>
        <w:r>
          <w:fldChar w:fldCharType="begin"/>
        </w:r>
        <w:r>
          <w:instrText xml:space="preserve"> PAGEREF _Toc256000031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8其他要求</w:t>
        </w:r>
        <w:r>
          <w:tab/>
        </w:r>
        <w:r>
          <w:fldChar w:fldCharType="begin"/>
        </w:r>
        <w:r>
          <w:instrText xml:space="preserve"> PAGEREF _Toc256000032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rPr>
          <w:t>8.1必备要求</w:t>
        </w:r>
        <w:r>
          <w:tab/>
        </w:r>
        <w:r>
          <w:fldChar w:fldCharType="begin"/>
        </w:r>
        <w:r>
          <w:instrText xml:space="preserve"> PAGEREF _Toc256000033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8.1.1通用必备要求</w:t>
        </w:r>
        <w:r>
          <w:tab/>
        </w:r>
        <w:r>
          <w:fldChar w:fldCharType="begin"/>
        </w:r>
        <w:r>
          <w:instrText xml:space="preserve"> PAGEREF _Toc256000034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8.2付款安排建议</w:t>
        </w:r>
        <w:r>
          <w:tab/>
        </w:r>
        <w:r>
          <w:fldChar w:fldCharType="begin"/>
        </w:r>
        <w:r>
          <w:instrText xml:space="preserve"> PAGEREF _Toc256000035 \h </w:instrText>
        </w:r>
        <w:r>
          <w:fldChar w:fldCharType="separate"/>
        </w:r>
        <w:r>
          <w:t>17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8.3其他要求</w:t>
        </w:r>
        <w:r>
          <w:tab/>
        </w:r>
        <w:r>
          <w:fldChar w:fldCharType="begin"/>
        </w:r>
        <w:r>
          <w:instrText xml:space="preserve"> PAGEREF _Toc256000036 \h </w:instrText>
        </w:r>
        <w:r>
          <w:fldChar w:fldCharType="separate"/>
        </w:r>
        <w:r>
          <w:t>18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8.3.1保密要求</w:t>
        </w:r>
        <w:r>
          <w:tab/>
        </w:r>
        <w:r>
          <w:fldChar w:fldCharType="begin"/>
        </w:r>
        <w:r>
          <w:instrText xml:space="preserve"> PAGEREF _Toc256000037 \h </w:instrText>
        </w:r>
        <w:r>
          <w:fldChar w:fldCharType="separate"/>
        </w:r>
        <w:r>
          <w:t>18</w:t>
        </w:r>
        <w:r>
          <w:fldChar w:fldCharType="end"/>
        </w:r>
      </w:hyperlink>
    </w:p>
    <w:p>
      <w:pPr>
        <w:spacing w:before="0" w:after="0" w:line="360" w:lineRule="auto"/>
        <w:jc w:val="left"/>
      </w:pPr>
      <w:r w:rsidR="00A77B3E">
        <w:rPr>
          <w:rFonts w:ascii="SimSun" w:eastAsia="SimSun" w:hAnsi="SimSun" w:cs="SimSun"/>
          <w:sz w:val="32"/>
        </w:rPr>
        <w:fldChar w:fldCharType="end"/>
      </w:r>
      <w:r>
        <w:br w:type="page"/>
      </w:r>
    </w:p>
    <w:p>
      <w:pPr>
        <w:pStyle w:val="Heading1"/>
        <w:keepNext w:val="0"/>
        <w:spacing w:before="0" w:after="0" w:line="360" w:lineRule="auto"/>
        <w:jc w:val="center"/>
        <w:rPr>
          <w:rFonts w:ascii="仿宋_GB2312" w:eastAsia="仿宋_GB2312" w:hAnsi="仿宋_GB2312" w:cs="仿宋_GB2312"/>
          <w:b/>
          <w:bCs/>
          <w:sz w:val="32"/>
          <w:szCs w:val="32"/>
        </w:rPr>
      </w:pPr>
      <w:bookmarkStart w:id="3" w:name="_Toc256000000"/>
      <w:r>
        <w:rPr>
          <w:rFonts w:ascii="仿宋_GB2312" w:eastAsia="仿宋_GB2312" w:hAnsi="仿宋_GB2312" w:cs="仿宋_GB2312"/>
          <w:kern w:val="36"/>
        </w:rPr>
        <w:t>1项目概述</w:t>
      </w:r>
      <w:bookmarkEnd w:id="3"/>
    </w:p>
    <w:p>
      <w:pPr>
        <w:pStyle w:val="Heading2"/>
        <w:keepNext w:val="0"/>
        <w:spacing w:before="0" w:after="0" w:line="360" w:lineRule="auto"/>
        <w:rPr>
          <w:rFonts w:ascii="仿宋_GB2312" w:eastAsia="仿宋_GB2312" w:hAnsi="仿宋_GB2312" w:cs="仿宋_GB2312"/>
          <w:b/>
          <w:bCs/>
          <w:sz w:val="28"/>
          <w:szCs w:val="28"/>
        </w:rPr>
      </w:pPr>
      <w:bookmarkStart w:id="4" w:name="_Toc256000001"/>
      <w:r>
        <w:rPr>
          <w:rFonts w:ascii="仿宋_GB2312" w:eastAsia="仿宋_GB2312" w:hAnsi="仿宋_GB2312" w:cs="仿宋_GB2312"/>
          <w:i w:val="0"/>
          <w:iCs w:val="0"/>
        </w:rPr>
        <w:t>1.1项目背景</w:t>
      </w:r>
      <w:bookmarkEnd w:id="4"/>
    </w:p>
    <w:p>
      <w:pPr>
        <w:pStyle w:val="Heading3"/>
        <w:keepNext w:val="0"/>
        <w:spacing w:before="0" w:after="0" w:line="360" w:lineRule="auto"/>
        <w:rPr>
          <w:rFonts w:ascii="仿宋_GB2312" w:eastAsia="仿宋_GB2312" w:hAnsi="仿宋_GB2312" w:cs="仿宋_GB2312"/>
          <w:b/>
          <w:bCs/>
          <w:sz w:val="28"/>
          <w:szCs w:val="28"/>
        </w:rPr>
      </w:pPr>
      <w:bookmarkStart w:id="5" w:name="_Toc256000002"/>
      <w:r>
        <w:rPr>
          <w:rFonts w:ascii="仿宋_GB2312" w:eastAsia="仿宋_GB2312" w:hAnsi="仿宋_GB2312" w:cs="仿宋_GB2312"/>
          <w:sz w:val="28"/>
          <w:szCs w:val="28"/>
        </w:rPr>
        <w:t>1.1.1项目目的、意义及背景</w:t>
      </w:r>
      <w:bookmarkEnd w:id="5"/>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为进一步规范国家税务总局白城市税务局所需食堂食材采购，确保干部职工就餐需要，力争做到安全卫生、营养健康，根据政府采购法等相关规定，对国家税务总局白城市税务局食堂食材实施政府采购。</w:t>
      </w:r>
    </w:p>
    <w:p>
      <w:pPr>
        <w:pStyle w:val="Heading2"/>
        <w:keepNext w:val="0"/>
        <w:spacing w:before="0" w:after="0" w:line="360" w:lineRule="auto"/>
        <w:rPr>
          <w:rFonts w:ascii="仿宋_GB2312" w:eastAsia="仿宋_GB2312" w:hAnsi="仿宋_GB2312" w:cs="仿宋_GB2312"/>
          <w:b/>
          <w:bCs/>
          <w:sz w:val="28"/>
          <w:szCs w:val="28"/>
        </w:rPr>
      </w:pPr>
      <w:bookmarkStart w:id="6" w:name="_Toc256000003"/>
      <w:r>
        <w:rPr>
          <w:rFonts w:ascii="仿宋_GB2312" w:eastAsia="仿宋_GB2312" w:hAnsi="仿宋_GB2312" w:cs="仿宋_GB2312"/>
          <w:i w:val="0"/>
          <w:iCs w:val="0"/>
        </w:rPr>
        <w:t>1.2项目内容</w:t>
      </w:r>
      <w:bookmarkEnd w:id="6"/>
    </w:p>
    <w:p>
      <w:pPr>
        <w:pStyle w:val="Heading3"/>
        <w:keepNext w:val="0"/>
        <w:spacing w:before="0" w:after="0" w:line="360" w:lineRule="auto"/>
        <w:rPr>
          <w:rFonts w:ascii="仿宋_GB2312" w:eastAsia="仿宋_GB2312" w:hAnsi="仿宋_GB2312" w:cs="仿宋_GB2312"/>
          <w:b/>
          <w:bCs/>
          <w:sz w:val="28"/>
          <w:szCs w:val="28"/>
        </w:rPr>
      </w:pPr>
      <w:bookmarkStart w:id="7" w:name="_Toc256000004"/>
      <w:r>
        <w:rPr>
          <w:rFonts w:ascii="仿宋_GB2312" w:eastAsia="仿宋_GB2312" w:hAnsi="仿宋_GB2312" w:cs="仿宋_GB2312"/>
          <w:sz w:val="28"/>
          <w:szCs w:val="28"/>
        </w:rPr>
        <w:t>1.2.1项目建设思路</w:t>
      </w:r>
      <w:bookmarkEnd w:id="7"/>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根据工作需要，对国家税务总局白城市税务局</w:t>
      </w:r>
      <w:r>
        <w:rPr>
          <w:rFonts w:ascii="仿宋_GB2312" w:eastAsia="仿宋_GB2312" w:hAnsi="仿宋_GB2312" w:cs="仿宋_GB2312"/>
          <w:sz w:val="28"/>
          <w:szCs w:val="28"/>
        </w:rPr>
        <w:t>食堂食材进行采购，保证干部职工用餐需求。</w:t>
      </w:r>
    </w:p>
    <w:p>
      <w:pPr>
        <w:pStyle w:val="Heading3"/>
        <w:keepNext w:val="0"/>
        <w:spacing w:before="0" w:after="0" w:line="360" w:lineRule="auto"/>
        <w:rPr>
          <w:rFonts w:ascii="仿宋_GB2312" w:eastAsia="仿宋_GB2312" w:hAnsi="仿宋_GB2312" w:cs="仿宋_GB2312"/>
          <w:b/>
          <w:bCs/>
          <w:sz w:val="28"/>
          <w:szCs w:val="28"/>
        </w:rPr>
      </w:pPr>
      <w:bookmarkStart w:id="8" w:name="_Toc256000005"/>
      <w:r>
        <w:rPr>
          <w:rFonts w:ascii="仿宋_GB2312" w:eastAsia="仿宋_GB2312" w:hAnsi="仿宋_GB2312" w:cs="仿宋_GB2312"/>
          <w:sz w:val="28"/>
          <w:szCs w:val="28"/>
        </w:rPr>
        <w:t>1.2.2采购内容</w:t>
      </w:r>
      <w:bookmarkEnd w:id="8"/>
    </w:p>
    <w:p>
      <w:pPr>
        <w:pStyle w:val="18"/>
        <w:spacing w:before="0" w:after="0" w:line="360" w:lineRule="auto"/>
        <w:ind w:left="0" w:firstLine="642"/>
        <w:rPr>
          <w:rFonts w:ascii="Times New Roman" w:eastAsia="Times New Roman" w:hAnsi="Times New Roman" w:cs="Times New Roman"/>
        </w:rPr>
      </w:pPr>
      <w:r>
        <w:rPr>
          <w:rFonts w:ascii="仿宋_GB2312" w:eastAsia="仿宋_GB2312" w:hAnsi="仿宋_GB2312" w:cs="仿宋_GB2312"/>
          <w:sz w:val="28"/>
          <w:szCs w:val="28"/>
        </w:rPr>
        <w:t>本项目采购的国家税务总局白城市税务局食堂食材采购，指供应商提供符合卫生标准，供应新鲜来源正规、安全的包括并不限于肉类及其制品、蔬菜类、禽蛋类、水产品及其制品、奶制品、副食、粮油、干货、调料、物料等食堂食材，规范包装，利用专门配送工具，按照采购人指定时间、周期和办公地点高效配送，同时具有服务团队，与采购人保持良好的信息沟通，有应对突发情况的能力，能建立完善的质量追溯体系和检验能力。国家税务总局白城市税务局2026年食堂食材采购项目，</w:t>
      </w:r>
      <w:r>
        <w:rPr>
          <w:rFonts w:ascii="仿宋_GB2312" w:eastAsia="仿宋_GB2312" w:hAnsi="仿宋_GB2312" w:cs="仿宋_GB2312"/>
          <w:sz w:val="28"/>
          <w:szCs w:val="28"/>
        </w:rPr>
        <w:t>采购预算158.4</w:t>
      </w:r>
      <w:r>
        <w:rPr>
          <w:rFonts w:ascii="仿宋_GB2312" w:eastAsia="仿宋_GB2312" w:hAnsi="仿宋_GB2312" w:cs="仿宋_GB2312"/>
          <w:sz w:val="28"/>
          <w:szCs w:val="28"/>
        </w:rPr>
        <w:t>万元，</w:t>
      </w:r>
      <w:r>
        <w:rPr>
          <w:rFonts w:ascii="仿宋_GB2312" w:eastAsia="仿宋_GB2312" w:hAnsi="仿宋_GB2312" w:cs="仿宋_GB2312"/>
          <w:sz w:val="28"/>
          <w:szCs w:val="28"/>
        </w:rPr>
        <w:t>供应商根据项目情况进行投标报价，投标价格不得超过预算。投标价格不作为最终合同金额，采购食材按实际采购量进行结算，总结算金额原则上不应超过采购预算。</w:t>
      </w:r>
    </w:p>
    <w:p>
      <w:pPr>
        <w:pStyle w:val="18"/>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投标人应严格遵守《食品安全法》和《动物检疫法》等相关规定，严格保证食品质量符合国家相关产品质量标准，符合国家各级强制性规范的要求。在中标后如出现因食用其提供的食品导致食物中毒事故发生，投标人应对此承担一切法律责任。</w:t>
      </w:r>
    </w:p>
    <w:p>
      <w:pPr>
        <w:pStyle w:val="Heading3"/>
        <w:keepNext w:val="0"/>
        <w:spacing w:before="0" w:after="0" w:line="360" w:lineRule="auto"/>
        <w:rPr>
          <w:rFonts w:ascii="仿宋_GB2312" w:eastAsia="仿宋_GB2312" w:hAnsi="仿宋_GB2312" w:cs="仿宋_GB2312"/>
          <w:b/>
          <w:bCs/>
          <w:sz w:val="28"/>
          <w:szCs w:val="28"/>
        </w:rPr>
      </w:pPr>
      <w:bookmarkStart w:id="9" w:name="_Toc256000006"/>
      <w:r>
        <w:rPr>
          <w:rFonts w:ascii="仿宋_GB2312" w:eastAsia="仿宋_GB2312" w:hAnsi="仿宋_GB2312" w:cs="仿宋_GB2312"/>
          <w:sz w:val="28"/>
          <w:szCs w:val="28"/>
        </w:rPr>
        <w:t>1.2.3项目实施要求</w:t>
      </w:r>
      <w:bookmarkEnd w:id="9"/>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18"/>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按照合同要求，为国家税务总局白城市税务局食堂（吉林省白城市洮北区胜利西路139号）提供食堂食材。</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spacing w:before="0" w:after="0" w:line="360" w:lineRule="auto"/>
        <w:rPr>
          <w:rFonts w:ascii="仿宋_GB2312" w:eastAsia="仿宋_GB2312" w:hAnsi="仿宋_GB2312" w:cs="仿宋_GB2312"/>
          <w:sz w:val="28"/>
          <w:szCs w:val="28"/>
        </w:rPr>
      </w:pPr>
      <w:r>
        <w:rPr>
          <w:rFonts w:ascii="仿宋_GB2312" w:eastAsia="仿宋_GB2312" w:hAnsi="仿宋_GB2312" w:cs="仿宋_GB2312"/>
          <w:sz w:val="32"/>
          <w:szCs w:val="32"/>
        </w:rPr>
        <w:t xml:space="preserve">    </w:t>
      </w:r>
      <w:r>
        <w:rPr>
          <w:rFonts w:ascii="仿宋_GB2312" w:eastAsia="仿宋_GB2312" w:hAnsi="仿宋_GB2312" w:cs="仿宋_GB2312"/>
          <w:sz w:val="28"/>
          <w:szCs w:val="28"/>
        </w:rPr>
        <w:t>自签订合同之日起一年。</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MsoNormal"/>
        <w:spacing w:before="0" w:after="0" w:line="360" w:lineRule="auto"/>
        <w:ind w:left="0" w:right="0"/>
        <w:jc w:val="both"/>
        <w:rPr>
          <w:sz w:val="21"/>
          <w:szCs w:val="21"/>
        </w:rPr>
      </w:pPr>
      <w:r>
        <w:rPr>
          <w:rFonts w:ascii="仿宋_GB2312" w:eastAsia="仿宋_GB2312" w:hAnsi="仿宋_GB2312" w:cs="仿宋_GB2312"/>
          <w:sz w:val="32"/>
          <w:szCs w:val="32"/>
        </w:rPr>
        <w:t xml:space="preserve">    </w:t>
      </w:r>
      <w:r>
        <w:rPr>
          <w:rFonts w:ascii="仿宋_GB2312" w:eastAsia="仿宋_GB2312" w:hAnsi="仿宋_GB2312" w:cs="仿宋_GB2312"/>
          <w:sz w:val="28"/>
          <w:szCs w:val="28"/>
        </w:rPr>
        <w:t>国家税务总局白城市税务局食堂（吉林省白城市洮北区胜利西路139</w:t>
      </w:r>
      <w:r>
        <w:rPr>
          <w:rFonts w:ascii="仿宋_GB2312" w:eastAsia="仿宋_GB2312" w:hAnsi="仿宋_GB2312" w:cs="仿宋_GB2312"/>
          <w:sz w:val="28"/>
          <w:szCs w:val="28"/>
        </w:rPr>
        <w:t>号）。</w:t>
      </w:r>
    </w:p>
    <w:p>
      <w:pPr>
        <w:pStyle w:val="Heading2"/>
        <w:keepNext w:val="0"/>
        <w:spacing w:before="0" w:after="0" w:line="360" w:lineRule="auto"/>
        <w:rPr>
          <w:rFonts w:ascii="仿宋_GB2312" w:eastAsia="仿宋_GB2312" w:hAnsi="仿宋_GB2312" w:cs="仿宋_GB2312"/>
          <w:b/>
          <w:bCs/>
          <w:sz w:val="28"/>
          <w:szCs w:val="28"/>
        </w:rPr>
      </w:pPr>
      <w:bookmarkStart w:id="10" w:name="_Toc256000007"/>
      <w:r>
        <w:rPr>
          <w:rFonts w:ascii="仿宋_GB2312" w:eastAsia="仿宋_GB2312" w:hAnsi="仿宋_GB2312" w:cs="仿宋_GB2312"/>
          <w:i w:val="0"/>
          <w:iCs w:val="0"/>
        </w:rPr>
        <w:t>1.3其他要求</w:t>
      </w:r>
      <w:bookmarkEnd w:id="10"/>
    </w:p>
    <w:p>
      <w:pPr>
        <w:pStyle w:val="Heading3"/>
        <w:keepNext w:val="0"/>
        <w:spacing w:before="0" w:after="0" w:line="360" w:lineRule="auto"/>
        <w:rPr>
          <w:rFonts w:ascii="仿宋_GB2312" w:eastAsia="仿宋_GB2312" w:hAnsi="仿宋_GB2312" w:cs="仿宋_GB2312"/>
          <w:b/>
          <w:bCs/>
          <w:sz w:val="28"/>
          <w:szCs w:val="28"/>
        </w:rPr>
      </w:pPr>
      <w:bookmarkStart w:id="11" w:name="_Toc256000008"/>
      <w:r>
        <w:rPr>
          <w:rFonts w:ascii="仿宋_GB2312" w:eastAsia="仿宋_GB2312" w:hAnsi="仿宋_GB2312" w:cs="仿宋_GB2312"/>
          <w:sz w:val="28"/>
          <w:szCs w:val="28"/>
        </w:rPr>
        <w:t>1.3.1采购标的需执行的相关标准规范</w:t>
      </w:r>
      <w:bookmarkEnd w:id="11"/>
    </w:p>
    <w:p>
      <w:pPr>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 xml:space="preserve">      </w:t>
      </w:r>
      <w:r>
        <w:rPr>
          <w:rFonts w:ascii="FangSong_GB2312" w:eastAsia="FangSong_GB2312" w:hAnsi="FangSong_GB2312" w:cs="FangSong_GB2312"/>
          <w:sz w:val="32"/>
          <w:szCs w:val="32"/>
        </w:rPr>
        <w:t> </w:t>
      </w:r>
      <w:r>
        <w:rPr>
          <w:rFonts w:ascii="FangSong_GB2312" w:eastAsia="FangSong_GB2312" w:hAnsi="FangSong_GB2312" w:cs="FangSong_GB2312"/>
          <w:sz w:val="28"/>
          <w:szCs w:val="28"/>
        </w:rPr>
        <w:t>供应商供应食材应</w:t>
      </w:r>
      <w:r>
        <w:rPr>
          <w:rFonts w:ascii="仿宋_GB2312" w:eastAsia="仿宋_GB2312" w:hAnsi="仿宋_GB2312" w:cs="仿宋_GB2312"/>
          <w:sz w:val="28"/>
          <w:szCs w:val="28"/>
        </w:rPr>
        <w:t>符合《中华人民共和国食品安全法》、《中华人民共和国食品安全法实施条例》、《餐饮服务食品安全监督管理办法》等现行法律法规的规定。应</w:t>
      </w:r>
      <w:r>
        <w:rPr>
          <w:rFonts w:ascii="FangSong_GB2312" w:eastAsia="FangSong_GB2312" w:hAnsi="FangSong_GB2312" w:cs="FangSong_GB2312"/>
          <w:sz w:val="28"/>
          <w:szCs w:val="28"/>
        </w:rPr>
        <w:t>严格执行国家规定的《食品安全国家标准-食品中农药最大残留限量》（GB2763）中规定的食品农药最大残留限量如：豆类蔬菜中噻虫胺的最大残留限量为0.01mg/kg；《食品安全国家标准-食品添加剂使用标准》（GB2760）规定的食品添加剂使用原则、允许使用食品添加剂品种、使用范围及最大使用量或残留量，</w:t>
      </w:r>
      <w:r>
        <w:rPr>
          <w:rFonts w:ascii="仿宋_GB2312" w:eastAsia="仿宋_GB2312" w:hAnsi="仿宋_GB2312" w:cs="仿宋_GB2312"/>
          <w:sz w:val="28"/>
          <w:szCs w:val="28"/>
        </w:rPr>
        <w:t>其他未列出的产品须达到相应的国家标准和行业标准，不再一一列举。</w:t>
      </w:r>
    </w:p>
    <w:p>
      <w:pPr>
        <w:pStyle w:val="Heading1"/>
        <w:keepNext w:val="0"/>
        <w:spacing w:before="0" w:after="0" w:line="360" w:lineRule="auto"/>
        <w:jc w:val="center"/>
        <w:rPr>
          <w:rFonts w:ascii="仿宋_GB2312" w:eastAsia="仿宋_GB2312" w:hAnsi="仿宋_GB2312" w:cs="仿宋_GB2312"/>
          <w:b/>
          <w:bCs/>
          <w:sz w:val="32"/>
          <w:szCs w:val="32"/>
        </w:rPr>
      </w:pPr>
      <w:bookmarkStart w:id="12" w:name="_Toc256000009"/>
      <w:r>
        <w:rPr>
          <w:rFonts w:ascii="仿宋_GB2312" w:eastAsia="仿宋_GB2312" w:hAnsi="仿宋_GB2312" w:cs="仿宋_GB2312"/>
          <w:kern w:val="36"/>
        </w:rPr>
        <w:t>2投标/响应要求</w:t>
      </w:r>
      <w:bookmarkEnd w:id="12"/>
    </w:p>
    <w:p>
      <w:pPr>
        <w:pStyle w:val="Heading2"/>
        <w:keepNext w:val="0"/>
        <w:spacing w:before="0" w:after="0" w:line="360" w:lineRule="auto"/>
        <w:rPr>
          <w:rFonts w:ascii="仿宋_GB2312" w:eastAsia="仿宋_GB2312" w:hAnsi="仿宋_GB2312" w:cs="仿宋_GB2312"/>
          <w:b/>
          <w:bCs/>
          <w:sz w:val="28"/>
          <w:szCs w:val="28"/>
        </w:rPr>
      </w:pPr>
      <w:bookmarkStart w:id="13" w:name="_Toc256000010"/>
      <w:r>
        <w:rPr>
          <w:rFonts w:ascii="仿宋_GB2312" w:eastAsia="仿宋_GB2312" w:hAnsi="仿宋_GB2312" w:cs="仿宋_GB2312"/>
          <w:i w:val="0"/>
          <w:iCs w:val="0"/>
        </w:rPr>
        <w:t>2.1对供应商的要求</w:t>
      </w:r>
      <w:bookmarkEnd w:id="13"/>
    </w:p>
    <w:p>
      <w:pPr>
        <w:pStyle w:val="Heading3"/>
        <w:keepNext w:val="0"/>
        <w:spacing w:before="0" w:after="0" w:line="360" w:lineRule="auto"/>
        <w:rPr>
          <w:rFonts w:ascii="仿宋_GB2312" w:eastAsia="仿宋_GB2312" w:hAnsi="仿宋_GB2312" w:cs="仿宋_GB2312"/>
          <w:b/>
          <w:bCs/>
          <w:sz w:val="28"/>
          <w:szCs w:val="28"/>
        </w:rPr>
      </w:pPr>
      <w:bookmarkStart w:id="14" w:name="_Toc256000011"/>
      <w:r>
        <w:rPr>
          <w:rFonts w:ascii="仿宋_GB2312" w:eastAsia="仿宋_GB2312" w:hAnsi="仿宋_GB2312" w:cs="仿宋_GB2312"/>
          <w:sz w:val="28"/>
          <w:szCs w:val="28"/>
        </w:rPr>
        <w:t>2.1.1必备资质</w:t>
      </w:r>
      <w:bookmarkEnd w:id="14"/>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18"/>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     </w:t>
      </w:r>
      <w:r>
        <w:rPr>
          <w:rFonts w:ascii="仿宋_GB2312" w:eastAsia="仿宋_GB2312" w:hAnsi="仿宋_GB2312" w:cs="仿宋_GB2312"/>
          <w:sz w:val="28"/>
          <w:szCs w:val="28"/>
        </w:rPr>
        <w:t>供应商应具有《食品经营许可证》或《食品生产许可证》。仅提供《食品生产许可证》的，许可范围应包括本包中除食用农产品外的全部供应品类。</w:t>
      </w:r>
    </w:p>
    <w:p>
      <w:pPr>
        <w:pStyle w:val="Heading3"/>
        <w:keepNext w:val="0"/>
        <w:spacing w:before="0" w:after="0" w:line="360" w:lineRule="auto"/>
        <w:rPr>
          <w:rFonts w:ascii="仿宋_GB2312" w:eastAsia="仿宋_GB2312" w:hAnsi="仿宋_GB2312" w:cs="仿宋_GB2312"/>
          <w:b/>
          <w:bCs/>
          <w:sz w:val="28"/>
          <w:szCs w:val="28"/>
        </w:rPr>
      </w:pPr>
      <w:bookmarkStart w:id="15" w:name="_Toc256000012"/>
      <w:r>
        <w:rPr>
          <w:rFonts w:ascii="仿宋_GB2312" w:eastAsia="仿宋_GB2312" w:hAnsi="仿宋_GB2312" w:cs="仿宋_GB2312"/>
          <w:sz w:val="28"/>
          <w:szCs w:val="28"/>
        </w:rPr>
        <w:t>2.1.2优选资质/优选指标</w:t>
      </w:r>
      <w:bookmarkEnd w:id="15"/>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W w:w="5000" w:type="pct"/>
        <w:tblInd w:w="30" w:type="dxa"/>
        <w:tblCellMar>
          <w:top w:w="15" w:type="dxa"/>
          <w:left w:w="15" w:type="dxa"/>
          <w:bottom w:w="15" w:type="dxa"/>
          <w:right w:w="15" w:type="dxa"/>
        </w:tblCellMar>
      </w:tblPr>
      <w:tblGrid>
        <w:gridCol w:w="496"/>
        <w:gridCol w:w="4274"/>
        <w:gridCol w:w="917"/>
        <w:gridCol w:w="5324"/>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颁发部门</w:t>
            </w:r>
          </w:p>
        </w:tc>
        <w:tc>
          <w:tcPr>
            <w:tcW w:w="1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相关要求</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认证机构经国家认证认可监督委员会批准且在有效期内。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职业健康安全管理体系认证证书（ISO45001）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认证机构经国家认证认可监督委员会批准且在有效期内。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环境管理体系认证证书（ISO14001）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认证机构经国家认证认可监督委员会批准且在有效期内。</w:t>
            </w:r>
          </w:p>
        </w:tc>
      </w:tr>
    </w:tbl>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18"/>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     </w:t>
      </w:r>
      <w:r>
        <w:rPr>
          <w:rFonts w:ascii="仿宋_GB2312" w:eastAsia="仿宋_GB2312" w:hAnsi="仿宋_GB2312" w:cs="仿宋_GB2312"/>
          <w:sz w:val="28"/>
          <w:szCs w:val="28"/>
        </w:rPr>
        <w:t>有效案例为</w:t>
      </w:r>
      <w:r>
        <w:rPr>
          <w:rFonts w:ascii="仿宋_GB2312" w:eastAsia="仿宋_GB2312" w:hAnsi="仿宋_GB2312" w:cs="仿宋_GB2312"/>
          <w:sz w:val="28"/>
          <w:szCs w:val="28"/>
        </w:rPr>
        <w:t>2022年1月1日以来（以合同签订日期为准），</w:t>
      </w:r>
      <w:r>
        <w:rPr>
          <w:rFonts w:ascii="仿宋_GB2312" w:eastAsia="仿宋_GB2312" w:hAnsi="仿宋_GB2312" w:cs="仿宋_GB2312"/>
          <w:sz w:val="28"/>
          <w:szCs w:val="28"/>
        </w:rPr>
        <w:t>供应商</w:t>
      </w:r>
      <w:r>
        <w:rPr>
          <w:rFonts w:ascii="仿宋_GB2312" w:eastAsia="仿宋_GB2312" w:hAnsi="仿宋_GB2312" w:cs="仿宋_GB2312"/>
          <w:sz w:val="28"/>
          <w:szCs w:val="28"/>
        </w:rPr>
        <w:t>提供独立承担的食材供应项目案例</w:t>
      </w:r>
      <w:r>
        <w:rPr>
          <w:rFonts w:ascii="仿宋_GB2312" w:eastAsia="仿宋_GB2312" w:hAnsi="仿宋_GB2312" w:cs="仿宋_GB2312"/>
          <w:sz w:val="28"/>
          <w:szCs w:val="28"/>
        </w:rPr>
        <w:t>，予以加分考虑。</w:t>
      </w:r>
    </w:p>
    <w:p>
      <w:pPr>
        <w:pStyle w:val="Heading3"/>
        <w:keepNext w:val="0"/>
        <w:spacing w:before="0" w:after="0" w:line="360" w:lineRule="auto"/>
        <w:rPr>
          <w:rFonts w:ascii="仿宋_GB2312" w:eastAsia="仿宋_GB2312" w:hAnsi="仿宋_GB2312" w:cs="仿宋_GB2312"/>
          <w:b/>
          <w:bCs/>
          <w:sz w:val="28"/>
          <w:szCs w:val="28"/>
        </w:rPr>
      </w:pPr>
      <w:bookmarkStart w:id="16" w:name="_Toc256000013"/>
      <w:r>
        <w:rPr>
          <w:rFonts w:ascii="仿宋_GB2312" w:eastAsia="仿宋_GB2312" w:hAnsi="仿宋_GB2312" w:cs="仿宋_GB2312"/>
          <w:sz w:val="28"/>
          <w:szCs w:val="28"/>
        </w:rPr>
        <w:t>2.1.3是否允许联合体</w:t>
      </w:r>
      <w:bookmarkEnd w:id="16"/>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
        <w:keepNext w:val="0"/>
        <w:spacing w:before="0" w:after="0" w:line="360" w:lineRule="auto"/>
        <w:rPr>
          <w:rFonts w:ascii="仿宋_GB2312" w:eastAsia="仿宋_GB2312" w:hAnsi="仿宋_GB2312" w:cs="仿宋_GB2312"/>
          <w:b/>
          <w:bCs/>
          <w:sz w:val="28"/>
          <w:szCs w:val="28"/>
        </w:rPr>
      </w:pPr>
      <w:bookmarkStart w:id="17" w:name="_Toc256000014"/>
      <w:r>
        <w:rPr>
          <w:rFonts w:ascii="仿宋_GB2312" w:eastAsia="仿宋_GB2312" w:hAnsi="仿宋_GB2312" w:cs="仿宋_GB2312"/>
          <w:sz w:val="28"/>
          <w:szCs w:val="28"/>
        </w:rPr>
        <w:t>2.1.4是否专门面向中小企业</w:t>
      </w:r>
      <w:bookmarkEnd w:id="17"/>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pPr>
        <w:pStyle w:val="Heading2"/>
        <w:keepNext w:val="0"/>
        <w:spacing w:before="0" w:after="0" w:line="360" w:lineRule="auto"/>
        <w:rPr>
          <w:rFonts w:ascii="仿宋_GB2312" w:eastAsia="仿宋_GB2312" w:hAnsi="仿宋_GB2312" w:cs="仿宋_GB2312"/>
          <w:b/>
          <w:bCs/>
          <w:sz w:val="28"/>
          <w:szCs w:val="28"/>
        </w:rPr>
      </w:pPr>
      <w:bookmarkStart w:id="18" w:name="_Toc256000015"/>
      <w:r>
        <w:rPr>
          <w:rFonts w:ascii="仿宋_GB2312" w:eastAsia="仿宋_GB2312" w:hAnsi="仿宋_GB2312" w:cs="仿宋_GB2312"/>
          <w:i w:val="0"/>
          <w:iCs w:val="0"/>
        </w:rPr>
        <w:t>2.2技术部分投标/响应内容</w:t>
      </w:r>
      <w:bookmarkEnd w:id="18"/>
    </w:p>
    <w:p>
      <w:pPr>
        <w:pStyle w:val="Heading3"/>
        <w:keepNext w:val="0"/>
        <w:spacing w:before="0" w:after="0" w:line="360" w:lineRule="auto"/>
        <w:rPr>
          <w:rFonts w:ascii="仿宋_GB2312" w:eastAsia="仿宋_GB2312" w:hAnsi="仿宋_GB2312" w:cs="仿宋_GB2312"/>
          <w:b/>
          <w:bCs/>
          <w:sz w:val="28"/>
          <w:szCs w:val="28"/>
        </w:rPr>
      </w:pPr>
      <w:bookmarkStart w:id="19" w:name="_Toc256000016"/>
      <w:r>
        <w:rPr>
          <w:rFonts w:ascii="仿宋_GB2312" w:eastAsia="仿宋_GB2312" w:hAnsi="仿宋_GB2312" w:cs="仿宋_GB2312"/>
          <w:sz w:val="28"/>
          <w:szCs w:val="28"/>
        </w:rPr>
        <w:t>2.2.1技术投标/响应总要求</w:t>
      </w:r>
      <w:bookmarkEnd w:id="19"/>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投标人必须针对技术部分中的需求逐个或分块作出实质性响应，其响应与采购文件内容采用同样的顺序。对每个需求的响应必须遵循如下规则：</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1）重复该需求。</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2）用“是/否”响应来表明该需求是否被满足。</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3）简要描述投标文件如何满足该需求，如果该响应在投标文件其他部分有详述，可在该处简单应答，但必须给出确切的位置索引。</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4）解释投标文件与用户需求之间的偏差，用数量来表示的需求，必须用确切的数字、单位来响应。</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对采购文件（技术部分）的应答应至少包含采购文件技术部分中的全部内容。投标人应提供实质性确切响应，并有详细的文字描述和说明，任何仅采用“符合”、“满足”或非确定性数值（如“&gt;=”或“&lt;=”）的响应均将被视为没有对采购文件的实质性响应，从而可能导致严重后果直至投标被拒绝。</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6）采购文件（技术部分）中有标注★号的，为必备服务内容，必须满足，如未作出响应，将导致投标无效。#为重要服务内容、△为一般服务内容。</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7）投标人认为对整个项目建设特别重要的建议，需单独说明（此项单列为可选性需求）。</w:t>
      </w:r>
    </w:p>
    <w:p>
      <w:pPr>
        <w:pStyle w:val="Heading3"/>
        <w:keepNext w:val="0"/>
        <w:spacing w:before="0" w:after="0" w:line="360" w:lineRule="auto"/>
        <w:rPr>
          <w:rFonts w:ascii="仿宋_GB2312" w:eastAsia="仿宋_GB2312" w:hAnsi="仿宋_GB2312" w:cs="仿宋_GB2312"/>
          <w:b/>
          <w:bCs/>
          <w:sz w:val="28"/>
          <w:szCs w:val="28"/>
        </w:rPr>
      </w:pPr>
      <w:bookmarkStart w:id="20" w:name="_Toc256000017"/>
      <w:r>
        <w:rPr>
          <w:rFonts w:ascii="仿宋_GB2312" w:eastAsia="仿宋_GB2312" w:hAnsi="仿宋_GB2312" w:cs="仿宋_GB2312"/>
          <w:sz w:val="28"/>
          <w:szCs w:val="28"/>
        </w:rPr>
        <w:t>2.2.2投标/响应方案要求</w:t>
      </w:r>
      <w:bookmarkEnd w:id="20"/>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17"/>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 以下相关方案，若作为评审因素，则投标人应在满足</w:t>
      </w:r>
      <w:r>
        <w:rPr>
          <w:rFonts w:ascii="仿宋_GB2312" w:eastAsia="仿宋_GB2312" w:hAnsi="仿宋_GB2312" w:cs="仿宋_GB2312"/>
          <w:sz w:val="28"/>
          <w:szCs w:val="28"/>
        </w:rPr>
        <w:t>★关键指标项要求的前提下，根据项目特点和采购需求，制定更为完整、详细、可操作性强的方案。</w:t>
      </w:r>
    </w:p>
    <w:p>
      <w:pPr>
        <w:pStyle w:val="17"/>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 对本项目技术需求书的完全响应，具体包括：项目需求理解、供应方案、质量安全把控方案、应急保障方案和货物验收方案。</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1）项目需求理解</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投标人应详细阐述对本包整体技术业务需求内容的理解，深入分析并提供详细的需求分析说明。</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2）供应方案和质量安全把控方案的具体要求见“3 项目需求”</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3）应急保障方案的具体要求见“6 风险管控要求”。</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4）货物验收方案的具体要求见“7 履约验收要求”。</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上述方案要求，若作为评审因素，则应在满足</w:t>
      </w:r>
      <w:r>
        <w:rPr>
          <w:rFonts w:ascii="仿宋_GB2312" w:eastAsia="仿宋_GB2312" w:hAnsi="仿宋_GB2312" w:cs="仿宋_GB2312"/>
          <w:sz w:val="28"/>
          <w:szCs w:val="28"/>
        </w:rPr>
        <w:t>★关键指标项要求的前提下，基于对#、△指标项的应答，根据项目特点和采购需求，对如何实现指标要求提出具体措施，制定完整、详细、可操作性强的方案。</w:t>
      </w:r>
    </w:p>
    <w:p>
      <w:pPr>
        <w:pStyle w:val="18"/>
        <w:spacing w:before="0" w:after="0" w:line="360" w:lineRule="auto"/>
        <w:ind w:left="0" w:firstLine="642"/>
        <w:jc w:val="both"/>
        <w:rPr>
          <w:rFonts w:ascii="Times New Roman" w:eastAsia="Times New Roman" w:hAnsi="Times New Roman" w:cs="Times New Roman"/>
        </w:rPr>
      </w:pPr>
      <w:r>
        <w:rPr>
          <w:rFonts w:ascii="Times New Roman" w:eastAsia="Times New Roman" w:hAnsi="Times New Roman" w:cs="Times New Roman"/>
        </w:rPr>
        <w:t> </w:t>
      </w:r>
    </w:p>
    <w:p>
      <w:pPr>
        <w:pStyle w:val="Heading1"/>
        <w:keepNext w:val="0"/>
        <w:spacing w:before="0" w:after="0" w:line="360" w:lineRule="auto"/>
        <w:jc w:val="center"/>
        <w:rPr>
          <w:rFonts w:ascii="仿宋_GB2312" w:eastAsia="仿宋_GB2312" w:hAnsi="仿宋_GB2312" w:cs="仿宋_GB2312"/>
          <w:b/>
          <w:bCs/>
          <w:sz w:val="32"/>
          <w:szCs w:val="32"/>
        </w:rPr>
      </w:pPr>
      <w:bookmarkStart w:id="21" w:name="_Toc256000018"/>
      <w:r>
        <w:rPr>
          <w:rFonts w:ascii="仿宋_GB2312" w:eastAsia="仿宋_GB2312" w:hAnsi="仿宋_GB2312" w:cs="仿宋_GB2312"/>
          <w:kern w:val="36"/>
        </w:rPr>
        <w:t>3项目需求</w:t>
      </w:r>
      <w:bookmarkEnd w:id="21"/>
    </w:p>
    <w:p>
      <w:pPr>
        <w:pStyle w:val="Heading2"/>
        <w:keepNext w:val="0"/>
        <w:spacing w:before="0" w:after="0" w:line="360" w:lineRule="auto"/>
        <w:rPr>
          <w:rFonts w:ascii="仿宋_GB2312" w:eastAsia="仿宋_GB2312" w:hAnsi="仿宋_GB2312" w:cs="仿宋_GB2312"/>
          <w:b/>
          <w:bCs/>
          <w:sz w:val="28"/>
          <w:szCs w:val="28"/>
        </w:rPr>
      </w:pPr>
      <w:bookmarkStart w:id="22" w:name="_Toc256000019"/>
      <w:r>
        <w:rPr>
          <w:rFonts w:ascii="仿宋_GB2312" w:eastAsia="仿宋_GB2312" w:hAnsi="仿宋_GB2312" w:cs="仿宋_GB2312"/>
          <w:i w:val="0"/>
          <w:iCs w:val="0"/>
        </w:rPr>
        <w:t>3.1总体要求</w:t>
      </w:r>
      <w:bookmarkEnd w:id="22"/>
    </w:p>
    <w:p>
      <w:pPr>
        <w:pStyle w:val="18"/>
        <w:spacing w:before="0" w:after="0" w:line="360" w:lineRule="auto"/>
        <w:ind w:left="0" w:firstLine="642"/>
        <w:jc w:val="both"/>
        <w:rPr>
          <w:rFonts w:ascii="Times New Roman" w:eastAsia="Times New Roman" w:hAnsi="Times New Roman" w:cs="Times New Roman"/>
        </w:rPr>
      </w:pPr>
      <w:r>
        <w:rPr>
          <w:rFonts w:ascii="Times New Roman" w:eastAsia="Times New Roman" w:hAnsi="Times New Roman" w:cs="Times New Roman"/>
        </w:rPr>
        <w:t> </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投标人应严格遵守《食品安全法》和《动物检疫法》等相关规定，严格保证食品质量符合国家相关产品质量标准，符合国家各级强制性规范的要求。在中标后如出现因食用其提供的食品导致食物中毒事故发生，投标人应对此承担一切法律责任。</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采购产品一览表中仅列举国家税务总局白城市税务局食堂常用食材，项目实际采购的品种和数量不限于表内，根据实际采购需求确定。</w:t>
      </w:r>
    </w:p>
    <w:p>
      <w:pPr>
        <w:pStyle w:val="Heading2"/>
        <w:keepNext w:val="0"/>
        <w:spacing w:before="0" w:after="0" w:line="360" w:lineRule="auto"/>
        <w:rPr>
          <w:rFonts w:ascii="仿宋_GB2312" w:eastAsia="仿宋_GB2312" w:hAnsi="仿宋_GB2312" w:cs="仿宋_GB2312"/>
          <w:b/>
          <w:bCs/>
          <w:sz w:val="28"/>
          <w:szCs w:val="28"/>
        </w:rPr>
      </w:pPr>
      <w:bookmarkStart w:id="23" w:name="_Toc256000020"/>
      <w:r>
        <w:rPr>
          <w:rFonts w:ascii="仿宋_GB2312" w:eastAsia="仿宋_GB2312" w:hAnsi="仿宋_GB2312" w:cs="仿宋_GB2312"/>
          <w:i w:val="0"/>
          <w:iCs w:val="0"/>
        </w:rPr>
        <w:t>3.2采购产品一览表</w:t>
      </w:r>
      <w:bookmarkEnd w:id="23"/>
    </w:p>
    <w:tbl>
      <w:tblPr>
        <w:tblW w:w="5000" w:type="pct"/>
        <w:tblInd w:w="30" w:type="dxa"/>
        <w:tblCellMar>
          <w:top w:w="15" w:type="dxa"/>
          <w:left w:w="15" w:type="dxa"/>
          <w:bottom w:w="15" w:type="dxa"/>
          <w:right w:w="15" w:type="dxa"/>
        </w:tblCellMar>
      </w:tblPr>
      <w:tblGrid>
        <w:gridCol w:w="420"/>
        <w:gridCol w:w="1130"/>
        <w:gridCol w:w="26382"/>
        <w:gridCol w:w="420"/>
        <w:gridCol w:w="420"/>
        <w:gridCol w:w="2908"/>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产品类别</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数量</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单位</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粮食类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面粉、大米、小米、红米、黄米、黑米、薏米、高粱、藜麦、全麦、大麦等、玉米等。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粮食类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绿豆、黄豆、红豆等。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食用油类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大豆油、花生油、葵花籽油、玉米油等。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水产类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鲜冻鱼、鲜冻虾、鲜冻鱿鱼、鲜冻贝类等。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蔬菜类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叶菜（大白菜、包菜、青菜、菠菜、香菜、韭黄、生菜等）、瓜果菜（黄瓜、西红柿、茄子、冬瓜、南瓜、丝瓜、苦瓜、青椒等）、根茎菜（土豆、山药、蒜薹、莴笋、春笋、冬笋、洋葱、萝卜、莲藕、花菜等）、葱姜蒜（大葱、小葱、香葱、老姜、仔姜、大蒜、独头蒜等）、豆类（毛豆、青豆、芸豆、荷兰豆、四季豆、豆芽等）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菌类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鲜蘑菇、鲜竹笋等。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水果类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柑橘橙柚、苹果、梨、香蕉、桃杏李、西瓜、哈密瓜、香瓜、白兰瓜等。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豆蛋乳制品类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豆制品（豆腐、豆浆、腐竹、豆腐皮等）、蛋类（鸡蛋、鸭蛋、鹌鹑蛋等）、乳制品（牛奶、酸奶、奶酪等）等。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速冻食品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速冻主食（水饺、馄饨、手抓饼等）、丸类（鱼丸、牛肉丸、鸡肉丸等）等。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干货调料类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粉状香辛料（胡椒粉、辣椒粉、孜然粉、芝麻等）、干货类（花椒、八角、桂皮、香叶、丁香、迷迭香、小茴香、草果、干辣椒等）、酵母等。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干货调料类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干木耳、干银耳、虫草花、干香菇、红枣等。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干货调料类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虾皮、干紫菜、干海带、干贝等。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干货调料类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糖、盐、酱油、醋等。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鲜冻禽畜肉类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肉（前尖、后尖、通脊、精五花等）、猪带肉骨（后腿骨、精肋排、腔骨块、前排块等）、猪肉馅（三七馅、去皮前尖馅等）、猪肉丝、丁、片等（五花丁、片等）、猪脏器（肥肠、肝、肚等）、猪副产品（耳朵、肘、蹄等）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鲜冻禽畜肉类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牛肉（腱子、牛腩、上脑、里脊、外脊、腹肉、小黄瓜条、辣椒肉、肋排快等）、原切牛排、牛肉片等。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鲜冻禽畜肉类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羊肉卷、羊肋排、羊杂等。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鲜冻禽畜肉类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鸡肉(肉丝、丁、片、鸡大胸、鸡腿肉等)、鸡杂（胗、心、肝等）、鸡翅中、翅根、琵琶腿、手枪腿等。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鲜冻禽畜肉类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鸭肉、鸭腿（块）等。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半成品类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培根、红肠、香肠、蒜肠、灌肠、香肚、火腿、京肠、烤肠等。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半成品类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小酥肉、烤鸡架、骨肉相连、锅包肉、黄金鸡柳、鸡肉丸、鸡肉圈、炸鸡块等。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坚果类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花生、瓜子等。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饮料类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可乐、雪碧、鲜橙多等。</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采购数量以甲方实际下单数量为准。</w:t>
            </w:r>
          </w:p>
        </w:tc>
      </w:tr>
    </w:tbl>
    <w:p>
      <w:pPr>
        <w:pStyle w:val="Heading2"/>
        <w:keepNext w:val="0"/>
        <w:spacing w:before="0" w:after="0" w:line="360" w:lineRule="auto"/>
        <w:rPr>
          <w:rFonts w:ascii="仿宋_GB2312" w:eastAsia="仿宋_GB2312" w:hAnsi="仿宋_GB2312" w:cs="仿宋_GB2312"/>
          <w:b/>
          <w:bCs/>
          <w:sz w:val="28"/>
          <w:szCs w:val="28"/>
        </w:rPr>
      </w:pPr>
      <w:bookmarkStart w:id="24" w:name="_Toc256000021"/>
      <w:r>
        <w:rPr>
          <w:rFonts w:ascii="仿宋_GB2312" w:eastAsia="仿宋_GB2312" w:hAnsi="仿宋_GB2312" w:cs="仿宋_GB2312"/>
          <w:i w:val="0"/>
          <w:iCs w:val="0"/>
        </w:rPr>
        <w:t>3.3采购产品详细清单及技术指标</w:t>
      </w:r>
      <w:bookmarkEnd w:id="24"/>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tbl>
      <w:tblPr>
        <w:tblW w:w="5000" w:type="pct"/>
        <w:tblInd w:w="30" w:type="dxa"/>
        <w:tblCellMar>
          <w:top w:w="15" w:type="dxa"/>
          <w:left w:w="15" w:type="dxa"/>
          <w:bottom w:w="15" w:type="dxa"/>
          <w:right w:w="15" w:type="dxa"/>
        </w:tblCellMar>
      </w:tblPr>
      <w:tblGrid>
        <w:gridCol w:w="452"/>
        <w:gridCol w:w="835"/>
        <w:gridCol w:w="2553"/>
        <w:gridCol w:w="25593"/>
        <w:gridCol w:w="644"/>
        <w:gridCol w:w="160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（1）食品必须符合国家饮食卫生标准，同时保证食品新鲜，不得出现腐烂、变质，以次充好等情况；</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（2）食品的质量与包装应符合国家相关法律法规的规定，符合行业主管部门发布的规定、标准、规范；</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（3）按规定必须经由法定食品检验机构检测的食品，投标人应在交货时向采购人提供同批次食品检验报告或合格证（复印件加盖公章）；</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（4）对于没有国家标准的应符合行业标准或企业标准，其中国家有强制性技术标准要求的产品，还应符合国家强制性技术标准，确保配送的货物安全、卫生；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（5）配送食材送达时不超过食材生产日期至保质期限日的 1/3（例如：食材保质期限为 10 天以内的，送达时间不能超过3天；食材保质期为6个月以内的，送达时间不能超过2个月，其他同理以此类推）。</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所有食材的来源清晰，蔬菜来源于受到地方政府部门监管的自有基地、商品菜基地或蔬菜专业流通市场，不供应散户溯源不清的蔬菜。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蔬菜和水果质量要求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（1）蔬菜和水果化学药物不超标，保持较好的色泽及新鲜度，无黄叶、泥沙；</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（2）包装食品标注生产厂家，生产日期，并在保质期范围内，保持较好的外观；水产品品质新鲜质量安全。</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蔬菜和水果质量要求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所有食材的来源清晰，蔬菜和水果来源于受到地方政府部门监管的自有基地、商品菜和水果基地或蔬菜和水果专业流通市场，不供应散户溯源不清的蔬菜和水果。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蔬菜和水果质量要求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（1）供应当季各类新鲜蔬菜以及大棚种植蔬菜，蔬菜类无黄叶、枯死叶，无虫，无杂质，原菜菜面干净、无明显泥土、码放整齐、无破损、大小基本统一、不得过熟或欠熟；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（2）净菜须保证菜面完全干净、无泥土、按统一标准加工、码放整齐、无须二次处理可以直接进行熟加工；</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（3）供应当季各类水果，无虫、无杂质。果面干净，无明显泥土，码放整齐，无破损，大小基本统一，不过熟或欠熟。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面条米线质量要求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不含非食品用化学物质、无杂质。以小麦、大米为原料的面条、米线颜色呈白色、乳白色、奶黄色，色亮不发灰发暗。表面结构细密、光滑。软硬适中，爽口不粘牙，口感光滑，具有清香，无异味。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鲜冻鱼质量要求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体表光滑，有鳞鱼鳞片完整，无鳞鱼无浑浊粘液，呈白色或淡黄色，眼球外突饱满透明，鳃丝清晰鲜红或暗红，保持活体状态固有本色，无异味，肌肉紧密有弹性，内脏清晰可辨、无腐烂。净膛鱼鳞片，内脏，鱼鳃去除干净，无残留物，眼球外突饱满透明，无异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鸡蛋质量要求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一级清洁鸡蛋，蛋壳清洁完整，呈规则卵圆形，具有蛋壳固有的色泽，表面无肉眼可见污物，鸡蛋新鲜，蛋白浓稠、蛋黄圆润，单个鸡蛋重量58～68g。</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冻品质量要求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冻品外包装需密封、完整，无破损，商品合格证齐全。冻品在解冻后，发现质量问题承诺退货。</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豆腐及豆制品质量要求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须保证食品干净，不含非食品用化学物质，按统一标准加工，码放整齐，无须二次处理可以直接进行熟加工。</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大米质量标准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符合GB/T 1354-2018中关于一级米的标准，加工精度为精碾，小碎米含量≤1.0%，不完善粒≤3.0%，带壳稗粒≤3粒/公斤，带谷粒≤4粒/公斤。</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面粉（含面粉配料）质量标准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(1)通用面粉达GB/T 1355-2021国家标准；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(2)高筋面粉达GB/T 8607-1988国家标准，质量等级一级；低筋面粉达GB8608-1988标准，质量等级一级。色泽正常，干爽无异味。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食用油通用标准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供应非转基因食用油。外观的色泽、透明度、气味滋味等无异常，定型包装。</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大豆油质量标准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符合质量标准GB/T1535-2017，质量等级一级，色泽为淡黄至浅黄色，冷冻实验澄清、透明，无异味、口感好，水分及挥发物质含量≤0.10%，不溶性杂质含量≤0.05%，酸价≤0.50ng/g，过氧化值≤5.0mmol/kg,烟点≥190℃。</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肉类总体质量要求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（1）肉类的理化指标及卫生标准符合国家或采购人所在地区最新标准执行；</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（2）肉类供应商供应的动物类食品必须经过检验检疫，供货时一并提交出厂合格证复印件，必要时应按采购人要求提供生产厂家的卫生许可证；</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（3）所供生鲜肉确保为出厂后48小时内；冻肉确保为出厂后3个月内。</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肉类总体质量要求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保证所供肉类渠道来源正规可溯，参考正规市场品质及来源。</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肉类总体质量要求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鲜肉品须表皮洁净、膘厚适中、色泽鲜亮、脂肪洁白；纹理清晰、肉质细腻、无异味、去骨、无毛；按压无水迹，肉质有弹性，放手后指压的凹陷立即恢复，不粘手；外表微干或微湿润，脂肪团聚于表面为白色或乳白色，整体色泽光润；切面红色、微微湿润但不粘手；无淤血，无注水，无寄生虫；</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（2）冻品外包装需密封、完整，无破损，商品合格证齐全。冻品在解冻后，发现质量问题承诺退货。</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鲜猪肉通用质量要求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猪主要部位肉符合GB/T 9959.1和GB/T9959.3等规定。包括去骨前腿肉、去骨后腿肉、带骨方肉和去骨方肉，均要求一级。肌肉颜色为鲜红色，脂肪颜色为白色。肥膘厚度1.0～2.5cm，质地呈现肉色红、光亮、致密，没有霜降或异味。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五花肉质量要求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一级五花肉，肥膘厚度≤2.0cm，肥瘦相间，肉质细腻，三层见花。</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肋排质量要求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肋排去剔前排后11-13根肋骨，整块重量1.2KG-1.8KG，纹理清晰，边缘整齐。</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心肝、腰子类：品质新鲜、外形完整、无异味、无病变、无凝血块、无血污、泥污、颜色正常。</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肚：品质新鲜、外形完整、无溃疡面及其他病变现象、无内容物、无粘膜、无边油。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大肠、肥肠类：品质新鲜、无破损、无病变组织、无肠头细毛、无内容物、去净粘膜。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舌：品质新鲜、外形完整、无病变、无异物、无舌苔、附肉少、无血污、泥污。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耳：品质新鲜、外形完整、无溃烂、病斑、无破损。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蹄爪类：品质新鲜、去蹄壳、不带蹄筋、刮除粗毛、细毛及趾间黑垢、无松香残留。</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蹄筋类：品质新鲜、无色透明、表面光亮、无油脂、无精肉、无充血现象、顺直、干燥。</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猪心：淡红色，脂肪乳白色稍红色，结实，有弹性，外形完整，心房内无瘀血，无凝血块，无病变，气味正常。</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猪肝：红褐色或棕黄色，有光泽，湿润，略有弹性，组织结实微密，肝叶完整，无脂肪，胆囊、粗输、胆管、无寄生虫、炎症水泡、薄膜，无胆汁污染，微有鱼腥味。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猪口条：品质新鲜，外形完整，无根附着的肌肉、舌骨、舌苔、脂肪、无病伤，无异物。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猪尾：品质新鲜，去毛洁净，不带毛根或绒毛。</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鲜牛肉通用质量要求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精修牛肉，颜色呈正常鲜红状，脂肪微黄，表面有光泽有正常油脂分泌，触摸略感粘稠，按压有弹性，无发酸发臭气味，无腐坏变色现象，挤压无水溢出。</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牛柳（牛里脊肉）质量要求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精修牛里脊，圆形长条，形如黄瓜，肉质非常细嫩。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牛腩质量要求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精修牛腩肉，牛腹部及靠近牛肋处的松软肌肉，带有筋、肉、油花的肉块。</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鲜羊肉质量要求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精修羊肉，肌肉红色均匀，有光泽，脂肪洁白。外表微干或有风干膜，触摸不粘手。弹性好，指压后凹陷立即恢复。具有鲜羊肉正常气味，无泥污，血污，肉边整齐，无碎肉，碎骨，按标准部位分割，无多余脂肪及血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冻畜肉质量要求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色泽：颜色比冷却肉鲜明，在表面切开处为浅玫瑰色至灰色，用手或热刀触之，立显示鲜红色。脂肪猪、羊为白色，牛为淡黄色。肌腱为白色，石灰色。</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外表：无杂质，无肌肉风干现象，无白、黄、绿斑、紫斑、污血、过多冰衣无白霜。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气味：化冻时，有肉的正常味，略潮，没有熟肉味。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包装：按标准部位分割外包装无破损有生产日期。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鲜鸡（鸭、鹅）类质量要求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眼球：无干缩凹陷或晶体状浑浊现象。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外表：具有其固有表皮颜色、肌肉切面有光泽、无绿、紫等异常颜色、无残羽（其在脖、翅等处无较长细毛）、无破损、无残缺、新切面不发粘。</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气味：具有其固有气味、无异味。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弹性：指压后凹陷、能恢复。</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鸡爪：品质新鲜、呈白色或灰白色、无黄皮趾壳、无血污、血水、无残缺、脚趾根上无黑斑、允许有少量红斑。</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鸡翅：品质新鲜、无残羽、无黄衣、无伤斑及溃烂、无血水血污、允许有少数斑、允许剪修但最大范围不超转弯关节处。</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鸡腿：无残羽、无血水、血污、品质新鲜、无残骨无伤斑及溃烂、炎症、允许有少数红斑、外形美观。</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鸡胸肉：品质新鲜、无残羽、无血水、血污、无残骨、无伤斑、溃烂、炎症，允许有少数红斑。</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鸡肝：品质新鲜、外形完整、去胆、无寄生虫、炎症、水泡，无胆汁污染无血渍。</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鸡胗：品质新鲜、外形完整无内容物、鸡内金、腺胃、肠管及脂肪，无出血、瘀血、病变。</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鸡心：品质新鲜、褐红色，脂肪稍红，组织结实，有弹性，心房内无瘀血、病变，气味正常。</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鸡脖：品质新鲜、去劲部皮、无羽毛、无血污。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鸡头：品质新鲜、外形完整、无伤斑、无溃烂、无血污。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蹄筋：品质新鲜，无色透明，表面光亮，无油脂，无精肉，无充血现顺直、干燥。</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禽肉(冻)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色泽：外观滋润，呈乳白或微黄色。</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外表：基本无血脉、风干现象，无白、黄绿、紫斑、无冰衣，解冻后与鲜禽特征相同。</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气味：无腐臭气味。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包装：分割部件应符合标准，外包装完好、商标规格、产品说明清晰完整。</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特殊准入认证要求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对实行食品质量（SC）安全市场准入制的食品，须在验收时提供 SC 认证的相关证明资料。</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其他食材质量标准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以上未详细列明的商品须符合国家食品安全卫生相关质量标准。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2"/>
        <w:keepNext w:val="0"/>
        <w:spacing w:before="0" w:after="0" w:line="360" w:lineRule="auto"/>
        <w:rPr>
          <w:rFonts w:ascii="仿宋_GB2312" w:eastAsia="仿宋_GB2312" w:hAnsi="仿宋_GB2312" w:cs="仿宋_GB2312"/>
          <w:b/>
          <w:bCs/>
          <w:sz w:val="28"/>
          <w:szCs w:val="28"/>
        </w:rPr>
      </w:pPr>
      <w:bookmarkStart w:id="25" w:name="_Toc256000022"/>
      <w:r>
        <w:rPr>
          <w:rFonts w:ascii="仿宋_GB2312" w:eastAsia="仿宋_GB2312" w:hAnsi="仿宋_GB2312" w:cs="仿宋_GB2312"/>
          <w:i w:val="0"/>
          <w:iCs w:val="0"/>
        </w:rPr>
        <w:t>3.4服务要求</w:t>
      </w:r>
      <w:bookmarkEnd w:id="25"/>
    </w:p>
    <w:tbl>
      <w:tblPr>
        <w:tblW w:w="5000" w:type="pct"/>
        <w:tblInd w:w="30" w:type="dxa"/>
        <w:tblCellMar>
          <w:top w:w="15" w:type="dxa"/>
          <w:left w:w="15" w:type="dxa"/>
          <w:bottom w:w="15" w:type="dxa"/>
          <w:right w:w="15" w:type="dxa"/>
        </w:tblCellMar>
      </w:tblPr>
      <w:tblGrid>
        <w:gridCol w:w="437"/>
        <w:gridCol w:w="1546"/>
        <w:gridCol w:w="3397"/>
        <w:gridCol w:w="24125"/>
        <w:gridCol w:w="623"/>
        <w:gridCol w:w="1552"/>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硬件设施要求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仓储设施要求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投标人自有或租赁库房，面积不小于300平米。能够满足按采购人需求完成配送任务。（证明材料：提供房屋产权证明或租赁合同复印件。）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硬件设施要求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物流设施要求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投标人自有或租赁配送中心，面积不小于500平米。能够满足按采购人需求完成配送任务。（证明材料：提供房屋产权证明或租赁合同复印件。）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硬件设施要求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配送车辆要求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投标人应自有或固定租赁2台及以上冷藏车辆，确保24小时响应，按采购人需求完成配送任务。（证明材料：自有车辆提供自有证明材料，租赁车辆提供租赁合同复印件证明。）</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果蔬供应链能力要求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投标人具有自有、签约的蔬菜、水果基地之一。（证明材料：提供相应证明材料复印件。）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主食供应链能力要求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具有自有、签约的大米、面粉生产基地、加工厂或者直销、代理、经销商资格之一。（证明材料：提供相应证明材料复印件。）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食用油供应链能力要求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具有自有或签约的食用油加工厂或者直销、代理、经销商资格之一。（证明材料：提供相应证明材料复印件。）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牛奶供应链能力要求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具有自有或签约的牛奶生产工厂或者直销、代理、经销商资格之一。（证明材料：提供相应证明材料复印件。）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猪肉、牛肉、羊肉、禽肉供应链能力要求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具有自有、签约的猪肉、牛肉、羊肉、禽肉的屠宰、加工厂或者直销、代理、经销商资格之一。（证明材料：提供相应证明材料复印件。）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2024年1月1日以来具有含本包拟配送食材进货内容的进货交易。（证明材料：提供2024年1月1日以来的从上游供货商进货单或双方的合作协议或交易发票。合作协议或交易发票中应体现投标人名称。）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简易加工能力要求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能够完成本合同采购食材的简易加工，如鱼类宰杀去鳃去鳞去内脏、蔬菜洗净削皮、鲜冻禽畜肉的切丝、丁、块、片等。（证明材料：提供承诺函，格式自拟，加盖公章。）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运输卫生要求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整个运输过程应采用符合卫生要求的外包装和运载工具，对运输工具做到每日清洗消毒，车厢内无不良气味、异味，确保运输过程安全卫生。冷冻制品、生鲜蛋奶、冷冻家禽、鲜猪肉等冷链食品必须使用符合规范标准的冷藏车进行运输。（证明材料：提供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运输工具管理要求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投标人运输工具进入采购人管理范围，必须接受采购人统一管理，发生任何人员与设施损伤，均由投标人承担责任。（证明材料：提供承诺函，格式自拟，加盖公章。）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规范包装要求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包装产品交付时，必须保证原包装完好无损。不得使用有色、有毒塑料制品包装食材，否则采购人有权拒收。（证明材料：提供承诺函，格式自拟，加盖公章。）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一般配送要求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采购人按期（日/周）向投标人发布采购内容，投标人应在送货前一个工作日与采购人核对确认采购内容无误后，在次日7点前配送至采购人指定验收地点。（证明材料：提供承诺函，格式自拟，加盖公章。）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一般配送要求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投保人不得委托第三方代为供货。（证明材料：提供承诺函，格式自拟，加盖公章。）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综合供应能力要求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应急配送要求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投标人应能按采购人要求及时补货，具备应急采购、储备、运输等能力，通讯工具24小时保持畅通，全天候备勤。在收到采购人布置的临时需求后 1 个小时内响应，2 个小时内完成配送。（证明材料：提供承诺函，格式自拟，加盖公章。）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质量安全把控要求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质量检验场所要求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投标人具有自有、租赁或固定合作质检实验室，能够用于检测本包采购的食材。（证明材料：提供自有证明或租赁、合作合同复印件。）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质量安全把控要求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质量检验能力</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能够检测成品和半成品中的食品添加剂，包括防腐剂、抗氧化剂、甜味剂、着色剂、漂白剂、酸度调节剂；能够检测食材中的微生物，至少包括菌落总数和大肠菌群。（证明材料：提供具备检验能力的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质量安全把控要求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质量检验能力</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能够检测食材中的重金属，至少包括铅（Pb）镉（Cd）汞（Hg）砷（As）铬（Cr）。（证明材料：提供具备检验能力的承诺函，格式自拟，加盖公章。）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质量安全把控要求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质量检验能力</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能够检测食材中的农药（至少包含敌敌畏、六六六、滴滴涕）残留。（证明材料：提供具备检验能力的承诺函，格式自拟，加盖公章。）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质量安全把控要求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质量检验能力</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能够检测鲜冻禽畜肉中的瘦肉精（克伦特罗、莱克多巴胺、沙丁胺醇）。（证明材料：提供具备检验能力的承诺函，格式自拟，加盖公章。）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服务团队要求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人员稳定性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供应商应承诺提供的服务团队应保持稳定，除按甲方要求更换人员外，项目执行期间人员变动不超过2人。（证明材料：提供承诺函，格式自拟。）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服务团队要求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人员管理要求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商应为本项目提供的服务团队中所有人员缴纳社保，除会计外从业人员必须持有健康证明。（证明材料：供应商未本项目服务团队中所有人员依法缴纳的近6个月以来不少于2个月的社会保障资金的相关材料、除会计外其他团队人员有效的健康证明。）</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服务团队要求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人员资格要求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提供的司机应具有C2及以上机动车驾驶证。（证明材料：为本项目提供的司机本人有效的C2及以上机动车驾驶证明。）</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2"/>
        <w:keepNext w:val="0"/>
        <w:spacing w:before="0" w:after="0" w:line="360" w:lineRule="auto"/>
        <w:rPr>
          <w:rFonts w:ascii="仿宋_GB2312" w:eastAsia="仿宋_GB2312" w:hAnsi="仿宋_GB2312" w:cs="仿宋_GB2312"/>
          <w:b/>
          <w:bCs/>
          <w:sz w:val="28"/>
          <w:szCs w:val="28"/>
        </w:rPr>
      </w:pPr>
      <w:bookmarkStart w:id="26" w:name="_Toc256000023"/>
      <w:r>
        <w:rPr>
          <w:rFonts w:ascii="仿宋_GB2312" w:eastAsia="仿宋_GB2312" w:hAnsi="仿宋_GB2312" w:cs="仿宋_GB2312"/>
          <w:i w:val="0"/>
          <w:iCs w:val="0"/>
        </w:rPr>
        <w:t>3.5其他要求</w:t>
      </w:r>
      <w:bookmarkEnd w:id="26"/>
    </w:p>
    <w:p>
      <w:pPr>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1"/>
        <w:keepNext w:val="0"/>
        <w:spacing w:before="0" w:after="0" w:line="360" w:lineRule="auto"/>
        <w:jc w:val="center"/>
        <w:rPr>
          <w:rFonts w:ascii="仿宋_GB2312" w:eastAsia="仿宋_GB2312" w:hAnsi="仿宋_GB2312" w:cs="仿宋_GB2312"/>
          <w:b/>
          <w:bCs/>
          <w:sz w:val="32"/>
          <w:szCs w:val="32"/>
        </w:rPr>
      </w:pPr>
      <w:bookmarkStart w:id="27" w:name="_Toc256000024"/>
      <w:r>
        <w:rPr>
          <w:rFonts w:ascii="仿宋_GB2312" w:eastAsia="仿宋_GB2312" w:hAnsi="仿宋_GB2312" w:cs="仿宋_GB2312"/>
          <w:kern w:val="36"/>
        </w:rPr>
        <w:t>4人员要求</w:t>
      </w:r>
      <w:bookmarkEnd w:id="27"/>
    </w:p>
    <w:p>
      <w:pPr>
        <w:pStyle w:val="Heading2"/>
        <w:keepNext w:val="0"/>
        <w:spacing w:before="0" w:after="0" w:line="360" w:lineRule="auto"/>
        <w:rPr>
          <w:rFonts w:ascii="仿宋_GB2312" w:eastAsia="仿宋_GB2312" w:hAnsi="仿宋_GB2312" w:cs="仿宋_GB2312"/>
          <w:b/>
          <w:bCs/>
          <w:sz w:val="28"/>
          <w:szCs w:val="28"/>
        </w:rPr>
      </w:pPr>
      <w:bookmarkStart w:id="28" w:name="_Toc256000025"/>
      <w:r>
        <w:rPr>
          <w:rFonts w:ascii="仿宋_GB2312" w:eastAsia="仿宋_GB2312" w:hAnsi="仿宋_GB2312" w:cs="仿宋_GB2312"/>
          <w:i w:val="0"/>
          <w:iCs w:val="0"/>
        </w:rPr>
        <w:t>4.1团队要求</w:t>
      </w:r>
      <w:bookmarkEnd w:id="28"/>
    </w:p>
    <w:p>
      <w:pPr>
        <w:pStyle w:val="Heading3"/>
        <w:keepNext w:val="0"/>
        <w:spacing w:before="0" w:after="0" w:line="360" w:lineRule="auto"/>
        <w:rPr>
          <w:rFonts w:ascii="仿宋_GB2312" w:eastAsia="仿宋_GB2312" w:hAnsi="仿宋_GB2312" w:cs="仿宋_GB2312"/>
          <w:b/>
          <w:bCs/>
          <w:sz w:val="28"/>
          <w:szCs w:val="28"/>
        </w:rPr>
      </w:pPr>
      <w:bookmarkStart w:id="29" w:name="_Toc256000026"/>
      <w:r>
        <w:rPr>
          <w:rFonts w:ascii="仿宋_GB2312" w:eastAsia="仿宋_GB2312" w:hAnsi="仿宋_GB2312" w:cs="仿宋_GB2312"/>
          <w:sz w:val="28"/>
          <w:szCs w:val="28"/>
        </w:rPr>
        <w:t>4.1.1服务团队要求</w:t>
      </w:r>
      <w:bookmarkEnd w:id="29"/>
    </w:p>
    <w:p>
      <w:pPr>
        <w:pStyle w:val="19"/>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一、投标人应提供专业的管理和采购团队，团队编制和人员资质务必保证运营服务质量。提供的服务团队应保持稳定，承诺项目执行期间人员变动不超过20%。</w:t>
      </w:r>
    </w:p>
    <w:p>
      <w:pPr>
        <w:pStyle w:val="17"/>
        <w:spacing w:before="0" w:after="0" w:line="360" w:lineRule="auto"/>
        <w:ind w:firstLine="642"/>
        <w:jc w:val="both"/>
        <w:rPr>
          <w:rFonts w:ascii="Times New Roman" w:eastAsia="Times New Roman" w:hAnsi="Times New Roman" w:cs="Times New Roman"/>
        </w:rPr>
      </w:pPr>
      <w:r>
        <w:rPr>
          <w:rFonts w:ascii="仿宋_GB2312" w:eastAsia="仿宋_GB2312" w:hAnsi="仿宋_GB2312" w:cs="仿宋_GB2312"/>
          <w:sz w:val="28"/>
          <w:szCs w:val="28"/>
        </w:rPr>
        <w:t>二、投标人服务团队须配有以下人员，出具盖有投标人公章的服务团队人员名单。</w:t>
      </w:r>
    </w:p>
    <w:p>
      <w:pPr>
        <w:pStyle w:val="17"/>
        <w:spacing w:before="0" w:after="0" w:line="360" w:lineRule="auto"/>
        <w:ind w:firstLine="642"/>
        <w:jc w:val="both"/>
        <w:rPr>
          <w:rFonts w:ascii="Times New Roman" w:eastAsia="Times New Roman" w:hAnsi="Times New Roman" w:cs="Times New Roman"/>
        </w:rPr>
      </w:pPr>
      <w:r>
        <w:rPr>
          <w:rFonts w:ascii="仿宋_GB2312" w:eastAsia="仿宋_GB2312" w:hAnsi="仿宋_GB2312" w:cs="仿宋_GB2312"/>
          <w:sz w:val="28"/>
          <w:szCs w:val="28"/>
        </w:rPr>
        <w:t>为本项目提供的服务团队中所有人员必须提供缴纳社保证明材料，除会计外必须具有从业人员健康证明，否则不予认可。</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符合以下工作经验要求的应出具工作简历，予以加分考虑。</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（一</w:t>
      </w:r>
      <w:r>
        <w:rPr>
          <w:rFonts w:ascii="仿宋_GB2312" w:eastAsia="仿宋_GB2312" w:hAnsi="仿宋_GB2312" w:cs="仿宋_GB2312"/>
          <w:sz w:val="28"/>
          <w:szCs w:val="28"/>
        </w:rPr>
        <w:t>）经理1人，具有5年以上食材供应项目管理工作经验。</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二）供应业务员2人，具有3年及以上食材供应项目工作经验。</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三）食品安全管理员1人，具有3年及以上食品安全管理工作经验。</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四）采购员2人，具有3年及以上食材采购工作经验。</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五）会计1人，具有初级及以上会计职称，5年及以上会计工作经验。</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六）配送司机2名，具有3年以上相关工作经验。</w:t>
      </w:r>
    </w:p>
    <w:p>
      <w:pPr>
        <w:pStyle w:val="MsoNormal"/>
        <w:spacing w:before="0" w:after="0" w:line="360" w:lineRule="auto"/>
        <w:jc w:val="both"/>
        <w:rPr>
          <w:sz w:val="21"/>
          <w:szCs w:val="21"/>
        </w:rPr>
      </w:pPr>
      <w:r>
        <w:rPr>
          <w:rFonts w:ascii="仿宋_GB2312" w:eastAsia="仿宋_GB2312" w:hAnsi="仿宋_GB2312" w:cs="仿宋_GB2312"/>
          <w:sz w:val="28"/>
          <w:szCs w:val="28"/>
        </w:rPr>
        <w:t>        以上人员在服务过程中应热情服务、遵规守法，具备较强的沟通能力和临时紧急配送调换的处置能力。</w:t>
      </w:r>
    </w:p>
    <w:p>
      <w:pPr>
        <w:pStyle w:val="Heading1"/>
        <w:keepNext w:val="0"/>
        <w:spacing w:before="0" w:after="0" w:line="360" w:lineRule="auto"/>
        <w:jc w:val="center"/>
        <w:rPr>
          <w:rFonts w:ascii="仿宋_GB2312" w:eastAsia="仿宋_GB2312" w:hAnsi="仿宋_GB2312" w:cs="仿宋_GB2312"/>
          <w:b/>
          <w:bCs/>
          <w:sz w:val="32"/>
          <w:szCs w:val="32"/>
        </w:rPr>
      </w:pPr>
      <w:bookmarkStart w:id="30" w:name="_Toc256000027"/>
      <w:r>
        <w:rPr>
          <w:rFonts w:ascii="仿宋_GB2312" w:eastAsia="仿宋_GB2312" w:hAnsi="仿宋_GB2312" w:cs="仿宋_GB2312"/>
          <w:kern w:val="36"/>
        </w:rPr>
        <w:t>5管理实施要求</w:t>
      </w:r>
      <w:bookmarkEnd w:id="30"/>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一、供应及配送方案要求</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投标人应提交科学合理的供应及配送方案。方案应包含服务团队管理措施、内部采购管理措施、储存分拣管理措施、科学合理运输措施等。</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二、质量安全把控方案要求</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投标人应提供质量安全把控方案。方案内容详细描述供应货物质量把控措施、检验检疫关键环节把控、不符合质量标准货品处置等内容，确保提供食材安全可靠。</w:t>
      </w:r>
      <w:r>
        <w:rPr>
          <w:rFonts w:ascii="仿宋_GB2312" w:eastAsia="仿宋_GB2312" w:hAnsi="仿宋_GB2312" w:cs="仿宋_GB2312"/>
          <w:sz w:val="28"/>
          <w:szCs w:val="28"/>
        </w:rPr>
        <w:t>凡投标人所供应货物应为原箱包装，拆包或重组包装的应提前向采购人说明，定量包装批量误差不应超过实际标示的5%。</w:t>
      </w:r>
      <w:r>
        <w:rPr>
          <w:rFonts w:ascii="仿宋_GB2312" w:eastAsia="仿宋_GB2312" w:hAnsi="仿宋_GB2312" w:cs="仿宋_GB2312"/>
          <w:sz w:val="28"/>
          <w:szCs w:val="28"/>
        </w:rPr>
        <w:t>投标人供应以下食品的，采购人全部退货，投标人承担由此造成的一切经济责任和法律责任：</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（一） 腐败变质、油脂酸败、霉变、生虫、污秽不洁、混有异物或者其他感官性状异常，对人体健康有害的；</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（二） 含有毒、有害物质或者被有毒、有害物质污染，对人体健康有害的；</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（三） 含有致病性寄生虫、微生物或者微生物含量超过国家限定标准的；</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（四） 未经动物检疫部门检疫、检验或者检疫、检验不合格的肉类及其制品；</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（五） 病死、毒死或者死因不明的禽、畜、兽等及其制品；</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（六） 掺假、掺杂、伪造，影响营养、卫生的；</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（七） 用非食品原料加工的，加入非食品用化学物质或者将非食品当作食品的；</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（八） 超过保质期限的；</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（九）使用有色、有毒塑料制品、包装食材的；</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（十）其他不符合《食品安全法》、《产品质量法》和《动物检疫管理办法》等相关规定的。</w:t>
      </w:r>
    </w:p>
    <w:p>
      <w:pPr>
        <w:pStyle w:val="16"/>
        <w:spacing w:before="0" w:after="0" w:line="360" w:lineRule="auto"/>
        <w:ind w:firstLine="480"/>
        <w:jc w:val="both"/>
        <w:rPr>
          <w:rFonts w:ascii="FangSong_GB2312" w:eastAsia="FangSong_GB2312" w:hAnsi="FangSong_GB2312" w:cs="FangSong_GB2312"/>
          <w:sz w:val="28"/>
          <w:szCs w:val="28"/>
        </w:rPr>
      </w:pPr>
      <w:r>
        <w:rPr>
          <w:rFonts w:ascii="FangSong_GB2312" w:eastAsia="FangSong_GB2312" w:hAnsi="FangSong_GB2312" w:cs="FangSong_GB2312"/>
          <w:sz w:val="28"/>
          <w:szCs w:val="28"/>
        </w:rPr>
        <w:t> </w:t>
      </w:r>
    </w:p>
    <w:p>
      <w:pPr>
        <w:pStyle w:val="Heading1"/>
        <w:keepNext w:val="0"/>
        <w:spacing w:before="0" w:after="0" w:line="360" w:lineRule="auto"/>
        <w:jc w:val="center"/>
        <w:rPr>
          <w:rFonts w:ascii="仿宋_GB2312" w:eastAsia="仿宋_GB2312" w:hAnsi="仿宋_GB2312" w:cs="仿宋_GB2312"/>
          <w:b/>
          <w:bCs/>
          <w:sz w:val="32"/>
          <w:szCs w:val="32"/>
        </w:rPr>
      </w:pPr>
      <w:bookmarkStart w:id="31" w:name="_Toc256000028"/>
      <w:r>
        <w:rPr>
          <w:rFonts w:ascii="仿宋_GB2312" w:eastAsia="仿宋_GB2312" w:hAnsi="仿宋_GB2312" w:cs="仿宋_GB2312"/>
          <w:kern w:val="36"/>
        </w:rPr>
        <w:t>6风险管控要求</w:t>
      </w:r>
      <w:bookmarkEnd w:id="31"/>
    </w:p>
    <w:p>
      <w:pPr>
        <w:pStyle w:val="18"/>
        <w:spacing w:before="0" w:after="0" w:line="360" w:lineRule="auto"/>
        <w:ind w:firstLine="642"/>
        <w:jc w:val="both"/>
        <w:rPr>
          <w:rFonts w:ascii="Times New Roman" w:eastAsia="Times New Roman" w:hAnsi="Times New Roman" w:cs="Times New Roman"/>
        </w:rPr>
      </w:pPr>
      <w:r>
        <w:rPr>
          <w:rFonts w:ascii="楷体" w:eastAsia="楷体" w:hAnsi="楷体" w:cs="楷体"/>
          <w:b/>
          <w:bCs/>
          <w:sz w:val="28"/>
          <w:szCs w:val="28"/>
        </w:rPr>
        <w:t>（一）应急保障方案要求</w:t>
      </w:r>
    </w:p>
    <w:p>
      <w:pPr>
        <w:pStyle w:val="18"/>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投标人应提供在自然灾害、极端事件、市场关闭、物资紧缺等突发紧急情况下拟采取的应急保障方案，包括充分供应、按时保障等措施，国家税务总局白城市税务局食堂食材及时供应不间断。</w:t>
      </w:r>
    </w:p>
    <w:p>
      <w:pPr>
        <w:pStyle w:val="21"/>
        <w:spacing w:before="0" w:after="0" w:line="360" w:lineRule="auto"/>
        <w:ind w:firstLine="642"/>
        <w:rPr>
          <w:rFonts w:ascii="Times New Roman" w:eastAsia="Times New Roman" w:hAnsi="Times New Roman" w:cs="Times New Roman"/>
        </w:rPr>
      </w:pPr>
      <w:r>
        <w:rPr>
          <w:rFonts w:ascii="楷体" w:eastAsia="楷体" w:hAnsi="楷体" w:cs="楷体"/>
          <w:b/>
          <w:bCs/>
          <w:sz w:val="28"/>
          <w:szCs w:val="28"/>
        </w:rPr>
        <w:t>（二）违约风险管控要求</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1.投标人中标后采用先送货后结账的模式，不收取履约保证金。有下列情形之一的，采购人有权按照以下约定及合同违约相关条款处理：</w:t>
      </w:r>
    </w:p>
    <w:p>
      <w:pPr>
        <w:pStyle w:val="20"/>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1）因投标人配送不及时导致采购人供餐延误并造成重大影响的；</w:t>
      </w:r>
    </w:p>
    <w:p>
      <w:pPr>
        <w:pStyle w:val="20"/>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2）凡经相关部门认定，因投标人所提供的原料原因造成采购人食堂出现食物中毒等卫生安全事故的，投标人除必须承担全部的法律责任外，还要全额承担因食物中毒发生所造成后果的一切费用；</w:t>
      </w:r>
    </w:p>
    <w:p>
      <w:pPr>
        <w:pStyle w:val="20"/>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3）除不可抗力及采购人原因外，因投标人配送不及时导致采购人伙食供应延时，但经投标人采取补救措施未造成采购人不良影响的，出现三次终止供货合同；</w:t>
      </w:r>
    </w:p>
    <w:p>
      <w:pPr>
        <w:pStyle w:val="20"/>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4）凡投标人向采购人提供产品发生质量问题影响食用，并拒绝退换的；</w:t>
      </w:r>
    </w:p>
    <w:p>
      <w:pPr>
        <w:pStyle w:val="20"/>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5）采购人将不定期组织专人对食材进行抽检，若发现质量不符，采购人有权要求予以退换货。</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2.投标人有下列情形之一的，采购人有权解除合同，由投标人承担全部经济损失和相关责任：</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1）投标人以书面、微信、短信等方式通知采购人不再供货，包括对部分食材不再供货；</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2）投标人虽未通知采购人不再供货，但1天没有供应采购人采购的货物，包括对部分食材没有供货；</w:t>
      </w:r>
    </w:p>
    <w:p>
      <w:pPr>
        <w:pStyle w:val="MsoNormal"/>
        <w:spacing w:before="0" w:after="0" w:line="360" w:lineRule="auto"/>
        <w:jc w:val="both"/>
        <w:rPr>
          <w:sz w:val="21"/>
          <w:szCs w:val="21"/>
        </w:rPr>
      </w:pPr>
      <w:r>
        <w:rPr>
          <w:rFonts w:ascii="仿宋_GB2312" w:eastAsia="仿宋_GB2312" w:hAnsi="仿宋_GB2312" w:cs="仿宋_GB2312"/>
          <w:sz w:val="28"/>
          <w:szCs w:val="28"/>
        </w:rPr>
        <w:t>       （</w:t>
      </w:r>
      <w:r>
        <w:rPr>
          <w:rFonts w:ascii="仿宋_GB2312" w:eastAsia="仿宋_GB2312" w:hAnsi="仿宋_GB2312" w:cs="仿宋_GB2312"/>
          <w:sz w:val="28"/>
          <w:szCs w:val="28"/>
        </w:rPr>
        <w:t>3）投标人未经采购人同意单方面提价的。</w:t>
      </w:r>
    </w:p>
    <w:p>
      <w:pPr>
        <w:pStyle w:val="Heading1"/>
        <w:keepNext w:val="0"/>
        <w:spacing w:before="0" w:after="0" w:line="360" w:lineRule="auto"/>
        <w:jc w:val="center"/>
        <w:rPr>
          <w:rFonts w:ascii="仿宋_GB2312" w:eastAsia="仿宋_GB2312" w:hAnsi="仿宋_GB2312" w:cs="仿宋_GB2312"/>
          <w:b/>
          <w:bCs/>
          <w:sz w:val="32"/>
          <w:szCs w:val="32"/>
        </w:rPr>
      </w:pPr>
      <w:bookmarkStart w:id="32" w:name="_Toc256000029"/>
      <w:r>
        <w:rPr>
          <w:rFonts w:ascii="仿宋_GB2312" w:eastAsia="仿宋_GB2312" w:hAnsi="仿宋_GB2312" w:cs="仿宋_GB2312"/>
          <w:kern w:val="36"/>
        </w:rPr>
        <w:t>7履约验收要求</w:t>
      </w:r>
      <w:bookmarkEnd w:id="32"/>
    </w:p>
    <w:p>
      <w:pPr>
        <w:pStyle w:val="Heading2"/>
        <w:keepNext w:val="0"/>
        <w:spacing w:before="0" w:after="0" w:line="360" w:lineRule="auto"/>
        <w:rPr>
          <w:rFonts w:ascii="仿宋_GB2312" w:eastAsia="仿宋_GB2312" w:hAnsi="仿宋_GB2312" w:cs="仿宋_GB2312"/>
          <w:b/>
          <w:bCs/>
          <w:sz w:val="28"/>
          <w:szCs w:val="28"/>
        </w:rPr>
      </w:pPr>
      <w:bookmarkStart w:id="33" w:name="_Toc256000030"/>
      <w:r>
        <w:rPr>
          <w:rFonts w:ascii="仿宋_GB2312" w:eastAsia="仿宋_GB2312" w:hAnsi="仿宋_GB2312" w:cs="仿宋_GB2312"/>
          <w:i w:val="0"/>
          <w:iCs w:val="0"/>
        </w:rPr>
        <w:t>7.1总体要求</w:t>
      </w:r>
      <w:bookmarkEnd w:id="33"/>
    </w:p>
    <w:tbl>
      <w:tblPr>
        <w:tblW w:w="5000" w:type="pct"/>
        <w:tblInd w:w="30" w:type="dxa"/>
        <w:tblCellMar>
          <w:top w:w="15" w:type="dxa"/>
          <w:left w:w="15" w:type="dxa"/>
          <w:bottom w:w="15" w:type="dxa"/>
          <w:right w:w="15" w:type="dxa"/>
        </w:tblCellMar>
      </w:tblPr>
      <w:tblGrid>
        <w:gridCol w:w="3166"/>
        <w:gridCol w:w="6164"/>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第3次验收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第4次验收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第5次验收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第6次验收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第7次验收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第8次验收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第9次验收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第10次验收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第12次验收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采购人组织现场验收，确保采购的食堂食材符合合同的约定标准。</w:t>
            </w:r>
          </w:p>
        </w:tc>
      </w:tr>
    </w:tbl>
    <w:p>
      <w:pPr>
        <w:pStyle w:val="Heading2"/>
        <w:keepNext w:val="0"/>
        <w:spacing w:before="0" w:after="0" w:line="360" w:lineRule="auto"/>
        <w:rPr>
          <w:rFonts w:ascii="仿宋_GB2312" w:eastAsia="仿宋_GB2312" w:hAnsi="仿宋_GB2312" w:cs="仿宋_GB2312"/>
          <w:b/>
          <w:bCs/>
          <w:sz w:val="28"/>
          <w:szCs w:val="28"/>
        </w:rPr>
      </w:pPr>
      <w:bookmarkStart w:id="34" w:name="_Toc256000031"/>
      <w:r>
        <w:rPr>
          <w:rFonts w:ascii="仿宋_GB2312" w:eastAsia="仿宋_GB2312" w:hAnsi="仿宋_GB2312" w:cs="仿宋_GB2312"/>
          <w:i w:val="0"/>
          <w:iCs w:val="0"/>
        </w:rPr>
        <w:t>7.2具体要求</w:t>
      </w:r>
      <w:bookmarkEnd w:id="34"/>
    </w:p>
    <w:p>
      <w:pPr>
        <w:pStyle w:val="19"/>
        <w:spacing w:before="0" w:after="0" w:line="360" w:lineRule="auto"/>
        <w:ind w:firstLine="642"/>
        <w:jc w:val="both"/>
        <w:rPr>
          <w:rFonts w:ascii="Times New Roman" w:eastAsia="Times New Roman" w:hAnsi="Times New Roman" w:cs="Times New Roman"/>
        </w:rPr>
      </w:pPr>
      <w:r>
        <w:rPr>
          <w:rFonts w:ascii="楷体" w:eastAsia="楷体" w:hAnsi="楷体" w:cs="楷体"/>
          <w:b/>
          <w:bCs/>
          <w:sz w:val="28"/>
          <w:szCs w:val="28"/>
        </w:rPr>
        <w:t>（一）总体要求</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1.验收人员：由采购人食堂管理人员、库房管理人员组成验收小组，投标人送货人员应积极配合验收。</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2.验收时间和地点</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1）验收时间：到货当天。</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2）验收地点：国家税务总局白城市税务局食堂（吉林省白城市洮北区胜利西路139号）</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3）验收组织形式：采购人组织验收。</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4）验收方式：现场验收。</w:t>
      </w:r>
    </w:p>
    <w:p>
      <w:pPr>
        <w:pStyle w:val="16"/>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5）验收内容：所供食材。</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a）质量是否符合约定标准；</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b）重量、数量、价格是否与采购人的预定量一致。</w:t>
      </w:r>
    </w:p>
    <w:p>
      <w:pPr>
        <w:pStyle w:val="19"/>
        <w:spacing w:before="0" w:after="0" w:line="360" w:lineRule="auto"/>
        <w:ind w:firstLine="642"/>
        <w:jc w:val="both"/>
        <w:rPr>
          <w:rFonts w:ascii="Times New Roman" w:eastAsia="Times New Roman" w:hAnsi="Times New Roman" w:cs="Times New Roman"/>
        </w:rPr>
      </w:pPr>
      <w:r>
        <w:rPr>
          <w:rFonts w:ascii="楷体" w:eastAsia="楷体" w:hAnsi="楷体" w:cs="楷体"/>
          <w:b/>
          <w:bCs/>
          <w:sz w:val="28"/>
          <w:szCs w:val="28"/>
        </w:rPr>
        <w:t>（二）具体要求</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1.验收场所的准备</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应当在固定的场所进行验收，采购人定期清扫消毒，保持清洁，保证无积尘、无食品残渣，无霉斑、鼠迹、苍蝇、蟑螂，验收场所不准存放有毒、有害物品及个人生活用品。</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2.验收小组按订单对采购货物的品种、质量、数量进行检查验收，对货不对版、质量不好、价格明显过于偏高的食材不予验收且有权拒收，对于数量不足的食材，按照实际数量入账，填制验收记录和验收单。</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3.验收流程</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1）投标人应在验收时提供与送货内容一致的送货单，并加盖公章。</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2）卸货前的检查。验收人员卸货前应对货物的外观质量进行初步了解。</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3）采取当场验收的方式，验收人认真检查货物，按核对品种→索证→抽查(检测）→数量、重量、质量、价格验收→签名确认→入库的程序完成验收。</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要求投标人提供产品质量检测报告及卫生合格报告书，肉类产品应提供当地卫生部门开具的动物检验检疫合格票、产品检疫合格证，证明内容与产品内容要一致。投标人以提供原件为主，不能留原件的提供复印件。</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4）发现食品安全质量问题的处理：</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抽查时发现食品质量不过关或影响食用安全的，对当日所送同批次产品全部退货。</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若抽查未发现问题，按储藏要求储藏后在加工食用前发现产品质量问题的，投标人必须退货或更换。</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4.退（补）货流程</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w:t>
      </w:r>
      <w:r>
        <w:rPr>
          <w:rFonts w:ascii="仿宋_GB2312" w:eastAsia="仿宋_GB2312" w:hAnsi="仿宋_GB2312" w:cs="仿宋_GB2312"/>
          <w:sz w:val="28"/>
          <w:szCs w:val="28"/>
        </w:rPr>
        <w:t>1小时内补送订单品种。</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5. 包装带箱、筐的食材按照去除箱、筐后的重量计算。投标人需配合采购人库管人员进行倒筐称重，共同签字确认。</w:t>
      </w:r>
    </w:p>
    <w:p>
      <w:pPr>
        <w:pStyle w:val="16"/>
        <w:spacing w:before="0" w:after="0" w:line="360" w:lineRule="auto"/>
        <w:ind w:firstLine="642"/>
        <w:jc w:val="both"/>
        <w:rPr>
          <w:rFonts w:ascii="Times New Roman" w:eastAsia="Times New Roman" w:hAnsi="Times New Roman" w:cs="Times New Roman"/>
        </w:rPr>
      </w:pPr>
      <w:r>
        <w:rPr>
          <w:rFonts w:ascii="楷体" w:eastAsia="楷体" w:hAnsi="楷体" w:cs="楷体"/>
          <w:b/>
          <w:bCs/>
          <w:sz w:val="28"/>
          <w:szCs w:val="28"/>
        </w:rPr>
        <w:t>（三）货物验收方案。</w:t>
      </w:r>
    </w:p>
    <w:p>
      <w:pPr>
        <w:pStyle w:val="17"/>
        <w:spacing w:before="0" w:after="0" w:line="360" w:lineRule="auto"/>
        <w:ind w:left="0" w:firstLine="640"/>
        <w:jc w:val="both"/>
        <w:rPr>
          <w:rFonts w:ascii="Times New Roman" w:eastAsia="Times New Roman" w:hAnsi="Times New Roman" w:cs="Times New Roman"/>
        </w:rPr>
      </w:pPr>
      <w:r>
        <w:rPr>
          <w:rFonts w:ascii="Times New Roman" w:eastAsia="Times New Roman" w:hAnsi="Times New Roman" w:cs="Times New Roman"/>
        </w:rPr>
        <w:t> </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投标人必须按照本项目需求书要求详细阐述货物验收方案。对规定各项验收指标提出明确的验收前提条件和验收依据及标准，列明需要移交和交付的各类检验报告和证明证书。对验收中可能发现的问题，投标人应提出有效解决办法和补救措施。</w:t>
      </w:r>
    </w:p>
    <w:p>
      <w:pPr>
        <w:pStyle w:val="Heading1"/>
        <w:keepNext w:val="0"/>
        <w:spacing w:before="0" w:after="0" w:line="360" w:lineRule="auto"/>
        <w:jc w:val="center"/>
        <w:rPr>
          <w:rFonts w:ascii="仿宋_GB2312" w:eastAsia="仿宋_GB2312" w:hAnsi="仿宋_GB2312" w:cs="仿宋_GB2312"/>
          <w:b/>
          <w:bCs/>
          <w:sz w:val="32"/>
          <w:szCs w:val="32"/>
        </w:rPr>
      </w:pPr>
      <w:bookmarkStart w:id="35" w:name="_Toc256000032"/>
      <w:r>
        <w:rPr>
          <w:rFonts w:ascii="仿宋_GB2312" w:eastAsia="仿宋_GB2312" w:hAnsi="仿宋_GB2312" w:cs="仿宋_GB2312"/>
          <w:kern w:val="36"/>
        </w:rPr>
        <w:t>8其他要求</w:t>
      </w:r>
      <w:bookmarkEnd w:id="35"/>
    </w:p>
    <w:p>
      <w:pPr>
        <w:pStyle w:val="Heading2"/>
        <w:keepNext w:val="0"/>
        <w:spacing w:before="0" w:after="0" w:line="360" w:lineRule="auto"/>
        <w:rPr>
          <w:rFonts w:ascii="仿宋_GB2312" w:eastAsia="仿宋_GB2312" w:hAnsi="仿宋_GB2312" w:cs="仿宋_GB2312"/>
          <w:b/>
          <w:bCs/>
          <w:sz w:val="28"/>
          <w:szCs w:val="28"/>
        </w:rPr>
      </w:pPr>
      <w:bookmarkStart w:id="36" w:name="_Toc256000033"/>
      <w:r>
        <w:rPr>
          <w:rFonts w:ascii="仿宋_GB2312" w:eastAsia="仿宋_GB2312" w:hAnsi="仿宋_GB2312" w:cs="仿宋_GB2312"/>
          <w:i w:val="0"/>
          <w:iCs w:val="0"/>
        </w:rPr>
        <w:t>8.1必备要求</w:t>
      </w:r>
      <w:bookmarkEnd w:id="36"/>
    </w:p>
    <w:p>
      <w:pPr>
        <w:pStyle w:val="Heading3"/>
        <w:keepNext w:val="0"/>
        <w:spacing w:before="0" w:after="0" w:line="360" w:lineRule="auto"/>
        <w:rPr>
          <w:rFonts w:ascii="仿宋_GB2312" w:eastAsia="仿宋_GB2312" w:hAnsi="仿宋_GB2312" w:cs="仿宋_GB2312"/>
          <w:b/>
          <w:bCs/>
          <w:sz w:val="28"/>
          <w:szCs w:val="28"/>
        </w:rPr>
      </w:pPr>
      <w:bookmarkStart w:id="37" w:name="_Toc256000034"/>
      <w:r>
        <w:rPr>
          <w:rFonts w:ascii="仿宋_GB2312" w:eastAsia="仿宋_GB2312" w:hAnsi="仿宋_GB2312" w:cs="仿宋_GB2312"/>
          <w:sz w:val="28"/>
          <w:szCs w:val="28"/>
        </w:rPr>
        <w:t>8.1.1通用必备要求</w:t>
      </w:r>
      <w:bookmarkEnd w:id="37"/>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16"/>
        <w:spacing w:before="0" w:after="0" w:line="360" w:lineRule="auto"/>
        <w:ind w:firstLine="642"/>
        <w:jc w:val="both"/>
        <w:rPr>
          <w:rFonts w:ascii="Times New Roman" w:eastAsia="Times New Roman" w:hAnsi="Times New Roman" w:cs="Times New Roman"/>
        </w:rPr>
      </w:pPr>
      <w:r>
        <w:rPr>
          <w:rFonts w:ascii="楷体" w:eastAsia="楷体" w:hAnsi="楷体" w:cs="楷体"/>
          <w:b/>
          <w:bCs/>
          <w:sz w:val="28"/>
          <w:szCs w:val="28"/>
        </w:rPr>
        <w:t>（一）定价方式</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1、本项目以结算率</w:t>
      </w:r>
      <w:r>
        <w:rPr>
          <w:rFonts w:ascii="仿宋_GB2312" w:eastAsia="仿宋_GB2312" w:hAnsi="仿宋_GB2312" w:cs="仿宋_GB2312"/>
          <w:sz w:val="28"/>
          <w:szCs w:val="28"/>
        </w:rPr>
        <w:t>(以百分数表示，小数点后保留两位)进行报价，采购人不接受任何其他方式的报价。供应商的报价是供应商响应本项目要求的全部工作内容的价格体现，包括供应商完成本项目所需支出的一切成本和费用(包括但不限于人工劳务、货物成本、运输成本、仓储成本、搬运费、二次搬运费、抽样检测费、风险、保险、售后服务、招标代理服务费、税金等)、获得的合法合理利润及其投标文件中所给与的一切附加服务，供应商须认真阅读招标文件，根据本项目所需提供的货物清单、相关服务要求、质量要求、商务要求及其他要求等的内容，结合供应商自身实际情况和项目执行过程中可能遇到的各类因素，科学测算成本，理性报价，中标后全部费用均包含在其中标报价中，供应商不得以遗漏报价等任何理由要求另行增加费用，同时由于供应商的原因造成报价低于成本价的，其责任由供应商自行承担。</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2、本项目投标人在报价时均应按结算率</w:t>
      </w:r>
      <w:r>
        <w:rPr>
          <w:rFonts w:ascii="仿宋_GB2312" w:eastAsia="仿宋_GB2312" w:hAnsi="仿宋_GB2312" w:cs="仿宋_GB2312"/>
          <w:sz w:val="28"/>
          <w:szCs w:val="28"/>
        </w:rPr>
        <w:t>(以百分数表示，小数点后保留两位)进行报价，在实际结算时采购人将按中标人报价时所报的结算率及不同产品固定的价格调整系数进行结算，即：实际结算价格＝市场询价价格×该类产品的固定价格调整系数×结算率(例如：中标人在报价时所报牛羊肉的结算率为80%，市场询价价格为100元/kg，牛羊肉的固定价格调整系数为0.98，则实际结算价格为：100元/kg×0.98×80%＝78.4元/kg)。牛羊肉固定价格调整系数0.98，其他产品固定价格调整系数0.95。供应商的报价(结算率)不得小于等于0(表示免费提供)或大于100%，否则将按无效投标处理。市场平均价格是以每月月底采购人在“白城市商务信息中心公众号”—“吉林省白城市生活必需品监测系统数据”中每周公布的商品平均价格作为采购基准价。</w:t>
      </w:r>
      <w:r>
        <w:rPr>
          <w:rFonts w:ascii="仿宋_GB2312" w:eastAsia="仿宋_GB2312" w:hAnsi="仿宋_GB2312" w:cs="仿宋_GB2312"/>
          <w:sz w:val="28"/>
          <w:szCs w:val="28"/>
        </w:rPr>
        <w:t>白城市商务信息中心公众号</w:t>
      </w:r>
      <w:r>
        <w:rPr>
          <w:rFonts w:ascii="仿宋_GB2312" w:eastAsia="仿宋_GB2312" w:hAnsi="仿宋_GB2312" w:cs="仿宋_GB2312"/>
          <w:sz w:val="28"/>
          <w:szCs w:val="28"/>
        </w:rPr>
        <w:t>内公布的“</w:t>
      </w:r>
      <w:r>
        <w:rPr>
          <w:rFonts w:ascii="仿宋_GB2312" w:eastAsia="仿宋_GB2312" w:hAnsi="仿宋_GB2312" w:cs="仿宋_GB2312"/>
          <w:sz w:val="28"/>
          <w:szCs w:val="28"/>
        </w:rPr>
        <w:t>吉林省白城市生活必需品监测系统数据</w:t>
      </w:r>
      <w:r>
        <w:rPr>
          <w:rFonts w:ascii="仿宋_GB2312" w:eastAsia="仿宋_GB2312" w:hAnsi="仿宋_GB2312" w:cs="仿宋_GB2312"/>
          <w:sz w:val="28"/>
          <w:szCs w:val="28"/>
        </w:rPr>
        <w:t>”中无法询价的商品，由采购人依次参照“欧亚到家小程序（吉林省长春市卫星路店）”、采购人所在地周边大型连锁超市、农贸市场或品牌连锁店进行询价。如依据“欧亚到家小程序（吉林省长春市卫星路店）”、采购人所在地周边大型连锁超市、农贸市场或品牌连锁店价格作为参照，牛羊肉固定价格调整系数0.96，其他产品固定价格调整系数0.93。报价(结算率)在合同履行过程中是固定不变的，任何可调整的报价(结算率)将不予接受，并按无效投标处理。“开标一览表”以包为单位填写，投标文件中也应当提供，如有遗漏，将视为无效投标。供应商应当按照招标文件要求进行报价，否则将被作为无效投标处理。供应食材价格总额由采购人在不超过项目预算的前提下核定。本合同执行期间合同总价不变，采购人无须另向中标人支付合同规定之外的其他任何费用。</w:t>
      </w:r>
    </w:p>
    <w:p>
      <w:pPr>
        <w:pStyle w:val="16"/>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3、 如遇某品目食材市场价格在一个价格周期内出现剧烈波动超过</w:t>
      </w:r>
      <w:r>
        <w:rPr>
          <w:rFonts w:ascii="仿宋_GB2312" w:eastAsia="仿宋_GB2312" w:hAnsi="仿宋_GB2312" w:cs="仿宋_GB2312"/>
          <w:sz w:val="28"/>
          <w:szCs w:val="28"/>
        </w:rPr>
        <w:t>5%以上的，中标供应商应主动向采购人提交申请，经双方友好协商，该食材的结算价格在该价格周期可做调整。</w:t>
      </w:r>
    </w:p>
    <w:p>
      <w:pPr>
        <w:pStyle w:val="16"/>
        <w:spacing w:before="0" w:after="0" w:line="360" w:lineRule="auto"/>
        <w:ind w:firstLine="642"/>
        <w:jc w:val="both"/>
        <w:rPr>
          <w:rFonts w:ascii="Times New Roman" w:eastAsia="Times New Roman" w:hAnsi="Times New Roman" w:cs="Times New Roman"/>
        </w:rPr>
      </w:pPr>
      <w:r>
        <w:rPr>
          <w:rFonts w:ascii="楷体" w:eastAsia="楷体" w:hAnsi="楷体" w:cs="楷体"/>
          <w:b/>
          <w:bCs/>
          <w:sz w:val="28"/>
          <w:szCs w:val="28"/>
        </w:rPr>
        <w:t>（二）付款安排</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1.核对货款</w:t>
      </w:r>
    </w:p>
    <w:p>
      <w:pPr>
        <w:pStyle w:val="21"/>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每月</w:t>
      </w:r>
      <w:r>
        <w:rPr>
          <w:rFonts w:ascii="仿宋_GB2312" w:eastAsia="仿宋_GB2312" w:hAnsi="仿宋_GB2312" w:cs="仿宋_GB2312"/>
          <w:sz w:val="28"/>
          <w:szCs w:val="28"/>
        </w:rPr>
        <w:t>5日前中标供应商按照原始验收单据主动与采购人核对上一个月的货款。</w:t>
      </w:r>
    </w:p>
    <w:p>
      <w:pPr>
        <w:pStyle w:val="18"/>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2.付款方式</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双方核对账目无误后，中标供应商于每月</w:t>
      </w:r>
      <w:r>
        <w:rPr>
          <w:rFonts w:ascii="仿宋_GB2312" w:eastAsia="仿宋_GB2312" w:hAnsi="仿宋_GB2312" w:cs="仿宋_GB2312"/>
          <w:sz w:val="28"/>
          <w:szCs w:val="28"/>
        </w:rPr>
        <w:t>10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p>
      <w:pPr>
        <w:pStyle w:val="Heading2"/>
        <w:keepNext w:val="0"/>
        <w:spacing w:before="0" w:after="0" w:line="360" w:lineRule="auto"/>
        <w:rPr>
          <w:rFonts w:ascii="仿宋_GB2312" w:eastAsia="仿宋_GB2312" w:hAnsi="仿宋_GB2312" w:cs="仿宋_GB2312"/>
          <w:b/>
          <w:bCs/>
          <w:sz w:val="28"/>
          <w:szCs w:val="28"/>
        </w:rPr>
      </w:pPr>
      <w:bookmarkStart w:id="38" w:name="_Toc256000035"/>
      <w:r>
        <w:rPr>
          <w:rFonts w:ascii="仿宋_GB2312" w:eastAsia="仿宋_GB2312" w:hAnsi="仿宋_GB2312" w:cs="仿宋_GB2312"/>
          <w:i w:val="0"/>
          <w:iCs w:val="0"/>
        </w:rPr>
        <w:t>8.2付款安排建议</w:t>
      </w:r>
      <w:bookmarkEnd w:id="38"/>
    </w:p>
    <w:tbl>
      <w:tblPr>
        <w:tblW w:w="5000" w:type="pct"/>
        <w:tblInd w:w="30" w:type="dxa"/>
        <w:tblCellMar>
          <w:top w:w="15" w:type="dxa"/>
          <w:left w:w="15" w:type="dxa"/>
          <w:bottom w:w="15" w:type="dxa"/>
          <w:right w:w="15" w:type="dxa"/>
        </w:tblCellMar>
      </w:tblPr>
      <w:tblGrid>
        <w:gridCol w:w="1866"/>
        <w:gridCol w:w="5598"/>
        <w:gridCol w:w="1866"/>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第3次付款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第4次付款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第5次付款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第6次付款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第7次付款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第8次付款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第9次付款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第10次付款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按照合同约定，验收合格后支付相应款项。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8.37</w:t>
            </w:r>
          </w:p>
        </w:tc>
      </w:tr>
    </w:tbl>
    <w:p>
      <w:pPr>
        <w:pStyle w:val="Heading2"/>
        <w:keepNext w:val="0"/>
        <w:spacing w:before="0" w:after="0" w:line="360" w:lineRule="auto"/>
        <w:rPr>
          <w:rFonts w:ascii="仿宋_GB2312" w:eastAsia="仿宋_GB2312" w:hAnsi="仿宋_GB2312" w:cs="仿宋_GB2312"/>
          <w:b/>
          <w:bCs/>
          <w:sz w:val="28"/>
          <w:szCs w:val="28"/>
        </w:rPr>
      </w:pPr>
      <w:bookmarkStart w:id="39" w:name="_Toc256000036"/>
      <w:r>
        <w:rPr>
          <w:rFonts w:ascii="仿宋_GB2312" w:eastAsia="仿宋_GB2312" w:hAnsi="仿宋_GB2312" w:cs="仿宋_GB2312"/>
          <w:i w:val="0"/>
          <w:iCs w:val="0"/>
        </w:rPr>
        <w:t>8.3其他要求</w:t>
      </w:r>
      <w:bookmarkEnd w:id="39"/>
    </w:p>
    <w:p>
      <w:pPr>
        <w:pStyle w:val="Heading3"/>
        <w:keepNext w:val="0"/>
        <w:spacing w:before="0" w:after="0" w:line="360" w:lineRule="auto"/>
        <w:rPr>
          <w:rFonts w:ascii="仿宋_GB2312" w:eastAsia="仿宋_GB2312" w:hAnsi="仿宋_GB2312" w:cs="仿宋_GB2312"/>
          <w:b/>
          <w:bCs/>
          <w:sz w:val="28"/>
          <w:szCs w:val="28"/>
        </w:rPr>
      </w:pPr>
      <w:bookmarkStart w:id="40" w:name="_Toc256000037"/>
      <w:r>
        <w:rPr>
          <w:rFonts w:ascii="仿宋_GB2312" w:eastAsia="仿宋_GB2312" w:hAnsi="仿宋_GB2312" w:cs="仿宋_GB2312"/>
          <w:sz w:val="28"/>
          <w:szCs w:val="28"/>
        </w:rPr>
        <w:t>8.3.1保密要求</w:t>
      </w:r>
      <w:bookmarkEnd w:id="40"/>
    </w:p>
    <w:p>
      <w:pPr>
        <w:pStyle w:val="15"/>
        <w:spacing w:before="0" w:after="0" w:line="360" w:lineRule="auto"/>
        <w:rPr>
          <w:rFonts w:ascii="Times New Roman" w:eastAsia="Times New Roman" w:hAnsi="Times New Roman" w:cs="Times New Roman"/>
        </w:rPr>
      </w:pPr>
      <w:r>
        <w:rPr>
          <w:rFonts w:ascii="FangSong_GB2312" w:eastAsia="FangSong_GB2312" w:hAnsi="FangSong_GB2312" w:cs="FangSong_GB2312"/>
          <w:sz w:val="28"/>
          <w:szCs w:val="28"/>
        </w:rPr>
        <w:t>    履行食品采购相关保密要求。</w:t>
      </w:r>
    </w:p>
    <w:p>
      <w:pPr>
        <w:spacing w:before="0" w:after="0" w:line="360" w:lineRule="auto"/>
        <w:ind w:firstLine="561"/>
        <w:rPr>
          <w:rFonts w:ascii="仿宋_GB2312" w:eastAsia="仿宋_GB2312" w:hAnsi="仿宋_GB2312" w:cs="仿宋_GB2312"/>
          <w:sz w:val="28"/>
          <w:szCs w:val="28"/>
        </w:rPr>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7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spacing w:before="0" w:after="0" w:line="360" w:lineRule="auto"/>
      <w:jc w:val="center"/>
    </w:pPr>
    <w:r>
      <w:fldChar w:fldCharType="begin"/>
    </w:r>
    <w:r>
      <w:instrText xml:space="preserve"> PAGE </w:instrText>
    </w:r>
    <w:r>
      <w:fldChar w:fldCharType="separate"/>
    </w:r>
    <w:r>
      <w:t>18</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20"/>
  <w:noPunctuationKerning/>
  <w:characterSpacingControl w:val="doNotCompres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77B3E"/>
    <w:rsid w:val="00A77B3E"/>
    <w:rsid w:val="00CA2A55"/>
  </w:rsids>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rsid w:val="00EF7B96"/>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EF7B96"/>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EF7B96"/>
    <w:pPr>
      <w:keepNext/>
      <w:spacing w:before="240" w:after="60"/>
      <w:outlineLvl w:val="2"/>
    </w:pPr>
    <w:rPr>
      <w:rFonts w:ascii="Arial" w:hAnsi="Arial" w:cs="Arial"/>
      <w:b/>
      <w:bCs/>
      <w:sz w:val="26"/>
      <w:szCs w:val="26"/>
    </w:rPr>
  </w:style>
  <w:style w:type="paragraph" w:styleId="Heading4">
    <w:name w:val="heading 4"/>
    <w:basedOn w:val="Normal"/>
    <w:next w:val="Normal"/>
    <w:qFormat/>
    <w:rsid w:val="00EF7B96"/>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18">
    <w:name w:val="18"/>
    <w:basedOn w:val="Normal"/>
  </w:style>
  <w:style w:type="paragraph" w:customStyle="1" w:styleId="MsoNormal">
    <w:name w:val="MsoNormal"/>
    <w:basedOn w:val="Normal"/>
  </w:style>
  <w:style w:type="paragraph" w:customStyle="1" w:styleId="17">
    <w:name w:val="17"/>
    <w:basedOn w:val="Normal"/>
  </w:style>
  <w:style w:type="paragraph" w:customStyle="1" w:styleId="19">
    <w:name w:val="19"/>
    <w:basedOn w:val="Normal"/>
  </w:style>
  <w:style w:type="paragraph" w:customStyle="1" w:styleId="16">
    <w:name w:val="16"/>
    <w:basedOn w:val="Normal"/>
  </w:style>
  <w:style w:type="paragraph" w:customStyle="1" w:styleId="21">
    <w:name w:val="21"/>
    <w:basedOn w:val="Normal"/>
  </w:style>
  <w:style w:type="paragraph" w:customStyle="1" w:styleId="20">
    <w:name w:val="20"/>
    <w:basedOn w:val="Normal"/>
  </w:style>
  <w:style w:type="paragraph" w:customStyle="1" w:styleId="15">
    <w:name w:val="15"/>
    <w:basedOn w:val="Normal"/>
  </w:style>
  <w:style w:type="paragraph" w:styleId="TOC1">
    <w:name w:val="toc 1"/>
    <w:basedOn w:val="Normal"/>
    <w:next w:val="Normal"/>
    <w:autoRedefine/>
    <w:rsid w:val="00805BCE"/>
  </w:style>
  <w:style w:type="character" w:styleId="Hyperlink">
    <w:name w:val="Hyperlink"/>
    <w:basedOn w:val="DefaultParagraphFont"/>
    <w:rsid w:val="00EF7B96"/>
    <w:rPr>
      <w:color w:val="0000FF"/>
      <w:u w:val="single"/>
    </w:rPr>
  </w:style>
  <w:style w:type="paragraph" w:styleId="TOC2">
    <w:name w:val="toc 2"/>
    <w:basedOn w:val="Normal"/>
    <w:next w:val="Normal"/>
    <w:autoRedefine/>
    <w:rsid w:val="00805BCE"/>
    <w:pPr>
      <w:ind w:left="240"/>
    </w:pPr>
  </w:style>
  <w:style w:type="paragraph" w:styleId="TOC3">
    <w:name w:val="toc 3"/>
    <w:basedOn w:val="Normal"/>
    <w:next w:val="Normal"/>
    <w:autoRedefine/>
    <w:rsid w:val="00805BCE"/>
    <w:pPr>
      <w:ind w:left="48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TotalTime>0</TotalTime>
  <Pages>18</Pages>
  <Words>0</Words>
  <Characters>0</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cp:coreProperties>
</file>