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Java 21.6.0 -->
  <w:body>
    <w:p w:rsidR="00BD6A54" w14:paraId="51C321CE" w14:textId="77777777">
      <w:pPr>
        <w:jc w:val="left"/>
        <w:rPr>
          <w:rFonts w:hAnsi="SimSun"/>
          <w:b/>
          <w:sz w:val="96"/>
          <w:szCs w:val="96"/>
        </w:rPr>
      </w:pPr>
    </w:p>
    <w:p w:rsidR="00BD6A54" w14:paraId="45F4BCF1" w14:textId="77777777">
      <w:pPr>
        <w:topLinePunct/>
        <w:autoSpaceDE w:val="0"/>
        <w:autoSpaceDN w:val="0"/>
        <w:jc w:val="center"/>
        <w:rPr>
          <w:rFonts w:hAnsi="SimSun"/>
          <w:b/>
          <w:sz w:val="96"/>
          <w:szCs w:val="96"/>
        </w:rPr>
      </w:pPr>
      <w:r>
        <w:rPr>
          <w:rFonts w:hAnsi="SimSun" w:hint="eastAsia"/>
          <w:b/>
          <w:sz w:val="96"/>
          <w:szCs w:val="96"/>
        </w:rPr>
        <w:t>招</w:t>
      </w:r>
      <w:r>
        <w:rPr>
          <w:rFonts w:hAnsi="SimSun" w:hint="eastAsia"/>
          <w:b/>
          <w:sz w:val="96"/>
          <w:szCs w:val="96"/>
        </w:rPr>
        <w:t xml:space="preserve"> </w:t>
      </w:r>
      <w:r>
        <w:rPr>
          <w:rFonts w:hAnsi="SimSun" w:hint="eastAsia"/>
          <w:b/>
          <w:sz w:val="96"/>
          <w:szCs w:val="96"/>
        </w:rPr>
        <w:t>标</w:t>
      </w:r>
      <w:r>
        <w:rPr>
          <w:rFonts w:hAnsi="SimSun" w:hint="eastAsia"/>
          <w:b/>
          <w:sz w:val="96"/>
          <w:szCs w:val="96"/>
        </w:rPr>
        <w:t xml:space="preserve"> </w:t>
      </w:r>
      <w:r>
        <w:rPr>
          <w:rFonts w:hAnsi="SimSun" w:hint="eastAsia"/>
          <w:b/>
          <w:sz w:val="96"/>
          <w:szCs w:val="96"/>
        </w:rPr>
        <w:t>文</w:t>
      </w:r>
      <w:r>
        <w:rPr>
          <w:rFonts w:hAnsi="SimSun" w:hint="eastAsia"/>
          <w:b/>
          <w:sz w:val="96"/>
          <w:szCs w:val="96"/>
        </w:rPr>
        <w:t xml:space="preserve"> </w:t>
      </w:r>
      <w:r>
        <w:rPr>
          <w:rFonts w:hAnsi="SimSun" w:hint="eastAsia"/>
          <w:b/>
          <w:sz w:val="96"/>
          <w:szCs w:val="96"/>
        </w:rPr>
        <w:t>件</w:t>
      </w:r>
    </w:p>
    <w:p w:rsidR="00BD6A54" w14:paraId="590152F9" w14:textId="77777777">
      <w:pPr>
        <w:topLinePunct/>
        <w:autoSpaceDE w:val="0"/>
        <w:autoSpaceDN w:val="0"/>
        <w:spacing w:line="60" w:lineRule="exact"/>
        <w:jc w:val="center"/>
        <w:rPr>
          <w:rFonts w:hAnsi="SimSun"/>
          <w:sz w:val="96"/>
          <w:szCs w:val="96"/>
        </w:rPr>
      </w:pPr>
    </w:p>
    <w:p w:rsidR="00BD6A54" w14:paraId="22D90A1A" w14:textId="77777777">
      <w:pPr>
        <w:topLinePunct/>
        <w:autoSpaceDE w:val="0"/>
        <w:autoSpaceDN w:val="0"/>
        <w:snapToGrid w:val="0"/>
        <w:jc w:val="center"/>
        <w:rPr>
          <w:rFonts w:ascii="SimSun" w:hAnsi="SimSun"/>
          <w:sz w:val="96"/>
          <w:szCs w:val="96"/>
        </w:rPr>
      </w:pPr>
      <w:r>
        <w:rPr>
          <w:rFonts w:hAnsi="SimSun" w:hint="eastAsia"/>
          <w:b/>
          <w:sz w:val="56"/>
          <w:szCs w:val="56"/>
        </w:rPr>
        <w:t>（技术部分）</w:t>
      </w:r>
    </w:p>
    <w:p w:rsidR="00BD6A54" w14:paraId="7B6553A5"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7946D6BA" w14:textId="77777777">
      <w:pPr>
        <w:topLinePunct/>
        <w:autoSpaceDE w:val="0"/>
        <w:autoSpaceDN w:val="0"/>
        <w:snapToGrid w:val="0"/>
        <w:spacing w:line="360" w:lineRule="auto"/>
        <w:ind w:left="1401" w:hanging="280" w:leftChars="534" w:hangingChars="100"/>
        <w:rPr>
          <w:rFonts w:ascii="SimSun"/>
          <w:b/>
          <w:bCs/>
          <w:sz w:val="28"/>
          <w:szCs w:val="28"/>
        </w:rPr>
      </w:pPr>
    </w:p>
    <w:p w:rsidR="00BD6A54" w14:paraId="2DA88C17" w14:textId="6E0FC461">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项目名称：</w:t>
      </w:r>
      <w:bookmarkStart w:id="0" w:name="项目名称_fa_planName"/>
      <w:r w:rsidRPr="00381FED" w:rsidR="00381FED">
        <w:rPr>
          <w:rFonts w:ascii="SimSun" w:hint="eastAsia"/>
          <w:b/>
          <w:bCs/>
          <w:sz w:val="28"/>
          <w:szCs w:val="28"/>
        </w:rPr>
        <w:t>国家税务总局吉林省税务局2025年南湖大路办公区主楼及东区无线覆盖采购项目(第二次））</w:t>
      </w:r>
      <w:bookmarkEnd w:id="0"/>
    </w:p>
    <w:p w:rsidR="00BD6A54" w14:paraId="36132533" w14:textId="40A2B885">
      <w:pPr>
        <w:topLinePunct/>
        <w:autoSpaceDE w:val="0"/>
        <w:autoSpaceDN w:val="0"/>
        <w:snapToGrid w:val="0"/>
        <w:spacing w:line="360" w:lineRule="auto"/>
        <w:ind w:left="1401" w:hanging="280" w:leftChars="534" w:hangingChars="100"/>
        <w:rPr>
          <w:rFonts w:ascii="SimSun"/>
          <w:b/>
          <w:bCs/>
          <w:sz w:val="28"/>
          <w:szCs w:val="28"/>
        </w:rPr>
      </w:pPr>
      <w:r>
        <w:rPr>
          <w:rFonts w:ascii="SimSun" w:hint="eastAsia"/>
          <w:b/>
          <w:bCs/>
          <w:sz w:val="28"/>
          <w:szCs w:val="28"/>
        </w:rPr>
        <w:t>项目编号：</w:t>
      </w:r>
      <w:bookmarkStart w:id="1" w:name="项目编号_fa_planNo"/>
      <w:r w:rsidRPr="00381FED" w:rsidR="00381FED">
        <w:rPr>
          <w:rFonts w:ascii="SimSun" w:hint="eastAsia"/>
          <w:b/>
          <w:bCs/>
          <w:sz w:val="28"/>
          <w:szCs w:val="28"/>
        </w:rPr>
        <w:t>JL2025-ZXGK-A0077-B00</w:t>
      </w:r>
      <w:bookmarkEnd w:id="1"/>
    </w:p>
    <w:p w:rsidR="00BD6A54" w14:paraId="1786DD03" w14:textId="77777777">
      <w:pPr>
        <w:topLinePunct/>
        <w:autoSpaceDE w:val="0"/>
        <w:autoSpaceDN w:val="0"/>
        <w:snapToGrid w:val="0"/>
        <w:spacing w:line="360" w:lineRule="auto"/>
        <w:ind w:firstLine="1120" w:firstLineChars="400"/>
        <w:rPr>
          <w:rFonts w:ascii="SimSun"/>
          <w:b/>
          <w:bCs/>
          <w:sz w:val="28"/>
          <w:szCs w:val="28"/>
        </w:rPr>
      </w:pPr>
    </w:p>
    <w:p w:rsidR="00BD6A54" w14:paraId="2BD97A82" w14:textId="77777777">
      <w:pPr>
        <w:topLinePunct/>
        <w:autoSpaceDE w:val="0"/>
        <w:autoSpaceDN w:val="0"/>
        <w:snapToGrid w:val="0"/>
        <w:spacing w:line="360" w:lineRule="auto"/>
        <w:rPr>
          <w:rFonts w:ascii="SimSun"/>
          <w:b/>
          <w:bCs/>
          <w:sz w:val="28"/>
          <w:szCs w:val="28"/>
        </w:rPr>
      </w:pPr>
    </w:p>
    <w:p w:rsidR="00BD6A54" w14:paraId="513D8C77" w14:textId="77777777">
      <w:pPr>
        <w:topLinePunct/>
        <w:autoSpaceDE w:val="0"/>
        <w:autoSpaceDN w:val="0"/>
        <w:spacing w:line="460" w:lineRule="exact"/>
        <w:rPr>
          <w:rFonts w:ascii="SimHei" w:eastAsia="SimHei"/>
          <w:b/>
          <w:sz w:val="52"/>
        </w:rPr>
      </w:pPr>
    </w:p>
    <w:p w:rsidR="00BD6A54" w14:paraId="414296C2" w14:textId="77777777">
      <w:pPr>
        <w:topLinePunct/>
        <w:autoSpaceDE w:val="0"/>
        <w:autoSpaceDN w:val="0"/>
        <w:spacing w:line="460" w:lineRule="exact"/>
        <w:rPr>
          <w:rFonts w:ascii="SimHei" w:eastAsia="SimHei"/>
          <w:b/>
          <w:sz w:val="36"/>
          <w:szCs w:val="36"/>
        </w:rPr>
      </w:pPr>
    </w:p>
    <w:p w:rsidR="00BD6A54" w14:paraId="329E6F0A" w14:textId="77777777">
      <w:pPr>
        <w:topLinePunct/>
        <w:autoSpaceDE w:val="0"/>
        <w:autoSpaceDN w:val="0"/>
        <w:spacing w:line="460" w:lineRule="exact"/>
        <w:rPr>
          <w:rFonts w:ascii="SimHei" w:eastAsia="SimHei"/>
          <w:b/>
          <w:sz w:val="36"/>
          <w:szCs w:val="36"/>
        </w:rPr>
      </w:pPr>
    </w:p>
    <w:p w:rsidR="00BD6A54" w14:paraId="03168EF4" w14:textId="77777777">
      <w:pPr>
        <w:topLinePunct/>
        <w:autoSpaceDE w:val="0"/>
        <w:autoSpaceDN w:val="0"/>
        <w:spacing w:line="460" w:lineRule="exact"/>
        <w:jc w:val="center"/>
        <w:rPr>
          <w:rFonts w:ascii="SimHei" w:eastAsia="SimHei"/>
          <w:sz w:val="36"/>
          <w:szCs w:val="36"/>
        </w:rPr>
      </w:pPr>
    </w:p>
    <w:p w:rsidR="00BD6A54" w14:paraId="1376E296" w14:textId="77777777">
      <w:pPr>
        <w:topLinePunct/>
        <w:autoSpaceDE w:val="0"/>
        <w:autoSpaceDN w:val="0"/>
        <w:spacing w:line="460" w:lineRule="exact"/>
        <w:jc w:val="center"/>
        <w:rPr>
          <w:rFonts w:ascii="SimHei" w:eastAsia="SimHei"/>
          <w:sz w:val="36"/>
          <w:szCs w:val="36"/>
        </w:rPr>
      </w:pPr>
    </w:p>
    <w:p w:rsidR="00BD6A54" w14:paraId="52DF53F5" w14:textId="77777777">
      <w:pPr>
        <w:topLinePunct/>
        <w:autoSpaceDE w:val="0"/>
        <w:autoSpaceDN w:val="0"/>
        <w:spacing w:line="460" w:lineRule="exact"/>
        <w:jc w:val="center"/>
        <w:rPr>
          <w:rFonts w:ascii="SimHei" w:eastAsia="SimHei"/>
          <w:sz w:val="36"/>
          <w:szCs w:val="36"/>
        </w:rPr>
      </w:pPr>
    </w:p>
    <w:p w:rsidR="00BD6A54" w14:paraId="5CA4C913" w14:textId="77777777">
      <w:pPr>
        <w:topLinePunct/>
        <w:autoSpaceDE w:val="0"/>
        <w:autoSpaceDN w:val="0"/>
        <w:spacing w:line="460" w:lineRule="exact"/>
        <w:jc w:val="center"/>
        <w:rPr>
          <w:rFonts w:ascii="SimHei" w:eastAsia="SimHei"/>
          <w:sz w:val="36"/>
          <w:szCs w:val="36"/>
        </w:rPr>
      </w:pPr>
      <w:bookmarkStart w:id="2" w:name="采购人名称_cgrmc"/>
      <w:r>
        <w:rPr>
          <w:rFonts w:ascii="SimHei" w:eastAsia="SimHei" w:hint="eastAsia"/>
          <w:sz w:val="36"/>
          <w:szCs w:val="36"/>
        </w:rPr>
        <w:t>国家税务总局吉林省税务局</w:t>
      </w:r>
      <w:bookmarkEnd w:id="2"/>
    </w:p>
    <w:p w:rsidR="00BD6A54" w14:paraId="244E8052" w14:textId="77777777">
      <w:pPr>
        <w:widowControl/>
        <w:topLinePunct/>
        <w:autoSpaceDE w:val="0"/>
        <w:autoSpaceDN w:val="0"/>
        <w:jc w:val="center"/>
        <w:rPr>
          <w:rFonts w:ascii="SimSun" w:hAnsi="SimSun" w:cs="SimSun"/>
        </w:rPr>
        <w:sectPr>
          <w:pgSz w:w="11906" w:h="16838"/>
          <w:pgMar w:top="1440" w:right="1508" w:bottom="1440" w:left="1588" w:header="851" w:footer="851" w:gutter="0"/>
          <w:cols w:space="720"/>
          <w:titlePg/>
          <w:docGrid w:type="lines" w:linePitch="312"/>
        </w:sectPr>
      </w:pPr>
      <w:bookmarkStart w:id="3" w:name="生成日期_currentDateTime_ymd"/>
      <w:r>
        <w:rPr>
          <w:rFonts w:ascii="SimHei" w:eastAsia="SimHei" w:hAnsi="Courier New" w:cs="Courier New" w:hint="eastAsia"/>
          <w:sz w:val="36"/>
          <w:szCs w:val="36"/>
        </w:rPr>
        <w:t>2025年10月</w:t>
      </w:r>
      <w:bookmarkEnd w:id="3"/>
    </w:p>
    <w:p w:rsidR="00A77B3E">
      <w:pPr>
        <w:pStyle w:val="Normal0"/>
        <w:spacing w:before="0" w:after="0" w:line="360" w:lineRule="auto"/>
        <w:jc w:val="center"/>
        <w:rPr>
          <w:rFonts w:ascii="SimSun" w:eastAsia="SimSun" w:hAnsi="SimSun" w:cs="SimSun"/>
          <w:sz w:val="32"/>
        </w:rPr>
      </w:pPr>
      <w:r>
        <w:rPr>
          <w:rFonts w:ascii="SimSun" w:eastAsia="SimSun" w:hAnsi="SimSun" w:cs="SimSun"/>
          <w:sz w:val="32"/>
        </w:rPr>
        <w:t>目 录</w:t>
      </w:r>
    </w:p>
    <w:p>
      <w:pPr>
        <w:pStyle w:val="TOC1"/>
        <w:tabs>
          <w:tab w:val="right" w:leader="dot" w:pos="9016"/>
        </w:tabs>
        <w:spacing w:before="0" w:after="0" w:line="360" w:lineRule="auto"/>
        <w:rPr>
          <w:rFonts w:asciiTheme="minorHAnsi" w:hAnsiTheme="minorHAnsi"/>
          <w:noProof/>
          <w:sz w:val="22"/>
        </w:rPr>
      </w:pPr>
      <w:r w:rsidR="00A77B3E">
        <w:rPr>
          <w:rFonts w:ascii="SimSun" w:eastAsia="SimSun" w:hAnsi="SimSun" w:cs="SimSun"/>
          <w:sz w:val="32"/>
        </w:rPr>
        <w:fldChar w:fldCharType="begin"/>
      </w:r>
      <w:r w:rsidR="00A77B3E">
        <w:rPr>
          <w:rFonts w:ascii="SimSun" w:eastAsia="SimSun" w:hAnsi="SimSun" w:cs="SimSun"/>
          <w:sz w:val="32"/>
        </w:rPr>
        <w:instrText>TOC \o "1-3" \h \z \u</w:instrText>
      </w:r>
      <w:r w:rsidR="00A77B3E">
        <w:rPr>
          <w:rFonts w:ascii="SimSun" w:eastAsia="SimSun" w:hAnsi="SimSun" w:cs="SimSun"/>
          <w:sz w:val="32"/>
        </w:rPr>
        <w:fldChar w:fldCharType="separate"/>
      </w:r>
      <w:hyperlink w:anchor="_Toc256000000" w:history="1">
        <w:r>
          <w:rPr>
            <w:rStyle w:val="Hyperlink"/>
            <w:rFonts w:ascii="仿宋_GB2312" w:eastAsia="仿宋_GB2312" w:hAnsi="仿宋_GB2312" w:cs="仿宋_GB2312"/>
            <w:kern w:val="36"/>
          </w:rPr>
          <w:t>1项目概述</w:t>
        </w:r>
        <w:r>
          <w:tab/>
        </w:r>
        <w:r>
          <w:fldChar w:fldCharType="begin"/>
        </w:r>
        <w:r>
          <w:instrText xml:space="preserve"> PAGEREF _Toc256000000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1" w:history="1">
        <w:r>
          <w:rPr>
            <w:rStyle w:val="Hyperlink"/>
            <w:rFonts w:ascii="仿宋_GB2312" w:eastAsia="仿宋_GB2312" w:hAnsi="仿宋_GB2312" w:cs="仿宋_GB2312"/>
          </w:rPr>
          <w:t>1.1项目背景</w:t>
        </w:r>
        <w:r>
          <w:tab/>
        </w:r>
        <w:r>
          <w:fldChar w:fldCharType="begin"/>
        </w:r>
        <w:r>
          <w:instrText xml:space="preserve"> PAGEREF _Toc256000001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2" w:history="1">
        <w:r>
          <w:rPr>
            <w:rStyle w:val="Hyperlink"/>
            <w:rFonts w:ascii="仿宋_GB2312" w:eastAsia="仿宋_GB2312" w:hAnsi="仿宋_GB2312" w:cs="仿宋_GB2312"/>
          </w:rPr>
          <w:t>1.1.1项目目的、意义及背景</w:t>
        </w:r>
        <w:r>
          <w:tab/>
        </w:r>
        <w:r>
          <w:fldChar w:fldCharType="begin"/>
        </w:r>
        <w:r>
          <w:instrText xml:space="preserve"> PAGEREF _Toc256000002 \h </w:instrText>
        </w:r>
        <w:r>
          <w:fldChar w:fldCharType="separate"/>
        </w:r>
        <w:r>
          <w:t>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3" w:history="1">
        <w:r>
          <w:rPr>
            <w:rStyle w:val="Hyperlink"/>
            <w:rFonts w:ascii="仿宋_GB2312" w:eastAsia="仿宋_GB2312" w:hAnsi="仿宋_GB2312" w:cs="仿宋_GB2312"/>
          </w:rPr>
          <w:t>1.2项目内容</w:t>
        </w:r>
        <w:r>
          <w:tab/>
        </w:r>
        <w:r>
          <w:fldChar w:fldCharType="begin"/>
        </w:r>
        <w:r>
          <w:instrText xml:space="preserve"> PAGEREF _Toc256000003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4" w:history="1">
        <w:r>
          <w:rPr>
            <w:rStyle w:val="Hyperlink"/>
            <w:rFonts w:ascii="仿宋_GB2312" w:eastAsia="仿宋_GB2312" w:hAnsi="仿宋_GB2312" w:cs="仿宋_GB2312"/>
          </w:rPr>
          <w:t>1.2.1项目建设思路</w:t>
        </w:r>
        <w:r>
          <w:tab/>
        </w:r>
        <w:r>
          <w:fldChar w:fldCharType="begin"/>
        </w:r>
        <w:r>
          <w:instrText xml:space="preserve"> PAGEREF _Toc256000004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5" w:history="1">
        <w:r>
          <w:rPr>
            <w:rStyle w:val="Hyperlink"/>
            <w:rFonts w:ascii="仿宋_GB2312" w:eastAsia="仿宋_GB2312" w:hAnsi="仿宋_GB2312" w:cs="仿宋_GB2312"/>
          </w:rPr>
          <w:t>1.2.2采购内容</w:t>
        </w:r>
        <w:r>
          <w:tab/>
        </w:r>
        <w:r>
          <w:fldChar w:fldCharType="begin"/>
        </w:r>
        <w:r>
          <w:instrText xml:space="preserve"> PAGEREF _Toc256000005 \h </w:instrText>
        </w:r>
        <w:r>
          <w:fldChar w:fldCharType="separate"/>
        </w:r>
        <w:r>
          <w:t>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6" w:history="1">
        <w:r>
          <w:rPr>
            <w:rStyle w:val="Hyperlink"/>
            <w:rFonts w:ascii="仿宋_GB2312" w:eastAsia="仿宋_GB2312" w:hAnsi="仿宋_GB2312" w:cs="仿宋_GB2312"/>
          </w:rPr>
          <w:t>1.2.3项目实施要求</w:t>
        </w:r>
        <w:r>
          <w:tab/>
        </w:r>
        <w:r>
          <w:fldChar w:fldCharType="begin"/>
        </w:r>
        <w:r>
          <w:instrText xml:space="preserve"> PAGEREF _Toc256000006 \h </w:instrText>
        </w:r>
        <w:r>
          <w:fldChar w:fldCharType="separate"/>
        </w:r>
        <w:r>
          <w:t>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07" w:history="1">
        <w:r>
          <w:rPr>
            <w:rStyle w:val="Hyperlink"/>
            <w:rFonts w:ascii="仿宋_GB2312" w:eastAsia="仿宋_GB2312" w:hAnsi="仿宋_GB2312" w:cs="仿宋_GB2312"/>
            <w:kern w:val="36"/>
          </w:rPr>
          <w:t>2投标/响应要求</w:t>
        </w:r>
        <w:r>
          <w:tab/>
        </w:r>
        <w:r>
          <w:fldChar w:fldCharType="begin"/>
        </w:r>
        <w:r>
          <w:instrText xml:space="preserve"> PAGEREF _Toc256000007 \h </w:instrText>
        </w:r>
        <w:r>
          <w:fldChar w:fldCharType="separate"/>
        </w:r>
        <w:r>
          <w:t>5</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08" w:history="1">
        <w:r>
          <w:rPr>
            <w:rStyle w:val="Hyperlink"/>
            <w:rFonts w:ascii="仿宋_GB2312" w:eastAsia="仿宋_GB2312" w:hAnsi="仿宋_GB2312" w:cs="仿宋_GB2312"/>
          </w:rPr>
          <w:t>2.1对供应商的要求</w:t>
        </w:r>
        <w:r>
          <w:tab/>
        </w:r>
        <w:r>
          <w:fldChar w:fldCharType="begin"/>
        </w:r>
        <w:r>
          <w:instrText xml:space="preserve"> PAGEREF _Toc256000008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09" w:history="1">
        <w:r>
          <w:rPr>
            <w:rStyle w:val="Hyperlink"/>
            <w:rFonts w:ascii="仿宋_GB2312" w:eastAsia="仿宋_GB2312" w:hAnsi="仿宋_GB2312" w:cs="仿宋_GB2312"/>
          </w:rPr>
          <w:t>2.1.1必备资质</w:t>
        </w:r>
        <w:r>
          <w:tab/>
        </w:r>
        <w:r>
          <w:fldChar w:fldCharType="begin"/>
        </w:r>
        <w:r>
          <w:instrText xml:space="preserve"> PAGEREF _Toc256000009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0" w:history="1">
        <w:r>
          <w:rPr>
            <w:rStyle w:val="Hyperlink"/>
            <w:rFonts w:ascii="仿宋_GB2312" w:eastAsia="仿宋_GB2312" w:hAnsi="仿宋_GB2312" w:cs="仿宋_GB2312"/>
          </w:rPr>
          <w:t>2.1.2优选资质/优选指标</w:t>
        </w:r>
        <w:r>
          <w:tab/>
        </w:r>
        <w:r>
          <w:fldChar w:fldCharType="begin"/>
        </w:r>
        <w:r>
          <w:instrText xml:space="preserve"> PAGEREF _Toc256000010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1" w:history="1">
        <w:r>
          <w:rPr>
            <w:rStyle w:val="Hyperlink"/>
            <w:rFonts w:ascii="仿宋_GB2312" w:eastAsia="仿宋_GB2312" w:hAnsi="仿宋_GB2312" w:cs="仿宋_GB2312"/>
          </w:rPr>
          <w:t>2.1.3是否允许联合体</w:t>
        </w:r>
        <w:r>
          <w:tab/>
        </w:r>
        <w:r>
          <w:fldChar w:fldCharType="begin"/>
        </w:r>
        <w:r>
          <w:instrText xml:space="preserve"> PAGEREF _Toc256000011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2" w:history="1">
        <w:r>
          <w:rPr>
            <w:rStyle w:val="Hyperlink"/>
            <w:rFonts w:ascii="仿宋_GB2312" w:eastAsia="仿宋_GB2312" w:hAnsi="仿宋_GB2312" w:cs="仿宋_GB2312"/>
          </w:rPr>
          <w:t>2.1.4是否专门面向中小企业</w:t>
        </w:r>
        <w:r>
          <w:tab/>
        </w:r>
        <w:r>
          <w:fldChar w:fldCharType="begin"/>
        </w:r>
        <w:r>
          <w:instrText xml:space="preserve"> PAGEREF _Toc256000012 \h </w:instrText>
        </w:r>
        <w:r>
          <w:fldChar w:fldCharType="separate"/>
        </w:r>
        <w:r>
          <w:t>5</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3" w:history="1">
        <w:r>
          <w:rPr>
            <w:rStyle w:val="Hyperlink"/>
            <w:rFonts w:ascii="仿宋_GB2312" w:eastAsia="仿宋_GB2312" w:hAnsi="仿宋_GB2312" w:cs="仿宋_GB2312"/>
          </w:rPr>
          <w:t>2.1.5其他要求</w:t>
        </w:r>
        <w:r>
          <w:tab/>
        </w:r>
        <w:r>
          <w:fldChar w:fldCharType="begin"/>
        </w:r>
        <w:r>
          <w:instrText xml:space="preserve"> PAGEREF _Toc256000013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4" w:history="1">
        <w:r>
          <w:rPr>
            <w:rStyle w:val="Hyperlink"/>
            <w:rFonts w:ascii="仿宋_GB2312" w:eastAsia="仿宋_GB2312" w:hAnsi="仿宋_GB2312" w:cs="仿宋_GB2312"/>
          </w:rPr>
          <w:t>2.2技术部分投标/响应内容</w:t>
        </w:r>
        <w:r>
          <w:tab/>
        </w:r>
        <w:r>
          <w:fldChar w:fldCharType="begin"/>
        </w:r>
        <w:r>
          <w:instrText xml:space="preserve"> PAGEREF _Toc256000014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5" w:history="1">
        <w:r>
          <w:rPr>
            <w:rStyle w:val="Hyperlink"/>
            <w:rFonts w:ascii="仿宋_GB2312" w:eastAsia="仿宋_GB2312" w:hAnsi="仿宋_GB2312" w:cs="仿宋_GB2312"/>
          </w:rPr>
          <w:t>2.2.1技术投标/响应总要求</w:t>
        </w:r>
        <w:r>
          <w:tab/>
        </w:r>
        <w:r>
          <w:fldChar w:fldCharType="begin"/>
        </w:r>
        <w:r>
          <w:instrText xml:space="preserve"> PAGEREF _Toc256000015 \h </w:instrText>
        </w:r>
        <w:r>
          <w:fldChar w:fldCharType="separate"/>
        </w:r>
        <w:r>
          <w:t>6</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16" w:history="1">
        <w:r>
          <w:rPr>
            <w:rStyle w:val="Hyperlink"/>
            <w:rFonts w:ascii="仿宋_GB2312" w:eastAsia="仿宋_GB2312" w:hAnsi="仿宋_GB2312" w:cs="仿宋_GB2312"/>
          </w:rPr>
          <w:t>2.2.2投标/响应方案要求</w:t>
        </w:r>
        <w:r>
          <w:tab/>
        </w:r>
        <w:r>
          <w:fldChar w:fldCharType="begin"/>
        </w:r>
        <w:r>
          <w:instrText xml:space="preserve"> PAGEREF _Toc256000016 \h </w:instrText>
        </w:r>
        <w:r>
          <w:fldChar w:fldCharType="separate"/>
        </w:r>
        <w:r>
          <w:t>6</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17" w:history="1">
        <w:r>
          <w:rPr>
            <w:rStyle w:val="Hyperlink"/>
            <w:rFonts w:ascii="仿宋_GB2312" w:eastAsia="仿宋_GB2312" w:hAnsi="仿宋_GB2312" w:cs="仿宋_GB2312"/>
            <w:kern w:val="36"/>
          </w:rPr>
          <w:t>3项目需求</w:t>
        </w:r>
        <w:r>
          <w:tab/>
        </w:r>
        <w:r>
          <w:fldChar w:fldCharType="begin"/>
        </w:r>
        <w:r>
          <w:instrText xml:space="preserve"> PAGEREF _Toc256000017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8" w:history="1">
        <w:r>
          <w:rPr>
            <w:rStyle w:val="Hyperlink"/>
            <w:rFonts w:ascii="仿宋_GB2312" w:eastAsia="仿宋_GB2312" w:hAnsi="仿宋_GB2312" w:cs="仿宋_GB2312"/>
          </w:rPr>
          <w:t>3.1总体要求</w:t>
        </w:r>
        <w:r>
          <w:tab/>
        </w:r>
        <w:r>
          <w:fldChar w:fldCharType="begin"/>
        </w:r>
        <w:r>
          <w:instrText xml:space="preserve"> PAGEREF _Toc256000018 \h </w:instrText>
        </w:r>
        <w:r>
          <w:fldChar w:fldCharType="separate"/>
        </w:r>
        <w:r>
          <w:t>6</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19" w:history="1">
        <w:r>
          <w:rPr>
            <w:rStyle w:val="Hyperlink"/>
            <w:rFonts w:ascii="仿宋_GB2312" w:eastAsia="仿宋_GB2312" w:hAnsi="仿宋_GB2312" w:cs="仿宋_GB2312"/>
          </w:rPr>
          <w:t>3.2采购产品一览表</w:t>
        </w:r>
        <w:r>
          <w:tab/>
        </w:r>
        <w:r>
          <w:fldChar w:fldCharType="begin"/>
        </w:r>
        <w:r>
          <w:instrText xml:space="preserve"> PAGEREF _Toc256000019 \h </w:instrText>
        </w:r>
        <w:r>
          <w:fldChar w:fldCharType="separate"/>
        </w:r>
        <w:r>
          <w:t>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0" w:history="1">
        <w:r>
          <w:rPr>
            <w:rStyle w:val="Hyperlink"/>
            <w:rFonts w:ascii="仿宋_GB2312" w:eastAsia="仿宋_GB2312" w:hAnsi="仿宋_GB2312" w:cs="仿宋_GB2312"/>
          </w:rPr>
          <w:t>3.3采购产品详细清单及技术指标</w:t>
        </w:r>
        <w:r>
          <w:tab/>
        </w:r>
        <w:r>
          <w:fldChar w:fldCharType="begin"/>
        </w:r>
        <w:r>
          <w:instrText xml:space="preserve"> PAGEREF _Toc256000020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1" w:history="1">
        <w:r>
          <w:rPr>
            <w:rStyle w:val="Hyperlink"/>
            <w:rFonts w:ascii="仿宋_GB2312" w:eastAsia="仿宋_GB2312" w:hAnsi="仿宋_GB2312" w:cs="仿宋_GB2312"/>
          </w:rPr>
          <w:t>3.3.1AP</w:t>
        </w:r>
        <w:r>
          <w:tab/>
        </w:r>
        <w:r>
          <w:fldChar w:fldCharType="begin"/>
        </w:r>
        <w:r>
          <w:instrText xml:space="preserve"> PAGEREF _Toc256000021 \h </w:instrText>
        </w:r>
        <w:r>
          <w:fldChar w:fldCharType="separate"/>
        </w:r>
        <w:r>
          <w:t>7</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2" w:history="1">
        <w:r>
          <w:rPr>
            <w:rStyle w:val="Hyperlink"/>
            <w:rFonts w:ascii="仿宋_GB2312" w:eastAsia="仿宋_GB2312" w:hAnsi="仿宋_GB2312" w:cs="仿宋_GB2312"/>
          </w:rPr>
          <w:t>3.3.2网络交换机</w:t>
        </w:r>
        <w:r>
          <w:tab/>
        </w:r>
        <w:r>
          <w:fldChar w:fldCharType="begin"/>
        </w:r>
        <w:r>
          <w:instrText xml:space="preserve"> PAGEREF _Toc256000022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3" w:history="1">
        <w:r>
          <w:rPr>
            <w:rStyle w:val="Hyperlink"/>
            <w:rFonts w:ascii="仿宋_GB2312" w:eastAsia="仿宋_GB2312" w:hAnsi="仿宋_GB2312" w:cs="仿宋_GB2312"/>
          </w:rPr>
          <w:t>3.3.3光模块</w:t>
        </w:r>
        <w:r>
          <w:tab/>
        </w:r>
        <w:r>
          <w:fldChar w:fldCharType="begin"/>
        </w:r>
        <w:r>
          <w:instrText xml:space="preserve"> PAGEREF _Toc256000023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4" w:history="1">
        <w:r>
          <w:rPr>
            <w:rStyle w:val="Hyperlink"/>
            <w:rFonts w:ascii="仿宋_GB2312" w:eastAsia="仿宋_GB2312" w:hAnsi="仿宋_GB2312" w:cs="仿宋_GB2312"/>
          </w:rPr>
          <w:t>3.3.4网络控制器</w:t>
        </w:r>
        <w:r>
          <w:tab/>
        </w:r>
        <w:r>
          <w:fldChar w:fldCharType="begin"/>
        </w:r>
        <w:r>
          <w:instrText xml:space="preserve"> PAGEREF _Toc256000024 \h </w:instrText>
        </w:r>
        <w:r>
          <w:fldChar w:fldCharType="separate"/>
        </w:r>
        <w:r>
          <w:t>10</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5" w:history="1">
        <w:r>
          <w:rPr>
            <w:rStyle w:val="Hyperlink"/>
            <w:rFonts w:ascii="仿宋_GB2312" w:eastAsia="仿宋_GB2312" w:hAnsi="仿宋_GB2312" w:cs="仿宋_GB2312"/>
          </w:rPr>
          <w:t>3.3.5汇聚交换机</w:t>
        </w:r>
        <w:r>
          <w:tab/>
        </w:r>
        <w:r>
          <w:fldChar w:fldCharType="begin"/>
        </w:r>
        <w:r>
          <w:instrText xml:space="preserve"> PAGEREF _Toc256000025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6" w:history="1">
        <w:r>
          <w:rPr>
            <w:rStyle w:val="Hyperlink"/>
            <w:rFonts w:ascii="仿宋_GB2312" w:eastAsia="仿宋_GB2312" w:hAnsi="仿宋_GB2312" w:cs="仿宋_GB2312"/>
          </w:rPr>
          <w:t>3.3.6网线</w:t>
        </w:r>
        <w:r>
          <w:tab/>
        </w:r>
        <w:r>
          <w:fldChar w:fldCharType="begin"/>
        </w:r>
        <w:r>
          <w:instrText xml:space="preserve"> PAGEREF _Toc256000026 \h </w:instrText>
        </w:r>
        <w:r>
          <w:fldChar w:fldCharType="separate"/>
        </w:r>
        <w:r>
          <w:t>11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27" w:history="1">
        <w:r>
          <w:rPr>
            <w:rStyle w:val="Hyperlink"/>
            <w:rFonts w:ascii="仿宋_GB2312" w:eastAsia="仿宋_GB2312" w:hAnsi="仿宋_GB2312" w:cs="仿宋_GB2312"/>
          </w:rPr>
          <w:t>3.3.7系统集成</w:t>
        </w:r>
        <w:r>
          <w:tab/>
        </w:r>
        <w:r>
          <w:fldChar w:fldCharType="begin"/>
        </w:r>
        <w:r>
          <w:instrText xml:space="preserve"> PAGEREF _Toc256000027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8" w:history="1">
        <w:r>
          <w:rPr>
            <w:rStyle w:val="Hyperlink"/>
            <w:rFonts w:ascii="仿宋_GB2312" w:eastAsia="仿宋_GB2312" w:hAnsi="仿宋_GB2312" w:cs="仿宋_GB2312"/>
          </w:rPr>
          <w:t>3.4服务要求</w:t>
        </w:r>
        <w:r>
          <w:tab/>
        </w:r>
        <w:r>
          <w:fldChar w:fldCharType="begin"/>
        </w:r>
        <w:r>
          <w:instrText xml:space="preserve"> PAGEREF _Toc256000028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29" w:history="1">
        <w:r>
          <w:rPr>
            <w:rStyle w:val="Hyperlink"/>
            <w:rFonts w:ascii="仿宋_GB2312" w:eastAsia="仿宋_GB2312" w:hAnsi="仿宋_GB2312" w:cs="仿宋_GB2312"/>
          </w:rPr>
          <w:t>3.5其他要求</w:t>
        </w:r>
        <w:r>
          <w:tab/>
        </w:r>
        <w:r>
          <w:fldChar w:fldCharType="begin"/>
        </w:r>
        <w:r>
          <w:instrText xml:space="preserve"> PAGEREF _Toc256000029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0" w:history="1">
        <w:r>
          <w:rPr>
            <w:rStyle w:val="Hyperlink"/>
            <w:rFonts w:ascii="仿宋_GB2312" w:eastAsia="仿宋_GB2312" w:hAnsi="仿宋_GB2312" w:cs="仿宋_GB2312"/>
            <w:kern w:val="36"/>
          </w:rPr>
          <w:t>4人员要求</w:t>
        </w:r>
        <w:r>
          <w:tab/>
        </w:r>
        <w:r>
          <w:fldChar w:fldCharType="begin"/>
        </w:r>
        <w:r>
          <w:instrText xml:space="preserve"> PAGEREF _Toc256000030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1" w:history="1">
        <w:r>
          <w:rPr>
            <w:rStyle w:val="Hyperlink"/>
            <w:rFonts w:ascii="仿宋_GB2312" w:eastAsia="仿宋_GB2312" w:hAnsi="仿宋_GB2312" w:cs="仿宋_GB2312"/>
          </w:rPr>
          <w:t>4.1团队要求</w:t>
        </w:r>
        <w:r>
          <w:tab/>
        </w:r>
        <w:r>
          <w:fldChar w:fldCharType="begin"/>
        </w:r>
        <w:r>
          <w:instrText xml:space="preserve"> PAGEREF _Toc256000031 \h </w:instrText>
        </w:r>
        <w:r>
          <w:fldChar w:fldCharType="separate"/>
        </w:r>
        <w:r>
          <w:t>12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2" w:history="1">
        <w:r>
          <w:rPr>
            <w:rStyle w:val="Hyperlink"/>
            <w:rFonts w:ascii="仿宋_GB2312" w:eastAsia="仿宋_GB2312" w:hAnsi="仿宋_GB2312" w:cs="仿宋_GB2312"/>
          </w:rPr>
          <w:t>4.1.1基本要求</w:t>
        </w:r>
        <w:r>
          <w:tab/>
        </w:r>
        <w:r>
          <w:fldChar w:fldCharType="begin"/>
        </w:r>
        <w:r>
          <w:instrText xml:space="preserve"> PAGEREF _Toc256000032 \h </w:instrText>
        </w:r>
        <w:r>
          <w:fldChar w:fldCharType="separate"/>
        </w:r>
        <w:r>
          <w:t>12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3" w:history="1">
        <w:r>
          <w:rPr>
            <w:rStyle w:val="Hyperlink"/>
            <w:rFonts w:ascii="仿宋_GB2312" w:eastAsia="仿宋_GB2312" w:hAnsi="仿宋_GB2312" w:cs="仿宋_GB2312"/>
          </w:rPr>
          <w:t>4.1.2优选资质/优选指标</w:t>
        </w:r>
        <w:r>
          <w:tab/>
        </w:r>
        <w:r>
          <w:fldChar w:fldCharType="begin"/>
        </w:r>
        <w:r>
          <w:instrText xml:space="preserve"> PAGEREF _Toc256000033 \h </w:instrText>
        </w:r>
        <w:r>
          <w:fldChar w:fldCharType="separate"/>
        </w:r>
        <w:r>
          <w:t>12</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34" w:history="1">
        <w:r>
          <w:rPr>
            <w:rStyle w:val="Hyperlink"/>
            <w:rFonts w:ascii="仿宋_GB2312" w:eastAsia="仿宋_GB2312" w:hAnsi="仿宋_GB2312" w:cs="仿宋_GB2312"/>
          </w:rPr>
          <w:t>4.2管理团队</w:t>
        </w:r>
        <w:r>
          <w:tab/>
        </w:r>
        <w:r>
          <w:fldChar w:fldCharType="begin"/>
        </w:r>
        <w:r>
          <w:instrText xml:space="preserve"> PAGEREF _Toc256000034 \h </w:instrText>
        </w:r>
        <w:r>
          <w:fldChar w:fldCharType="separate"/>
        </w:r>
        <w:r>
          <w:t>12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5" w:history="1">
        <w:r>
          <w:rPr>
            <w:rStyle w:val="Hyperlink"/>
            <w:rFonts w:ascii="仿宋_GB2312" w:eastAsia="仿宋_GB2312" w:hAnsi="仿宋_GB2312" w:cs="仿宋_GB2312"/>
          </w:rPr>
          <w:t>4.2.1项目经理</w:t>
        </w:r>
        <w:r>
          <w:tab/>
        </w:r>
        <w:r>
          <w:fldChar w:fldCharType="begin"/>
        </w:r>
        <w:r>
          <w:instrText xml:space="preserve"> PAGEREF _Toc256000035 \h </w:instrText>
        </w:r>
        <w:r>
          <w:fldChar w:fldCharType="separate"/>
        </w:r>
        <w:r>
          <w:t>12</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36" w:history="1">
        <w:r>
          <w:rPr>
            <w:rStyle w:val="Hyperlink"/>
            <w:rFonts w:ascii="仿宋_GB2312" w:eastAsia="仿宋_GB2312" w:hAnsi="仿宋_GB2312" w:cs="仿宋_GB2312"/>
          </w:rPr>
          <w:t>4.2.2技术团队</w:t>
        </w:r>
        <w:r>
          <w:tab/>
        </w:r>
        <w:r>
          <w:fldChar w:fldCharType="begin"/>
        </w:r>
        <w:r>
          <w:instrText xml:space="preserve"> PAGEREF _Toc256000036 \h </w:instrText>
        </w:r>
        <w:r>
          <w:fldChar w:fldCharType="separate"/>
        </w:r>
        <w:r>
          <w:t>12</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7" w:history="1">
        <w:r>
          <w:rPr>
            <w:rStyle w:val="Hyperlink"/>
            <w:rFonts w:ascii="仿宋_GB2312" w:eastAsia="仿宋_GB2312" w:hAnsi="仿宋_GB2312" w:cs="仿宋_GB2312"/>
            <w:kern w:val="36"/>
          </w:rPr>
          <w:t>5管理实施要求</w:t>
        </w:r>
        <w:r>
          <w:tab/>
        </w:r>
        <w:r>
          <w:fldChar w:fldCharType="begin"/>
        </w:r>
        <w:r>
          <w:instrText xml:space="preserve"> PAGEREF _Toc256000037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8" w:history="1">
        <w:r>
          <w:rPr>
            <w:rStyle w:val="Hyperlink"/>
            <w:rFonts w:ascii="仿宋_GB2312" w:eastAsia="仿宋_GB2312" w:hAnsi="仿宋_GB2312" w:cs="仿宋_GB2312"/>
            <w:kern w:val="36"/>
          </w:rPr>
          <w:t>6风险管控要求</w:t>
        </w:r>
        <w:r>
          <w:tab/>
        </w:r>
        <w:r>
          <w:fldChar w:fldCharType="begin"/>
        </w:r>
        <w:r>
          <w:instrText xml:space="preserve"> PAGEREF _Toc256000038 \h </w:instrText>
        </w:r>
        <w:r>
          <w:fldChar w:fldCharType="separate"/>
        </w:r>
        <w:r>
          <w:t>13</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39" w:history="1">
        <w:r>
          <w:rPr>
            <w:rStyle w:val="Hyperlink"/>
            <w:rFonts w:ascii="仿宋_GB2312" w:eastAsia="仿宋_GB2312" w:hAnsi="仿宋_GB2312" w:cs="仿宋_GB2312"/>
            <w:kern w:val="36"/>
          </w:rPr>
          <w:t>7履约验收要求</w:t>
        </w:r>
        <w:r>
          <w:tab/>
        </w:r>
        <w:r>
          <w:fldChar w:fldCharType="begin"/>
        </w:r>
        <w:r>
          <w:instrText xml:space="preserve"> PAGEREF _Toc256000039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0" w:history="1">
        <w:r>
          <w:rPr>
            <w:rStyle w:val="Hyperlink"/>
            <w:rFonts w:ascii="仿宋_GB2312" w:eastAsia="仿宋_GB2312" w:hAnsi="仿宋_GB2312" w:cs="仿宋_GB2312"/>
          </w:rPr>
          <w:t>7.1总体要求</w:t>
        </w:r>
        <w:r>
          <w:tab/>
        </w:r>
        <w:r>
          <w:fldChar w:fldCharType="begin"/>
        </w:r>
        <w:r>
          <w:instrText xml:space="preserve"> PAGEREF _Toc256000040 \h </w:instrText>
        </w:r>
        <w:r>
          <w:fldChar w:fldCharType="separate"/>
        </w:r>
        <w:r>
          <w:t>13</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1" w:history="1">
        <w:r>
          <w:rPr>
            <w:rStyle w:val="Hyperlink"/>
            <w:rFonts w:ascii="仿宋_GB2312" w:eastAsia="仿宋_GB2312" w:hAnsi="仿宋_GB2312" w:cs="仿宋_GB2312"/>
          </w:rPr>
          <w:t>7.2具体要求</w:t>
        </w:r>
        <w:r>
          <w:tab/>
        </w:r>
        <w:r>
          <w:fldChar w:fldCharType="begin"/>
        </w:r>
        <w:r>
          <w:instrText xml:space="preserve"> PAGEREF _Toc256000041 \h </w:instrText>
        </w:r>
        <w:r>
          <w:fldChar w:fldCharType="separate"/>
        </w:r>
        <w:r>
          <w:t>14</w:t>
        </w:r>
        <w:r>
          <w:fldChar w:fldCharType="end"/>
        </w:r>
      </w:hyperlink>
    </w:p>
    <w:p>
      <w:pPr>
        <w:pStyle w:val="TOC1"/>
        <w:tabs>
          <w:tab w:val="right" w:leader="dot" w:pos="9016"/>
        </w:tabs>
        <w:spacing w:before="0" w:after="0" w:line="360" w:lineRule="auto"/>
        <w:rPr>
          <w:rFonts w:asciiTheme="minorHAnsi" w:hAnsiTheme="minorHAnsi"/>
          <w:noProof/>
          <w:sz w:val="22"/>
        </w:rPr>
      </w:pPr>
      <w:hyperlink w:anchor="_Toc256000042" w:history="1">
        <w:r>
          <w:rPr>
            <w:rStyle w:val="Hyperlink"/>
            <w:rFonts w:ascii="仿宋_GB2312" w:eastAsia="仿宋_GB2312" w:hAnsi="仿宋_GB2312" w:cs="仿宋_GB2312"/>
            <w:kern w:val="36"/>
          </w:rPr>
          <w:t>8其他要求</w:t>
        </w:r>
        <w:r>
          <w:tab/>
        </w:r>
        <w:r>
          <w:fldChar w:fldCharType="begin"/>
        </w:r>
        <w:r>
          <w:instrText xml:space="preserve"> PAGEREF _Toc256000042 \h </w:instrText>
        </w:r>
        <w:r>
          <w:fldChar w:fldCharType="separate"/>
        </w:r>
        <w:r>
          <w:t>14</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3" w:history="1">
        <w:r>
          <w:rPr>
            <w:rStyle w:val="Hyperlink"/>
            <w:rFonts w:ascii="仿宋_GB2312" w:eastAsia="仿宋_GB2312" w:hAnsi="仿宋_GB2312" w:cs="仿宋_GB2312"/>
          </w:rPr>
          <w:t>8.1必备要求</w:t>
        </w:r>
        <w:r>
          <w:tab/>
        </w:r>
        <w:r>
          <w:fldChar w:fldCharType="begin"/>
        </w:r>
        <w:r>
          <w:instrText xml:space="preserve"> PAGEREF _Toc256000043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4" w:history="1">
        <w:r>
          <w:rPr>
            <w:rStyle w:val="Hyperlink"/>
            <w:rFonts w:ascii="仿宋_GB2312" w:eastAsia="仿宋_GB2312" w:hAnsi="仿宋_GB2312" w:cs="仿宋_GB2312"/>
          </w:rPr>
          <w:t>8.1.1通用必备要求</w:t>
        </w:r>
        <w:r>
          <w:tab/>
        </w:r>
        <w:r>
          <w:fldChar w:fldCharType="begin"/>
        </w:r>
        <w:r>
          <w:instrText xml:space="preserve"> PAGEREF _Toc256000044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5" w:history="1">
        <w:r>
          <w:rPr>
            <w:rStyle w:val="Hyperlink"/>
            <w:rFonts w:ascii="仿宋_GB2312" w:eastAsia="仿宋_GB2312" w:hAnsi="仿宋_GB2312" w:cs="仿宋_GB2312"/>
          </w:rPr>
          <w:t>8.1.2★税收信息化项目开发和应用管理工作要求</w:t>
        </w:r>
        <w:r>
          <w:tab/>
        </w:r>
        <w:r>
          <w:fldChar w:fldCharType="begin"/>
        </w:r>
        <w:r>
          <w:instrText xml:space="preserve"> PAGEREF _Toc256000045 \h </w:instrText>
        </w:r>
        <w:r>
          <w:fldChar w:fldCharType="separate"/>
        </w:r>
        <w:r>
          <w:t>14</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6" w:history="1">
        <w:r>
          <w:rPr>
            <w:rStyle w:val="Hyperlink"/>
            <w:rFonts w:ascii="仿宋_GB2312" w:eastAsia="仿宋_GB2312" w:hAnsi="仿宋_GB2312" w:cs="仿宋_GB2312"/>
          </w:rPr>
          <w:t>8.1.3★供应链安全管理要求</w:t>
        </w:r>
        <w:r>
          <w:tab/>
        </w:r>
        <w:r>
          <w:fldChar w:fldCharType="begin"/>
        </w:r>
        <w:r>
          <w:instrText xml:space="preserve"> PAGEREF _Toc256000046 \h </w:instrText>
        </w:r>
        <w:r>
          <w:fldChar w:fldCharType="separate"/>
        </w:r>
        <w:r>
          <w:t>17</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7" w:history="1">
        <w:r>
          <w:rPr>
            <w:rStyle w:val="Hyperlink"/>
            <w:rFonts w:ascii="仿宋_GB2312" w:eastAsia="仿宋_GB2312" w:hAnsi="仿宋_GB2312" w:cs="仿宋_GB2312"/>
          </w:rPr>
          <w:t>8.2付款安排建议</w:t>
        </w:r>
        <w:r>
          <w:tab/>
        </w:r>
        <w:r>
          <w:fldChar w:fldCharType="begin"/>
        </w:r>
        <w:r>
          <w:instrText xml:space="preserve"> PAGEREF _Toc256000047 \h </w:instrText>
        </w:r>
        <w:r>
          <w:fldChar w:fldCharType="separate"/>
        </w:r>
        <w:r>
          <w:t>21</w:t>
        </w:r>
        <w:r>
          <w:fldChar w:fldCharType="end"/>
        </w:r>
      </w:hyperlink>
    </w:p>
    <w:p>
      <w:pPr>
        <w:pStyle w:val="TOC2"/>
        <w:tabs>
          <w:tab w:val="right" w:leader="dot" w:pos="9016"/>
        </w:tabs>
        <w:spacing w:before="0" w:after="0" w:line="360" w:lineRule="auto"/>
        <w:rPr>
          <w:rFonts w:asciiTheme="minorHAnsi" w:hAnsiTheme="minorHAnsi"/>
          <w:noProof/>
          <w:sz w:val="22"/>
        </w:rPr>
      </w:pPr>
      <w:hyperlink w:anchor="_Toc256000048" w:history="1">
        <w:r>
          <w:rPr>
            <w:rStyle w:val="Hyperlink"/>
            <w:rFonts w:ascii="仿宋_GB2312" w:eastAsia="仿宋_GB2312" w:hAnsi="仿宋_GB2312" w:cs="仿宋_GB2312"/>
          </w:rPr>
          <w:t>8.3其他要求</w:t>
        </w:r>
        <w:r>
          <w:tab/>
        </w:r>
        <w:r>
          <w:fldChar w:fldCharType="begin"/>
        </w:r>
        <w:r>
          <w:instrText xml:space="preserve"> PAGEREF _Toc256000048 \h </w:instrText>
        </w:r>
        <w:r>
          <w:fldChar w:fldCharType="separate"/>
        </w:r>
        <w:r>
          <w:t>21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49" w:history="1">
        <w:r>
          <w:rPr>
            <w:rStyle w:val="Hyperlink"/>
            <w:rFonts w:ascii="仿宋_GB2312" w:eastAsia="仿宋_GB2312" w:hAnsi="仿宋_GB2312" w:cs="仿宋_GB2312"/>
          </w:rPr>
          <w:t>8.3.1保密要求</w:t>
        </w:r>
        <w:r>
          <w:tab/>
        </w:r>
        <w:r>
          <w:fldChar w:fldCharType="begin"/>
        </w:r>
        <w:r>
          <w:instrText xml:space="preserve"> PAGEREF _Toc256000049 \h </w:instrText>
        </w:r>
        <w:r>
          <w:fldChar w:fldCharType="separate"/>
        </w:r>
        <w:r>
          <w:t>21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50" w:history="1">
        <w:r>
          <w:rPr>
            <w:rStyle w:val="Hyperlink"/>
            <w:rFonts w:ascii="仿宋_GB2312" w:eastAsia="仿宋_GB2312" w:hAnsi="仿宋_GB2312" w:cs="仿宋_GB2312"/>
          </w:rPr>
          <w:t>8.3.2知识产权要求</w:t>
        </w:r>
        <w:r>
          <w:tab/>
        </w:r>
        <w:r>
          <w:fldChar w:fldCharType="begin"/>
        </w:r>
        <w:r>
          <w:instrText xml:space="preserve"> PAGEREF _Toc256000050 \h </w:instrText>
        </w:r>
        <w:r>
          <w:fldChar w:fldCharType="separate"/>
        </w:r>
        <w:r>
          <w:t>21</w:t>
        </w:r>
        <w:r>
          <w:fldChar w:fldCharType="end"/>
        </w:r>
      </w:hyperlink>
    </w:p>
    <w:p>
      <w:pPr>
        <w:pStyle w:val="TOC3"/>
        <w:tabs>
          <w:tab w:val="right" w:leader="dot" w:pos="9016"/>
        </w:tabs>
        <w:spacing w:before="0" w:after="0" w:line="360" w:lineRule="auto"/>
        <w:rPr>
          <w:rFonts w:asciiTheme="minorHAnsi" w:hAnsiTheme="minorHAnsi"/>
          <w:noProof/>
          <w:sz w:val="22"/>
        </w:rPr>
      </w:pPr>
      <w:hyperlink w:anchor="_Toc256000051" w:history="1">
        <w:r>
          <w:rPr>
            <w:rStyle w:val="Hyperlink"/>
            <w:rFonts w:ascii="仿宋_GB2312" w:eastAsia="仿宋_GB2312" w:hAnsi="仿宋_GB2312" w:cs="仿宋_GB2312"/>
          </w:rPr>
          <w:t>8.3.3“满足指标要求情况”内容（概括版）</w:t>
        </w:r>
        <w:r>
          <w:tab/>
        </w:r>
        <w:r>
          <w:fldChar w:fldCharType="begin"/>
        </w:r>
        <w:r>
          <w:instrText xml:space="preserve"> PAGEREF _Toc256000051 \h </w:instrText>
        </w:r>
        <w:r>
          <w:fldChar w:fldCharType="separate"/>
        </w:r>
        <w:r>
          <w:t>22</w:t>
        </w:r>
        <w:r>
          <w:fldChar w:fldCharType="end"/>
        </w:r>
      </w:hyperlink>
    </w:p>
    <w:p>
      <w:pPr>
        <w:pStyle w:val="Normal0"/>
        <w:spacing w:before="0" w:after="0" w:line="360" w:lineRule="auto"/>
        <w:jc w:val="left"/>
      </w:pPr>
      <w:r w:rsidR="00A77B3E">
        <w:rPr>
          <w:rFonts w:ascii="SimSun" w:eastAsia="SimSun" w:hAnsi="SimSun" w:cs="SimSun"/>
          <w:sz w:val="32"/>
        </w:rPr>
        <w:fldChar w:fldCharType="end"/>
      </w:r>
      <w:r>
        <w:br w:type="page"/>
      </w:r>
    </w:p>
    <w:p>
      <w:pPr>
        <w:pStyle w:val="Heading10"/>
        <w:keepNext w:val="0"/>
        <w:spacing w:before="0" w:after="0" w:line="360" w:lineRule="auto"/>
        <w:jc w:val="center"/>
        <w:rPr>
          <w:rFonts w:ascii="仿宋_GB2312" w:eastAsia="仿宋_GB2312" w:hAnsi="仿宋_GB2312" w:cs="仿宋_GB2312"/>
          <w:b/>
          <w:bCs/>
          <w:sz w:val="32"/>
          <w:szCs w:val="32"/>
        </w:rPr>
      </w:pPr>
      <w:bookmarkStart w:id="4" w:name="_Toc256000000"/>
      <w:r>
        <w:rPr>
          <w:rFonts w:ascii="仿宋_GB2312" w:eastAsia="仿宋_GB2312" w:hAnsi="仿宋_GB2312" w:cs="仿宋_GB2312"/>
          <w:kern w:val="36"/>
        </w:rPr>
        <w:t>1项目概述</w:t>
      </w:r>
      <w:bookmarkEnd w:id="4"/>
    </w:p>
    <w:p>
      <w:pPr>
        <w:pStyle w:val="Heading20"/>
        <w:keepNext w:val="0"/>
        <w:spacing w:before="0" w:after="0" w:line="360" w:lineRule="auto"/>
        <w:rPr>
          <w:rFonts w:ascii="仿宋_GB2312" w:eastAsia="仿宋_GB2312" w:hAnsi="仿宋_GB2312" w:cs="仿宋_GB2312"/>
          <w:b/>
          <w:bCs/>
          <w:sz w:val="28"/>
          <w:szCs w:val="28"/>
        </w:rPr>
      </w:pPr>
      <w:bookmarkStart w:id="5" w:name="_Toc256000001"/>
      <w:r>
        <w:rPr>
          <w:rFonts w:ascii="仿宋_GB2312" w:eastAsia="仿宋_GB2312" w:hAnsi="仿宋_GB2312" w:cs="仿宋_GB2312"/>
          <w:i w:val="0"/>
          <w:iCs w:val="0"/>
        </w:rPr>
        <w:t>1.1项目背景</w:t>
      </w:r>
      <w:bookmarkEnd w:id="5"/>
    </w:p>
    <w:p>
      <w:pPr>
        <w:pStyle w:val="Heading30"/>
        <w:keepNext w:val="0"/>
        <w:spacing w:before="0" w:after="0" w:line="360" w:lineRule="auto"/>
        <w:rPr>
          <w:rFonts w:ascii="仿宋_GB2312" w:eastAsia="仿宋_GB2312" w:hAnsi="仿宋_GB2312" w:cs="仿宋_GB2312"/>
          <w:b/>
          <w:bCs/>
          <w:sz w:val="28"/>
          <w:szCs w:val="28"/>
        </w:rPr>
      </w:pPr>
      <w:bookmarkStart w:id="6" w:name="_Toc256000002"/>
      <w:r>
        <w:rPr>
          <w:rFonts w:ascii="仿宋_GB2312" w:eastAsia="仿宋_GB2312" w:hAnsi="仿宋_GB2312" w:cs="仿宋_GB2312"/>
          <w:sz w:val="28"/>
          <w:szCs w:val="28"/>
        </w:rPr>
        <w:t>1.1.1项目目的、意义及背景</w:t>
      </w:r>
      <w:bookmarkEnd w:id="6"/>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省局南湖大路办公区主楼无线WiFi建于2014年，无线协议、覆盖范围等均无法满足日常办公需求，为保障机关正常办公，拟采购南湖大路办公区主楼及东区无线覆盖项目。</w:t>
      </w:r>
    </w:p>
    <w:p>
      <w:pPr>
        <w:pStyle w:val="Heading20"/>
        <w:keepNext w:val="0"/>
        <w:spacing w:before="0" w:after="0" w:line="360" w:lineRule="auto"/>
        <w:rPr>
          <w:rFonts w:ascii="仿宋_GB2312" w:eastAsia="仿宋_GB2312" w:hAnsi="仿宋_GB2312" w:cs="仿宋_GB2312"/>
          <w:b/>
          <w:bCs/>
          <w:sz w:val="28"/>
          <w:szCs w:val="28"/>
        </w:rPr>
      </w:pPr>
      <w:bookmarkStart w:id="7" w:name="_Toc256000003"/>
      <w:r>
        <w:rPr>
          <w:rFonts w:ascii="仿宋_GB2312" w:eastAsia="仿宋_GB2312" w:hAnsi="仿宋_GB2312" w:cs="仿宋_GB2312"/>
          <w:i w:val="0"/>
          <w:iCs w:val="0"/>
        </w:rPr>
        <w:t>1.2项目内容</w:t>
      </w:r>
      <w:bookmarkEnd w:id="7"/>
    </w:p>
    <w:p>
      <w:pPr>
        <w:pStyle w:val="Heading30"/>
        <w:keepNext w:val="0"/>
        <w:spacing w:before="0" w:after="0" w:line="360" w:lineRule="auto"/>
        <w:rPr>
          <w:rFonts w:ascii="仿宋_GB2312" w:eastAsia="仿宋_GB2312" w:hAnsi="仿宋_GB2312" w:cs="仿宋_GB2312"/>
          <w:b/>
          <w:bCs/>
          <w:sz w:val="28"/>
          <w:szCs w:val="28"/>
        </w:rPr>
      </w:pPr>
      <w:bookmarkStart w:id="8" w:name="_Toc256000004"/>
      <w:r>
        <w:rPr>
          <w:rFonts w:ascii="仿宋_GB2312" w:eastAsia="仿宋_GB2312" w:hAnsi="仿宋_GB2312" w:cs="仿宋_GB2312"/>
          <w:sz w:val="28"/>
          <w:szCs w:val="28"/>
        </w:rPr>
        <w:t>1.2.1项目建设思路</w:t>
      </w:r>
      <w:bookmarkEnd w:id="8"/>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建设安全稳定的办公用WIFI网络，以保证省局南湖大路办公区主楼及东区办公用WIFI需要，提供优良的办公网络环境，改善办公条件。</w:t>
      </w:r>
    </w:p>
    <w:p>
      <w:pPr>
        <w:pStyle w:val="Heading30"/>
        <w:keepNext w:val="0"/>
        <w:spacing w:before="0" w:after="0" w:line="360" w:lineRule="auto"/>
        <w:rPr>
          <w:rFonts w:ascii="仿宋_GB2312" w:eastAsia="仿宋_GB2312" w:hAnsi="仿宋_GB2312" w:cs="仿宋_GB2312"/>
          <w:b/>
          <w:bCs/>
          <w:sz w:val="28"/>
          <w:szCs w:val="28"/>
        </w:rPr>
      </w:pPr>
      <w:bookmarkStart w:id="9" w:name="_Toc256000005"/>
      <w:r>
        <w:rPr>
          <w:rFonts w:ascii="仿宋_GB2312" w:eastAsia="仿宋_GB2312" w:hAnsi="仿宋_GB2312" w:cs="仿宋_GB2312"/>
          <w:sz w:val="28"/>
          <w:szCs w:val="28"/>
        </w:rPr>
        <w:t>1.2.2采购内容</w:t>
      </w:r>
      <w:bookmarkEnd w:id="9"/>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1.设备采购：</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1）汇聚交换机1台</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2）16口业务模块2个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3）交换机电源模块2个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4）光模块46个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5）24口POE交换机26个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6）高密吸顶AP 4个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7）吸顶AP 139个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8）面板AP 265个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9）高密吸顶AP适配器4个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10）网络控制器（AC）1个</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2.各AP点位网络铺设</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1）主干光纤网络铺设</w:t>
      </w:r>
    </w:p>
    <w:p>
      <w:pPr>
        <w:pStyle w:val="MsoNormal"/>
        <w:spacing w:before="0" w:after="0" w:line="360" w:lineRule="auto"/>
        <w:ind w:firstLine="640"/>
        <w:rPr>
          <w:rFonts w:ascii="Times New Roman" w:eastAsia="Times New Roman" w:hAnsi="Times New Roman" w:cs="Times New Roman"/>
        </w:rPr>
      </w:pPr>
      <w:r>
        <w:rPr>
          <w:rFonts w:ascii="楷体_GB2312" w:eastAsia="楷体_GB2312" w:hAnsi="楷体_GB2312" w:cs="楷体_GB2312"/>
          <w:sz w:val="32"/>
          <w:szCs w:val="32"/>
        </w:rPr>
        <w:t>（</w:t>
      </w:r>
      <w:r>
        <w:rPr>
          <w:rFonts w:ascii="楷体_GB2312" w:eastAsia="楷体_GB2312" w:hAnsi="楷体_GB2312" w:cs="楷体_GB2312"/>
          <w:sz w:val="32"/>
          <w:szCs w:val="32"/>
        </w:rPr>
        <w:t>2）各AP点位网络铺设</w:t>
      </w:r>
    </w:p>
    <w:p>
      <w:pPr>
        <w:pStyle w:val="Heading30"/>
        <w:keepNext w:val="0"/>
        <w:spacing w:before="0" w:after="0" w:line="360" w:lineRule="auto"/>
        <w:rPr>
          <w:rFonts w:ascii="仿宋_GB2312" w:eastAsia="仿宋_GB2312" w:hAnsi="仿宋_GB2312" w:cs="仿宋_GB2312"/>
          <w:b/>
          <w:bCs/>
          <w:sz w:val="28"/>
          <w:szCs w:val="28"/>
        </w:rPr>
      </w:pPr>
      <w:bookmarkStart w:id="10" w:name="_Toc256000006"/>
      <w:r>
        <w:rPr>
          <w:rFonts w:ascii="仿宋_GB2312" w:eastAsia="仿宋_GB2312" w:hAnsi="仿宋_GB2312" w:cs="仿宋_GB2312"/>
          <w:sz w:val="28"/>
          <w:szCs w:val="28"/>
        </w:rPr>
        <w:t>1.2.3项目实施要求</w:t>
      </w:r>
      <w:bookmarkEnd w:id="10"/>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1.2.3.1实施范围要求</w:t>
      </w:r>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采购并安装办公用WIFI系统，替换原有南湖大路办公区主楼及东区WIFI系统，主要包括：主楼及东区各楼层楼道内吸顶WIFI；会议室内高密只顶WIFI；每办公室内加装面板AP，实现主楼及东区内无线覆盖，提供安全可用、信号稳定的WIFI系统。</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1.2.3.2实施时间要求</w:t>
      </w:r>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w:t>
      </w:r>
      <w:r>
        <w:rPr>
          <w:rFonts w:ascii="楷体_GB2312" w:eastAsia="楷体_GB2312" w:hAnsi="楷体_GB2312" w:cs="楷体_GB2312"/>
          <w:sz w:val="32"/>
          <w:szCs w:val="32"/>
        </w:rPr>
        <w:t>交货时间：合同签订后</w:t>
      </w:r>
      <w:r>
        <w:rPr>
          <w:rFonts w:ascii="楷体_GB2312" w:eastAsia="楷体_GB2312" w:hAnsi="楷体_GB2312" w:cs="楷体_GB2312"/>
          <w:sz w:val="32"/>
          <w:szCs w:val="32"/>
        </w:rPr>
        <w:t>15日内，保证所提供设备到货并验收合格，各项指标符合相关技术指标标准。</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安装调试时间：根据省局南湖大路办公区装修进度进行网络铺设、设备安装、调试工作。</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安装完成后进入15日的试运行阶段，需监控此阶段运行状况，促进业务系统优化，并监督后续运维工作，保障无线网络系统稳定运行。</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1.2.3.3实施地点要求</w:t>
      </w:r>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国家税务总局吉林省税务局，长春市南湖大路1518号。</w:t>
      </w:r>
    </w:p>
    <w:p>
      <w:pPr>
        <w:pStyle w:val="Heading10"/>
        <w:keepNext w:val="0"/>
        <w:spacing w:before="0" w:after="0" w:line="360" w:lineRule="auto"/>
        <w:jc w:val="center"/>
        <w:rPr>
          <w:rFonts w:ascii="仿宋_GB2312" w:eastAsia="仿宋_GB2312" w:hAnsi="仿宋_GB2312" w:cs="仿宋_GB2312"/>
          <w:b/>
          <w:bCs/>
          <w:sz w:val="32"/>
          <w:szCs w:val="32"/>
        </w:rPr>
      </w:pPr>
      <w:bookmarkStart w:id="11" w:name="_Toc256000007"/>
      <w:r>
        <w:rPr>
          <w:rFonts w:ascii="仿宋_GB2312" w:eastAsia="仿宋_GB2312" w:hAnsi="仿宋_GB2312" w:cs="仿宋_GB2312"/>
          <w:kern w:val="36"/>
        </w:rPr>
        <w:t>2投标/响应要求</w:t>
      </w:r>
      <w:bookmarkEnd w:id="11"/>
    </w:p>
    <w:p>
      <w:pPr>
        <w:pStyle w:val="Heading20"/>
        <w:keepNext w:val="0"/>
        <w:spacing w:before="0" w:after="0" w:line="360" w:lineRule="auto"/>
        <w:rPr>
          <w:rFonts w:ascii="仿宋_GB2312" w:eastAsia="仿宋_GB2312" w:hAnsi="仿宋_GB2312" w:cs="仿宋_GB2312"/>
          <w:b/>
          <w:bCs/>
          <w:sz w:val="28"/>
          <w:szCs w:val="28"/>
        </w:rPr>
      </w:pPr>
      <w:bookmarkStart w:id="12" w:name="_Toc256000008"/>
      <w:r>
        <w:rPr>
          <w:rFonts w:ascii="仿宋_GB2312" w:eastAsia="仿宋_GB2312" w:hAnsi="仿宋_GB2312" w:cs="仿宋_GB2312"/>
          <w:i w:val="0"/>
          <w:iCs w:val="0"/>
        </w:rPr>
        <w:t>2.1对供应商的要求</w:t>
      </w:r>
      <w:bookmarkEnd w:id="12"/>
    </w:p>
    <w:p>
      <w:pPr>
        <w:pStyle w:val="Heading30"/>
        <w:keepNext w:val="0"/>
        <w:spacing w:before="0" w:after="0" w:line="360" w:lineRule="auto"/>
        <w:rPr>
          <w:rFonts w:ascii="仿宋_GB2312" w:eastAsia="仿宋_GB2312" w:hAnsi="仿宋_GB2312" w:cs="仿宋_GB2312"/>
          <w:b/>
          <w:bCs/>
          <w:sz w:val="28"/>
          <w:szCs w:val="28"/>
        </w:rPr>
      </w:pPr>
      <w:bookmarkStart w:id="13" w:name="_Toc256000009"/>
      <w:r>
        <w:rPr>
          <w:rFonts w:ascii="仿宋_GB2312" w:eastAsia="仿宋_GB2312" w:hAnsi="仿宋_GB2312" w:cs="仿宋_GB2312"/>
          <w:sz w:val="28"/>
          <w:szCs w:val="28"/>
        </w:rPr>
        <w:t>2.1.1必备资质</w:t>
      </w:r>
      <w:bookmarkEnd w:id="13"/>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2.1.1.1投标人应遵守有关国家法律、法规和条例,具备《中华人民共和国政府采购法》第二十二条的规定和本文件中规定的条件。</w:t>
      </w:r>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2.1.1.2本项目的特定资格要求</w:t>
      </w:r>
    </w:p>
    <w:p>
      <w:pPr>
        <w:pStyle w:val="Normal0"/>
        <w:spacing w:before="0" w:after="0" w:line="360" w:lineRule="auto"/>
        <w:rPr>
          <w:rFonts w:ascii="Times New Roman" w:eastAsia="Times New Roman" w:hAnsi="Times New Roman" w:cs="Times New Roman"/>
        </w:rPr>
      </w:pPr>
      <w:r>
        <w:rPr>
          <w:rFonts w:ascii="FangSong_GB2312" w:eastAsia="FangSong_GB2312" w:hAnsi="FangSong_GB2312" w:cs="FangSong_GB2312"/>
          <w:color w:val="95A5A6"/>
          <w:sz w:val="28"/>
          <w:szCs w:val="28"/>
        </w:rPr>
        <w:t>无</w:t>
      </w:r>
    </w:p>
    <w:p>
      <w:pPr>
        <w:pStyle w:val="Heading30"/>
        <w:keepNext w:val="0"/>
        <w:spacing w:before="0" w:after="0" w:line="360" w:lineRule="auto"/>
        <w:rPr>
          <w:rFonts w:ascii="仿宋_GB2312" w:eastAsia="仿宋_GB2312" w:hAnsi="仿宋_GB2312" w:cs="仿宋_GB2312"/>
          <w:b/>
          <w:bCs/>
          <w:sz w:val="28"/>
          <w:szCs w:val="28"/>
        </w:rPr>
      </w:pPr>
      <w:bookmarkStart w:id="14" w:name="_Toc256000010"/>
      <w:r>
        <w:rPr>
          <w:rFonts w:ascii="仿宋_GB2312" w:eastAsia="仿宋_GB2312" w:hAnsi="仿宋_GB2312" w:cs="仿宋_GB2312"/>
          <w:sz w:val="28"/>
          <w:szCs w:val="28"/>
        </w:rPr>
        <w:t>2.1.2优选资质/优选指标</w:t>
      </w:r>
      <w:bookmarkEnd w:id="14"/>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2.1.2.1相关证书</w:t>
      </w:r>
    </w:p>
    <w:tbl>
      <w:tblPr>
        <w:tblStyle w:val="TableNormal"/>
        <w:tblW w:w="5000" w:type="pct"/>
        <w:tblInd w:w="30" w:type="dxa"/>
        <w:tblCellMar>
          <w:top w:w="15" w:type="dxa"/>
          <w:left w:w="15" w:type="dxa"/>
          <w:bottom w:w="15" w:type="dxa"/>
          <w:right w:w="15" w:type="dxa"/>
        </w:tblCellMar>
      </w:tblPr>
      <w:tblGrid>
        <w:gridCol w:w="1449"/>
        <w:gridCol w:w="3458"/>
        <w:gridCol w:w="416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证书名称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信息安全管理体系认证(ISO/IEC 27001)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信息技术服务管理体系认证(ISO/IEC 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认证机构经国家认证认可监督管理委员会批准,有效期内</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质量管理体系认证证书(ISO9001)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认证机构经国家认证认可监督管理委员会批准,有效期内</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2.1.2.2成功案例</w:t>
      </w:r>
    </w:p>
    <w:p>
      <w:pPr>
        <w:pStyle w:val="MsoNormal"/>
        <w:spacing w:before="0" w:after="0" w:line="360" w:lineRule="auto"/>
        <w:ind w:left="0" w:right="0"/>
        <w:jc w:val="both"/>
        <w:rPr>
          <w:rFonts w:ascii="Times New Roman" w:eastAsia="Times New Roman" w:hAnsi="Times New Roman" w:cs="Times New Roman"/>
        </w:rPr>
      </w:pPr>
      <w:r>
        <w:rPr>
          <w:rFonts w:ascii="仿宋_GB2312" w:eastAsia="仿宋_GB2312" w:hAnsi="仿宋_GB2312" w:cs="仿宋_GB2312"/>
          <w:sz w:val="32"/>
          <w:szCs w:val="32"/>
        </w:rPr>
        <w:t>提供</w:t>
      </w:r>
      <w:r>
        <w:rPr>
          <w:rFonts w:ascii="仿宋_GB2312" w:eastAsia="仿宋_GB2312" w:hAnsi="仿宋_GB2312" w:cs="仿宋_GB2312"/>
          <w:sz w:val="32"/>
          <w:szCs w:val="32"/>
        </w:rPr>
        <w:t>2022年1月1日以来（以合同签订日期为准）独立承担类似或相似项目成功案例。</w:t>
      </w:r>
    </w:p>
    <w:p>
      <w:pPr>
        <w:pStyle w:val="Heading30"/>
        <w:keepNext w:val="0"/>
        <w:spacing w:before="0" w:after="0" w:line="360" w:lineRule="auto"/>
        <w:rPr>
          <w:rFonts w:ascii="仿宋_GB2312" w:eastAsia="仿宋_GB2312" w:hAnsi="仿宋_GB2312" w:cs="仿宋_GB2312"/>
          <w:b/>
          <w:bCs/>
          <w:sz w:val="28"/>
          <w:szCs w:val="28"/>
        </w:rPr>
      </w:pPr>
      <w:bookmarkStart w:id="15" w:name="_Toc256000011"/>
      <w:r>
        <w:rPr>
          <w:rFonts w:ascii="仿宋_GB2312" w:eastAsia="仿宋_GB2312" w:hAnsi="仿宋_GB2312" w:cs="仿宋_GB2312"/>
          <w:sz w:val="28"/>
          <w:szCs w:val="28"/>
        </w:rPr>
        <w:t>2.1.3是否允许联合体</w:t>
      </w:r>
      <w:bookmarkEnd w:id="15"/>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否</w:t>
      </w:r>
    </w:p>
    <w:p>
      <w:pPr>
        <w:pStyle w:val="Heading30"/>
        <w:keepNext w:val="0"/>
        <w:spacing w:before="0" w:after="0" w:line="360" w:lineRule="auto"/>
        <w:rPr>
          <w:rFonts w:ascii="仿宋_GB2312" w:eastAsia="仿宋_GB2312" w:hAnsi="仿宋_GB2312" w:cs="仿宋_GB2312"/>
          <w:b/>
          <w:bCs/>
          <w:sz w:val="28"/>
          <w:szCs w:val="28"/>
        </w:rPr>
      </w:pPr>
      <w:bookmarkStart w:id="16" w:name="_Toc256000012"/>
      <w:r>
        <w:rPr>
          <w:rFonts w:ascii="仿宋_GB2312" w:eastAsia="仿宋_GB2312" w:hAnsi="仿宋_GB2312" w:cs="仿宋_GB2312"/>
          <w:sz w:val="28"/>
          <w:szCs w:val="28"/>
        </w:rPr>
        <w:t>2.1.4是否专门面向中小企业</w:t>
      </w:r>
      <w:bookmarkEnd w:id="16"/>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本项目不专门面向中小企业采购项目</w:t>
      </w:r>
    </w:p>
    <w:p>
      <w:pPr>
        <w:pStyle w:val="Heading30"/>
        <w:keepNext w:val="0"/>
        <w:spacing w:before="0" w:after="0" w:line="360" w:lineRule="auto"/>
        <w:rPr>
          <w:rFonts w:ascii="仿宋_GB2312" w:eastAsia="仿宋_GB2312" w:hAnsi="仿宋_GB2312" w:cs="仿宋_GB2312"/>
          <w:b/>
          <w:bCs/>
          <w:sz w:val="28"/>
          <w:szCs w:val="28"/>
        </w:rPr>
      </w:pPr>
      <w:bookmarkStart w:id="17" w:name="_Toc256000013"/>
      <w:r>
        <w:rPr>
          <w:rFonts w:ascii="仿宋_GB2312" w:eastAsia="仿宋_GB2312" w:hAnsi="仿宋_GB2312" w:cs="仿宋_GB2312"/>
          <w:sz w:val="28"/>
          <w:szCs w:val="28"/>
        </w:rPr>
        <w:t>2.1.5其他要求</w:t>
      </w:r>
      <w:bookmarkEnd w:id="17"/>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20"/>
        <w:keepNext w:val="0"/>
        <w:spacing w:before="0" w:after="0" w:line="360" w:lineRule="auto"/>
        <w:rPr>
          <w:rFonts w:ascii="仿宋_GB2312" w:eastAsia="仿宋_GB2312" w:hAnsi="仿宋_GB2312" w:cs="仿宋_GB2312"/>
          <w:b/>
          <w:bCs/>
          <w:sz w:val="28"/>
          <w:szCs w:val="28"/>
        </w:rPr>
      </w:pPr>
      <w:bookmarkStart w:id="18" w:name="_Toc256000014"/>
      <w:r>
        <w:rPr>
          <w:rFonts w:ascii="仿宋_GB2312" w:eastAsia="仿宋_GB2312" w:hAnsi="仿宋_GB2312" w:cs="仿宋_GB2312"/>
          <w:i w:val="0"/>
          <w:iCs w:val="0"/>
        </w:rPr>
        <w:t>2.2技术部分投标/响应内容</w:t>
      </w:r>
      <w:bookmarkEnd w:id="18"/>
    </w:p>
    <w:p>
      <w:pPr>
        <w:pStyle w:val="Heading30"/>
        <w:keepNext w:val="0"/>
        <w:spacing w:before="0" w:after="0" w:line="360" w:lineRule="auto"/>
        <w:rPr>
          <w:rFonts w:ascii="仿宋_GB2312" w:eastAsia="仿宋_GB2312" w:hAnsi="仿宋_GB2312" w:cs="仿宋_GB2312"/>
          <w:b/>
          <w:bCs/>
          <w:sz w:val="28"/>
          <w:szCs w:val="28"/>
        </w:rPr>
      </w:pPr>
      <w:bookmarkStart w:id="19" w:name="_Toc256000015"/>
      <w:r>
        <w:rPr>
          <w:rFonts w:ascii="仿宋_GB2312" w:eastAsia="仿宋_GB2312" w:hAnsi="仿宋_GB2312" w:cs="仿宋_GB2312"/>
          <w:sz w:val="28"/>
          <w:szCs w:val="28"/>
        </w:rPr>
        <w:t>2.2.1技术投标/响应总要求</w:t>
      </w:r>
      <w:bookmarkEnd w:id="19"/>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★（1）提供法人或者其他组织的营业执照等证明文件（复印件）。</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★（2）提供2024年度经会计师事务所审计的财务报告，包括资产负债表、利润表(损益表、收益表)、现金流量表。</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★（3）提供近6个月内已缴存的至少两个月的纳税证明或完税证明的相关材料，如依法免税或不需要纳税的，则应提供相应文件证明（复印件）。</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★（4）提供近6个月内已缴存的至少两个月的社会保障资金缴存单据或社保机构开具的社会保险参保缴费情况证明的相关材料，如依法不需要缴纳社会保障资金的，则应提供相应文件证明（复印件）。</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★（5）参加本项目投标前三年内，在经营活动中没有重大违法记录（指供应商因违法经营受到刑事或者责令停产停业，吊销许可证或者执照，较大数额罚款等行政处罚）的书面声明。</w:t>
      </w:r>
    </w:p>
    <w:p>
      <w:pPr>
        <w:pStyle w:val="MsoNormal"/>
        <w:spacing w:before="0" w:after="0" w:line="360" w:lineRule="auto"/>
        <w:rPr>
          <w:rFonts w:ascii="Times New Roman" w:eastAsia="Times New Roman" w:hAnsi="Times New Roman" w:cs="Times New Roman"/>
        </w:rPr>
      </w:pPr>
      <w:r>
        <w:rPr>
          <w:rFonts w:ascii="Times New Roman" w:eastAsia="Times New Roman" w:hAnsi="Times New Roman" w:cs="Times New Roman"/>
        </w:rPr>
        <w:t>★（6）具备履行合同所必需的设备和专业技术能力的证明材料（由供应商根据项目需求提供说明材料或者承诺）。</w:t>
      </w:r>
    </w:p>
    <w:p>
      <w:pPr>
        <w:pStyle w:val="Heading30"/>
        <w:keepNext w:val="0"/>
        <w:spacing w:before="0" w:after="0" w:line="360" w:lineRule="auto"/>
        <w:rPr>
          <w:rFonts w:ascii="仿宋_GB2312" w:eastAsia="仿宋_GB2312" w:hAnsi="仿宋_GB2312" w:cs="仿宋_GB2312"/>
          <w:b/>
          <w:bCs/>
          <w:sz w:val="28"/>
          <w:szCs w:val="28"/>
        </w:rPr>
      </w:pPr>
      <w:bookmarkStart w:id="20" w:name="_Toc256000016"/>
      <w:r>
        <w:rPr>
          <w:rFonts w:ascii="仿宋_GB2312" w:eastAsia="仿宋_GB2312" w:hAnsi="仿宋_GB2312" w:cs="仿宋_GB2312"/>
          <w:sz w:val="28"/>
          <w:szCs w:val="28"/>
        </w:rPr>
        <w:t>2.2.2投标/响应方案要求</w:t>
      </w:r>
      <w:bookmarkEnd w:id="20"/>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以下相关方案，若作为评审因素，则投标人应在满足★关键指标项要求的前提下，根据项目特点和采购需求，制定更为完整、详细、可操作性强的方案。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1.项目管理实施方案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2、技术服务方案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3.应急及安全保障方案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4.保密方案</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5</w:t>
      </w:r>
      <w:r>
        <w:rPr>
          <w:rFonts w:ascii="仿宋_GB2312" w:eastAsia="仿宋_GB2312" w:hAnsi="仿宋_GB2312" w:cs="仿宋_GB2312"/>
          <w:sz w:val="28"/>
          <w:szCs w:val="28"/>
        </w:rPr>
        <w:t>.验收方案</w:t>
      </w:r>
    </w:p>
    <w:p>
      <w:pPr>
        <w:pStyle w:val="Heading10"/>
        <w:keepNext w:val="0"/>
        <w:spacing w:before="0" w:after="0" w:line="360" w:lineRule="auto"/>
        <w:jc w:val="center"/>
        <w:rPr>
          <w:rFonts w:ascii="仿宋_GB2312" w:eastAsia="仿宋_GB2312" w:hAnsi="仿宋_GB2312" w:cs="仿宋_GB2312"/>
          <w:b/>
          <w:bCs/>
          <w:sz w:val="32"/>
          <w:szCs w:val="32"/>
        </w:rPr>
      </w:pPr>
      <w:bookmarkStart w:id="21" w:name="_Toc256000017"/>
      <w:r>
        <w:rPr>
          <w:rFonts w:ascii="仿宋_GB2312" w:eastAsia="仿宋_GB2312" w:hAnsi="仿宋_GB2312" w:cs="仿宋_GB2312"/>
          <w:kern w:val="36"/>
        </w:rPr>
        <w:t>3项目需求</w:t>
      </w:r>
      <w:bookmarkEnd w:id="21"/>
    </w:p>
    <w:p>
      <w:pPr>
        <w:pStyle w:val="Heading20"/>
        <w:keepNext w:val="0"/>
        <w:spacing w:before="0" w:after="0" w:line="360" w:lineRule="auto"/>
        <w:rPr>
          <w:rFonts w:ascii="仿宋_GB2312" w:eastAsia="仿宋_GB2312" w:hAnsi="仿宋_GB2312" w:cs="仿宋_GB2312"/>
          <w:b/>
          <w:bCs/>
          <w:sz w:val="28"/>
          <w:szCs w:val="28"/>
        </w:rPr>
      </w:pPr>
      <w:bookmarkStart w:id="22" w:name="_Toc256000018"/>
      <w:r>
        <w:rPr>
          <w:rFonts w:ascii="仿宋_GB2312" w:eastAsia="仿宋_GB2312" w:hAnsi="仿宋_GB2312" w:cs="仿宋_GB2312"/>
          <w:i w:val="0"/>
          <w:iCs w:val="0"/>
        </w:rPr>
        <w:t>3.1总体要求</w:t>
      </w:r>
      <w:bookmarkEnd w:id="22"/>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楷体_GB2312" w:eastAsia="楷体_GB2312" w:hAnsi="楷体_GB2312" w:cs="楷体_GB2312"/>
          <w:sz w:val="32"/>
          <w:szCs w:val="32"/>
        </w:rPr>
        <w:t>1、WIFI设计方案及设备选型应具备易安装、易管理、可控制、安全性高、可靠性强等特点；</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2、各楼层交换机通过光纤汇聚至3楼主机房；</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3、楼层内使用6类网线经棚顶连接至各WIFI点位；</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4、各楼层WIFI点位布局无死角；</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5、WIFI点位布局合理便于无线平移；</w:t>
      </w:r>
    </w:p>
    <w:p>
      <w:pPr>
        <w:pStyle w:val="MsoNormal"/>
        <w:spacing w:before="0" w:after="0" w:line="360" w:lineRule="auto"/>
        <w:rPr>
          <w:rFonts w:ascii="Times New Roman" w:eastAsia="Times New Roman" w:hAnsi="Times New Roman" w:cs="Times New Roman"/>
        </w:rPr>
      </w:pPr>
      <w:r>
        <w:rPr>
          <w:rFonts w:ascii="楷体_GB2312" w:eastAsia="楷体_GB2312" w:hAnsi="楷体_GB2312" w:cs="楷体_GB2312"/>
          <w:sz w:val="32"/>
          <w:szCs w:val="32"/>
        </w:rPr>
        <w:t>    6、各办公室内加装WIFI面板点位保证室内WIFI信号强度以提供高可用性。</w:t>
      </w:r>
    </w:p>
    <w:p>
      <w:pPr>
        <w:pStyle w:val="Heading20"/>
        <w:keepNext w:val="0"/>
        <w:spacing w:before="0" w:after="0" w:line="360" w:lineRule="auto"/>
        <w:rPr>
          <w:rFonts w:ascii="仿宋_GB2312" w:eastAsia="仿宋_GB2312" w:hAnsi="仿宋_GB2312" w:cs="仿宋_GB2312"/>
          <w:b/>
          <w:bCs/>
          <w:sz w:val="28"/>
          <w:szCs w:val="28"/>
        </w:rPr>
      </w:pPr>
      <w:bookmarkStart w:id="23" w:name="_Toc256000019"/>
      <w:r>
        <w:rPr>
          <w:rFonts w:ascii="仿宋_GB2312" w:eastAsia="仿宋_GB2312" w:hAnsi="仿宋_GB2312" w:cs="仿宋_GB2312"/>
          <w:i w:val="0"/>
          <w:iCs w:val="0"/>
        </w:rPr>
        <w:t>3.2采购产品一览表</w:t>
      </w:r>
      <w:bookmarkEnd w:id="23"/>
    </w:p>
    <w:tbl>
      <w:tblPr>
        <w:tblStyle w:val="TableNormal"/>
        <w:tblW w:w="5000" w:type="pct"/>
        <w:tblInd w:w="30" w:type="dxa"/>
        <w:tblCellMar>
          <w:top w:w="15" w:type="dxa"/>
          <w:left w:w="15" w:type="dxa"/>
          <w:bottom w:w="15" w:type="dxa"/>
          <w:right w:w="15" w:type="dxa"/>
        </w:tblCellMar>
      </w:tblPr>
      <w:tblGrid>
        <w:gridCol w:w="784"/>
        <w:gridCol w:w="1546"/>
        <w:gridCol w:w="2154"/>
        <w:gridCol w:w="1595"/>
        <w:gridCol w:w="1495"/>
        <w:gridCol w:w="1496"/>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产品名称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数量</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单位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备注</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面板AP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265.0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吸顶AP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139.0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高密吸顶AP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24口POE交换机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26.0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46.0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AC</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网络控制器(AC)</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汇聚交换机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米</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六类网线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辅材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辅材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系统集成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光纤铺设、网线铺设、设备安装与调试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r>
    </w:tbl>
    <w:p>
      <w:pPr>
        <w:pStyle w:val="Heading20"/>
        <w:keepNext w:val="0"/>
        <w:spacing w:before="0" w:after="0" w:line="360" w:lineRule="auto"/>
        <w:rPr>
          <w:rFonts w:ascii="仿宋_GB2312" w:eastAsia="仿宋_GB2312" w:hAnsi="仿宋_GB2312" w:cs="仿宋_GB2312"/>
          <w:b/>
          <w:bCs/>
          <w:sz w:val="28"/>
          <w:szCs w:val="28"/>
        </w:rPr>
      </w:pPr>
      <w:bookmarkStart w:id="24" w:name="_Toc256000020"/>
      <w:r>
        <w:rPr>
          <w:rFonts w:ascii="仿宋_GB2312" w:eastAsia="仿宋_GB2312" w:hAnsi="仿宋_GB2312" w:cs="仿宋_GB2312"/>
          <w:i w:val="0"/>
          <w:iCs w:val="0"/>
        </w:rPr>
        <w:t>3.3采购产品详细清单及技术指标</w:t>
      </w:r>
      <w:bookmarkEnd w:id="24"/>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采购文件（技术部分）中有标注★号的，为必备服务要求，必须满足，如未作出响应，将导致响应无效；#为重要服务内容、△为一般服务内容。</w:t>
      </w:r>
    </w:p>
    <w:p>
      <w:pPr>
        <w:pStyle w:val="Heading30"/>
        <w:keepNext w:val="0"/>
        <w:spacing w:before="0" w:after="0" w:line="360" w:lineRule="auto"/>
        <w:rPr>
          <w:rFonts w:ascii="仿宋_GB2312" w:eastAsia="仿宋_GB2312" w:hAnsi="仿宋_GB2312" w:cs="仿宋_GB2312"/>
          <w:b/>
          <w:bCs/>
          <w:sz w:val="28"/>
          <w:szCs w:val="28"/>
        </w:rPr>
      </w:pPr>
      <w:bookmarkStart w:id="25" w:name="_Toc256000021"/>
      <w:r>
        <w:rPr>
          <w:rFonts w:ascii="仿宋_GB2312" w:eastAsia="仿宋_GB2312" w:hAnsi="仿宋_GB2312" w:cs="仿宋_GB2312"/>
          <w:sz w:val="28"/>
          <w:szCs w:val="28"/>
        </w:rPr>
        <w:t>3.3.1AP</w:t>
      </w:r>
      <w:bookmarkEnd w:id="25"/>
    </w:p>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3.3.1.1面板AP</w:t>
      </w:r>
    </w:p>
    <w:tbl>
      <w:tblPr>
        <w:tblStyle w:val="TableNormal"/>
        <w:tblW w:w="5000" w:type="pct"/>
        <w:tblInd w:w="30" w:type="dxa"/>
        <w:tblCellMar>
          <w:top w:w="15" w:type="dxa"/>
          <w:left w:w="15" w:type="dxa"/>
          <w:bottom w:w="15" w:type="dxa"/>
          <w:right w:w="15" w:type="dxa"/>
        </w:tblCellMar>
      </w:tblPr>
      <w:tblGrid>
        <w:gridCol w:w="192"/>
        <w:gridCol w:w="326"/>
        <w:gridCol w:w="467"/>
        <w:gridCol w:w="7221"/>
        <w:gridCol w:w="255"/>
        <w:gridCol w:w="609"/>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协议类型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 支持标准802.11ax 、802.11ac wave2、wave1、802.11a/b/g/n协议。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接入速率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支持双频4条流，整机最大接入速率2976 Mbps。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标准86面板AP，整机自带：1个上联10/100/1000Mbps自协商以太网口，1个下联10/100/1000Mbps自协商以太网口。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供电模式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支持标准PoE以太网供电（支持802.3af/802.3at兼容供电），整机功耗≤10.2W。</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温度区间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0°C～40°C正常工作。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无故障时间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平均无故障工作时间≥400000小时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灵活配置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支持云AC管理，支持云AC二层漫游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支持APP本地或者远程统一运维管理，能够呈现设备的在线状态、相关网络拓扑、无线功能配置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在线状态查询、配置修改，无线用户终端详情：包含用户mac地址、信号强度、频段、总流量、终端os类型、终端厂商等，实配网管平台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支持网管平台集中管理，实配网管平台，出现设备掉线、CPU状态、内存状态等问题通过APP告警推送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一体化统一组网，并通过网关对交换、AP、AC进行集中化的调试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支持智能漫游，支持802.11K/V协议，支持快速漫游（802.11r），解决漫游粘滞，提高漫出信号强度，缩短漫游切换时间，降低丢包率。基于大数据算法，自动对网络进行智能优化，为用户提供流畅快速的网络环境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设备流控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支持无线流量控制(WQOS)，其中包括：无线限速、AP限速、报文限速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线路自愈备份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 mesh,可以扩展Wi-Fi 覆盖范围并提高网络性能，支持mesh自愈，有线链路断开可以自行无线mesh，恢复网络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故障自查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支持智能诊断网络故障，提供解决方案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支持云地勘出方案，根据平面图自动布点、一键出方案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终端绑定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支持终端关联绑定，指定终端连接到最优AP，避免终端频繁连接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信道优化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支持无线智能网优，合理分配整网频谱资源，调节最优信道，最佳频宽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黑白名单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为保证无线网络安全，在无线网络中,黑白名单功能可以对无线客户端进行帧过滤，要求所投产品支持不小于256的黑白名单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3.3.1.2吸顶AP</w:t>
      </w:r>
    </w:p>
    <w:tbl>
      <w:tblPr>
        <w:tblStyle w:val="TableNormal"/>
        <w:tblW w:w="5000" w:type="pct"/>
        <w:tblInd w:w="30" w:type="dxa"/>
        <w:tblCellMar>
          <w:top w:w="15" w:type="dxa"/>
          <w:left w:w="15" w:type="dxa"/>
          <w:bottom w:w="15" w:type="dxa"/>
          <w:right w:w="15" w:type="dxa"/>
        </w:tblCellMar>
      </w:tblPr>
      <w:tblGrid>
        <w:gridCol w:w="218"/>
        <w:gridCol w:w="369"/>
        <w:gridCol w:w="530"/>
        <w:gridCol w:w="6975"/>
        <w:gridCol w:w="288"/>
        <w:gridCol w:w="690"/>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协议类型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 支持标准802.11ax 、802.11ac wave2、wave1、802.11a/b/g/n协议。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接入速率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支持双频5条流，整机最大接入速率2976 Mbps。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标准吸顶部署AP，提供1个10/100/1000Mpbs自协商以太网口和一个DC电源口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供电模式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支持IEEE 802.3at（PoE+）以太网供电及12V DC供电，整机功耗≤18W</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设备信号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信号参数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支持EFEM,完成射频信号的发送和接收放大、功率检测、控制和开关，提升4倍信号功率，2.4G发射功率≤25 dBm，5G发射功率≤25 dBm</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温度区间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0°C～40°C正常工作。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无故障时间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平均无故障工作时间≥250000小时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灵活配置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支持云AC管理，支持云AC二层漫游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支持APP本地或者远程统一运维管理，能够呈现设备的在线状态、相关网络拓扑、无线功能配置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在线状态查询、配置修改，无线用户终端详情：包含用户mac地址、信号强度、频段、总流量、终端os类型、终端厂商等，实配网管平台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支持网管平台集中管理，实配网管平台，出现设备掉线、CPU状态、内存状态等问题通过APP告警推送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一体化统一组网，并通过网关对交换、AP、AC进行集中化的调试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支持智能漫游，支持802.11K/V协议，支持快速漫游（802.11r），解决漫游粘滞，提高漫出信号强度，缩短漫游切换时间，降低丢包率。基于大数据算法，自动对网络进行智能优化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设备流控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支持无线流量控制(WQOS)，其中包括：无线限速、AP限速、报文限速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线路自愈备份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 mesh,可以扩展Wi-Fi 覆盖范围并提高网络性能，支持mesh自愈，有线链路断开可以自行无线mesh，恢复网络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故障自查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支持智能诊断网络故障，提供解决方案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支持云地勘出方案，根据平面图自动布点、一键出方案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终端绑定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支持终端关联绑定，指定终端连接到最优AP，避免终端频繁连接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信道优化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支持无线智能网优，合理分配整网频谱资源，调节最优信道，最佳频宽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40"/>
        <w:keepNext w:val="0"/>
        <w:spacing w:before="0" w:after="0" w:line="360" w:lineRule="auto"/>
        <w:rPr>
          <w:rFonts w:ascii="仿宋_GB2312" w:eastAsia="仿宋_GB2312" w:hAnsi="仿宋_GB2312" w:cs="仿宋_GB2312"/>
          <w:b/>
          <w:bCs/>
          <w:sz w:val="28"/>
          <w:szCs w:val="28"/>
        </w:rPr>
      </w:pPr>
      <w:r>
        <w:rPr>
          <w:rFonts w:ascii="仿宋_GB2312" w:eastAsia="仿宋_GB2312" w:hAnsi="仿宋_GB2312" w:cs="仿宋_GB2312"/>
        </w:rPr>
        <w:t>3.3.1.3高密吸顶AP</w:t>
      </w:r>
    </w:p>
    <w:tbl>
      <w:tblPr>
        <w:tblStyle w:val="TableNormal"/>
        <w:tblW w:w="5000" w:type="pct"/>
        <w:tblInd w:w="30" w:type="dxa"/>
        <w:tblCellMar>
          <w:top w:w="15" w:type="dxa"/>
          <w:left w:w="15" w:type="dxa"/>
          <w:bottom w:w="15" w:type="dxa"/>
          <w:right w:w="15" w:type="dxa"/>
        </w:tblCellMar>
      </w:tblPr>
      <w:tblGrid>
        <w:gridCol w:w="218"/>
        <w:gridCol w:w="369"/>
        <w:gridCol w:w="530"/>
        <w:gridCol w:w="6975"/>
        <w:gridCol w:w="288"/>
        <w:gridCol w:w="690"/>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协议类型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 支持标准802.11ax 、802.11ac wave2、wave1、802.11a/b/g/n协议。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接入速率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支持双频5条流，整机最大接入速率2976 Mbps。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接口类型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标准吸顶部署AP，提供1个2.5Gbps自协调以太网口和1个10/100/1000Mpbs自适应以太网口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电源模块</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供电模式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支持IEEE 802.3at（PoE+）以太网供电和本地供电（DC 12V），整机功耗≤18W</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设备信号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信号参数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支持EFEM,完成射频信号的发送和接收放大、功率检测、控制和开关，提升4倍信号功率，2.4G发射功率≤25 dBm，5G发射功率≤25 dBm</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温度区间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0°C～40°C正常工作。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无故障时间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平均无故障工作时间≥250000小时</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灵活配置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支持云AC管理，支持云AC二层漫游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支持APP本地或者远程统一运维管理，能够呈现设备的在线状态、相关网络拓扑、无线功能配置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通过同一品牌的网管软件实现：在线状态查询、配置修改，无线用户终端详情：包含用户mac地址、信号强度、频段、总流量、终端os类型、终端厂商等，实配网管平台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配置管理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支持网管平台集中管理，实配网管平台，出现设备掉线、CPU状态、内存状态等问题通过APP告警推送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一体化统一组网，并通过网关对交换、AP、AC进行集中化的调试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设备漫游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支持智能漫游，支持802.11K/V协议，支持快速漫游（802.11r），解决漫游粘滞，提高漫出信号强度，缩短漫游切换时间，降低丢包率。基于大数据算法，自动对网络进行智能优化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支持802.1x认证，搭配云平台进行账号认证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 Portal认证，搭配云平台进行多种方式认证：一键上网、短信认证、账号认证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设备流控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支持无线流量控制(WQOS)，其中包括：无线限速、AP限速、报文限速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线路自愈备份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 mesh,可以扩展Wi-Fi 覆盖范围并提高网络性能，支持mesh自愈，有线链路断开可以自行无线mesh，恢复网络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故障自查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支持智能诊断网络故障，提供解决方案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支持云地勘出方案，根据平面图自动布点、一键出方案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终端绑定</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支持终端关联绑定，指定终端连接到最优AP，避免终端频繁连接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负载均衡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支持AP负载均衡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信道优化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支持无线智能网优，合理分配整网频谱资源，调节最优信道，最佳频宽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26" w:name="_Toc256000022"/>
      <w:r>
        <w:rPr>
          <w:rFonts w:ascii="仿宋_GB2312" w:eastAsia="仿宋_GB2312" w:hAnsi="仿宋_GB2312" w:cs="仿宋_GB2312"/>
          <w:sz w:val="28"/>
          <w:szCs w:val="28"/>
        </w:rPr>
        <w:t>3.3.2网络交换机</w:t>
      </w:r>
      <w:bookmarkEnd w:id="26"/>
    </w:p>
    <w:tbl>
      <w:tblPr>
        <w:tblStyle w:val="TableNormal"/>
        <w:tblW w:w="5000" w:type="pct"/>
        <w:tblInd w:w="30" w:type="dxa"/>
        <w:tblCellMar>
          <w:top w:w="15" w:type="dxa"/>
          <w:left w:w="15" w:type="dxa"/>
          <w:bottom w:w="15" w:type="dxa"/>
          <w:right w:w="15" w:type="dxa"/>
        </w:tblCellMar>
      </w:tblPr>
      <w:tblGrid>
        <w:gridCol w:w="227"/>
        <w:gridCol w:w="384"/>
        <w:gridCol w:w="590"/>
        <w:gridCol w:w="6849"/>
        <w:gridCol w:w="301"/>
        <w:gridCol w:w="719"/>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固化千兆电接口数≥24个，万兆SFP光口≥4个（配置2个万兆单模光模块，最大传输距离10KM，LC），最大可用端口≥28个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供电模式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POE供电</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支持PoE供电口≥24个，整机最大PoE供电功率370W，单端口最大PoE供电功率30W</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包转发率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内存512MB，交换容量≥336Gbps，包转发率≥108Mpps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交换缓存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交换缓存≥12Mbit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支持生成树 STP / RSTP ; 提高容错能力，保证网络的稳定运行和链路的负载均衡，合理使用网络通道，提供冗余链路利用率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环路检测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支持防环路检测，自动解决环路问题</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链路聚合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支持静态链路聚合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端口镜像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支持端口镜像，多对一镜像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DHCP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支持DHCP Snooping</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VLAN划分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支持VLAN划分，可划分VLAN≥4094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节能模式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支持高效节能以太网（EEE），端口如果在连续一段时间之内空闲，系统会将该端口设置为节能模式，当有报文收发时再通过定时发送的监听码流唤醒端口恢复业务，达到节能的效果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安全保障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防雷指标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支持防雷等级≥6kV</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QOS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支持QoS(支持端口输出和输入流量限速)</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ACL</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支持标准的ACL、支持基于IP/MAC扩展的ACL</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安全保障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CPP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支持CPU安全保护策略(硬件CPP)</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温度区间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工作温度范围0ºC ~ 50ºC</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27" w:name="_Toc256000023"/>
      <w:r>
        <w:rPr>
          <w:rFonts w:ascii="仿宋_GB2312" w:eastAsia="仿宋_GB2312" w:hAnsi="仿宋_GB2312" w:cs="仿宋_GB2312"/>
          <w:sz w:val="28"/>
          <w:szCs w:val="28"/>
        </w:rPr>
        <w:t>3.3.3光模块</w:t>
      </w:r>
      <w:bookmarkEnd w:id="27"/>
    </w:p>
    <w:tbl>
      <w:tblPr>
        <w:tblStyle w:val="TableNormal"/>
        <w:tblW w:w="5000" w:type="pct"/>
        <w:tblInd w:w="30" w:type="dxa"/>
        <w:tblCellMar>
          <w:top w:w="15" w:type="dxa"/>
          <w:left w:w="15" w:type="dxa"/>
          <w:bottom w:w="15" w:type="dxa"/>
          <w:right w:w="15" w:type="dxa"/>
        </w:tblCellMar>
      </w:tblPr>
      <w:tblGrid>
        <w:gridCol w:w="667"/>
        <w:gridCol w:w="1354"/>
        <w:gridCol w:w="1303"/>
        <w:gridCol w:w="2988"/>
        <w:gridCol w:w="1254"/>
        <w:gridCol w:w="150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光模块类型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模块类型</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最大传输距离10KM,双纤口,适用LC型接头跳线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28" w:name="_Toc256000024"/>
      <w:r>
        <w:rPr>
          <w:rFonts w:ascii="仿宋_GB2312" w:eastAsia="仿宋_GB2312" w:hAnsi="仿宋_GB2312" w:cs="仿宋_GB2312"/>
          <w:sz w:val="28"/>
          <w:szCs w:val="28"/>
        </w:rPr>
        <w:t>3.3.4网络控制器</w:t>
      </w:r>
      <w:bookmarkEnd w:id="28"/>
    </w:p>
    <w:tbl>
      <w:tblPr>
        <w:tblStyle w:val="TableNormal"/>
        <w:tblW w:w="5000" w:type="pct"/>
        <w:tblInd w:w="30" w:type="dxa"/>
        <w:tblCellMar>
          <w:top w:w="15" w:type="dxa"/>
          <w:left w:w="15" w:type="dxa"/>
          <w:bottom w:w="15" w:type="dxa"/>
          <w:right w:w="15" w:type="dxa"/>
        </w:tblCellMar>
      </w:tblPr>
      <w:tblGrid>
        <w:gridCol w:w="188"/>
        <w:gridCol w:w="318"/>
        <w:gridCol w:w="457"/>
        <w:gridCol w:w="7263"/>
        <w:gridCol w:w="249"/>
        <w:gridCol w:w="595"/>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基础接口</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可管理全网设备数（包括：网关+交换机+AP）共512个，免License授权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接口数量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1000/100/10 Mbps≥5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在线用户数量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在线无线用户数目≥2K</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数据接入</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根据网络的SSID和用户VLAN的规划，数据可直接进入有线网络进行本地交换</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组网方式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支持二层和三层的组网，支持跨AP跨三层快速漫游，三层漫游可支持基于SSID生效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快速配置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支持全网设备(包括网关，交换机，无线ap)自动发现，全网设备统一集中配置和管理，包括全网设备集中配置，全网设备升级，全网设备密码管理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快速维护</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内置云控制模式，该模式支持以真实拓扑为入口对全网设备进行可视化配置，可视化监控，可视化管理，包括网关，交换机，无线AP；可实时监测网络环境，故障告警定位，支持内网监控摄像头扫描与智能识别，支持内网穿透远程管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安全保障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支持802.1x认证，搭配云平台进行账号认证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安全保障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认证方式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支持AP Portal认证，搭配云平台进行多种方式认证：一键上网、短信认证、账号认证</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信道优化</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支持无线智能网优，合理分配整网频谱资源，调节最优信道，最佳频宽</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黑白名单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黑白名单数≥1024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29" w:name="_Toc256000025"/>
      <w:r>
        <w:rPr>
          <w:rFonts w:ascii="仿宋_GB2312" w:eastAsia="仿宋_GB2312" w:hAnsi="仿宋_GB2312" w:cs="仿宋_GB2312"/>
          <w:sz w:val="28"/>
          <w:szCs w:val="28"/>
        </w:rPr>
        <w:t>3.3.5汇聚交换机</w:t>
      </w:r>
      <w:bookmarkEnd w:id="29"/>
    </w:p>
    <w:tbl>
      <w:tblPr>
        <w:tblStyle w:val="TableNormal"/>
        <w:tblW w:w="5000" w:type="pct"/>
        <w:tblInd w:w="30" w:type="dxa"/>
        <w:tblCellMar>
          <w:top w:w="15" w:type="dxa"/>
          <w:left w:w="15" w:type="dxa"/>
          <w:bottom w:w="15" w:type="dxa"/>
          <w:right w:w="15" w:type="dxa"/>
        </w:tblCellMar>
      </w:tblPr>
      <w:tblGrid>
        <w:gridCol w:w="231"/>
        <w:gridCol w:w="391"/>
        <w:gridCol w:w="391"/>
        <w:gridCol w:w="7018"/>
        <w:gridCol w:w="306"/>
        <w:gridCol w:w="73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交换机箱</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三层交换机主机箱，共3个业务线卡槽位，无引擎槽位</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交换容量≥38.4Tbps/168Tbps，包转发率≥7200Mpps/36000Mpps。支持双频4条流，整机最大接入速率≥1775Mbps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插槽数量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整机独立插槽≥3个，系统电源槽位≥2个</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模块数量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万兆光口≥24个，千兆电口≥24个，千兆光口≥24个，双电源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机箱尺寸</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高度&lt;=4U</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节能参数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支持高效节能以太网（IEEE），端口如果在连续一段时间之内空闲，系统会将该端口设置为节能模式，当有报文收发时再通过定时发送的监听码流唤醒端口恢复业务，达到节能的效果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安全保障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防雷指标</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≥6kV</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8</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快速配置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支持对交换机、无线AP进行统一管理，管理的交换机、无线AP设备数量≥300台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9</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可维护性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网络监控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支持网管平台和手机APP集中管理，实配网管平台，出现交换机端口状态改变、网络出现环路、交换机端口流量过阀值等问题通过微信告警推送，提供功能截图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高可用性</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简易安装</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支持对全网同品牌设备进行统一的发现，并通过网关对交换、AP、AC进行集中化的调试</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30"/>
        <w:keepNext w:val="0"/>
        <w:spacing w:before="0" w:after="0" w:line="360" w:lineRule="auto"/>
        <w:rPr>
          <w:rFonts w:ascii="仿宋_GB2312" w:eastAsia="仿宋_GB2312" w:hAnsi="仿宋_GB2312" w:cs="仿宋_GB2312"/>
          <w:b/>
          <w:bCs/>
          <w:sz w:val="28"/>
          <w:szCs w:val="28"/>
        </w:rPr>
      </w:pPr>
      <w:bookmarkStart w:id="30" w:name="_Toc256000026"/>
      <w:r>
        <w:rPr>
          <w:rFonts w:ascii="仿宋_GB2312" w:eastAsia="仿宋_GB2312" w:hAnsi="仿宋_GB2312" w:cs="仿宋_GB2312"/>
          <w:sz w:val="28"/>
          <w:szCs w:val="28"/>
        </w:rPr>
        <w:t>3.3.6网线</w:t>
      </w:r>
      <w:bookmarkEnd w:id="30"/>
    </w:p>
    <w:tbl>
      <w:tblPr>
        <w:tblStyle w:val="TableNormal"/>
        <w:tblW w:w="5000" w:type="pct"/>
        <w:tblInd w:w="30" w:type="dxa"/>
        <w:tblCellMar>
          <w:top w:w="15" w:type="dxa"/>
          <w:left w:w="15" w:type="dxa"/>
          <w:bottom w:w="15" w:type="dxa"/>
          <w:right w:w="15" w:type="dxa"/>
        </w:tblCellMar>
      </w:tblPr>
      <w:tblGrid>
        <w:gridCol w:w="725"/>
        <w:gridCol w:w="1427"/>
        <w:gridCol w:w="1427"/>
        <w:gridCol w:w="2522"/>
        <w:gridCol w:w="1389"/>
        <w:gridCol w:w="1580"/>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线缆外皮</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抗拉、抗扭、耐磨、防水、撕裂绳自剥皮线缆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线材型号</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CAT6 传输带宽250MHZ</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芯线材质</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符合国家标准：GB/T3953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防火阻燃</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符合国家标准：GB/T 18380.22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5</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基础参数</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环保材料</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所用材料均符合RoHS</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30"/>
        <w:keepNext w:val="0"/>
        <w:spacing w:before="0" w:after="0" w:line="360" w:lineRule="auto"/>
        <w:rPr>
          <w:rFonts w:ascii="仿宋_GB2312" w:eastAsia="仿宋_GB2312" w:hAnsi="仿宋_GB2312" w:cs="仿宋_GB2312"/>
          <w:b/>
          <w:bCs/>
          <w:sz w:val="28"/>
          <w:szCs w:val="28"/>
        </w:rPr>
      </w:pPr>
      <w:bookmarkStart w:id="31" w:name="_Toc256000027"/>
      <w:r>
        <w:rPr>
          <w:rFonts w:ascii="仿宋_GB2312" w:eastAsia="仿宋_GB2312" w:hAnsi="仿宋_GB2312" w:cs="仿宋_GB2312"/>
          <w:sz w:val="28"/>
          <w:szCs w:val="28"/>
        </w:rPr>
        <w:t>3.3.7系统集成</w:t>
      </w:r>
      <w:bookmarkEnd w:id="31"/>
    </w:p>
    <w:tbl>
      <w:tblPr>
        <w:tblStyle w:val="TableNormal"/>
        <w:tblW w:w="5000" w:type="pct"/>
        <w:tblInd w:w="30" w:type="dxa"/>
        <w:tblCellMar>
          <w:top w:w="15" w:type="dxa"/>
          <w:left w:w="15" w:type="dxa"/>
          <w:bottom w:w="15" w:type="dxa"/>
          <w:right w:w="15" w:type="dxa"/>
        </w:tblCellMar>
      </w:tblPr>
      <w:tblGrid>
        <w:gridCol w:w="766"/>
        <w:gridCol w:w="1516"/>
        <w:gridCol w:w="1516"/>
        <w:gridCol w:w="2154"/>
        <w:gridCol w:w="1486"/>
        <w:gridCol w:w="1632"/>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线路铺设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铺设方式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所有线路采用暗线铺设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主干网络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光纤铺设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主干线路采用光纤铺设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楼层网络</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线路铺设</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各楼层光纤线路经弱电井至三楼主机房</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20"/>
        <w:keepNext w:val="0"/>
        <w:spacing w:before="0" w:after="0" w:line="360" w:lineRule="auto"/>
        <w:rPr>
          <w:rFonts w:ascii="仿宋_GB2312" w:eastAsia="仿宋_GB2312" w:hAnsi="仿宋_GB2312" w:cs="仿宋_GB2312"/>
          <w:b/>
          <w:bCs/>
          <w:sz w:val="28"/>
          <w:szCs w:val="28"/>
        </w:rPr>
      </w:pPr>
      <w:bookmarkStart w:id="32" w:name="_Toc256000028"/>
      <w:r>
        <w:rPr>
          <w:rFonts w:ascii="仿宋_GB2312" w:eastAsia="仿宋_GB2312" w:hAnsi="仿宋_GB2312" w:cs="仿宋_GB2312"/>
          <w:i w:val="0"/>
          <w:iCs w:val="0"/>
        </w:rPr>
        <w:t>3.4服务要求</w:t>
      </w:r>
      <w:bookmarkEnd w:id="32"/>
    </w:p>
    <w:tbl>
      <w:tblPr>
        <w:tblStyle w:val="TableNormal"/>
        <w:tblW w:w="5000" w:type="pct"/>
        <w:tblInd w:w="30" w:type="dxa"/>
        <w:tblCellMar>
          <w:top w:w="15" w:type="dxa"/>
          <w:left w:w="15" w:type="dxa"/>
          <w:bottom w:w="15" w:type="dxa"/>
          <w:right w:w="15" w:type="dxa"/>
        </w:tblCellMar>
      </w:tblPr>
      <w:tblGrid>
        <w:gridCol w:w="527"/>
        <w:gridCol w:w="1008"/>
        <w:gridCol w:w="1166"/>
        <w:gridCol w:w="4116"/>
        <w:gridCol w:w="929"/>
        <w:gridCol w:w="1324"/>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指标种类</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指标名称</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指标内容</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重要性</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是否需要证明材料</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技术服务时段</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7*24小时的技术支持服务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2</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现场服务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设备出现故障,中标供应商应按照采购人要求到达现场</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3</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服务方式</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7*24小时售后服务热线服务；电子邮件服务；远程指导服务；现场服务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4</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质保服务</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服务时限</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自验收通过之日起3年</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否</w:t>
            </w:r>
          </w:p>
        </w:tc>
      </w:tr>
    </w:tbl>
    <w:p>
      <w:pPr>
        <w:pStyle w:val="Heading20"/>
        <w:keepNext w:val="0"/>
        <w:spacing w:before="0" w:after="0" w:line="360" w:lineRule="auto"/>
        <w:rPr>
          <w:rFonts w:ascii="仿宋_GB2312" w:eastAsia="仿宋_GB2312" w:hAnsi="仿宋_GB2312" w:cs="仿宋_GB2312"/>
          <w:b/>
          <w:bCs/>
          <w:sz w:val="28"/>
          <w:szCs w:val="28"/>
        </w:rPr>
      </w:pPr>
      <w:bookmarkStart w:id="33" w:name="_Toc256000029"/>
      <w:r>
        <w:rPr>
          <w:rFonts w:ascii="仿宋_GB2312" w:eastAsia="仿宋_GB2312" w:hAnsi="仿宋_GB2312" w:cs="仿宋_GB2312"/>
          <w:i w:val="0"/>
          <w:iCs w:val="0"/>
        </w:rPr>
        <w:t>3.5其他要求</w:t>
      </w:r>
      <w:bookmarkEnd w:id="33"/>
    </w:p>
    <w:p>
      <w:pPr>
        <w:pStyle w:val="Normal0"/>
        <w:spacing w:before="0" w:after="0" w:line="360" w:lineRule="auto"/>
        <w:rPr>
          <w:rFonts w:ascii="FangSong_GB2312" w:eastAsia="FangSong_GB2312" w:hAnsi="FangSong_GB2312" w:cs="FangSong_GB2312"/>
          <w:sz w:val="28"/>
          <w:szCs w:val="28"/>
        </w:rPr>
      </w:pPr>
      <w:r>
        <w:rPr>
          <w:rFonts w:ascii="FangSong_GB2312" w:eastAsia="FangSong_GB2312" w:hAnsi="FangSong_GB2312" w:cs="FangSong_GB2312"/>
          <w:sz w:val="28"/>
          <w:szCs w:val="28"/>
        </w:rPr>
        <w:t>无</w:t>
      </w:r>
    </w:p>
    <w:p>
      <w:pPr>
        <w:pStyle w:val="Heading10"/>
        <w:keepNext w:val="0"/>
        <w:spacing w:before="0" w:after="0" w:line="360" w:lineRule="auto"/>
        <w:jc w:val="center"/>
        <w:rPr>
          <w:rFonts w:ascii="仿宋_GB2312" w:eastAsia="仿宋_GB2312" w:hAnsi="仿宋_GB2312" w:cs="仿宋_GB2312"/>
          <w:b/>
          <w:bCs/>
          <w:sz w:val="32"/>
          <w:szCs w:val="32"/>
        </w:rPr>
      </w:pPr>
      <w:bookmarkStart w:id="34" w:name="_Toc256000030"/>
      <w:r>
        <w:rPr>
          <w:rFonts w:ascii="仿宋_GB2312" w:eastAsia="仿宋_GB2312" w:hAnsi="仿宋_GB2312" w:cs="仿宋_GB2312"/>
          <w:kern w:val="36"/>
        </w:rPr>
        <w:t>4人员要求</w:t>
      </w:r>
      <w:bookmarkEnd w:id="34"/>
    </w:p>
    <w:p>
      <w:pPr>
        <w:pStyle w:val="Heading20"/>
        <w:keepNext w:val="0"/>
        <w:spacing w:before="0" w:after="0" w:line="360" w:lineRule="auto"/>
        <w:rPr>
          <w:rFonts w:ascii="仿宋_GB2312" w:eastAsia="仿宋_GB2312" w:hAnsi="仿宋_GB2312" w:cs="仿宋_GB2312"/>
          <w:b/>
          <w:bCs/>
          <w:sz w:val="28"/>
          <w:szCs w:val="28"/>
        </w:rPr>
      </w:pPr>
      <w:bookmarkStart w:id="35" w:name="_Toc256000031"/>
      <w:r>
        <w:rPr>
          <w:rFonts w:ascii="仿宋_GB2312" w:eastAsia="仿宋_GB2312" w:hAnsi="仿宋_GB2312" w:cs="仿宋_GB2312"/>
          <w:i w:val="0"/>
          <w:iCs w:val="0"/>
        </w:rPr>
        <w:t>4.1团队要求</w:t>
      </w:r>
      <w:bookmarkEnd w:id="35"/>
    </w:p>
    <w:p>
      <w:pPr>
        <w:pStyle w:val="Heading30"/>
        <w:keepNext w:val="0"/>
        <w:spacing w:before="0" w:after="0" w:line="360" w:lineRule="auto"/>
        <w:rPr>
          <w:rFonts w:ascii="仿宋_GB2312" w:eastAsia="仿宋_GB2312" w:hAnsi="仿宋_GB2312" w:cs="仿宋_GB2312"/>
          <w:b/>
          <w:bCs/>
          <w:sz w:val="28"/>
          <w:szCs w:val="28"/>
        </w:rPr>
      </w:pPr>
      <w:bookmarkStart w:id="36" w:name="_Toc256000032"/>
      <w:r>
        <w:rPr>
          <w:rFonts w:ascii="仿宋_GB2312" w:eastAsia="仿宋_GB2312" w:hAnsi="仿宋_GB2312" w:cs="仿宋_GB2312"/>
          <w:sz w:val="28"/>
          <w:szCs w:val="28"/>
        </w:rPr>
        <w:t>4.1.1基本要求</w:t>
      </w:r>
      <w:bookmarkEnd w:id="36"/>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中标供应商需提供质保期内7*24小时的技术支持服务，设备出现故障,中标供应商应按照采购人要求到达现场。为保证优质售后服务，中标供应商应具备相应资质的技术支撑团队。售后服务方式包括：提供7*24小时售后服务热线服务；电子邮件服务；远程指导服务；现场服务。</w:t>
      </w:r>
    </w:p>
    <w:p>
      <w:pPr>
        <w:pStyle w:val="Heading30"/>
        <w:keepNext w:val="0"/>
        <w:spacing w:before="0" w:after="0" w:line="360" w:lineRule="auto"/>
        <w:rPr>
          <w:rFonts w:ascii="仿宋_GB2312" w:eastAsia="仿宋_GB2312" w:hAnsi="仿宋_GB2312" w:cs="仿宋_GB2312"/>
          <w:b/>
          <w:bCs/>
          <w:sz w:val="28"/>
          <w:szCs w:val="28"/>
        </w:rPr>
      </w:pPr>
      <w:bookmarkStart w:id="37" w:name="_Toc256000033"/>
      <w:r>
        <w:rPr>
          <w:rFonts w:ascii="仿宋_GB2312" w:eastAsia="仿宋_GB2312" w:hAnsi="仿宋_GB2312" w:cs="仿宋_GB2312"/>
          <w:sz w:val="28"/>
          <w:szCs w:val="28"/>
        </w:rPr>
        <w:t>4.1.2优选资质/优选指标</w:t>
      </w:r>
      <w:bookmarkEnd w:id="37"/>
    </w:p>
    <w:tbl>
      <w:tblPr>
        <w:tblStyle w:val="TableNormal"/>
        <w:tblW w:w="5000" w:type="pct"/>
        <w:tblInd w:w="30" w:type="dxa"/>
        <w:tblCellMar>
          <w:top w:w="15" w:type="dxa"/>
          <w:left w:w="15" w:type="dxa"/>
          <w:bottom w:w="15" w:type="dxa"/>
          <w:right w:w="15" w:type="dxa"/>
        </w:tblCellMar>
      </w:tblPr>
      <w:tblGrid>
        <w:gridCol w:w="957"/>
        <w:gridCol w:w="1912"/>
        <w:gridCol w:w="1912"/>
        <w:gridCol w:w="2376"/>
        <w:gridCol w:w="1913"/>
      </w:tblGrid>
      <w:tr>
        <w:tblPrEx>
          <w:tblW w:w="5000" w:type="pct"/>
          <w:tblInd w:w="30" w:type="dxa"/>
          <w:tblCellMar>
            <w:top w:w="15" w:type="dxa"/>
            <w:left w:w="15" w:type="dxa"/>
            <w:bottom w:w="15" w:type="dxa"/>
            <w:right w:w="15" w:type="dxa"/>
          </w:tblCellMar>
        </w:tblPrEx>
        <w:tc>
          <w:tcPr>
            <w:tcW w:w="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序号</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人员类别</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人员岗位</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人员要求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是否作为加分项</w:t>
            </w:r>
          </w:p>
        </w:tc>
      </w:tr>
      <w:tr>
        <w:tblPrEx>
          <w:tblW w:w="5000" w:type="pct"/>
          <w:tblInd w:w="30" w:type="dxa"/>
          <w:tblCellMar>
            <w:top w:w="15" w:type="dxa"/>
            <w:left w:w="15" w:type="dxa"/>
            <w:bottom w:w="15" w:type="dxa"/>
            <w:right w:w="15" w:type="dxa"/>
          </w:tblCellMar>
        </w:tblPrEx>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信息系统项目管理师</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项目经理</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提供计算机技术与软件专业技术资格证书</w:t>
            </w:r>
          </w:p>
        </w:tc>
        <w:tc>
          <w:tcPr>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是</w:t>
            </w:r>
          </w:p>
        </w:tc>
      </w:tr>
    </w:tbl>
    <w:p>
      <w:pPr>
        <w:pStyle w:val="Heading20"/>
        <w:keepNext w:val="0"/>
        <w:spacing w:before="0" w:after="0" w:line="360" w:lineRule="auto"/>
        <w:rPr>
          <w:rFonts w:ascii="仿宋_GB2312" w:eastAsia="仿宋_GB2312" w:hAnsi="仿宋_GB2312" w:cs="仿宋_GB2312"/>
          <w:b/>
          <w:bCs/>
          <w:sz w:val="28"/>
          <w:szCs w:val="28"/>
        </w:rPr>
      </w:pPr>
      <w:bookmarkStart w:id="38" w:name="_Toc256000034"/>
      <w:r>
        <w:rPr>
          <w:rFonts w:ascii="仿宋_GB2312" w:eastAsia="仿宋_GB2312" w:hAnsi="仿宋_GB2312" w:cs="仿宋_GB2312"/>
          <w:i w:val="0"/>
          <w:iCs w:val="0"/>
        </w:rPr>
        <w:t>4.2管理团队</w:t>
      </w:r>
      <w:bookmarkEnd w:id="38"/>
    </w:p>
    <w:p>
      <w:pPr>
        <w:pStyle w:val="Heading30"/>
        <w:keepNext w:val="0"/>
        <w:spacing w:before="0" w:after="0" w:line="360" w:lineRule="auto"/>
        <w:rPr>
          <w:rFonts w:ascii="仿宋_GB2312" w:eastAsia="仿宋_GB2312" w:hAnsi="仿宋_GB2312" w:cs="仿宋_GB2312"/>
          <w:b/>
          <w:bCs/>
          <w:sz w:val="28"/>
          <w:szCs w:val="28"/>
        </w:rPr>
      </w:pPr>
      <w:bookmarkStart w:id="39" w:name="_Toc256000035"/>
      <w:r>
        <w:rPr>
          <w:rFonts w:ascii="仿宋_GB2312" w:eastAsia="仿宋_GB2312" w:hAnsi="仿宋_GB2312" w:cs="仿宋_GB2312"/>
          <w:sz w:val="28"/>
          <w:szCs w:val="28"/>
        </w:rPr>
        <w:t>4.2.1项目经理</w:t>
      </w:r>
      <w:bookmarkEnd w:id="39"/>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1名项目经理，具体负责项目的实施。</w:t>
      </w:r>
    </w:p>
    <w:p>
      <w:pPr>
        <w:pStyle w:val="Heading30"/>
        <w:keepNext w:val="0"/>
        <w:spacing w:before="0" w:after="0" w:line="360" w:lineRule="auto"/>
        <w:rPr>
          <w:rFonts w:ascii="仿宋_GB2312" w:eastAsia="仿宋_GB2312" w:hAnsi="仿宋_GB2312" w:cs="仿宋_GB2312"/>
          <w:b/>
          <w:bCs/>
          <w:sz w:val="28"/>
          <w:szCs w:val="28"/>
        </w:rPr>
      </w:pPr>
      <w:bookmarkStart w:id="40" w:name="_Toc256000036"/>
      <w:r>
        <w:rPr>
          <w:rFonts w:ascii="仿宋_GB2312" w:eastAsia="仿宋_GB2312" w:hAnsi="仿宋_GB2312" w:cs="仿宋_GB2312"/>
          <w:sz w:val="28"/>
          <w:szCs w:val="28"/>
        </w:rPr>
        <w:t>4.2.2技术团队</w:t>
      </w:r>
      <w:bookmarkEnd w:id="40"/>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具备综合布线相关能力，具备设备安装、</w:t>
      </w:r>
      <w:r>
        <w:rPr>
          <w:rFonts w:ascii="仿宋_GB2312" w:eastAsia="仿宋_GB2312" w:hAnsi="仿宋_GB2312" w:cs="仿宋_GB2312"/>
          <w:sz w:val="28"/>
          <w:szCs w:val="28"/>
        </w:rPr>
        <w:t>技术参数配置、</w:t>
      </w:r>
      <w:r>
        <w:rPr>
          <w:rFonts w:ascii="仿宋_GB2312" w:eastAsia="仿宋_GB2312" w:hAnsi="仿宋_GB2312" w:cs="仿宋_GB2312"/>
          <w:sz w:val="28"/>
          <w:szCs w:val="28"/>
        </w:rPr>
        <w:t>能够完成设备验收、调整测试等工作。</w:t>
      </w:r>
    </w:p>
    <w:p>
      <w:pPr>
        <w:pStyle w:val="Heading10"/>
        <w:keepNext w:val="0"/>
        <w:spacing w:before="0" w:after="0" w:line="360" w:lineRule="auto"/>
        <w:jc w:val="center"/>
        <w:rPr>
          <w:rFonts w:ascii="仿宋_GB2312" w:eastAsia="仿宋_GB2312" w:hAnsi="仿宋_GB2312" w:cs="仿宋_GB2312"/>
          <w:b/>
          <w:bCs/>
          <w:sz w:val="32"/>
          <w:szCs w:val="32"/>
        </w:rPr>
      </w:pPr>
      <w:bookmarkStart w:id="41" w:name="_Toc256000037"/>
      <w:r>
        <w:rPr>
          <w:rFonts w:ascii="仿宋_GB2312" w:eastAsia="仿宋_GB2312" w:hAnsi="仿宋_GB2312" w:cs="仿宋_GB2312"/>
          <w:kern w:val="36"/>
        </w:rPr>
        <w:t>5管理实施要求</w:t>
      </w:r>
      <w:bookmarkEnd w:id="41"/>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w:t>
      </w:r>
      <w:r>
        <w:rPr>
          <w:rFonts w:ascii="仿宋_GB2312" w:eastAsia="仿宋_GB2312" w:hAnsi="仿宋_GB2312" w:cs="仿宋_GB2312"/>
          <w:sz w:val="32"/>
          <w:szCs w:val="32"/>
        </w:rPr>
        <w:t>交货地点：国家税务总局吉林省税务局（长春市南湖大路</w:t>
      </w:r>
      <w:r>
        <w:rPr>
          <w:rFonts w:ascii="仿宋_GB2312" w:eastAsia="仿宋_GB2312" w:hAnsi="仿宋_GB2312" w:cs="仿宋_GB2312"/>
          <w:sz w:val="32"/>
          <w:szCs w:val="32"/>
        </w:rPr>
        <w:t>1518号）</w:t>
      </w:r>
    </w:p>
    <w:p>
      <w:pPr>
        <w:pStyle w:val="MsoNormal"/>
        <w:spacing w:before="0" w:after="0" w:line="360" w:lineRule="auto"/>
        <w:rPr>
          <w:rFonts w:ascii="Times New Roman" w:eastAsia="Times New Roman" w:hAnsi="Times New Roman" w:cs="Times New Roman"/>
        </w:rPr>
      </w:pPr>
      <w:r>
        <w:rPr>
          <w:rFonts w:ascii="仿宋_GB2312" w:eastAsia="仿宋_GB2312" w:hAnsi="仿宋_GB2312" w:cs="仿宋_GB2312"/>
          <w:sz w:val="32"/>
          <w:szCs w:val="32"/>
        </w:rPr>
        <w:t>    交货时间：合同签订后15日内，保证所提供设备到货并验收合格，各项指标符合相关技术指标标准。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sz w:val="32"/>
          <w:szCs w:val="32"/>
        </w:rPr>
        <w:t>安装调试时间：根据省局南湖大路办公区装修进度进行网络铺设、设备安装、调试工作。</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安装完成后进入</w:t>
      </w:r>
      <w:r>
        <w:rPr>
          <w:rFonts w:ascii="仿宋_GB2312" w:eastAsia="仿宋_GB2312" w:hAnsi="仿宋_GB2312" w:cs="仿宋_GB2312"/>
          <w:color w:val="000000"/>
          <w:sz w:val="32"/>
          <w:szCs w:val="32"/>
        </w:rPr>
        <w:t>15天的试运行阶段，需监控此阶段运行状况，促进业务系统优化，并监督后续运维工作，保障无线网络系统稳定运行。</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项目的建设与管理符合工程的有关管理规定，技术架构，标准规范等方面要求，符合工程集成的设计要求及标准规范。</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要确保本工程项目的实施质量，主要工作包括但不限于：</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1)根据国家相关标准，制定本工程项目的质量评判标准。</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2)制定本工程项目的质量保证计划和质量控制计划。</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3)定期进行抽样和现场检查。</w:t>
      </w:r>
    </w:p>
    <w:p>
      <w:pPr>
        <w:pStyle w:val="MsoNormal"/>
        <w:spacing w:before="0" w:after="0" w:line="360" w:lineRule="auto"/>
        <w:ind w:firstLine="640"/>
        <w:rPr>
          <w:rFonts w:ascii="Times New Roman" w:eastAsia="Times New Roman" w:hAnsi="Times New Roman" w:cs="Times New Roman"/>
        </w:rPr>
      </w:pPr>
      <w:r>
        <w:rPr>
          <w:rFonts w:ascii="仿宋_GB2312" w:eastAsia="仿宋_GB2312" w:hAnsi="仿宋_GB2312" w:cs="仿宋_GB2312"/>
          <w:color w:val="000000"/>
          <w:sz w:val="32"/>
          <w:szCs w:val="32"/>
        </w:rPr>
        <w:t>4)及时向采购人汇报意外事故，并跟踪事故处理。</w:t>
      </w:r>
    </w:p>
    <w:p>
      <w:pPr>
        <w:pStyle w:val="Heading10"/>
        <w:keepNext w:val="0"/>
        <w:spacing w:before="0" w:after="0" w:line="360" w:lineRule="auto"/>
        <w:jc w:val="center"/>
        <w:rPr>
          <w:rFonts w:ascii="仿宋_GB2312" w:eastAsia="仿宋_GB2312" w:hAnsi="仿宋_GB2312" w:cs="仿宋_GB2312"/>
          <w:b/>
          <w:bCs/>
          <w:sz w:val="32"/>
          <w:szCs w:val="32"/>
        </w:rPr>
      </w:pPr>
      <w:bookmarkStart w:id="42" w:name="_Toc256000038"/>
      <w:r>
        <w:rPr>
          <w:rFonts w:ascii="仿宋_GB2312" w:eastAsia="仿宋_GB2312" w:hAnsi="仿宋_GB2312" w:cs="仿宋_GB2312"/>
          <w:kern w:val="36"/>
        </w:rPr>
        <w:t>6风险管控要求</w:t>
      </w:r>
      <w:bookmarkEnd w:id="42"/>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xml:space="preserve">    </w:t>
      </w:r>
      <w:r>
        <w:rPr>
          <w:rFonts w:ascii="仿宋_GB2312" w:eastAsia="仿宋_GB2312" w:hAnsi="仿宋_GB2312" w:cs="仿宋_GB2312"/>
          <w:sz w:val="32"/>
          <w:szCs w:val="32"/>
        </w:rPr>
        <w:t>投标人应提高安全责任意识，严控产品安全质量；建立清晰的软件供应链安全策略，明确相关的管理目标、工作流程、检查内容、责任部门等；严控上游，尤其重点管控开源代码的使用，确保使用的开源代码符合开源许可协议，形成第三方组件清单和安全分析报告，禁止使用存在高安全风险或已停止维护的第三方组件；严控自主开发代码的质量，采用软件源代码安全分析工具，持续检测和修复软件源代码中的安全缺陷和漏洞；建立完善的产品漏洞响应机制，包括产品漏洞信息的收集、漏洞报告渠道的建立和维护、漏洞补丁的开发和发布、客户端漏洞应急响应和修复支持等。发现网络安全漏洞、缺陷、数据泄露或其他重大网络安全风险，及时向采购人进行报告，不得擅自公开或向第三方提供。</w:t>
      </w:r>
    </w:p>
    <w:p>
      <w:pPr>
        <w:pStyle w:val="Heading10"/>
        <w:keepNext w:val="0"/>
        <w:spacing w:before="0" w:after="0" w:line="360" w:lineRule="auto"/>
        <w:jc w:val="center"/>
        <w:rPr>
          <w:rFonts w:ascii="仿宋_GB2312" w:eastAsia="仿宋_GB2312" w:hAnsi="仿宋_GB2312" w:cs="仿宋_GB2312"/>
          <w:b/>
          <w:bCs/>
          <w:sz w:val="32"/>
          <w:szCs w:val="32"/>
        </w:rPr>
      </w:pPr>
      <w:bookmarkStart w:id="43" w:name="_Toc256000039"/>
      <w:r>
        <w:rPr>
          <w:rFonts w:ascii="仿宋_GB2312" w:eastAsia="仿宋_GB2312" w:hAnsi="仿宋_GB2312" w:cs="仿宋_GB2312"/>
          <w:kern w:val="36"/>
        </w:rPr>
        <w:t>7履约验收要求</w:t>
      </w:r>
      <w:bookmarkEnd w:id="43"/>
    </w:p>
    <w:p>
      <w:pPr>
        <w:pStyle w:val="Heading20"/>
        <w:keepNext w:val="0"/>
        <w:spacing w:before="0" w:after="0" w:line="360" w:lineRule="auto"/>
        <w:rPr>
          <w:rFonts w:ascii="仿宋_GB2312" w:eastAsia="仿宋_GB2312" w:hAnsi="仿宋_GB2312" w:cs="仿宋_GB2312"/>
          <w:b/>
          <w:bCs/>
          <w:sz w:val="28"/>
          <w:szCs w:val="28"/>
        </w:rPr>
      </w:pPr>
      <w:bookmarkStart w:id="44" w:name="_Toc256000040"/>
      <w:r>
        <w:rPr>
          <w:rFonts w:ascii="仿宋_GB2312" w:eastAsia="仿宋_GB2312" w:hAnsi="仿宋_GB2312" w:cs="仿宋_GB2312"/>
          <w:i w:val="0"/>
          <w:iCs w:val="0"/>
        </w:rPr>
        <w:t>7.1总体要求</w:t>
      </w:r>
      <w:bookmarkEnd w:id="44"/>
    </w:p>
    <w:tbl>
      <w:tblPr>
        <w:tblStyle w:val="TableNormal"/>
        <w:tblW w:w="5000" w:type="pct"/>
        <w:tblInd w:w="30" w:type="dxa"/>
        <w:tblCellMar>
          <w:top w:w="15" w:type="dxa"/>
          <w:left w:w="15" w:type="dxa"/>
          <w:bottom w:w="15" w:type="dxa"/>
          <w:right w:w="15" w:type="dxa"/>
        </w:tblCellMar>
      </w:tblPr>
      <w:tblGrid>
        <w:gridCol w:w="4465"/>
        <w:gridCol w:w="4605"/>
      </w:tblGrid>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验收名称</w:t>
            </w:r>
          </w:p>
        </w:tc>
        <w:tc>
          <w:tcPr>
            <w:tcW w:w="25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验收要求</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第1次验收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根据合同内容对本次所采购的硬件设备的型号、规格、数量核对与验收并出具文档。</w:t>
            </w:r>
          </w:p>
        </w:tc>
      </w:tr>
      <w:tr>
        <w:tblPrEx>
          <w:tblW w:w="5000" w:type="pct"/>
          <w:tblInd w:w="30" w:type="dxa"/>
          <w:tblCellMar>
            <w:top w:w="15" w:type="dxa"/>
            <w:left w:w="15" w:type="dxa"/>
            <w:bottom w:w="15" w:type="dxa"/>
            <w:right w:w="15" w:type="dxa"/>
          </w:tblCellMar>
        </w:tblPrEx>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第2次验收</w:t>
            </w:r>
          </w:p>
        </w:tc>
        <w:tc>
          <w:tcPr>
            <w:tcW w:w="2500" w:type="pct"/>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完成线路铺设、设备安装调试、部署上线，所有设备稳定运行后完成验收。</w:t>
            </w:r>
          </w:p>
        </w:tc>
      </w:tr>
    </w:tbl>
    <w:p>
      <w:pPr>
        <w:pStyle w:val="Heading20"/>
        <w:keepNext w:val="0"/>
        <w:spacing w:before="0" w:after="0" w:line="360" w:lineRule="auto"/>
        <w:rPr>
          <w:rFonts w:ascii="仿宋_GB2312" w:eastAsia="仿宋_GB2312" w:hAnsi="仿宋_GB2312" w:cs="仿宋_GB2312"/>
          <w:b/>
          <w:bCs/>
          <w:sz w:val="28"/>
          <w:szCs w:val="28"/>
        </w:rPr>
      </w:pPr>
      <w:bookmarkStart w:id="45" w:name="_Toc256000041"/>
      <w:r>
        <w:rPr>
          <w:rFonts w:ascii="仿宋_GB2312" w:eastAsia="仿宋_GB2312" w:hAnsi="仿宋_GB2312" w:cs="仿宋_GB2312"/>
          <w:i w:val="0"/>
          <w:iCs w:val="0"/>
        </w:rPr>
        <w:t>7.2具体要求</w:t>
      </w:r>
      <w:bookmarkEnd w:id="45"/>
    </w:p>
    <w:p>
      <w:pPr>
        <w:pStyle w:val="MsoNormal"/>
        <w:spacing w:before="0" w:after="0" w:line="360" w:lineRule="auto"/>
        <w:rPr>
          <w:rFonts w:ascii="Times New Roman" w:eastAsia="Times New Roman" w:hAnsi="Times New Roman" w:cs="Times New Roman"/>
        </w:rPr>
      </w:pPr>
      <w:r>
        <w:rPr>
          <w:rFonts w:ascii="FangSong_GB2312" w:eastAsia="FangSong_GB2312" w:hAnsi="FangSong_GB2312" w:cs="FangSong_GB2312"/>
          <w:sz w:val="28"/>
          <w:szCs w:val="28"/>
        </w:rPr>
        <w:t>    </w:t>
      </w:r>
      <w:r>
        <w:rPr>
          <w:rFonts w:ascii="仿宋_GB2312" w:eastAsia="仿宋_GB2312" w:hAnsi="仿宋_GB2312" w:cs="仿宋_GB2312"/>
          <w:sz w:val="28"/>
          <w:szCs w:val="28"/>
        </w:rPr>
        <w:t>（</w:t>
      </w:r>
      <w:r>
        <w:rPr>
          <w:rFonts w:ascii="仿宋_GB2312" w:eastAsia="仿宋_GB2312" w:hAnsi="仿宋_GB2312" w:cs="仿宋_GB2312"/>
          <w:sz w:val="28"/>
          <w:szCs w:val="28"/>
        </w:rPr>
        <w:t>1）验收工作由采购人组织实施，由采购人、中标供应商共同完成。中标供应商应配合完成各阶段验收工作，必要时由中标供应商或第三方机构按照验收要求完成测试，提交项目验收方案及测试相关文档，经项目单位确认各项指标达到合同约定后进行项目验收。</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2）中标供应商应在项目验收、测试时提供相关测试环境及必要的设备和工具，使用各类支撑工具应保证采购人在测试过程合法免费使用，中标供应商承担由于知识产权等纠纷导致的所有责任。</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3）中标供应商提供的各类文档应内容完整、描述清晰、版本最新，各类方案要求实现目标明确、工作措施得力、可操作性强、具有前瞻性。产出物应提供电子和纸质两种介质，保持版本一致。</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28"/>
          <w:szCs w:val="28"/>
        </w:rPr>
        <w:t>（4）对验收中发现的问题，中标供应商应提出有效解决办法和措施，经采购人确认后实施。</w:t>
      </w:r>
    </w:p>
    <w:p>
      <w:pPr>
        <w:pStyle w:val="Heading10"/>
        <w:keepNext w:val="0"/>
        <w:spacing w:before="0" w:after="0" w:line="360" w:lineRule="auto"/>
        <w:jc w:val="center"/>
        <w:rPr>
          <w:rFonts w:ascii="仿宋_GB2312" w:eastAsia="仿宋_GB2312" w:hAnsi="仿宋_GB2312" w:cs="仿宋_GB2312"/>
          <w:b/>
          <w:bCs/>
          <w:sz w:val="32"/>
          <w:szCs w:val="32"/>
        </w:rPr>
      </w:pPr>
      <w:bookmarkStart w:id="46" w:name="_Toc256000042"/>
      <w:r>
        <w:rPr>
          <w:rFonts w:ascii="仿宋_GB2312" w:eastAsia="仿宋_GB2312" w:hAnsi="仿宋_GB2312" w:cs="仿宋_GB2312"/>
          <w:kern w:val="36"/>
        </w:rPr>
        <w:t>8其他要求</w:t>
      </w:r>
      <w:bookmarkEnd w:id="46"/>
    </w:p>
    <w:p>
      <w:pPr>
        <w:pStyle w:val="Heading20"/>
        <w:keepNext w:val="0"/>
        <w:spacing w:before="0" w:after="0" w:line="360" w:lineRule="auto"/>
        <w:rPr>
          <w:rFonts w:ascii="仿宋_GB2312" w:eastAsia="仿宋_GB2312" w:hAnsi="仿宋_GB2312" w:cs="仿宋_GB2312"/>
          <w:b/>
          <w:bCs/>
          <w:sz w:val="28"/>
          <w:szCs w:val="28"/>
        </w:rPr>
      </w:pPr>
      <w:bookmarkStart w:id="47" w:name="_Toc256000043"/>
      <w:r>
        <w:rPr>
          <w:rFonts w:ascii="仿宋_GB2312" w:eastAsia="仿宋_GB2312" w:hAnsi="仿宋_GB2312" w:cs="仿宋_GB2312"/>
          <w:i w:val="0"/>
          <w:iCs w:val="0"/>
        </w:rPr>
        <w:t>8.1必备要求</w:t>
      </w:r>
      <w:bookmarkEnd w:id="47"/>
    </w:p>
    <w:p>
      <w:pPr>
        <w:pStyle w:val="Heading30"/>
        <w:keepNext w:val="0"/>
        <w:spacing w:before="0" w:after="0" w:line="360" w:lineRule="auto"/>
        <w:rPr>
          <w:rFonts w:ascii="仿宋_GB2312" w:eastAsia="仿宋_GB2312" w:hAnsi="仿宋_GB2312" w:cs="仿宋_GB2312"/>
          <w:b/>
          <w:bCs/>
          <w:sz w:val="28"/>
          <w:szCs w:val="28"/>
        </w:rPr>
      </w:pPr>
      <w:bookmarkStart w:id="48" w:name="_Toc256000044"/>
      <w:r>
        <w:rPr>
          <w:rFonts w:ascii="仿宋_GB2312" w:eastAsia="仿宋_GB2312" w:hAnsi="仿宋_GB2312" w:cs="仿宋_GB2312"/>
          <w:sz w:val="28"/>
          <w:szCs w:val="28"/>
        </w:rPr>
        <w:t>8.1.1通用必备要求</w:t>
      </w:r>
      <w:bookmarkEnd w:id="48"/>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Normal0"/>
        <w:spacing w:before="0" w:after="0" w:line="360" w:lineRule="auto"/>
        <w:ind w:firstLine="561"/>
        <w:rPr>
          <w:rFonts w:ascii="仿宋_GB2312" w:eastAsia="仿宋_GB2312" w:hAnsi="仿宋_GB2312" w:cs="仿宋_GB2312"/>
          <w:sz w:val="28"/>
          <w:szCs w:val="28"/>
        </w:rPr>
      </w:pPr>
      <w:r>
        <w:rPr>
          <w:rFonts w:ascii="仿宋_GB2312" w:eastAsia="仿宋_GB2312" w:hAnsi="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Heading30"/>
        <w:keepNext w:val="0"/>
        <w:spacing w:before="0" w:after="0" w:line="360" w:lineRule="auto"/>
        <w:rPr>
          <w:rFonts w:ascii="仿宋_GB2312" w:eastAsia="仿宋_GB2312" w:hAnsi="仿宋_GB2312" w:cs="仿宋_GB2312"/>
          <w:b/>
          <w:bCs/>
          <w:sz w:val="28"/>
          <w:szCs w:val="28"/>
        </w:rPr>
      </w:pPr>
      <w:bookmarkStart w:id="49" w:name="_Toc256000045"/>
      <w:r>
        <w:rPr>
          <w:rFonts w:ascii="仿宋_GB2312" w:eastAsia="仿宋_GB2312" w:hAnsi="仿宋_GB2312" w:cs="仿宋_GB2312"/>
          <w:sz w:val="28"/>
          <w:szCs w:val="28"/>
        </w:rPr>
        <w:t>8.1.2★税收信息化项目开发和应用管理工作要求</w:t>
      </w:r>
      <w:bookmarkEnd w:id="49"/>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供应商在采购以及后续项目实施过程中，应严格遵守税务总局税收信息化项目开发和应用管理工作要求。对于违反合同约定的，依据合同约定及政府采购有关规定，采购人可采取要求限期改正、在应付合同金额中扣除违约金、解除合同等措施；对于存在严重违法失信行为的，由采购人按规定推送财政部纳入政府采购严重违法失信行为记录名单。</w:t>
      </w:r>
    </w:p>
    <w:p>
      <w:pPr>
        <w:pStyle w:val="17"/>
        <w:spacing w:before="0" w:after="0" w:line="360" w:lineRule="auto"/>
        <w:ind w:left="0" w:right="0" w:firstLine="1620"/>
        <w:jc w:val="both"/>
        <w:textAlignment w:val="baseline"/>
        <w:rPr>
          <w:rFonts w:ascii="Times New Roman" w:eastAsia="Times New Roman" w:hAnsi="Times New Roman" w:cs="Times New Roman"/>
        </w:rPr>
      </w:pPr>
      <w:r>
        <w:rPr>
          <w:rFonts w:ascii="方正小标宋简体" w:eastAsia="方正小标宋简体" w:hAnsi="方正小标宋简体" w:cs="方正小标宋简体"/>
          <w:sz w:val="36"/>
          <w:szCs w:val="36"/>
        </w:rPr>
        <w:t>           税务信息化服务商廉洁承诺书</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 为深入贯彻落实党中央关于全面从严治党的决策部署，进一步加强税务信息化项目合作中的廉政建设，防范廉政风险发生，确保项目公开、公平、公正推进，我司郑重承诺如下：</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一、合法合规经营。</w:t>
      </w:r>
      <w:r>
        <w:rPr>
          <w:rFonts w:ascii="仿宋_GB2312" w:eastAsia="仿宋_GB2312" w:hAnsi="仿宋_GB2312" w:cs="仿宋_GB2312"/>
          <w:sz w:val="32"/>
          <w:szCs w:val="32"/>
        </w:rPr>
        <w:t>严格遵守国家法律法规及税务部门的相关规定，坚持廉洁从业、诚信经营的原则。在合作过程中不以任何形式进行利益输送，维护良好的政商关系。</w:t>
      </w:r>
    </w:p>
    <w:p>
      <w:pPr>
        <w:pStyle w:val="17"/>
        <w:spacing w:before="0" w:after="0" w:line="360" w:lineRule="auto"/>
        <w:ind w:left="0" w:right="0" w:firstLine="640"/>
        <w:textAlignment w:val="baseline"/>
        <w:rPr>
          <w:rFonts w:ascii="Times New Roman" w:eastAsia="Times New Roman" w:hAnsi="Times New Roman" w:cs="Times New Roman"/>
        </w:rPr>
      </w:pPr>
      <w:r>
        <w:rPr>
          <w:rFonts w:ascii="黑体" w:eastAsia="黑体" w:hAnsi="黑体" w:cs="黑体"/>
          <w:sz w:val="32"/>
          <w:szCs w:val="32"/>
        </w:rPr>
        <w:t>二、杜绝商业贿赂。</w:t>
      </w:r>
      <w:r>
        <w:rPr>
          <w:rFonts w:ascii="仿宋_GB2312" w:eastAsia="仿宋_GB2312" w:hAnsi="仿宋_GB2312" w:cs="仿宋_GB2312"/>
          <w:sz w:val="32"/>
          <w:szCs w:val="32"/>
        </w:rPr>
        <w:t>加强内部管理，我司及我司员工均不对甲方工作人员实施以下行为：</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（一）以各种形式和名义提供礼品、礼金、电子红包、支付凭证、商业预付卡、名贵特产、有价证券、股权、其他金融产品等财物。</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（二）以各种形式和名义提供宴请、旅游、健身、娱乐、私人会所等活动安排；代付加班餐费、打车费等。</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（三）以讲课费、咨询费等名义，提供或变相提供报酬。</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（四）借款、借房、借车，报销应由个人负担的费用。</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（五）以无偿、象征性地收取费用等方式提供家政、司机等服务劳务。</w:t>
      </w:r>
    </w:p>
    <w:p>
      <w:pPr>
        <w:pStyle w:val="17"/>
        <w:spacing w:before="0" w:after="0" w:line="360" w:lineRule="auto"/>
        <w:ind w:left="0" w:right="0" w:firstLine="640"/>
        <w:textAlignment w:val="baseline"/>
        <w:rPr>
          <w:rFonts w:ascii="Times New Roman" w:eastAsia="Times New Roman" w:hAnsi="Times New Roman" w:cs="Times New Roman"/>
        </w:rPr>
      </w:pPr>
      <w:r>
        <w:rPr>
          <w:rFonts w:ascii="仿宋_GB2312" w:eastAsia="仿宋_GB2312" w:hAnsi="仿宋_GB2312" w:cs="仿宋_GB2312"/>
          <w:sz w:val="32"/>
          <w:szCs w:val="32"/>
        </w:rPr>
        <w:t>（六）其他通过任何形式行贿或输送利益的行为。</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三、规范经营活动。</w:t>
      </w:r>
      <w:r>
        <w:rPr>
          <w:rFonts w:ascii="仿宋_GB2312" w:eastAsia="仿宋_GB2312" w:hAnsi="仿宋_GB2312" w:cs="仿宋_GB2312"/>
          <w:sz w:val="32"/>
          <w:szCs w:val="32"/>
        </w:rPr>
        <w:t>严格按照合同约定履行义务，保证项目质量，按时完成建设任务；在合作过程中不以任何借口拖延工期、虚报成本或谋取私利。</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四、公开透明合作。</w:t>
      </w:r>
      <w:r>
        <w:rPr>
          <w:rFonts w:ascii="仿宋_GB2312" w:eastAsia="仿宋_GB2312" w:hAnsi="仿宋_GB2312" w:cs="仿宋_GB2312"/>
          <w:sz w:val="32"/>
          <w:szCs w:val="32"/>
        </w:rPr>
        <w:t>我司承诺在项目实施过程中保持公开透明，主动接受税务部门及纪检监察机构的全程监督，并积极配合任何有关廉洁从业的调查工作。</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五、严格内部管理。</w:t>
      </w:r>
      <w:r>
        <w:rPr>
          <w:rFonts w:ascii="仿宋_GB2312" w:eastAsia="仿宋_GB2312" w:hAnsi="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黑体" w:eastAsia="黑体" w:hAnsi="黑体" w:cs="黑体"/>
          <w:sz w:val="32"/>
          <w:szCs w:val="32"/>
        </w:rPr>
        <w:t>六、积极参与监督。</w:t>
      </w:r>
      <w:r>
        <w:rPr>
          <w:rFonts w:ascii="仿宋_GB2312" w:eastAsia="仿宋_GB2312" w:hAnsi="仿宋_GB2312" w:cs="仿宋_GB2312"/>
          <w:sz w:val="32"/>
          <w:szCs w:val="32"/>
        </w:rPr>
        <w:t>在税务信息化项目实施过程中，如发现任何违纪违法行为，将如实反馈问题和意见。</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    </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承诺单位（盖章）：</w:t>
      </w:r>
      <w:r>
        <w:rPr>
          <w:rFonts w:ascii="仿宋_GB2312" w:eastAsia="仿宋_GB2312" w:hAnsi="仿宋_GB2312" w:cs="仿宋_GB2312"/>
          <w:sz w:val="32"/>
          <w:szCs w:val="32"/>
        </w:rPr>
        <w:t>_________________________</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法定代表人或授权代表签字：</w:t>
      </w:r>
      <w:r>
        <w:rPr>
          <w:rFonts w:ascii="仿宋_GB2312" w:eastAsia="仿宋_GB2312" w:hAnsi="仿宋_GB2312" w:cs="仿宋_GB2312"/>
          <w:sz w:val="32"/>
          <w:szCs w:val="32"/>
        </w:rPr>
        <w:t>________________</w:t>
      </w:r>
    </w:p>
    <w:p>
      <w:pPr>
        <w:pStyle w:val="17"/>
        <w:spacing w:before="0" w:after="0" w:line="360" w:lineRule="auto"/>
        <w:ind w:left="0" w:right="0" w:firstLine="640"/>
        <w:jc w:val="both"/>
        <w:textAlignment w:val="baseline"/>
        <w:rPr>
          <w:rFonts w:ascii="Times New Roman" w:eastAsia="Times New Roman" w:hAnsi="Times New Roman" w:cs="Times New Roman"/>
        </w:rPr>
      </w:pPr>
      <w:r>
        <w:rPr>
          <w:rFonts w:ascii="仿宋_GB2312" w:eastAsia="仿宋_GB2312" w:hAnsi="仿宋_GB2312" w:cs="仿宋_GB2312"/>
          <w:sz w:val="32"/>
          <w:szCs w:val="32"/>
        </w:rPr>
        <w:t>日期：</w:t>
      </w:r>
      <w:r>
        <w:rPr>
          <w:rFonts w:ascii="仿宋_GB2312" w:eastAsia="仿宋_GB2312" w:hAnsi="仿宋_GB2312" w:cs="仿宋_GB2312"/>
          <w:sz w:val="32"/>
          <w:szCs w:val="32"/>
        </w:rPr>
        <w:t>XX年XX月XX日</w:t>
      </w:r>
    </w:p>
    <w:p>
      <w:pPr>
        <w:pStyle w:val="17"/>
        <w:spacing w:before="0" w:after="0" w:line="360" w:lineRule="auto"/>
        <w:ind w:left="0" w:right="0" w:firstLine="0"/>
        <w:jc w:val="both"/>
        <w:textAlignment w:val="baseline"/>
        <w:rPr>
          <w:rFonts w:ascii="Times New Roman" w:eastAsia="Times New Roman" w:hAnsi="Times New Roman" w:cs="Times New Roman"/>
        </w:rPr>
      </w:pPr>
      <w:r>
        <w:rPr>
          <w:sz w:val="32"/>
          <w:szCs w:val="32"/>
        </w:rPr>
        <w:t> </w:t>
      </w:r>
    </w:p>
    <w:p>
      <w:pPr>
        <w:pStyle w:val="17"/>
        <w:spacing w:before="0" w:after="0" w:line="360" w:lineRule="auto"/>
        <w:ind w:left="0" w:right="0" w:firstLine="0"/>
        <w:jc w:val="both"/>
        <w:textAlignment w:val="baseline"/>
        <w:rPr>
          <w:rFonts w:ascii="Times New Roman" w:eastAsia="Times New Roman" w:hAnsi="Times New Roman" w:cs="Times New Roman"/>
        </w:rPr>
      </w:pPr>
      <w:r>
        <w:rPr>
          <w:rFonts w:ascii="仿宋_GB2312" w:eastAsia="仿宋_GB2312" w:hAnsi="仿宋_GB2312" w:cs="仿宋_GB2312"/>
          <w:sz w:val="21"/>
          <w:szCs w:val="21"/>
        </w:rPr>
        <w:t> </w:t>
      </w:r>
    </w:p>
    <w:p>
      <w:pPr>
        <w:pStyle w:val="17"/>
        <w:spacing w:before="0" w:after="0" w:line="360" w:lineRule="auto"/>
        <w:ind w:left="0" w:right="0"/>
        <w:jc w:val="both"/>
        <w:textAlignment w:val="baseline"/>
        <w:rPr>
          <w:rFonts w:ascii="Times New Roman" w:eastAsia="Times New Roman" w:hAnsi="Times New Roman" w:cs="Times New Roman"/>
        </w:rPr>
      </w:pPr>
      <w:r>
        <w:rPr>
          <w:rFonts w:ascii="仿宋_GB2312" w:eastAsia="仿宋_GB2312" w:hAnsi="仿宋_GB2312" w:cs="仿宋_GB2312"/>
          <w:sz w:val="21"/>
          <w:szCs w:val="21"/>
        </w:rPr>
        <w:t>备注：本承诺书一式两份，一份由承诺单位留存，另一份交税务部门备案。</w:t>
      </w:r>
    </w:p>
    <w:p>
      <w:pPr>
        <w:pStyle w:val="16"/>
        <w:spacing w:before="0" w:after="0" w:line="360" w:lineRule="auto"/>
        <w:jc w:val="both"/>
        <w:rPr>
          <w:rFonts w:ascii="Times New Roman" w:eastAsia="Times New Roman" w:hAnsi="Times New Roman" w:cs="Times New Roman"/>
        </w:rPr>
      </w:pPr>
      <w:r>
        <w:rPr>
          <w:rFonts w:ascii="仿宋_GB2312" w:eastAsia="仿宋_GB2312" w:hAnsi="仿宋_GB2312" w:cs="仿宋_GB2312"/>
          <w:sz w:val="32"/>
          <w:szCs w:val="32"/>
        </w:rPr>
        <w:t>    项目终验前提交《税务信息化项目服务商廉政反馈书》</w:t>
      </w:r>
    </w:p>
    <w:p>
      <w:pPr>
        <w:pStyle w:val="16"/>
        <w:spacing w:before="0" w:after="0" w:line="360" w:lineRule="auto"/>
        <w:rPr>
          <w:rFonts w:ascii="Times New Roman" w:eastAsia="Times New Roman" w:hAnsi="Times New Roman" w:cs="Times New Roman"/>
        </w:rPr>
      </w:pPr>
      <w:r>
        <w:rPr>
          <w:rFonts w:ascii="仿宋_GB2312" w:eastAsia="仿宋_GB2312" w:hAnsi="仿宋_GB2312" w:cs="仿宋_GB2312"/>
          <w:sz w:val="28"/>
          <w:szCs w:val="28"/>
        </w:rPr>
        <w:t> </w:t>
      </w:r>
    </w:p>
    <w:p>
      <w:pPr>
        <w:pStyle w:val="17"/>
        <w:spacing w:before="0" w:after="0" w:line="360" w:lineRule="auto"/>
        <w:ind w:left="0" w:right="0" w:firstLine="712"/>
        <w:jc w:val="center"/>
        <w:textAlignment w:val="baseline"/>
        <w:rPr>
          <w:rFonts w:ascii="Times New Roman" w:eastAsia="Times New Roman" w:hAnsi="Times New Roman" w:cs="Times New Roman"/>
        </w:rPr>
      </w:pPr>
      <w:r>
        <w:rPr>
          <w:rFonts w:ascii="方正小标宋简体" w:eastAsia="方正小标宋简体" w:hAnsi="方正小标宋简体" w:cs="方正小标宋简体"/>
          <w:sz w:val="36"/>
          <w:szCs w:val="36"/>
        </w:rPr>
        <w:t>税务信息化廉政情况反馈书</w:t>
      </w:r>
    </w:p>
    <w:tbl>
      <w:tblPr>
        <w:tblStyle w:val="18"/>
        <w:tblW w:w="9310" w:type="dxa"/>
        <w:tblInd w:w="565" w:type="dxa"/>
        <w:tblCellMar>
          <w:top w:w="15" w:type="dxa"/>
          <w:left w:w="15" w:type="dxa"/>
          <w:bottom w:w="15" w:type="dxa"/>
          <w:right w:w="15" w:type="dxa"/>
        </w:tblCellMar>
        <w:tblLook w:val="05E0"/>
      </w:tblPr>
      <w:tblGrid>
        <w:gridCol w:w="2990"/>
        <w:gridCol w:w="6320"/>
      </w:tblGrid>
      <w:tr>
        <w:tblPrEx>
          <w:tblW w:w="9310" w:type="dxa"/>
          <w:tblInd w:w="565" w:type="dxa"/>
          <w:tblCellMar>
            <w:top w:w="15" w:type="dxa"/>
            <w:left w:w="15" w:type="dxa"/>
            <w:bottom w:w="15" w:type="dxa"/>
            <w:right w:w="15" w:type="dxa"/>
          </w:tblCellMar>
          <w:tblLook w:val="05E0"/>
        </w:tblPrEx>
        <w:trPr>
          <w:trHeight w:val="840"/>
        </w:trPr>
        <w:tc>
          <w:tcPr>
            <w:tcW w:w="10454" w:type="dxa"/>
            <w:gridSpan w:val="2"/>
            <w:tcBorders>
              <w:top w:val="single" w:sz="8" w:space="0" w:color="000000"/>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项目基本情况</w:t>
            </w:r>
          </w:p>
        </w:tc>
      </w:tr>
      <w:tr>
        <w:tblPrEx>
          <w:tblW w:w="9310" w:type="dxa"/>
          <w:tblInd w:w="565" w:type="dxa"/>
          <w:tblCellMar>
            <w:top w:w="15" w:type="dxa"/>
            <w:left w:w="15" w:type="dxa"/>
            <w:bottom w:w="15" w:type="dxa"/>
            <w:right w:w="15" w:type="dxa"/>
          </w:tblCellMar>
          <w:tblLook w:val="05E0"/>
        </w:tblPrEx>
        <w:trPr>
          <w:trHeight w:val="285"/>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rPr>
              <w:t>项目名称（编号）</w:t>
            </w:r>
          </w:p>
        </w:tc>
        <w:tc>
          <w:tcPr>
            <w:tcW w:w="8193"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XXX税务信息化项目  项目编号</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服务商名称</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XXX公司</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联系人及电话</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联系人：</w:t>
            </w:r>
            <w:r>
              <w:rPr>
                <w:rFonts w:ascii="仿宋_GB2312" w:eastAsia="仿宋_GB2312" w:hAnsi="仿宋_GB2312" w:cs="仿宋_GB2312"/>
                <w:b w:val="0"/>
                <w:bCs w:val="0"/>
                <w:i w:val="0"/>
                <w:iCs w:val="0"/>
                <w:smallCaps w:val="0"/>
                <w:color w:val="000000"/>
              </w:rPr>
              <w:t xml:space="preserve">  职务：   电话：123-4567890</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项目情况概述</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baseline"/>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 </w:t>
            </w:r>
          </w:p>
        </w:tc>
      </w:tr>
      <w:tr>
        <w:tblPrEx>
          <w:tblW w:w="9310" w:type="dxa"/>
          <w:tblInd w:w="565" w:type="dxa"/>
          <w:tblCellMar>
            <w:top w:w="15" w:type="dxa"/>
            <w:left w:w="15" w:type="dxa"/>
            <w:bottom w:w="15" w:type="dxa"/>
            <w:right w:w="15" w:type="dxa"/>
          </w:tblCellMar>
          <w:tblLook w:val="05E0"/>
        </w:tblPrEx>
        <w:trPr>
          <w:trHeight w:val="700"/>
        </w:trPr>
        <w:tc>
          <w:tcPr>
            <w:tcW w:w="28531" w:type="pct"/>
            <w:gridSpan w:val="2"/>
            <w:tcBorders>
              <w:left w:val="single" w:sz="8" w:space="0" w:color="000000"/>
              <w:bottom w:val="single" w:sz="8" w:space="0" w:color="000000"/>
              <w:right w:val="single" w:sz="8" w:space="0" w:color="000000"/>
            </w:tcBorders>
            <w:noWrap/>
            <w:tcMar>
              <w:top w:w="0" w:type="dxa"/>
              <w:left w:w="148" w:type="dxa"/>
              <w:bottom w:w="0" w:type="dxa"/>
              <w:right w:w="14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廉洁承诺履行情况</w:t>
            </w:r>
          </w:p>
        </w:tc>
      </w:tr>
      <w:tr>
        <w:tblPrEx>
          <w:tblW w:w="9310" w:type="dxa"/>
          <w:tblInd w:w="565" w:type="dxa"/>
          <w:tblCellMar>
            <w:top w:w="15" w:type="dxa"/>
            <w:left w:w="15" w:type="dxa"/>
            <w:bottom w:w="15" w:type="dxa"/>
            <w:right w:w="15" w:type="dxa"/>
          </w:tblCellMar>
          <w:tblLook w:val="05E0"/>
        </w:tblPrEx>
        <w:trPr>
          <w:trHeight w:val="285"/>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333333"/>
              </w:rPr>
              <w:t>反馈项</w:t>
            </w:r>
          </w:p>
        </w:tc>
        <w:tc>
          <w:tcPr>
            <w:tcW w:w="8193"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反馈内容</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杜绝商业贿赂</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向税务工作人员及其家属赠送礼品、礼金或提供任何形式的宴请、娱乐活动情况。</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规范经营活动</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按照合同要求，按时完成各阶段任务，确保项目质量和进度情况。</w:t>
            </w:r>
          </w:p>
        </w:tc>
      </w:tr>
      <w:tr>
        <w:tblPrEx>
          <w:tblW w:w="9310" w:type="dxa"/>
          <w:tblInd w:w="565" w:type="dxa"/>
          <w:tblCellMar>
            <w:top w:w="15" w:type="dxa"/>
            <w:left w:w="15" w:type="dxa"/>
            <w:bottom w:w="15" w:type="dxa"/>
            <w:right w:w="15" w:type="dxa"/>
          </w:tblCellMar>
          <w:tblLook w:val="05E0"/>
        </w:tblPrEx>
        <w:trPr>
          <w:trHeight w:val="570"/>
        </w:trPr>
        <w:tc>
          <w:tcPr>
            <w:tcW w:w="3245" w:type="dxa"/>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公开透明合作</w:t>
            </w:r>
          </w:p>
        </w:tc>
        <w:tc>
          <w:tcPr>
            <w:tcW w:w="8193" w:type="dxa"/>
            <w:tcBorders>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在项目实施过程中保持信息公开透明，主动接受相关部门的监督和检查情况。</w:t>
            </w:r>
          </w:p>
        </w:tc>
      </w:tr>
      <w:tr>
        <w:tblPrEx>
          <w:tblW w:w="9310" w:type="dxa"/>
          <w:tblInd w:w="565" w:type="dxa"/>
          <w:tblCellMar>
            <w:top w:w="15" w:type="dxa"/>
            <w:left w:w="15" w:type="dxa"/>
            <w:bottom w:w="15" w:type="dxa"/>
            <w:right w:w="15" w:type="dxa"/>
          </w:tblCellMar>
          <w:tblLook w:val="05E0"/>
        </w:tblPrEx>
        <w:trPr>
          <w:trHeight w:val="405"/>
        </w:trPr>
        <w:tc>
          <w:tcPr>
            <w:tcW w:w="8603" w:type="dxa"/>
            <w:gridSpan w:val="2"/>
            <w:tcBorders>
              <w:left w:val="single" w:sz="8" w:space="0" w:color="000000"/>
              <w:bottom w:val="single" w:sz="8" w:space="0" w:color="000000"/>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firstLine="632"/>
              <w:jc w:val="center"/>
              <w:textAlignment w:val="center"/>
              <w:rPr>
                <w:rFonts w:ascii="Times New Roman" w:eastAsia="Times New Roman" w:hAnsi="Times New Roman" w:cs="Times New Roman"/>
                <w:b w:val="0"/>
                <w:bCs w:val="0"/>
                <w:i w:val="0"/>
                <w:iCs w:val="0"/>
                <w:smallCaps w:val="0"/>
                <w:color w:val="000000"/>
              </w:rPr>
            </w:pPr>
            <w:r>
              <w:rPr>
                <w:rFonts w:ascii="黑体" w:eastAsia="黑体" w:hAnsi="黑体" w:cs="黑体"/>
                <w:b w:val="0"/>
                <w:bCs w:val="0"/>
                <w:i w:val="0"/>
                <w:iCs w:val="0"/>
                <w:smallCaps w:val="0"/>
                <w:color w:val="000000"/>
                <w:sz w:val="32"/>
                <w:szCs w:val="32"/>
              </w:rPr>
              <w:t>税务人员履职期间廉政情况</w:t>
            </w:r>
          </w:p>
        </w:tc>
      </w:tr>
      <w:tr>
        <w:tblPrEx>
          <w:tblW w:w="9310" w:type="dxa"/>
          <w:tblInd w:w="565" w:type="dxa"/>
          <w:tblCellMar>
            <w:top w:w="15" w:type="dxa"/>
            <w:left w:w="15" w:type="dxa"/>
            <w:bottom w:w="15" w:type="dxa"/>
            <w:right w:w="15" w:type="dxa"/>
          </w:tblCellMar>
          <w:tblLook w:val="05E0"/>
        </w:tblPrEx>
        <w:trPr>
          <w:trHeight w:val="505"/>
        </w:trPr>
        <w:tc>
          <w:tcPr>
            <w:tcW w:w="3245" w:type="dxa"/>
            <w:vMerge w:val="restart"/>
            <w:tcBorders>
              <w:left w:val="single" w:sz="8" w:space="0" w:color="000000"/>
              <w:bottom w:val="none" w:sz="0" w:space="0" w:color="auto"/>
              <w:right w:val="single" w:sz="8" w:space="0" w:color="000000"/>
            </w:tcBorders>
            <w:noWrap w:val="0"/>
            <w:tcMar>
              <w:top w:w="0" w:type="dxa"/>
              <w:left w:w="148" w:type="dxa"/>
              <w:bottom w:w="0" w:type="dxa"/>
              <w:right w:w="148" w:type="dxa"/>
            </w:tcMar>
            <w:vAlign w:val="center"/>
            <w:hideMark/>
          </w:tcPr>
          <w:p>
            <w:pPr>
              <w:pStyle w:val="17"/>
              <w:spacing w:before="0" w:after="0" w:line="580" w:lineRule="atLeast"/>
              <w:ind w:left="0" w:right="0"/>
              <w:jc w:val="both"/>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bCs/>
                <w:i w:val="0"/>
                <w:iCs w:val="0"/>
                <w:smallCaps w:val="0"/>
                <w:color w:val="000000"/>
              </w:rPr>
              <w:t>税务人员履职过程存在违纪违规行为</w:t>
            </w:r>
          </w:p>
        </w:tc>
        <w:tc>
          <w:tcPr>
            <w:tcW w:w="8193" w:type="dxa"/>
            <w:tcBorders>
              <w:top w:val="single" w:sz="8" w:space="0" w:color="000000"/>
              <w:bottom w:val="single" w:sz="8" w:space="0" w:color="000000"/>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333333"/>
              </w:rPr>
              <w:t>否</w:t>
            </w:r>
          </w:p>
        </w:tc>
      </w:tr>
      <w:tr>
        <w:tblPrEx>
          <w:tblW w:w="9310" w:type="dxa"/>
          <w:tblInd w:w="565" w:type="dxa"/>
          <w:tblCellMar>
            <w:top w:w="15" w:type="dxa"/>
            <w:left w:w="15" w:type="dxa"/>
            <w:bottom w:w="15" w:type="dxa"/>
            <w:right w:w="15" w:type="dxa"/>
          </w:tblCellMar>
          <w:tblLook w:val="05E0"/>
        </w:tblPrEx>
        <w:trPr>
          <w:trHeight w:val="285"/>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333333"/>
              </w:rPr>
            </w:pPr>
          </w:p>
        </w:tc>
        <w:tc>
          <w:tcPr>
            <w:tcW w:w="8193" w:type="dxa"/>
            <w:vMerge w:val="restart"/>
            <w:tcBorders>
              <w:bottom w:val="none" w:sz="0" w:space="0" w:color="auto"/>
              <w:right w:val="single" w:sz="8" w:space="0" w:color="000000"/>
            </w:tcBorders>
            <w:noWrap w:val="0"/>
            <w:tcMar>
              <w:top w:w="0" w:type="dxa"/>
              <w:left w:w="118" w:type="dxa"/>
              <w:bottom w:w="0" w:type="dxa"/>
              <w:right w:w="148" w:type="dxa"/>
            </w:tcMar>
            <w:vAlign w:val="center"/>
            <w:hideMark/>
          </w:tcPr>
          <w:p>
            <w:pPr>
              <w:pStyle w:val="17"/>
              <w:spacing w:before="0" w:after="0" w:line="580" w:lineRule="atLeast"/>
              <w:ind w:left="0" w:right="0" w:firstLine="472"/>
              <w:jc w:val="center"/>
              <w:textAlignment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rPr>
              <w:t>是（说明具体情况）</w:t>
            </w:r>
          </w:p>
        </w:tc>
      </w:tr>
      <w:tr>
        <w:tblPrEx>
          <w:tblW w:w="9310" w:type="dxa"/>
          <w:tblInd w:w="565" w:type="dxa"/>
          <w:tblCellMar>
            <w:top w:w="15" w:type="dxa"/>
            <w:left w:w="15" w:type="dxa"/>
            <w:bottom w:w="15" w:type="dxa"/>
            <w:right w:w="15" w:type="dxa"/>
          </w:tblCellMar>
          <w:tblLook w:val="05E0"/>
        </w:tblPrEx>
        <w:trPr>
          <w:trHeight w:val="537"/>
        </w:trPr>
        <w:tc>
          <w:tcPr>
            <w:vMerge/>
            <w:tcBorders>
              <w:left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rPr>
            </w:pPr>
          </w:p>
        </w:tc>
      </w:tr>
    </w:tbl>
    <w:p>
      <w:pPr>
        <w:pStyle w:val="MsoNormal"/>
        <w:spacing w:before="0" w:after="0" w:line="360" w:lineRule="auto"/>
        <w:rPr>
          <w:rFonts w:ascii="Times New Roman" w:eastAsia="Times New Roman" w:hAnsi="Times New Roman" w:cs="Times New Roman"/>
        </w:rPr>
      </w:pPr>
      <w:r>
        <w:rPr>
          <w:rStyle w:val="15Character"/>
          <w:rFonts w:ascii="仿宋_GB2312" w:eastAsia="仿宋_GB2312" w:hAnsi="仿宋_GB2312" w:cs="仿宋_GB2312"/>
          <w:spacing w:val="0"/>
          <w:sz w:val="32"/>
          <w:szCs w:val="32"/>
          <w:shd w:val="clear" w:color="auto" w:fill="FFFFFF"/>
        </w:rPr>
        <w:t>提交单位（盖章）：</w:t>
      </w:r>
      <w:r>
        <w:rPr>
          <w:rStyle w:val="15Character"/>
          <w:rFonts w:ascii="仿宋_GB2312" w:eastAsia="仿宋_GB2312" w:hAnsi="仿宋_GB2312" w:cs="仿宋_GB2312"/>
          <w:spacing w:val="0"/>
          <w:sz w:val="32"/>
          <w:szCs w:val="32"/>
          <w:shd w:val="clear" w:color="auto" w:fill="FFFFFF"/>
        </w:rPr>
        <w:t>XXX公司</w:t>
      </w:r>
      <w:r>
        <w:rPr>
          <w:rStyle w:val="15Character"/>
          <w:rFonts w:ascii="仿宋_GB2312" w:eastAsia="仿宋_GB2312" w:hAnsi="仿宋_GB2312" w:cs="仿宋_GB2312"/>
          <w:spacing w:val="0"/>
          <w:sz w:val="32"/>
          <w:szCs w:val="32"/>
          <w:shd w:val="clear" w:color="auto" w:fill="FFFFFF"/>
        </w:rPr>
        <w:br/>
      </w:r>
      <w:r>
        <w:rPr>
          <w:rStyle w:val="15Character"/>
          <w:rFonts w:ascii="仿宋_GB2312" w:eastAsia="仿宋_GB2312" w:hAnsi="仿宋_GB2312" w:cs="仿宋_GB2312"/>
          <w:spacing w:val="0"/>
          <w:sz w:val="32"/>
          <w:szCs w:val="32"/>
          <w:shd w:val="clear" w:color="auto" w:fill="FFFFFF"/>
        </w:rPr>
        <w:t>法定代表人或授权代表签字：</w:t>
      </w:r>
      <w:r>
        <w:rPr>
          <w:rStyle w:val="15Character"/>
          <w:rFonts w:ascii="仿宋_GB2312" w:eastAsia="仿宋_GB2312" w:hAnsi="仿宋_GB2312" w:cs="仿宋_GB2312"/>
          <w:spacing w:val="0"/>
          <w:sz w:val="32"/>
          <w:szCs w:val="32"/>
          <w:shd w:val="clear" w:color="auto" w:fill="FFFFFF"/>
        </w:rPr>
        <w:t>_________________________</w:t>
      </w:r>
      <w:r>
        <w:rPr>
          <w:rStyle w:val="15Character"/>
          <w:rFonts w:ascii="仿宋_GB2312" w:eastAsia="仿宋_GB2312" w:hAnsi="仿宋_GB2312" w:cs="仿宋_GB2312"/>
          <w:spacing w:val="0"/>
          <w:sz w:val="32"/>
          <w:szCs w:val="32"/>
          <w:shd w:val="clear" w:color="auto" w:fill="FFFFFF"/>
        </w:rPr>
        <w:br/>
      </w:r>
      <w:r>
        <w:rPr>
          <w:rFonts w:ascii="仿宋_GB2312" w:eastAsia="仿宋_GB2312" w:hAnsi="仿宋_GB2312" w:cs="仿宋_GB2312"/>
          <w:spacing w:val="0"/>
          <w:sz w:val="32"/>
          <w:szCs w:val="32"/>
          <w:shd w:val="clear" w:color="auto" w:fill="FFFFFF"/>
        </w:rPr>
        <w:t xml:space="preserve">                        </w:t>
      </w:r>
      <w:r>
        <w:rPr>
          <w:rStyle w:val="15Character"/>
          <w:rFonts w:ascii="仿宋_GB2312" w:eastAsia="仿宋_GB2312" w:hAnsi="仿宋_GB2312" w:cs="仿宋_GB2312"/>
          <w:spacing w:val="0"/>
          <w:sz w:val="32"/>
          <w:szCs w:val="32"/>
          <w:shd w:val="clear" w:color="auto" w:fill="FFFFFF"/>
        </w:rPr>
        <w:t>日期：</w:t>
      </w:r>
      <w:r>
        <w:rPr>
          <w:rStyle w:val="15Character"/>
          <w:rFonts w:ascii="仿宋_GB2312" w:eastAsia="仿宋_GB2312" w:hAnsi="仿宋_GB2312" w:cs="仿宋_GB2312"/>
          <w:spacing w:val="0"/>
          <w:sz w:val="32"/>
          <w:szCs w:val="32"/>
          <w:shd w:val="clear" w:color="auto" w:fill="FFFFFF"/>
        </w:rPr>
        <w:t>XX年XX月XX日</w:t>
      </w:r>
    </w:p>
    <w:p>
      <w:pPr>
        <w:pStyle w:val="Heading30"/>
        <w:keepNext w:val="0"/>
        <w:spacing w:before="0" w:after="0" w:line="360" w:lineRule="auto"/>
        <w:rPr>
          <w:rFonts w:ascii="仿宋_GB2312" w:eastAsia="仿宋_GB2312" w:hAnsi="仿宋_GB2312" w:cs="仿宋_GB2312"/>
          <w:b/>
          <w:bCs/>
          <w:sz w:val="28"/>
          <w:szCs w:val="28"/>
        </w:rPr>
      </w:pPr>
      <w:bookmarkStart w:id="50" w:name="_Toc256000046"/>
      <w:r>
        <w:rPr>
          <w:rFonts w:ascii="仿宋_GB2312" w:eastAsia="仿宋_GB2312" w:hAnsi="仿宋_GB2312" w:cs="仿宋_GB2312"/>
          <w:sz w:val="28"/>
          <w:szCs w:val="28"/>
        </w:rPr>
        <w:t>8.1.3★供应链安全管理要求</w:t>
      </w:r>
      <w:bookmarkEnd w:id="50"/>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1、人员资格要求</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1）签订承诺书。供应商应严格落实国家税务总局网络安全和保密管理要求，承担技术支持人员的网络安全和保密管理责任，按采购人要求签订协议和承诺书。</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2）开展背景审查。供应商承担技术支持人员背景审查工作，提供其身份证明、履历、家庭成员及主要社会关系、无犯罪记录证明等材料，并提交采购人进行备案。</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3）设置网络安全负责人（由驻场运维人员兼任）。供应商为本项目配备一名网络安全负责人，该负责人具备独立决策能力并保持相对稳定，在项目实施的全过程负责网络安全工作，组织落实各项网络安全要求。</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2、日常行为规范要求</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w:t>
      </w:r>
      <w:r>
        <w:rPr>
          <w:rFonts w:ascii="仿宋_GB2312" w:eastAsia="仿宋_GB2312" w:hAnsi="仿宋_GB2312" w:cs="仿宋_GB2312"/>
          <w:sz w:val="28"/>
          <w:szCs w:val="28"/>
        </w:rPr>
        <w:t>2）教育培训要求。供应商负责对技术支持人员进行网络和数据安全法律法规、网络安全意识、网络安全管理、网络安全技能、保密意识以及网络安全警示教育等培训，上岗前对其进行考核。</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3、违约惩戒措施</w:t>
      </w:r>
    </w:p>
    <w:p>
      <w:pPr>
        <w:pStyle w:val="MsoNormal"/>
        <w:spacing w:before="0" w:after="0" w:line="360" w:lineRule="auto"/>
        <w:ind w:firstLine="561"/>
        <w:rPr>
          <w:rFonts w:ascii="Times New Roman" w:eastAsia="Times New Roman" w:hAnsi="Times New Roman" w:cs="Times New Roman"/>
        </w:rPr>
      </w:pPr>
      <w:r>
        <w:rPr>
          <w:rFonts w:ascii="仿宋_GB2312" w:eastAsia="仿宋_GB2312" w:hAnsi="仿宋_GB2312" w:cs="仿宋_GB2312"/>
          <w:sz w:val="28"/>
          <w:szCs w:val="28"/>
        </w:rPr>
        <w:t>供应商对供应链安全管理责任落实不到位，造成安全事件或产生不良影响的，采购人按照法律法规及合同约定进行处理。</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z w:val="32"/>
          <w:szCs w:val="32"/>
        </w:rPr>
        <w:t>一、厂商及人员安全管理需求</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供应链厂商和人员要遵守国家网络安全政策法规和税务机关各项网络安全规章制度情况，供应链厂商要与税务机关签订《厂商网络安全承诺书》，向税务机关提交供应链厂商人员的《个人网络安全承诺书》及《无犯罪记录证明》。</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2.供应链厂商要配合税务机关对涉及税务机关税务信息化项目（以下简称项目）的人员做好背景审查。</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3.供应链厂商要定期对聘用离职税务人员情况进行排查，建立相关资料档案，确保人员安全可信。</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4.供应链厂商要建立网络安全负责人制度，并配备一名具备独立决策能力并保持相对稳定的负责人，在项目实施的全过程负责网络安全和数据安全工作，组织落实各项网络安全和数据安全要求。</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5.供应链厂商在项目实施前，要对参与人员开展网络和数据安全法律法规、安全技能、保密常识等方面的教育培训并考核合格；在项目开展期间，供应链厂商要定期开展相关培训、考核及警示教育，供应链厂商要通过教育培训不断提高厂商人员的网络和数据安全意识及保密意识。供应链厂商要对在项目开展期间离开涉及税务项目的人员进行离项审计。</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6.供应链厂商要及时向税务机关报告可能发生影响网络安全的重大事项，包括负责人及重要工作人员变更、业务转型、合并重组、投资并购等。</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7.供应链厂商要在项目启动前向税务机关提供基于项目场景的供应链《安全事件应急响应预案》，明确相关职责和应急处置流程；供应链厂商每年要向税务机关报送《供应链厂商应急演练记录》，确保快速有效处置供应链安全事件。</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8.供应链厂商及人员要严格遵守采购合同、协议、承诺书等文件中的安全相关条款。</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9.供应链厂商要对关键信息基础设施和重要信息系统进行自查，不利用提供产品和服务的便利条件非法获取数据、非法控制和操纵设备，不中断产品供应或必要的技术支持服务等。</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10.供应链厂商要加强人员违规违纪管理，对违规违纪行为按签订合同、协议、承诺书等相关条款进行处理，建立《违规违纪管理档案表》。对涉嫌违法犯罪的人员，要主动依照相应法律法规移交有关部门处理。</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11.供应链厂商要严格落实风险控制、审计巡查、应急处置等方面的工作要求，确保系统安全稳定运行。供应链厂商要按着各项要求，撰写《年度供应链安全自查报告》并提交税务机关。</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z w:val="32"/>
          <w:szCs w:val="32"/>
        </w:rPr>
        <w:t>二、进驻税务机关办公安全管理需求</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1.供应链厂商要加强驻场办公人员在日常工作中的行为安全管理，严格遵守运维场地管理规定及税务机关基础设施（机房）管理制度。</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2.驻场办公人员进驻运维场地期间不得携带个人电脑、个人存储介质（U盘）、未授权软件安装包等工具。</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3.驻场办公人员未经授权不允许访问、维护、维修基础设施。</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4.驻场办公人员严禁私自使用运维终端打印及刻录输出数据。</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5.驻场办公人员不得向第三方提供基础设施、场地设计图、设备部署图等有关信息。</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6.驻场办公人员使用的终端必须安装防病毒软件，定期开展终端病毒查杀，并形成病毒查杀文档。</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7.驻场办公人员不得将工作数据、工作内容、工作环境等任何与工作有关的信息传播至QQ、微信或任何与工作无关的地方。</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z w:val="32"/>
          <w:szCs w:val="32"/>
        </w:rPr>
        <w:t>三、开发建设安全管理需求</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1.供应链厂商的软件研发工作场所需安全可控可信，要搭建专用的开发测试环境，配置安全可信的开发管理工具，设置可靠的权限管理策略，确保项目研发安全可控。</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2.供应链厂商在税务机关提供场所开展软件开发测试工作时，网络安全负责人要严格管理本单位人员，严禁供应链厂商人员使用自带电脑和移动存储介质，严禁私自变更办公场所和办公设备，严禁安装非必要的应用程序和组件，严禁擅自复制、使用和修改文档、数据以及其他开发测试资料。</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3.供应链厂商要加强对提供的项目所涉软、硬件产品及服务的管理，产品及服务必须满足国家认可的网络安全规范和认证要求，供应链清单内的产品要具备销售许可证，定制开发软件必须开展网络安全“三同步”测评。采用源代码安全审计、开源组件安全检测、软件安全性深度测试等技术手段，对相关产品开展安全检查和技术检测，对存在的问题进行整改，最大限度消除风险隐患，并形成《供应链产品检查清单》，提交至税务机关。</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4.供应链厂商对项目使用的重要供应链产品要定期核查，形成《供应链产品清单》。</w:t>
      </w:r>
    </w:p>
    <w:p>
      <w:pPr>
        <w:pStyle w:val="MsoNormal"/>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5.供应链厂商要加强对引入的第三方组件的管理，配合税务机关做好安全风险评估、漏洞扫描，做好漏洞评估、漏洞修复和版本升级工作，形成《第三方组件清单》（可以将第三方组件内容加入《供应链产品清单》）和《安全风险分析报告》，及时更新第三方组件相关信息并报送税务机关，采取有效措施保障第三方组件安全。</w:t>
      </w:r>
    </w:p>
    <w:p>
      <w:pPr>
        <w:pStyle w:val="MsoNormal"/>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6.供应链厂商禁止使用存在高安全风险隐患或已停止维护的第三方组件。</w:t>
      </w:r>
    </w:p>
    <w:p>
      <w:pPr>
        <w:pStyle w:val="MsoNormal"/>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7.供应链厂商在产品中如使用了开源代码，应确保其符合开源许可协议要求。供应链厂商自行开发且多项目共用的基础框架及组件，一并参照管理。</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8.供应链厂商在项目开发建设时，要配置独立的、与互联网隔离的内部代码管理平台,并开展安全审查。严禁将源代码上传第三方平台，严禁使用互联网代码托管平台。</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9.供应链厂商在项目开发建设时，要搭建具备权限管控功能的统一版本控制系统，将全部源代码纳入管理，并制定安全编码规范，严禁开发人员未经授权或越权访问和违规开发。</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10.供应链厂商要开展源代码安全自查工作，设置专用代码审计场所，采用工具与人工核查相结合的方式开展工作，形成《源代码审计报告》提交税务机关。审计过程要确保源代码不外泄，对审计中发现的问题要及时解决。</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11.供应链厂商需要税务机关提供用于测试的脱敏数据时，应明确脱敏字段需求，要规范测试数据使用权限，切断数据拷出途径，确保测试数据安全。</w:t>
      </w:r>
    </w:p>
    <w:p>
      <w:pPr>
        <w:pStyle w:val="16"/>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12.供应链厂商要按照“三同步”工作要求，在应用系统开发上线前将《供应链产品清单》、《第三方组件使用清单》、《源代码审计报告》等相关内容，汇总至系统安全“三同步”材料一并提交税务机关审核，要从开发设计环节即全面落实安全管理要求。</w:t>
      </w:r>
    </w:p>
    <w:p>
      <w:pPr>
        <w:pStyle w:val="16"/>
        <w:spacing w:before="0" w:after="0" w:line="360" w:lineRule="auto"/>
        <w:ind w:left="0" w:right="0" w:firstLine="640"/>
        <w:jc w:val="both"/>
        <w:rPr>
          <w:rFonts w:ascii="Times New Roman" w:eastAsia="Times New Roman" w:hAnsi="Times New Roman" w:cs="Times New Roman"/>
        </w:rPr>
      </w:pPr>
      <w:r>
        <w:rPr>
          <w:rFonts w:ascii="黑体" w:eastAsia="黑体" w:hAnsi="黑体" w:cs="黑体"/>
          <w:sz w:val="32"/>
          <w:szCs w:val="32"/>
        </w:rPr>
        <w:t>四、日常运维安全管理需求</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1.供应链厂商人员开展工作所需的各类账户，要依据税务系统税费数据查询账号权限管理要求，按照最小化授权的原则，向税务机关提前申请，获得批准后方能使用，供应链厂商不得申请超出工作所需范围的账号权限。账户要采用实名制管理，准确填写厂商、姓名等基本信息，人员与账户一一对应，严禁用他人账户进行数据维护，严禁运维账户存在“一人多户”或“一户多人”情况。</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2.供应链厂商要加强数据安全管理，规范供应链厂商人员的日常运维工作，不得擅自访问、修改或删除税费数据，严禁将生产环境的真实税费数据导入测试环境，测试系统中不能留有真实税费数据</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3.供应链厂商及人员需要导出数据时要经过审批且符合规定，严禁私自导出数据。</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4.供应链厂商及人员不得私自截留涉税相关数据，不得变更用途、用法，不得公开、转让或向第三方提供。</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5.供应链厂商要及时发现风险隐患，对发现的网络安全漏洞、缺陷、数据泄露或其他重大网络安全风险，及时向税务机关报告，不得公开或向第三方提供。</w:t>
      </w:r>
    </w:p>
    <w:p>
      <w:pPr>
        <w:pStyle w:val="16"/>
        <w:spacing w:before="0" w:after="0" w:line="360" w:lineRule="auto"/>
        <w:ind w:left="0" w:right="0" w:firstLine="640"/>
        <w:jc w:val="left"/>
        <w:rPr>
          <w:rFonts w:ascii="Times New Roman" w:eastAsia="Times New Roman" w:hAnsi="Times New Roman" w:cs="Times New Roman"/>
        </w:rPr>
      </w:pPr>
      <w:r>
        <w:rPr>
          <w:rFonts w:ascii="仿宋_GB2312" w:eastAsia="仿宋_GB2312" w:hAnsi="仿宋_GB2312" w:cs="仿宋_GB2312"/>
          <w:sz w:val="32"/>
          <w:szCs w:val="32"/>
        </w:rPr>
        <w:t>6.供应链厂商要定期检查所使用产品及第三方组件，存在高危漏洞的应及时通过限制访问、更新补丁、版本升级、设备防护等措施进行加固处置；对于停止维护的产品及第三方组件，要评估是否存在高危漏洞，如存在无法修复的高危漏洞，要升级版本或更换产品及第三方组件。</w:t>
      </w:r>
    </w:p>
    <w:p>
      <w:pPr>
        <w:pStyle w:val="Heading20"/>
        <w:keepNext w:val="0"/>
        <w:spacing w:before="0" w:after="0" w:line="360" w:lineRule="auto"/>
        <w:rPr>
          <w:rFonts w:ascii="仿宋_GB2312" w:eastAsia="仿宋_GB2312" w:hAnsi="仿宋_GB2312" w:cs="仿宋_GB2312"/>
          <w:b/>
          <w:bCs/>
          <w:sz w:val="28"/>
          <w:szCs w:val="28"/>
        </w:rPr>
      </w:pPr>
      <w:bookmarkStart w:id="51" w:name="_Toc256000047"/>
      <w:r>
        <w:rPr>
          <w:rFonts w:ascii="仿宋_GB2312" w:eastAsia="仿宋_GB2312" w:hAnsi="仿宋_GB2312" w:cs="仿宋_GB2312"/>
          <w:i w:val="0"/>
          <w:iCs w:val="0"/>
        </w:rPr>
        <w:t>8.2付款安排建议</w:t>
      </w:r>
      <w:bookmarkEnd w:id="51"/>
    </w:p>
    <w:tbl>
      <w:tblPr>
        <w:tblStyle w:val="TableNormal"/>
        <w:tblW w:w="5000" w:type="pct"/>
        <w:tblInd w:w="30" w:type="dxa"/>
        <w:tblCellMar>
          <w:top w:w="15" w:type="dxa"/>
          <w:left w:w="15" w:type="dxa"/>
          <w:bottom w:w="15" w:type="dxa"/>
          <w:right w:w="15" w:type="dxa"/>
        </w:tblCellMar>
      </w:tblPr>
      <w:tblGrid>
        <w:gridCol w:w="1814"/>
        <w:gridCol w:w="5442"/>
        <w:gridCol w:w="1814"/>
      </w:tblGrid>
      <w:tr>
        <w:tblPrEx>
          <w:tblW w:w="5000" w:type="pct"/>
          <w:tblInd w:w="30" w:type="dxa"/>
          <w:tblCellMar>
            <w:top w:w="15" w:type="dxa"/>
            <w:left w:w="15" w:type="dxa"/>
            <w:bottom w:w="15" w:type="dxa"/>
            <w:right w:w="15" w:type="dxa"/>
          </w:tblCellMar>
        </w:tblPrEx>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付款名称</w:t>
            </w:r>
          </w:p>
        </w:tc>
        <w:tc>
          <w:tcPr>
            <w:tcW w:w="3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付款要求</w:t>
            </w:r>
          </w:p>
        </w:tc>
        <w:tc>
          <w:tcPr>
            <w:tcW w:w="1000" w:type="pct"/>
            <w:tcBorders>
              <w:top w:val="single" w:sz="6" w:space="0" w:color="000000"/>
              <w:left w:val="single" w:sz="6" w:space="0" w:color="000000"/>
              <w:bottom w:val="single" w:sz="6" w:space="0" w:color="000000"/>
              <w:right w:val="single" w:sz="6" w:space="0" w:color="000000"/>
            </w:tcBorders>
            <w:shd w:val="clear" w:color="auto" w:fill="D3D3D3"/>
            <w:noWrap w:val="0"/>
            <w:tcMar>
              <w:top w:w="22" w:type="dxa"/>
              <w:left w:w="22" w:type="dxa"/>
              <w:bottom w:w="22" w:type="dxa"/>
              <w:right w:w="22" w:type="dxa"/>
            </w:tcMar>
            <w:vAlign w:val="center"/>
            <w:hideMark/>
          </w:tcPr>
          <w:p>
            <w:pPr>
              <w:pStyle w:val="Normal0"/>
              <w:jc w:val="center"/>
              <w:rPr>
                <w:rFonts w:ascii="仿宋_GB2312" w:eastAsia="仿宋_GB2312" w:hAnsi="仿宋_GB2312" w:cs="仿宋_GB2312"/>
                <w:b/>
                <w:bCs/>
                <w:i w:val="0"/>
                <w:iCs w:val="0"/>
                <w:smallCaps w:val="0"/>
                <w:color w:val="000000"/>
                <w:sz w:val="21"/>
                <w:szCs w:val="21"/>
              </w:rPr>
            </w:pPr>
            <w:r>
              <w:rPr>
                <w:rFonts w:ascii="仿宋_GB2312" w:eastAsia="仿宋_GB2312" w:hAnsi="仿宋_GB2312" w:cs="仿宋_GB2312"/>
                <w:b/>
                <w:bCs/>
                <w:i w:val="0"/>
                <w:iCs w:val="0"/>
                <w:smallCaps w:val="0"/>
                <w:color w:val="000000"/>
                <w:sz w:val="21"/>
                <w:szCs w:val="21"/>
              </w:rPr>
              <w:t>付款比例(%)</w:t>
            </w:r>
          </w:p>
        </w:tc>
      </w:tr>
      <w:tr>
        <w:tblPrEx>
          <w:tblW w:w="5000" w:type="pct"/>
          <w:tblInd w:w="30" w:type="dxa"/>
          <w:tblCellMar>
            <w:top w:w="15" w:type="dxa"/>
            <w:left w:w="15" w:type="dxa"/>
            <w:bottom w:w="15" w:type="dxa"/>
            <w:right w:w="15" w:type="dxa"/>
          </w:tblCellMar>
        </w:tblPrEx>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第1次付款</w:t>
            </w:r>
          </w:p>
        </w:tc>
        <w:tc>
          <w:tcPr>
            <w:tcW w:w="22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项目经验收合格，中标供应商提出付款申请并出具等额发票后，10个工作日支付合同款</w:t>
            </w:r>
          </w:p>
        </w:tc>
        <w:tc>
          <w:tcPr>
            <w:tcW w:w="795" w:type="dxa"/>
            <w:tcBorders>
              <w:top w:val="single" w:sz="6" w:space="0" w:color="000000"/>
              <w:left w:val="single" w:sz="6" w:space="0" w:color="000000"/>
              <w:bottom w:val="single" w:sz="6" w:space="0" w:color="000000"/>
              <w:right w:val="single" w:sz="6" w:space="0" w:color="000000"/>
            </w:tcBorders>
            <w:noWrap w:val="0"/>
            <w:tcMar>
              <w:top w:w="22" w:type="dxa"/>
              <w:left w:w="22" w:type="dxa"/>
              <w:bottom w:w="22" w:type="dxa"/>
              <w:right w:w="22" w:type="dxa"/>
            </w:tcMar>
            <w:vAlign w:val="center"/>
            <w:hideMark/>
          </w:tcPr>
          <w:p>
            <w:pPr>
              <w:pStyle w:val="Normal0"/>
              <w:jc w:val="left"/>
              <w:rPr>
                <w:rFonts w:ascii="仿宋_GB2312" w:eastAsia="仿宋_GB2312" w:hAnsi="仿宋_GB2312" w:cs="仿宋_GB2312"/>
                <w:b w:val="0"/>
                <w:bCs w:val="0"/>
                <w:i w:val="0"/>
                <w:iCs w:val="0"/>
                <w:smallCaps w:val="0"/>
                <w:color w:val="000000"/>
                <w:sz w:val="21"/>
                <w:szCs w:val="21"/>
              </w:rPr>
            </w:pPr>
            <w:r>
              <w:rPr>
                <w:rFonts w:ascii="仿宋_GB2312" w:eastAsia="仿宋_GB2312" w:hAnsi="仿宋_GB2312" w:cs="仿宋_GB2312"/>
                <w:b w:val="0"/>
                <w:bCs w:val="0"/>
                <w:i w:val="0"/>
                <w:iCs w:val="0"/>
                <w:smallCaps w:val="0"/>
                <w:color w:val="000000"/>
                <w:sz w:val="21"/>
                <w:szCs w:val="21"/>
              </w:rPr>
              <w:t>100.0</w:t>
            </w:r>
          </w:p>
        </w:tc>
      </w:tr>
    </w:tbl>
    <w:p>
      <w:pPr>
        <w:pStyle w:val="Heading20"/>
        <w:keepNext w:val="0"/>
        <w:spacing w:before="0" w:after="0" w:line="360" w:lineRule="auto"/>
        <w:rPr>
          <w:rFonts w:ascii="仿宋_GB2312" w:eastAsia="仿宋_GB2312" w:hAnsi="仿宋_GB2312" w:cs="仿宋_GB2312"/>
          <w:b/>
          <w:bCs/>
          <w:sz w:val="28"/>
          <w:szCs w:val="28"/>
        </w:rPr>
      </w:pPr>
      <w:bookmarkStart w:id="52" w:name="_Toc256000048"/>
      <w:r>
        <w:rPr>
          <w:rFonts w:ascii="仿宋_GB2312" w:eastAsia="仿宋_GB2312" w:hAnsi="仿宋_GB2312" w:cs="仿宋_GB2312"/>
          <w:i w:val="0"/>
          <w:iCs w:val="0"/>
        </w:rPr>
        <w:t>8.3其他要求</w:t>
      </w:r>
      <w:bookmarkEnd w:id="52"/>
    </w:p>
    <w:p>
      <w:pPr>
        <w:pStyle w:val="Heading30"/>
        <w:keepNext w:val="0"/>
        <w:spacing w:before="0" w:after="0" w:line="360" w:lineRule="auto"/>
        <w:rPr>
          <w:rFonts w:ascii="仿宋_GB2312" w:eastAsia="仿宋_GB2312" w:hAnsi="仿宋_GB2312" w:cs="仿宋_GB2312"/>
          <w:b/>
          <w:bCs/>
          <w:sz w:val="28"/>
          <w:szCs w:val="28"/>
        </w:rPr>
      </w:pPr>
      <w:bookmarkStart w:id="53" w:name="_Toc256000049"/>
      <w:r>
        <w:rPr>
          <w:rFonts w:ascii="仿宋_GB2312" w:eastAsia="仿宋_GB2312" w:hAnsi="仿宋_GB2312" w:cs="仿宋_GB2312"/>
          <w:sz w:val="28"/>
          <w:szCs w:val="28"/>
        </w:rPr>
        <w:t>8.3.1保密要求</w:t>
      </w:r>
      <w:bookmarkEnd w:id="53"/>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投标人对项目实施过程中所获得数据及文档等保密信息，承担以下保密义务：</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1）投标人应对在合同签订或履行过程中所接触的对方信息，包括但不限于知识产权、技术资料、技术诀窍、内部管理及其他相关信息，负有保密义务，防止不承担同等保密义务的任何第三者知悉及使用。</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2）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应以审慎态度避免泄露、公开或传播用户方的信息</w:t>
      </w:r>
      <w:r>
        <w:rPr>
          <w:rFonts w:ascii="仿宋_GB2312" w:eastAsia="仿宋_GB2312" w:hAnsi="仿宋_GB2312" w:cs="仿宋_GB2312"/>
          <w:sz w:val="32"/>
          <w:szCs w:val="32"/>
        </w:rPr>
        <w:t>;</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未经用户方书面许可，不得对有关信息进行修改、补充、复制</w:t>
      </w:r>
      <w:r>
        <w:rPr>
          <w:rFonts w:ascii="仿宋_GB2312" w:eastAsia="仿宋_GB2312" w:hAnsi="仿宋_GB2312" w:cs="仿宋_GB2312"/>
          <w:sz w:val="32"/>
          <w:szCs w:val="32"/>
        </w:rPr>
        <w:t>;</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未经用户方书面许可，不得将信息以任何方式</w:t>
      </w:r>
      <w:r>
        <w:rPr>
          <w:rFonts w:ascii="仿宋_GB2312" w:eastAsia="仿宋_GB2312" w:hAnsi="仿宋_GB2312" w:cs="仿宋_GB2312"/>
          <w:sz w:val="32"/>
          <w:szCs w:val="32"/>
        </w:rPr>
        <w:t>(如 E-mail)携带出项目服务场所;</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未经用户方书面许可，不得将信息透露给任何其他人</w:t>
      </w:r>
      <w:r>
        <w:rPr>
          <w:rFonts w:ascii="仿宋_GB2312" w:eastAsia="仿宋_GB2312" w:hAnsi="仿宋_GB2312" w:cs="仿宋_GB2312"/>
          <w:sz w:val="32"/>
          <w:szCs w:val="32"/>
        </w:rPr>
        <w:t>;</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用户方以书面形式提出的其他保密措施。</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3）保密期限不受合同有效期的限制，在合同有效期结束后，信息接受方仍应承担保密义务，直至该等信息成为公开信息。</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4）投标人应按要求与委托方签署保密协议，服务人员签订保密承诺书及网络安全承诺书。</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w:t>
      </w:r>
      <w:r>
        <w:rPr>
          <w:rFonts w:ascii="仿宋_GB2312" w:eastAsia="仿宋_GB2312" w:hAnsi="仿宋_GB2312" w:cs="仿宋_GB2312"/>
          <w:sz w:val="32"/>
          <w:szCs w:val="32"/>
        </w:rPr>
        <w:t>5）投标人如出现泄密行为，泄密方应承担相关的法律责任并承担由此给采购方造成的经济损失。</w:t>
      </w:r>
    </w:p>
    <w:p>
      <w:pPr>
        <w:pStyle w:val="Heading30"/>
        <w:keepNext w:val="0"/>
        <w:spacing w:before="0" w:after="0" w:line="360" w:lineRule="auto"/>
        <w:rPr>
          <w:rFonts w:ascii="仿宋_GB2312" w:eastAsia="仿宋_GB2312" w:hAnsi="仿宋_GB2312" w:cs="仿宋_GB2312"/>
          <w:b/>
          <w:bCs/>
          <w:sz w:val="28"/>
          <w:szCs w:val="28"/>
        </w:rPr>
      </w:pPr>
      <w:bookmarkStart w:id="54" w:name="_Toc256000050"/>
      <w:r>
        <w:rPr>
          <w:rFonts w:ascii="仿宋_GB2312" w:eastAsia="仿宋_GB2312" w:hAnsi="仿宋_GB2312" w:cs="仿宋_GB2312"/>
          <w:sz w:val="28"/>
          <w:szCs w:val="28"/>
        </w:rPr>
        <w:t>8.3.2知识产权要求</w:t>
      </w:r>
      <w:bookmarkEnd w:id="54"/>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供应商不得擅自使用、复制采购人的商标、标志、数据信息、文档及其他资料。</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投标人需保证在本项目中所有预装和为本项目安装的软件为在中国境内具有合法版权或使用权的正版软件且无质量瑕疵。</w:t>
      </w:r>
    </w:p>
    <w:p>
      <w:pPr>
        <w:pStyle w:val="MsoNormal"/>
        <w:spacing w:before="0" w:after="0" w:line="360" w:lineRule="auto"/>
        <w:ind w:left="0" w:right="0" w:firstLine="640"/>
        <w:jc w:val="both"/>
        <w:rPr>
          <w:rFonts w:ascii="Times New Roman" w:eastAsia="Times New Roman" w:hAnsi="Times New Roman" w:cs="Times New Roman"/>
        </w:rPr>
      </w:pPr>
      <w:r>
        <w:rPr>
          <w:rFonts w:ascii="仿宋_GB2312" w:eastAsia="仿宋_GB2312" w:hAnsi="仿宋_GB2312" w:cs="仿宋_GB2312"/>
          <w:sz w:val="32"/>
          <w:szCs w:val="32"/>
        </w:rPr>
        <w:t>投标人需保证所提供的服务不侵犯第三方的知识产权（专利权、商标权、版权等），因侵害第三方知识产权而产生的法律责任，全部由投标人承担。</w:t>
      </w:r>
    </w:p>
    <w:p>
      <w:pPr>
        <w:pStyle w:val="Heading30"/>
        <w:keepNext w:val="0"/>
        <w:spacing w:before="0" w:after="0" w:line="360" w:lineRule="auto"/>
        <w:rPr>
          <w:rFonts w:ascii="仿宋_GB2312" w:eastAsia="仿宋_GB2312" w:hAnsi="仿宋_GB2312" w:cs="仿宋_GB2312"/>
          <w:b/>
          <w:bCs/>
          <w:sz w:val="28"/>
          <w:szCs w:val="28"/>
        </w:rPr>
      </w:pPr>
      <w:bookmarkStart w:id="55" w:name="_Toc256000051"/>
      <w:r>
        <w:rPr>
          <w:rFonts w:ascii="仿宋_GB2312" w:eastAsia="仿宋_GB2312" w:hAnsi="仿宋_GB2312" w:cs="仿宋_GB2312"/>
          <w:sz w:val="28"/>
          <w:szCs w:val="28"/>
        </w:rPr>
        <w:t>8.3.3“满足指标要求情况”内容（概括版）</w:t>
      </w:r>
      <w:bookmarkEnd w:id="55"/>
    </w:p>
    <w:tbl>
      <w:tblPr>
        <w:tblStyle w:val="MsoNormalTable"/>
        <w:tblW w:w="9860" w:type="dxa"/>
        <w:tblInd w:w="263" w:type="dxa"/>
        <w:tblCellMar>
          <w:top w:w="15" w:type="dxa"/>
          <w:left w:w="15" w:type="dxa"/>
          <w:bottom w:w="15" w:type="dxa"/>
          <w:right w:w="15" w:type="dxa"/>
        </w:tblCellMar>
        <w:tblLook w:val="05E0"/>
      </w:tblPr>
      <w:tblGrid>
        <w:gridCol w:w="1355"/>
        <w:gridCol w:w="2977"/>
        <w:gridCol w:w="683"/>
        <w:gridCol w:w="915"/>
        <w:gridCol w:w="11500"/>
        <w:gridCol w:w="1763"/>
      </w:tblGrid>
      <w:tr>
        <w:tblPrEx>
          <w:tblW w:w="9860" w:type="dxa"/>
          <w:tblInd w:w="263" w:type="dxa"/>
          <w:tblCellMar>
            <w:top w:w="15" w:type="dxa"/>
            <w:left w:w="15" w:type="dxa"/>
            <w:bottom w:w="15" w:type="dxa"/>
            <w:right w:w="15" w:type="dxa"/>
          </w:tblCellMar>
          <w:tblLook w:val="05E0"/>
        </w:tblPrEx>
        <w:trPr>
          <w:trHeight w:val="2086"/>
        </w:trPr>
        <w:tc>
          <w:tcPr>
            <w:tcW w:w="845" w:type="dxa"/>
            <w:tcBorders>
              <w:top w:val="single" w:sz="8" w:space="0" w:color="000000"/>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Times New Roman" w:eastAsia="Times New Roman" w:hAnsi="Times New Roman" w:cs="Times New Roman"/>
                <w:b w:val="0"/>
                <w:bCs w:val="0"/>
                <w:i w:val="0"/>
                <w:iCs w:val="0"/>
                <w:smallCaps w:val="0"/>
                <w:color w:val="000000"/>
              </w:rPr>
              <w:t> </w:t>
            </w: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序号</w:t>
            </w:r>
          </w:p>
        </w:tc>
        <w:tc>
          <w:tcPr>
            <w:tcW w:w="915" w:type="dxa"/>
            <w:tcBorders>
              <w:top w:val="single" w:sz="8" w:space="0" w:color="000000"/>
              <w:bottom w:val="single" w:sz="8" w:space="0" w:color="000000"/>
              <w:right w:val="single" w:sz="8" w:space="0" w:color="000000"/>
            </w:tcBorders>
            <w:noWrap w:val="0"/>
            <w:tcMar>
              <w:top w:w="0" w:type="dxa"/>
              <w:left w:w="113" w:type="dxa"/>
              <w:bottom w:w="0" w:type="dxa"/>
              <w:right w:w="118" w:type="dxa"/>
            </w:tcMar>
            <w:vAlign w:val="top"/>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w:t>
            </w: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产品名称</w:t>
            </w:r>
          </w:p>
        </w:tc>
        <w:tc>
          <w:tcPr>
            <w:tcW w:w="795" w:type="dxa"/>
            <w:tcBorders>
              <w:top w:val="single" w:sz="8" w:space="0" w:color="000000"/>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指标种类</w:t>
            </w:r>
          </w:p>
        </w:tc>
        <w:tc>
          <w:tcPr>
            <w:tcW w:w="900" w:type="dxa"/>
            <w:tcBorders>
              <w:top w:val="single" w:sz="8" w:space="0" w:color="000000"/>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指标名称</w:t>
            </w:r>
          </w:p>
        </w:tc>
        <w:tc>
          <w:tcPr>
            <w:tcW w:w="4950" w:type="dxa"/>
            <w:tcBorders>
              <w:top w:val="single" w:sz="8" w:space="0" w:color="000000"/>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指标内容</w:t>
            </w:r>
          </w:p>
        </w:tc>
        <w:tc>
          <w:tcPr>
            <w:tcW w:w="1455" w:type="dxa"/>
            <w:tcBorders>
              <w:top w:val="single" w:sz="8" w:space="0" w:color="000000"/>
              <w:bottom w:val="single" w:sz="8" w:space="0" w:color="000000"/>
              <w:right w:val="single" w:sz="8" w:space="0" w:color="000000"/>
            </w:tcBorders>
            <w:noWrap w:val="0"/>
            <w:tcMar>
              <w:top w:w="0" w:type="dxa"/>
              <w:left w:w="113" w:type="dxa"/>
              <w:bottom w:w="0" w:type="dxa"/>
              <w:right w:w="118" w:type="dxa"/>
            </w:tcMar>
            <w:vAlign w:val="top"/>
            <w:hideMark/>
          </w:tcPr>
          <w:p>
            <w:pPr>
              <w:pStyle w:val="MsoNormal"/>
              <w:spacing w:after="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 </w:t>
            </w:r>
          </w:p>
          <w:p>
            <w:pPr>
              <w:pStyle w:val="MsoNormal"/>
              <w:spacing w:before="240"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证明材料要求（官网截图或</w:t>
            </w:r>
            <w:r>
              <w:rPr>
                <w:rFonts w:ascii="仿宋_GB2312" w:eastAsia="仿宋_GB2312" w:hAnsi="仿宋_GB2312" w:cs="仿宋_GB2312"/>
                <w:b w:val="0"/>
                <w:bCs w:val="0"/>
                <w:i w:val="0"/>
                <w:iCs w:val="0"/>
                <w:smallCaps w:val="0"/>
                <w:color w:val="000000"/>
                <w:sz w:val="18"/>
                <w:szCs w:val="18"/>
              </w:rPr>
              <w:t>否</w:t>
            </w:r>
            <w:r>
              <w:rPr>
                <w:rFonts w:ascii="仿宋_GB2312" w:eastAsia="仿宋_GB2312" w:hAnsi="仿宋_GB2312" w:cs="仿宋_GB2312"/>
                <w:b w:val="0"/>
                <w:bCs w:val="0"/>
                <w:i w:val="0"/>
                <w:iCs w:val="0"/>
                <w:smallCaps w:val="0"/>
                <w:color w:val="000000"/>
                <w:sz w:val="18"/>
                <w:szCs w:val="18"/>
              </w:rPr>
              <w:t>或白皮书或承诺书等证明材料）</w:t>
            </w:r>
          </w:p>
        </w:tc>
      </w:tr>
      <w:tr>
        <w:tblPrEx>
          <w:tblW w:w="9860" w:type="dxa"/>
          <w:tblInd w:w="263" w:type="dxa"/>
          <w:tblCellMar>
            <w:top w:w="15" w:type="dxa"/>
            <w:left w:w="15" w:type="dxa"/>
            <w:bottom w:w="15" w:type="dxa"/>
            <w:right w:w="15" w:type="dxa"/>
          </w:tblCellMar>
          <w:tblLook w:val="05E0"/>
        </w:tblPrEx>
        <w:trPr>
          <w:trHeight w:val="8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1 </w:t>
            </w:r>
          </w:p>
        </w:tc>
        <w:tc>
          <w:tcPr>
            <w:tcW w:w="915" w:type="dxa"/>
            <w:vMerge w:val="restart"/>
            <w:tcBorders>
              <w:bottom w:val="none" w:sz="0" w:space="0" w:color="auto"/>
              <w:right w:val="single" w:sz="8" w:space="0" w:color="000000"/>
            </w:tcBorders>
            <w:noWrap w:val="0"/>
            <w:tcMar>
              <w:top w:w="0" w:type="dxa"/>
              <w:left w:w="113" w:type="dxa"/>
              <w:bottom w:w="0" w:type="dxa"/>
              <w:right w:w="118" w:type="dxa"/>
            </w:tcMar>
            <w:vAlign w:val="top"/>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国家税务总局吉林省税务局</w:t>
            </w:r>
            <w:r>
              <w:rPr>
                <w:rFonts w:ascii="仿宋_GB2312" w:eastAsia="仿宋_GB2312" w:hAnsi="仿宋_GB2312" w:cs="仿宋_GB2312"/>
                <w:b w:val="0"/>
                <w:bCs w:val="0"/>
                <w:i w:val="0"/>
                <w:iCs w:val="0"/>
                <w:smallCaps w:val="0"/>
                <w:color w:val="000000"/>
                <w:sz w:val="18"/>
                <w:szCs w:val="18"/>
              </w:rPr>
              <w:t>2025年南湖大路办公区主楼及东区无线覆盖采购项目</w:t>
            </w: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Style w:val="16Character"/>
                <w:rFonts w:ascii="宋体" w:eastAsia="宋体" w:hAnsi="宋体" w:cs="宋体"/>
                <w:b w:val="0"/>
                <w:bCs w:val="0"/>
                <w:i w:val="0"/>
                <w:iCs w:val="0"/>
                <w:smallCaps w:val="0"/>
                <w:color w:val="000000"/>
                <w:sz w:val="18"/>
                <w:szCs w:val="18"/>
              </w:rPr>
              <w:t>1. 支持标准802.11ax 、802.11ac wave2、wave1、802.11a/b/g/n协议。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8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支持双频4条流，整机最大接入速率2976 Mbps。</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8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标准86面板AP，整机自带：1个上联10/100/1000Mbps自协商以太网口，1个下联10/100/1000Mbps自协商以太网口。</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8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支持标准PoE以太网供电（支持802.3af/802.3at兼容供电），整机功耗≤10.2W。</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8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支持网管平台集中管理，实配网管平台，出现设备掉线、CPU状态、内存状态等问题通过APP告警推送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03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一体化统一组网，并通过网关对交换、AP、AC进行集中化的调试</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1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支持智能漫游，支持802.11K/V协议，支持快速漫游（802.11r），解决漫游粘滞，提高漫出信号强度，缩短漫游切换时间，降低丢包率。基于大数据算法，自动对网络进行智能优化，为用户提供流畅快速的网络环境</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58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center"/>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0°C～40°C正常工作。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95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平均无故障工作时间≥400000小时</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95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支持APP本地或者远程统一运维管理，能够呈现设备的在线状态、相关网络拓扑、无线功能配置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45"/>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在线状态查询、配置修改，无线用户终端详情：包含用户mac地址、信号强度、频段、总流量、终端os类型、终端厂商等，实配网管平台</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73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支持无线流量控制(WQOS)，其中包括：无线限速、AP限速、报文限速</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98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 mesh,可以扩展Wi-Fi 覆盖范围并提高网络性能，支持mesh自愈，有线链路断开可以自行无线mesh，恢复网络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0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支持智能诊断网络故障，提供解决方案</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7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支持终端关联绑定，指定终端连接到最优AP，避免终端频繁连接</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7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7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面板</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为保证无线网络安全，在无线网络中,黑白名单功能可以对无线客户端进行帧过滤，要求所投产品支持不小于256的黑白名单</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67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Style w:val="15Character"/>
                <w:rFonts w:ascii="宋体" w:eastAsia="宋体" w:hAnsi="宋体" w:cs="宋体"/>
                <w:b w:val="0"/>
                <w:bCs w:val="0"/>
                <w:i w:val="0"/>
                <w:iCs w:val="0"/>
                <w:smallCaps w:val="0"/>
                <w:color w:val="000000"/>
                <w:sz w:val="18"/>
                <w:szCs w:val="18"/>
              </w:rPr>
              <w:t>支持标准802.11ax 、802.11ac wave2、wave1、802.11a/b/g/n协议。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7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19 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支持双频5条流，整机最大接入速率2976 Mbps。</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7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标准吸顶部署AP，提供1个10/100/1000Mpbs自协商以太网口和一个DC电源口</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7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支持IEEE 802.3at（PoE+）以太网供电及12V DC供电，整机功耗≤18W</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72"/>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支持网管平台集中管理，实配网管平台，出现设备掉线、CPU状态、内存状态等问题通过APP告警推送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33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一体化统一组网，并通过网关对交换、AP、AC进行集中化的调试</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1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支持智能漫游，支持802.11K/V协议，支持快速漫游（802.11r），解决漫游粘滞，提高漫出信号强度，缩短漫游切换时间，降低丢包率。基于大数据算法，自动对网络进行智能优化</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2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支持EFEM,完成射频信号的发送和接收放大、功率检测、控制和开关，提升4倍信号功率，2.4G发射功率≤25 dBm，5G发射功率≤25 dBm</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247"/>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0°C～40°C正常工作。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66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平均无故障工作时间≥250000小时</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66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支持APP本地或者远程统一运维管理，能够呈现设备的在线状态、相关网络拓扑、无线功能配置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94"/>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29 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在线状态查询、配置修改，无线用户终端详情：包含用户mac地址、信号强度、频段、总流量、终端os类型、终端厂商等，实配网管平台</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595"/>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支持无线流量控制(WQOS)，其中包括：无线限速、AP限速、报文限速</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93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 mesh,可以扩展Wi-Fi 覆盖范围并提高网络性能，支持mesh自愈，有线链路断开可以自行无线mesh，恢复网络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720"/>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吸顶</w:t>
            </w:r>
            <w:r>
              <w:rPr>
                <w:rFonts w:ascii="宋体" w:eastAsia="宋体" w:hAnsi="宋体" w:cs="宋体"/>
                <w:b w:val="0"/>
                <w:bCs w:val="0"/>
                <w:i w:val="0"/>
                <w:iCs w:val="0"/>
                <w:smallCaps w:val="0"/>
                <w:color w:val="000000"/>
                <w:sz w:val="18"/>
                <w:szCs w:val="18"/>
              </w:rPr>
              <w:t>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支持终端关联绑定，指定终端连接到最优AP，避免终端频繁连接</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74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1. 支持标准802.11ax 、802.11ac wave2、wave1、802.11a/b/g/n协议。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支持双频5条流，整机最大接入速率2976 Mbps。</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标准吸顶部署AP，提供1个2.5Gbps自协调以太网口和1个10/100/1000Mpbs自适应以太网口</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支持IEEE 802.3at（PoE+）以太网供电和本地供电（DC 12V），整机功耗≤18W</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支持网管平台集中管理，实配网管平台，出现设备掉线、CPU状态、内存状态等问题通过APP告警推送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711"/>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39 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一体化统一组网，并通过网关对交换、AP、AC进行集中化的调试</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支持智能漫游，支持802.11K/V协议，支持快速漫游（802.11r），解决漫游粘滞，提高漫出信号强度，缩短漫游切换时间，降低丢包率。基于大数据算法，自动对网络进行智能优化</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支持AP负载均衡</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54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支持EFEM,完成射频信号的发送和接收放大、功率检测、控制和开关，提升4倍信号功率，2.4G发射功率≤25 dBm，5G发射功率≤25 dBm</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0°C～40°C正常工作。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平均无故障工作时间≥250000小时</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36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支持APP本地或者远程统一运维管理，能够呈现设备的在线状态、相关网络拓扑、无线功能配置</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555"/>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通过同一品牌的网管软件实现：在线状态查询、配置修改，无线用户终端详情：包含用户mac地址、信号强度、频段、总流量、终端os类型、终端厂商等，实配网管平台</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支持802.1x认证，搭配云平台进行账号认证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 Portal认证，搭配云平台进行多种方式认证：一键上网、短信认证、账号认证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49 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支持无线流量控制(WQOS)，其中包括：无线限速、AP限速、报文限速</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 mesh,可以扩展Wi-Fi 覆盖范围并提高网络性能，支持mesh自愈，有线链路断开可以自行无线mesh，恢复网络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支持终端关联绑定，指定终端连接到最优AP，避免终端频繁连接</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高密吸顶AP</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95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固化千兆电接口数≥24个，万兆SFP光口≥4个（配置2个万兆单模光模块，最大传输距离10KM，LC），最大可用端口≥28个</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90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支持PoE供电口≥24个，整机最大PoE供电功率370W，单端口最大PoE供电功率30W</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961"/>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内存512MB，交换容量≥336Gbps，包转发率≥108Mpps</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7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Style w:val="16Character"/>
                <w:rFonts w:ascii="宋体" w:eastAsia="宋体" w:hAnsi="宋体" w:cs="宋体"/>
                <w:b w:val="0"/>
                <w:bCs w:val="0"/>
                <w:i w:val="0"/>
                <w:iCs w:val="0"/>
                <w:smallCaps w:val="0"/>
                <w:color w:val="000000"/>
                <w:sz w:val="18"/>
                <w:szCs w:val="18"/>
              </w:rPr>
              <w:t>交换缓存≥12Mbit</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16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支持生成树 STP / RSTP ; 提高容错能力，保证网络的稳定运行和链路的负载均衡，合理使用网络通道，提供冗余链路利用率</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7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支持防环路检测，自动解决环路问题</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5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59 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支持静态链路聚合</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68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支持端口镜像，多对一镜像</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67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支持DHCP Snooping</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58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支持VLAN划分，可划分VLAN≥4094</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1561"/>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支持高效节能以太网（EEE），端口如果在连续一段时间之内空闲，系统会将该端口设置为节能模式，当有报文收发时再通过定时发送的监听码流唤醒端口恢复业务，达到节能的效果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674"/>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支持QoS(支持端口输出和输入流量限速)</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67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支持标准的ACL、支持基于IP/MAC扩展的ACL</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67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支持CPU安全保护策略(硬件CPP)</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724"/>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支持防雷等级≥6kV</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白皮书</w:t>
            </w:r>
          </w:p>
        </w:tc>
      </w:tr>
      <w:tr>
        <w:tblPrEx>
          <w:tblW w:w="9860" w:type="dxa"/>
          <w:tblInd w:w="263" w:type="dxa"/>
          <w:tblCellMar>
            <w:top w:w="15" w:type="dxa"/>
            <w:left w:w="15" w:type="dxa"/>
            <w:bottom w:w="15" w:type="dxa"/>
            <w:right w:w="15" w:type="dxa"/>
          </w:tblCellMar>
          <w:tblLook w:val="05E0"/>
        </w:tblPrEx>
        <w:trPr>
          <w:trHeight w:val="62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工作温度范围0ºC ~ 50ºC</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白皮书</w:t>
            </w:r>
          </w:p>
        </w:tc>
      </w:tr>
      <w:tr>
        <w:tblPrEx>
          <w:tblW w:w="9860" w:type="dxa"/>
          <w:tblInd w:w="263" w:type="dxa"/>
          <w:tblCellMar>
            <w:top w:w="15" w:type="dxa"/>
            <w:left w:w="15" w:type="dxa"/>
            <w:bottom w:w="15" w:type="dxa"/>
            <w:right w:w="15" w:type="dxa"/>
          </w:tblCellMar>
          <w:tblLook w:val="05E0"/>
        </w:tblPrEx>
        <w:trPr>
          <w:trHeight w:val="47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69 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光模块</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21"/>
                <w:szCs w:val="21"/>
              </w:rPr>
              <w:t>最大传输距离</w:t>
            </w:r>
            <w:r>
              <w:rPr>
                <w:rFonts w:ascii="仿宋_GB2312" w:eastAsia="仿宋_GB2312" w:hAnsi="仿宋_GB2312" w:cs="仿宋_GB2312"/>
                <w:b w:val="0"/>
                <w:bCs w:val="0"/>
                <w:i w:val="0"/>
                <w:iCs w:val="0"/>
                <w:smallCaps w:val="0"/>
                <w:color w:val="000000"/>
                <w:sz w:val="21"/>
                <w:szCs w:val="21"/>
              </w:rPr>
              <w:t>10KM,双纤口,适用LC型接头跳线</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否</w:t>
            </w:r>
          </w:p>
        </w:tc>
      </w:tr>
      <w:tr>
        <w:tblPrEx>
          <w:tblW w:w="9860" w:type="dxa"/>
          <w:tblInd w:w="263" w:type="dxa"/>
          <w:tblCellMar>
            <w:top w:w="15" w:type="dxa"/>
            <w:left w:w="15" w:type="dxa"/>
            <w:bottom w:w="15" w:type="dxa"/>
            <w:right w:w="15" w:type="dxa"/>
          </w:tblCellMar>
          <w:tblLook w:val="05E0"/>
        </w:tblPrEx>
        <w:trPr>
          <w:trHeight w:val="75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可管理全网设备数（包括：网关+交换机+AP）共512个，免License授权</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5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接口数量1000/100/10 Mbps≥5</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04"/>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在线无线用户数目≥2K</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82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根据网络的SSID和用户VLAN的规划，数据可直接进入有线网络进行本地交换</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96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支持全网设备(包括网关，交换机，无线ap)自动发现，全网设备统一集中配置和管理，包括全网设备集中配置，全网设备升级，全网设备密码管理</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18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内置云控制模式，该模式支持以真实拓扑为入口对全网设备进行可视化配置，可视化监控，可视化管理，包括网关，交换机，无线AP；可实时监测网络环境，故障告警定位，支持内网监控摄像头扫描与智能识别，支持内网穿透远程管理</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38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支持802.1x认证，搭配云平台进行账号认证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4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支持二层和三层的组网，支持跨AP跨三层快速漫游，三层漫游可支持基于SSID生效</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84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支持AP Portal认证，搭配云平台进行多种方式认证：一键上网、短信认证、账号认证</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8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79 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支持无线智能网优，合理分配整网频谱资源，调节最优信道，最佳频宽</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65"/>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网络控制器</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黑白名单数≥1024</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65"/>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三层交换机主机箱，共3个业务线卡槽位，无引擎槽位</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2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交换容量≥38.4Tbps/168Tbps，包转发率≥7200Mpps/36000Mpps。支持双频4条流，整机最大接入速率≥1775Mbps</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112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整机独立插槽≥3个，系统电源槽位≥2个</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3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万兆光口≥24个，千兆电口≥24个，千兆光口≥24个，双电源</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703"/>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85 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高度&lt;=4U</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left"/>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22"/>
                <w:szCs w:val="22"/>
              </w:rPr>
              <w:t>否</w:t>
            </w:r>
          </w:p>
        </w:tc>
      </w:tr>
      <w:tr>
        <w:tblPrEx>
          <w:tblW w:w="9860" w:type="dxa"/>
          <w:tblInd w:w="263" w:type="dxa"/>
          <w:tblCellMar>
            <w:top w:w="15" w:type="dxa"/>
            <w:left w:w="15" w:type="dxa"/>
            <w:bottom w:w="15" w:type="dxa"/>
            <w:right w:w="15" w:type="dxa"/>
          </w:tblCellMar>
          <w:tblLook w:val="05E0"/>
        </w:tblPrEx>
        <w:trPr>
          <w:trHeight w:val="67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86 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支持高效节能以太网（IEEE），端口如果在连续一段时间之内空闲，系统会将该端口设置为节能模式，当有报文收发时再通过定时发送的监听码流唤醒端口恢复业务，达到节能的效果</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71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87 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防雷接地≥6kV</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011"/>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88 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支持对交换机、无线AP进行统一管理，管理的交换机、无线AP设备数量≥300台</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1136"/>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89 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支持网管平台和手机APP集中管理，实配网管平台，出现交换机端口状态改变、网络出现环路、交换机端口流量过阀值等问题通过微信告警推送，提供功能截图</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891"/>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90 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汇聚交换机</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both"/>
              <w:textAlignment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支持设备统一发现，并通过网关对交换、AP、AC进行集中化的调试</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白皮</w:t>
            </w:r>
            <w:r>
              <w:rPr>
                <w:rFonts w:ascii="仿宋_GB2312" w:eastAsia="仿宋_GB2312" w:hAnsi="仿宋_GB2312" w:cs="仿宋_GB2312"/>
                <w:b w:val="0"/>
                <w:bCs w:val="0"/>
                <w:i w:val="0"/>
                <w:iCs w:val="0"/>
                <w:smallCaps w:val="0"/>
                <w:color w:val="000000"/>
                <w:sz w:val="18"/>
                <w:szCs w:val="18"/>
              </w:rPr>
              <w:t>书</w:t>
            </w:r>
          </w:p>
        </w:tc>
      </w:tr>
      <w:tr>
        <w:tblPrEx>
          <w:tblW w:w="9860" w:type="dxa"/>
          <w:tblInd w:w="263" w:type="dxa"/>
          <w:tblCellMar>
            <w:top w:w="15" w:type="dxa"/>
            <w:left w:w="15" w:type="dxa"/>
            <w:bottom w:w="15" w:type="dxa"/>
            <w:right w:w="15" w:type="dxa"/>
          </w:tblCellMar>
          <w:tblLook w:val="05E0"/>
        </w:tblPrEx>
        <w:trPr>
          <w:trHeight w:val="8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91 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网线</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抗拉、抗扭、耐磨、防水、撕裂绳自剥皮线缆</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产品说明书</w:t>
            </w:r>
          </w:p>
        </w:tc>
      </w:tr>
      <w:tr>
        <w:tblPrEx>
          <w:tblW w:w="9860" w:type="dxa"/>
          <w:tblInd w:w="263" w:type="dxa"/>
          <w:tblCellMar>
            <w:top w:w="15" w:type="dxa"/>
            <w:left w:w="15" w:type="dxa"/>
            <w:bottom w:w="15" w:type="dxa"/>
            <w:right w:w="15" w:type="dxa"/>
          </w:tblCellMar>
          <w:tblLook w:val="05E0"/>
        </w:tblPrEx>
        <w:trPr>
          <w:trHeight w:val="8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92 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网线</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CAT6 传输带宽250MHZ</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产品说明书</w:t>
            </w:r>
          </w:p>
        </w:tc>
      </w:tr>
      <w:tr>
        <w:tblPrEx>
          <w:tblW w:w="9860" w:type="dxa"/>
          <w:tblInd w:w="263" w:type="dxa"/>
          <w:tblCellMar>
            <w:top w:w="15" w:type="dxa"/>
            <w:left w:w="15" w:type="dxa"/>
            <w:bottom w:w="15" w:type="dxa"/>
            <w:right w:w="15" w:type="dxa"/>
          </w:tblCellMar>
          <w:tblLook w:val="05E0"/>
        </w:tblPrEx>
        <w:trPr>
          <w:trHeight w:val="84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93 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系统集成</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所有线路采用暗线铺设</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承诺书</w:t>
            </w:r>
          </w:p>
        </w:tc>
      </w:tr>
      <w:tr>
        <w:tblPrEx>
          <w:tblW w:w="9860" w:type="dxa"/>
          <w:tblInd w:w="263" w:type="dxa"/>
          <w:tblCellMar>
            <w:top w:w="15" w:type="dxa"/>
            <w:left w:w="15" w:type="dxa"/>
            <w:bottom w:w="15" w:type="dxa"/>
            <w:right w:w="15" w:type="dxa"/>
          </w:tblCellMar>
          <w:tblLook w:val="05E0"/>
        </w:tblPrEx>
        <w:trPr>
          <w:trHeight w:val="848"/>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94 </w:t>
            </w:r>
          </w:p>
        </w:tc>
        <w:tc>
          <w:tcPr>
            <w:vMerge/>
            <w:tcBorders>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系统集成</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主干线路采用光纤铺设</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承诺书</w:t>
            </w:r>
          </w:p>
        </w:tc>
      </w:tr>
      <w:tr>
        <w:tblPrEx>
          <w:tblW w:w="9860" w:type="dxa"/>
          <w:tblInd w:w="263" w:type="dxa"/>
          <w:tblCellMar>
            <w:top w:w="15" w:type="dxa"/>
            <w:left w:w="15" w:type="dxa"/>
            <w:bottom w:w="15" w:type="dxa"/>
            <w:right w:w="15" w:type="dxa"/>
          </w:tblCellMar>
          <w:tblLook w:val="05E0"/>
        </w:tblPrEx>
        <w:trPr>
          <w:trHeight w:val="809"/>
        </w:trPr>
        <w:tc>
          <w:tcPr>
            <w:tcW w:w="845" w:type="dxa"/>
            <w:tcBorders>
              <w:left w:val="single" w:sz="8" w:space="0" w:color="000000"/>
              <w:bottom w:val="single" w:sz="8" w:space="0" w:color="000000"/>
              <w:right w:val="single" w:sz="8" w:space="0" w:color="000000"/>
            </w:tcBorders>
            <w:noWrap w:val="0"/>
            <w:tcMar>
              <w:top w:w="0" w:type="dxa"/>
              <w:left w:w="118" w:type="dxa"/>
              <w:bottom w:w="0" w:type="dxa"/>
              <w:right w:w="118" w:type="dxa"/>
            </w:tcMar>
            <w:vAlign w:val="top"/>
            <w:hideMark/>
          </w:tcPr>
          <w:p>
            <w:pPr>
              <w:pStyle w:val="MsoNormal"/>
              <w:spacing w:line="360" w:lineRule="auto"/>
              <w:ind w:left="425" w:hanging="425"/>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95 </w:t>
            </w:r>
          </w:p>
        </w:tc>
        <w:tc>
          <w:tcPr>
            <w:vMerge/>
            <w:tcBorders>
              <w:bottom w:val="single" w:sz="8" w:space="0" w:color="000000"/>
              <w:right w:val="single" w:sz="8" w:space="0" w:color="000000"/>
            </w:tcBorders>
            <w:vAlign w:val="center"/>
            <w:hideMark/>
          </w:tcPr>
          <w:p>
            <w:pPr>
              <w:pStyle w:val="Normal0"/>
              <w:rPr>
                <w:rFonts w:ascii="仿宋_GB2312" w:eastAsia="仿宋_GB2312" w:hAnsi="仿宋_GB2312" w:cs="仿宋_GB2312"/>
                <w:b w:val="0"/>
                <w:bCs w:val="0"/>
                <w:i w:val="0"/>
                <w:iCs w:val="0"/>
                <w:smallCaps w:val="0"/>
                <w:color w:val="000000"/>
                <w:sz w:val="18"/>
                <w:szCs w:val="18"/>
              </w:rPr>
            </w:pPr>
          </w:p>
        </w:tc>
        <w:tc>
          <w:tcPr>
            <w:tcW w:w="79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jc w:val="center"/>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w:t>
            </w:r>
          </w:p>
        </w:tc>
        <w:tc>
          <w:tcPr>
            <w:tcW w:w="90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系统集成</w:t>
            </w:r>
          </w:p>
        </w:tc>
        <w:tc>
          <w:tcPr>
            <w:tcW w:w="4950"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left"/>
              <w:rPr>
                <w:rFonts w:ascii="Times New Roman" w:eastAsia="Times New Roman" w:hAnsi="Times New Roman" w:cs="Times New Roman"/>
                <w:b w:val="0"/>
                <w:bCs w:val="0"/>
                <w:i w:val="0"/>
                <w:iCs w:val="0"/>
                <w:smallCaps w:val="0"/>
                <w:color w:val="000000"/>
              </w:rPr>
            </w:pPr>
            <w:r>
              <w:rPr>
                <w:rFonts w:ascii="宋体" w:eastAsia="宋体" w:hAnsi="宋体" w:cs="宋体"/>
                <w:b w:val="0"/>
                <w:bCs w:val="0"/>
                <w:i w:val="0"/>
                <w:iCs w:val="0"/>
                <w:smallCaps w:val="0"/>
                <w:color w:val="000000"/>
                <w:sz w:val="18"/>
                <w:szCs w:val="18"/>
              </w:rPr>
              <w:t>各楼层光纤线路经弱电井至三楼主机房</w:t>
            </w:r>
          </w:p>
        </w:tc>
        <w:tc>
          <w:tcPr>
            <w:tcW w:w="1455" w:type="dxa"/>
            <w:tcBorders>
              <w:bottom w:val="single" w:sz="8" w:space="0" w:color="000000"/>
              <w:right w:val="single" w:sz="8" w:space="0" w:color="000000"/>
            </w:tcBorders>
            <w:noWrap w:val="0"/>
            <w:tcMar>
              <w:top w:w="0" w:type="dxa"/>
              <w:left w:w="113" w:type="dxa"/>
              <w:bottom w:w="0" w:type="dxa"/>
              <w:right w:w="118" w:type="dxa"/>
            </w:tcMar>
            <w:vAlign w:val="center"/>
            <w:hideMark/>
          </w:tcPr>
          <w:p>
            <w:pPr>
              <w:pStyle w:val="MsoNormal"/>
              <w:spacing w:line="360" w:lineRule="auto"/>
              <w:jc w:val="center"/>
              <w:rPr>
                <w:rFonts w:ascii="Times New Roman" w:eastAsia="Times New Roman" w:hAnsi="Times New Roman" w:cs="Times New Roman"/>
                <w:b w:val="0"/>
                <w:bCs w:val="0"/>
                <w:i w:val="0"/>
                <w:iCs w:val="0"/>
                <w:smallCaps w:val="0"/>
                <w:color w:val="000000"/>
              </w:rPr>
            </w:pPr>
            <w:r>
              <w:rPr>
                <w:rFonts w:ascii="仿宋_GB2312" w:eastAsia="仿宋_GB2312" w:hAnsi="仿宋_GB2312" w:cs="仿宋_GB2312"/>
                <w:b w:val="0"/>
                <w:bCs w:val="0"/>
                <w:i w:val="0"/>
                <w:iCs w:val="0"/>
                <w:smallCaps w:val="0"/>
                <w:color w:val="000000"/>
                <w:sz w:val="18"/>
                <w:szCs w:val="18"/>
              </w:rPr>
              <w:t>承诺书</w:t>
            </w:r>
          </w:p>
        </w:tc>
      </w:tr>
    </w:tbl>
    <w:p>
      <w:pPr>
        <w:pStyle w:val="Normal0"/>
        <w:spacing w:before="0" w:after="0" w:line="360" w:lineRule="auto"/>
        <w:rPr>
          <w:rFonts w:ascii="Times New Roman" w:eastAsia="Times New Roman" w:hAnsi="Times New Roman" w:cs="Times New Roman"/>
        </w:rPr>
      </w:pPr>
    </w:p>
    <w:sectPr>
      <w:footerReference w:type="default" r:id="rId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SimHei">
    <w:altName w:val="黑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FangSong_GB2312">
    <w:altName w:val="FangSong"/>
    <w:panose1 w:val="020B0604020202020204"/>
    <w:charset w:val="00"/>
    <w:family w:val="auto"/>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Microsoft YaHei">
    <w:altName w:val="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AFF" w:usb1="C0007843" w:usb2="00000009" w:usb3="00000000" w:csb0="000001FF" w:csb1="00000000"/>
  </w:font>
  <w:font w:name="长城仿宋">
    <w:altName w:val="Microsoft YaHei"/>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p>
    <w:pPr>
      <w:pStyle w:val="Normal0"/>
      <w:spacing w:before="0" w:after="0" w:line="360" w:lineRule="auto"/>
      <w:jc w:val="center"/>
    </w:pPr>
    <w:r>
      <w:fldChar w:fldCharType="begin"/>
    </w:r>
    <w:r>
      <w:instrText xml:space="preserve"> PAGE </w:instrText>
    </w:r>
    <w:r>
      <w:fldChar w:fldCharType="separate"/>
    </w:r>
    <w:r>
      <w:t>30</w:t>
    </w:r>
    <w:r>
      <w:fldChar w:fldCharType="end"/>
    </w: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F9FB07A5"/>
    <w:multiLevelType w:val="singleLevel"/>
    <w:tmpl w:val="F9FB07A5"/>
    <w:lvl w:ilvl="0">
      <w:start w:val="1"/>
      <w:numFmt w:val="decimal"/>
      <w:pStyle w:val="ListNumber2"/>
      <w:lvlText w:val="%1."/>
      <w:lvlJc w:val="left"/>
      <w:pPr>
        <w:tabs>
          <w:tab w:val="left" w:pos="780"/>
        </w:tabs>
        <w:ind w:left="780" w:hanging="360"/>
      </w:pPr>
    </w:lvl>
  </w:abstractNum>
  <w:abstractNum w:abstractNumId="1">
    <w:nsid w:val="00000002"/>
    <w:multiLevelType w:val="multilevel"/>
    <w:tmpl w:val="00000002"/>
    <w:lvl w:ilvl="0">
      <w:start w:val="1"/>
      <w:numFmt w:val="decimal"/>
      <w:pStyle w:val="10"/>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Heading2"/>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4">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start w:val="0"/>
      <w:numFmt w:val="none"/>
      <w:lvlJc w:val="left"/>
      <w:pPr>
        <w:tabs>
          <w:tab w:val="left" w:pos="360"/>
        </w:tabs>
      </w:pPr>
      <w:rPr>
        <w:rFonts w:cs="Times New Roman"/>
      </w:rPr>
    </w:lvl>
    <w:lvl w:ilvl="3">
      <w:start w:val="0"/>
      <w:numFmt w:val="none"/>
      <w:lvlJc w:val="left"/>
      <w:pPr>
        <w:tabs>
          <w:tab w:val="left" w:pos="360"/>
        </w:tabs>
      </w:pPr>
      <w:rPr>
        <w:rFonts w:cs="Times New Roman"/>
      </w:rPr>
    </w:lvl>
    <w:lvl w:ilvl="4">
      <w:start w:val="0"/>
      <w:numFmt w:val="decimal"/>
      <w:pStyle w:val="5"/>
      <w:lvlJc w:val="left"/>
      <w:rPr>
        <w:rFonts w:cs="Times New Roman"/>
      </w:rPr>
    </w:lvl>
    <w:lvl w:ilvl="5">
      <w:start w:val="0"/>
      <w:numFmt w:val="decimal"/>
      <w:lvlJc w:val="left"/>
      <w:rPr>
        <w:rFonts w:cs="Times New Roman"/>
      </w:rPr>
    </w:lvl>
    <w:lvl w:ilvl="6">
      <w:start w:val="0"/>
      <w:numFmt w:val="decimal"/>
      <w:lvlJc w:val="left"/>
      <w:rPr>
        <w:rFonts w:cs="Times New Roman"/>
      </w:rPr>
    </w:lvl>
    <w:lvl w:ilvl="7">
      <w:start w:val="0"/>
      <w:numFmt w:val="decimal"/>
      <w:lvlJc w:val="left"/>
      <w:rPr>
        <w:rFonts w:cs="Times New Roman"/>
      </w:rPr>
    </w:lvl>
    <w:lvl w:ilvl="8">
      <w:start w:val="0"/>
      <w:numFmt w:val="decimal"/>
      <w:lvlJc w:val="left"/>
      <w:rPr>
        <w:rFonts w:cs="Times New Roman"/>
      </w:rPr>
    </w:lvl>
  </w:abstractNum>
  <w:num w:numId="1">
    <w:abstractNumId w:val="3"/>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420"/>
  <w:drawingGridVerticalSpacing w:val="156"/>
  <w:displayHorizontalDrawingGridEvery w:val="0"/>
  <w:displayVerticalDrawingGridEvery w:val="2"/>
  <w:doNotShadeFormData/>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Setting w:name="differentiateMultirowTableHeaders" w:uri="http://schemas.microsoft.com/office/word" w:val="1"/>
  </w:compat>
  <w:rsids>
    <w:rsidRoot w:val="00172A27"/>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B39AC5"/>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14:docId w14:val="73E2B2E4"/>
  <w15:docId w15:val="{604533CF-FA73-634D-97FF-B04A73279A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atentStyles>
  <w:style w:type="paragraph" w:default="1" w:styleId="Normal">
    <w:name w:val="Normal"/>
    <w:next w:val="BodyText"/>
    <w:qFormat/>
    <w:pPr>
      <w:widowControl w:val="0"/>
      <w:spacing w:after="160" w:line="259" w:lineRule="auto"/>
      <w:jc w:val="both"/>
    </w:pPr>
    <w:rPr>
      <w:kern w:val="2"/>
      <w:sz w:val="21"/>
      <w:szCs w:val="24"/>
      <w:lang w:val="en-US"/>
    </w:rPr>
  </w:style>
  <w:style w:type="paragraph" w:styleId="Heading1">
    <w:name w:val="heading 1"/>
    <w:basedOn w:val="Normal"/>
    <w:next w:val="Normal"/>
    <w:link w:val="Heading1Char"/>
    <w:qFormat/>
    <w:pPr>
      <w:keepNext/>
      <w:keepLines/>
      <w:spacing w:before="340" w:after="330" w:line="576" w:lineRule="auto"/>
      <w:outlineLvl w:val="0"/>
    </w:pPr>
    <w:rPr>
      <w:b/>
      <w:bCs/>
      <w:kern w:val="44"/>
      <w:sz w:val="44"/>
      <w:szCs w:val="44"/>
    </w:rPr>
  </w:style>
  <w:style w:type="paragraph" w:styleId="Heading2">
    <w:name w:val="heading 2"/>
    <w:basedOn w:val="Heading1"/>
    <w:next w:val="Heading3"/>
    <w:qFormat/>
    <w:pPr>
      <w:numPr>
        <w:ilvl w:val="1"/>
        <w:numId w:val="1"/>
      </w:numPr>
      <w:tabs>
        <w:tab w:val="left" w:pos="2400"/>
      </w:tabs>
      <w:spacing w:before="260" w:afterLines="50" w:line="416" w:lineRule="auto"/>
      <w:outlineLvl w:val="1"/>
    </w:pPr>
    <w:rPr>
      <w:rFonts w:ascii="Arial" w:eastAsia="SimHei" w:hAnsi="Arial" w:cs="Calibri"/>
      <w:sz w:val="32"/>
      <w:szCs w:val="32"/>
    </w:rPr>
  </w:style>
  <w:style w:type="paragraph" w:styleId="Heading3">
    <w:name w:val="heading 3"/>
    <w:basedOn w:val="Normal"/>
    <w:next w:val="Normal"/>
    <w:link w:val="Heading3Char"/>
    <w:qFormat/>
    <w:pPr>
      <w:keepNext/>
      <w:keepLines/>
      <w:tabs>
        <w:tab w:val="left" w:pos="0"/>
      </w:tabs>
      <w:spacing w:before="260" w:after="260" w:line="415" w:lineRule="auto"/>
      <w:outlineLvl w:val="2"/>
    </w:pPr>
    <w:rPr>
      <w:b/>
      <w:sz w:val="32"/>
      <w:szCs w:val="32"/>
    </w:rPr>
  </w:style>
  <w:style w:type="paragraph" w:styleId="Heading4">
    <w:name w:val="heading 4"/>
    <w:basedOn w:val="Normal"/>
    <w:next w:val="Normal"/>
    <w:link w:val="Heading4Char"/>
    <w:qFormat/>
    <w:pPr>
      <w:keepNext/>
      <w:autoSpaceDE w:val="0"/>
      <w:autoSpaceDN w:val="0"/>
      <w:adjustRightInd w:val="0"/>
      <w:jc w:val="left"/>
      <w:outlineLvl w:val="3"/>
    </w:pPr>
    <w:rPr>
      <w:rFonts w:ascii="SimSun" w:hAnsi="SimSun"/>
      <w:color w:val="0000FF"/>
      <w:kern w:val="0"/>
      <w:sz w:val="28"/>
      <w:szCs w:val="20"/>
    </w:rPr>
  </w:style>
  <w:style w:type="paragraph" w:styleId="Heading5">
    <w:name w:val="heading 5"/>
    <w:basedOn w:val="Normal"/>
    <w:next w:val="Normal"/>
    <w:link w:val="Heading5Char"/>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Heading6">
    <w:name w:val="heading 6"/>
    <w:basedOn w:val="Normal"/>
    <w:next w:val="Normal"/>
    <w:link w:val="Heading6Char"/>
    <w:qFormat/>
    <w:pPr>
      <w:keepNext/>
      <w:keepLines/>
      <w:tabs>
        <w:tab w:val="left" w:pos="1152"/>
      </w:tabs>
      <w:spacing w:before="240" w:after="64" w:line="319" w:lineRule="auto"/>
      <w:ind w:left="1152" w:hanging="1152"/>
      <w:outlineLvl w:val="5"/>
    </w:pPr>
    <w:rPr>
      <w:rFonts w:ascii="Arial" w:eastAsia="SimHei" w:hAnsi="Arial"/>
      <w:b/>
      <w:bCs/>
      <w:sz w:val="24"/>
    </w:rPr>
  </w:style>
  <w:style w:type="paragraph" w:styleId="Heading7">
    <w:name w:val="heading 7"/>
    <w:basedOn w:val="Normal"/>
    <w:next w:val="Normal"/>
    <w:link w:val="Heading7Char"/>
    <w:qFormat/>
    <w:pPr>
      <w:keepNext/>
      <w:keepLines/>
      <w:tabs>
        <w:tab w:val="left" w:pos="1296"/>
      </w:tabs>
      <w:spacing w:before="240" w:after="64" w:line="319" w:lineRule="auto"/>
      <w:ind w:left="1296" w:hanging="1296"/>
      <w:outlineLvl w:val="6"/>
    </w:pPr>
    <w:rPr>
      <w:b/>
      <w:bCs/>
      <w:sz w:val="24"/>
    </w:rPr>
  </w:style>
  <w:style w:type="paragraph" w:styleId="Heading8">
    <w:name w:val="heading 8"/>
    <w:basedOn w:val="Normal"/>
    <w:next w:val="Normal"/>
    <w:link w:val="Heading8Char"/>
    <w:qFormat/>
    <w:pPr>
      <w:keepNext/>
      <w:keepLines/>
      <w:tabs>
        <w:tab w:val="left" w:pos="1440"/>
      </w:tabs>
      <w:spacing w:before="240" w:after="64" w:line="319" w:lineRule="auto"/>
      <w:ind w:left="1440" w:hanging="1440"/>
      <w:outlineLvl w:val="7"/>
    </w:pPr>
    <w:rPr>
      <w:rFonts w:ascii="Arial" w:eastAsia="SimHei" w:hAnsi="Arial"/>
      <w:sz w:val="24"/>
    </w:rPr>
  </w:style>
  <w:style w:type="paragraph" w:styleId="Heading9">
    <w:name w:val="heading 9"/>
    <w:basedOn w:val="Normal"/>
    <w:next w:val="Normal"/>
    <w:link w:val="Heading9Char"/>
    <w:qFormat/>
    <w:pPr>
      <w:keepNext/>
      <w:keepLines/>
      <w:tabs>
        <w:tab w:val="left" w:pos="1584"/>
      </w:tabs>
      <w:spacing w:before="240" w:after="64" w:line="319" w:lineRule="auto"/>
      <w:ind w:left="1584" w:hanging="1584"/>
      <w:outlineLvl w:val="8"/>
    </w:pPr>
    <w:rPr>
      <w:rFonts w:ascii="Arial" w:eastAsia="SimHei" w:hAnsi="Arial"/>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qFormat/>
    <w:pPr>
      <w:spacing w:after="120"/>
    </w:pPr>
  </w:style>
  <w:style w:type="paragraph" w:styleId="BalloonText">
    <w:name w:val="Balloon Text"/>
    <w:basedOn w:val="Normal"/>
    <w:link w:val="BalloonTextChar"/>
    <w:qFormat/>
    <w:rPr>
      <w:kern w:val="0"/>
      <w:sz w:val="18"/>
      <w:szCs w:val="18"/>
    </w:rPr>
  </w:style>
  <w:style w:type="paragraph" w:styleId="BodyText2">
    <w:name w:val="Body Text 2"/>
    <w:basedOn w:val="Normal"/>
    <w:link w:val="BodyText2Char"/>
    <w:qFormat/>
    <w:rPr>
      <w:rFonts w:ascii="FangSong_GB2312" w:eastAsia="FangSong_GB2312"/>
      <w:kern w:val="0"/>
      <w:sz w:val="28"/>
      <w:szCs w:val="20"/>
    </w:rPr>
  </w:style>
  <w:style w:type="paragraph" w:styleId="BodyText3">
    <w:name w:val="Body Text 3"/>
    <w:basedOn w:val="Normal"/>
    <w:uiPriority w:val="99"/>
    <w:unhideWhenUsed/>
    <w:qFormat/>
    <w:pPr>
      <w:widowControl/>
      <w:kinsoku w:val="0"/>
      <w:autoSpaceDE w:val="0"/>
      <w:autoSpaceDN w:val="0"/>
      <w:adjustRightInd w:val="0"/>
      <w:snapToGrid w:val="0"/>
      <w:spacing w:after="120"/>
      <w:jc w:val="left"/>
      <w:textAlignment w:val="baseline"/>
    </w:pPr>
    <w:rPr>
      <w:rFonts w:ascii="Cambria" w:eastAsia="Microsoft YaHei" w:hAnsi="Cambria" w:cs="Arial"/>
      <w:snapToGrid w:val="0"/>
      <w:color w:val="595959"/>
      <w:kern w:val="20"/>
      <w:sz w:val="16"/>
      <w:szCs w:val="20"/>
      <w:lang w:val="zh-CN" w:eastAsia="en-US"/>
    </w:rPr>
  </w:style>
  <w:style w:type="paragraph" w:styleId="BodyTextFirstIndent">
    <w:name w:val="Body Text First Indent"/>
    <w:basedOn w:val="BodyText"/>
    <w:link w:val="BodyTextFirstIndentChar"/>
    <w:qFormat/>
    <w:pPr>
      <w:ind w:firstLine="420" w:firstLineChars="100"/>
    </w:pPr>
    <w:rPr>
      <w:kern w:val="0"/>
      <w:sz w:val="20"/>
    </w:rPr>
  </w:style>
  <w:style w:type="paragraph" w:styleId="BodyTextIndent">
    <w:name w:val="Body Text Indent"/>
    <w:basedOn w:val="Normal"/>
    <w:link w:val="BodyTextIndentChar"/>
    <w:qFormat/>
    <w:pPr>
      <w:ind w:firstLine="360"/>
    </w:pPr>
    <w:rPr>
      <w:kern w:val="0"/>
      <w:sz w:val="20"/>
      <w:szCs w:val="20"/>
    </w:rPr>
  </w:style>
  <w:style w:type="paragraph" w:styleId="BodyTextIndent2">
    <w:name w:val="Body Text Indent 2"/>
    <w:basedOn w:val="Normal"/>
    <w:link w:val="BodyTextIndent2Char"/>
    <w:qFormat/>
    <w:pPr>
      <w:ind w:firstLine="630"/>
    </w:pPr>
    <w:rPr>
      <w:rFonts w:ascii="SimSun"/>
      <w:kern w:val="0"/>
      <w:sz w:val="28"/>
      <w:szCs w:val="20"/>
    </w:rPr>
  </w:style>
  <w:style w:type="paragraph" w:styleId="BodyTextIndent3">
    <w:name w:val="Body Text Indent 3"/>
    <w:basedOn w:val="Normal"/>
    <w:link w:val="BodyTextIndent3Char"/>
    <w:qFormat/>
    <w:pPr>
      <w:spacing w:line="360" w:lineRule="auto"/>
      <w:ind w:firstLine="480" w:firstLineChars="200"/>
      <w:jc w:val="left"/>
    </w:pPr>
    <w:rPr>
      <w:kern w:val="0"/>
      <w:sz w:val="24"/>
      <w:szCs w:val="20"/>
    </w:rPr>
  </w:style>
  <w:style w:type="paragraph" w:styleId="CommentText">
    <w:name w:val="annotation text"/>
    <w:basedOn w:val="Normal"/>
    <w:qFormat/>
    <w:pPr>
      <w:jc w:val="left"/>
    </w:pPr>
  </w:style>
  <w:style w:type="paragraph" w:styleId="Date">
    <w:name w:val="Date"/>
    <w:basedOn w:val="Normal"/>
    <w:next w:val="Normal"/>
    <w:link w:val="DateChar"/>
    <w:qFormat/>
    <w:pPr>
      <w:ind w:left="100" w:leftChars="2500"/>
    </w:pPr>
    <w:rPr>
      <w:kern w:val="0"/>
      <w:sz w:val="20"/>
    </w:rPr>
  </w:style>
  <w:style w:type="paragraph" w:styleId="DocumentMap">
    <w:name w:val="Document Map"/>
    <w:basedOn w:val="Normal"/>
    <w:link w:val="DocumentMapChar"/>
    <w:qFormat/>
    <w:pPr>
      <w:shd w:val="clear" w:color="auto" w:fill="000080"/>
    </w:pPr>
    <w:rPr>
      <w:kern w:val="0"/>
      <w:sz w:val="20"/>
      <w:shd w:val="clear" w:color="auto" w:fill="000080"/>
    </w:rPr>
  </w:style>
  <w:style w:type="character" w:styleId="FollowedHyperlink">
    <w:name w:val="FollowedHyperlink"/>
    <w:qFormat/>
    <w:rPr>
      <w:rFonts w:ascii="Microsoft YaHei" w:eastAsia="Microsoft YaHei" w:hAnsi="Microsoft YaHei" w:cs="Microsoft YaHei" w:hint="eastAsia"/>
      <w:color w:val="02396F"/>
      <w:u w:val="single"/>
    </w:rPr>
  </w:style>
  <w:style w:type="paragraph" w:styleId="Footer">
    <w:name w:val="footer"/>
    <w:basedOn w:val="Normal"/>
    <w:link w:val="FooterChar"/>
    <w:qFormat/>
    <w:pPr>
      <w:tabs>
        <w:tab w:val="center" w:pos="4140"/>
        <w:tab w:val="right" w:pos="8300"/>
      </w:tabs>
      <w:snapToGrid w:val="0"/>
      <w:spacing w:after="0"/>
      <w:jc w:val="left"/>
    </w:pPr>
    <w:rPr>
      <w:kern w:val="0"/>
      <w:sz w:val="18"/>
    </w:rPr>
  </w:style>
  <w:style w:type="paragraph" w:styleId="Header">
    <w:name w:val="header"/>
    <w:basedOn w:val="Normal"/>
    <w:link w:val="HeaderChar"/>
    <w:qFormat/>
    <w:pPr>
      <w:pBdr>
        <w:bottom w:val="single" w:sz="6" w:space="1" w:color="auto"/>
      </w:pBdr>
      <w:tabs>
        <w:tab w:val="center" w:pos="4153"/>
        <w:tab w:val="right" w:pos="8306"/>
      </w:tabs>
      <w:snapToGrid w:val="0"/>
      <w:jc w:val="center"/>
    </w:pPr>
    <w:rPr>
      <w:kern w:val="0"/>
      <w:sz w:val="18"/>
      <w:szCs w:val="18"/>
    </w:rPr>
  </w:style>
  <w:style w:type="character" w:styleId="Hyperlink">
    <w:name w:val="Hyperlink"/>
    <w:qFormat/>
    <w:rPr>
      <w:rFonts w:ascii="Times New Roman" w:eastAsia="SimSun" w:hAnsi="Times New Roman" w:cs="Times New Roman"/>
      <w:color w:val="0000FF"/>
      <w:u w:val="single"/>
    </w:rPr>
  </w:style>
  <w:style w:type="paragraph" w:styleId="ListNumber2">
    <w:name w:val="List Number 2"/>
    <w:basedOn w:val="Normal"/>
    <w:qFormat/>
    <w:pPr>
      <w:numPr>
        <w:numId w:val="2"/>
      </w:numPr>
    </w:pPr>
  </w:style>
  <w:style w:type="paragraph" w:styleId="NormalWeb">
    <w:name w:val="Normal (Web)"/>
    <w:basedOn w:val="Normal"/>
    <w:qFormat/>
    <w:pPr>
      <w:spacing w:before="100" w:beforeAutospacing="1" w:after="100" w:afterAutospacing="1"/>
      <w:jc w:val="left"/>
    </w:pPr>
    <w:rPr>
      <w:kern w:val="0"/>
      <w:sz w:val="24"/>
    </w:rPr>
  </w:style>
  <w:style w:type="character" w:styleId="PageNumber">
    <w:name w:val="page number"/>
    <w:qFormat/>
    <w:rPr>
      <w:rFonts w:ascii="Times New Roman" w:eastAsia="SimSun" w:hAnsi="Times New Roman" w:cs="Times New Roman"/>
    </w:rPr>
  </w:style>
  <w:style w:type="paragraph" w:styleId="PlainText">
    <w:name w:val="Plain Text"/>
    <w:basedOn w:val="Normal"/>
    <w:link w:val="PlainTextChar"/>
    <w:qFormat/>
    <w:pPr>
      <w:spacing w:after="0"/>
    </w:pPr>
    <w:rPr>
      <w:rFonts w:ascii="SimSun" w:hAnsi="Courier New"/>
      <w:kern w:val="0"/>
      <w:sz w:val="20"/>
      <w:szCs w:val="21"/>
    </w:rPr>
  </w:style>
  <w:style w:type="character" w:styleId="Strong">
    <w:name w:val="Strong"/>
    <w:qFormat/>
    <w:rPr>
      <w:rFonts w:ascii="Times New Roman" w:eastAsia="SimSun" w:hAnsi="Times New Roman" w:cs="Times New Roman"/>
      <w:b/>
    </w:rPr>
  </w:style>
  <w:style w:type="paragraph" w:styleId="Title">
    <w:name w:val="Title"/>
    <w:basedOn w:val="Normal"/>
    <w:link w:val="TitleChar"/>
    <w:qFormat/>
    <w:pPr>
      <w:spacing w:before="240" w:after="60"/>
      <w:jc w:val="center"/>
      <w:outlineLvl w:val="0"/>
    </w:pPr>
    <w:rPr>
      <w:rFonts w:ascii="Cambria" w:hAnsi="Cambria"/>
      <w:b/>
      <w:bCs/>
      <w:kern w:val="0"/>
      <w:sz w:val="32"/>
      <w:szCs w:val="32"/>
    </w:rPr>
  </w:style>
  <w:style w:type="paragraph" w:styleId="TOC1">
    <w:name w:val="toc 1"/>
    <w:basedOn w:val="Normal"/>
    <w:next w:val="Normal"/>
    <w:qFormat/>
    <w:pPr>
      <w:spacing w:before="120" w:after="120"/>
      <w:jc w:val="left"/>
    </w:pPr>
    <w:rPr>
      <w:rFonts w:ascii="仿宋_GB2312" w:eastAsia="仿宋_GB2312" w:hAnsi="仿宋_GB2312" w:cs="仿宋_GB2312"/>
      <w:b w:val="0"/>
      <w:bCs/>
      <w:caps/>
      <w:color w:val="000000"/>
      <w:sz w:val="24"/>
      <w:szCs w:val="20"/>
    </w:rPr>
  </w:style>
  <w:style w:type="character" w:customStyle="1" w:styleId="BodyTextChar">
    <w:name w:val="Body Text Char"/>
    <w:link w:val="BodyText"/>
    <w:qFormat/>
    <w:rPr>
      <w:rFonts w:ascii="Times New Roman" w:eastAsia="SimSun" w:hAnsi="Times New Roman" w:cs="Times New Roman"/>
      <w:kern w:val="2"/>
      <w:sz w:val="21"/>
      <w:szCs w:val="24"/>
      <w:lang w:val="en-US" w:eastAsia="zh-CN" w:bidi="ar-SA"/>
    </w:rPr>
  </w:style>
  <w:style w:type="character" w:customStyle="1" w:styleId="Heading1Char">
    <w:name w:val="Heading 1 Char"/>
    <w:link w:val="Heading1"/>
    <w:qFormat/>
    <w:rPr>
      <w:rFonts w:ascii="Times New Roman" w:eastAsia="SimSun" w:hAnsi="Times New Roman" w:cs="Times New Roman"/>
      <w:b/>
      <w:bCs/>
      <w:kern w:val="44"/>
      <w:sz w:val="44"/>
      <w:szCs w:val="44"/>
      <w:lang w:val="en-US" w:eastAsia="zh-CN" w:bidi="ar-SA"/>
    </w:rPr>
  </w:style>
  <w:style w:type="character" w:customStyle="1" w:styleId="Heading3Char">
    <w:name w:val="Heading 3 Char"/>
    <w:link w:val="Heading3"/>
    <w:qFormat/>
    <w:rPr>
      <w:rFonts w:ascii="Times New Roman" w:eastAsia="SimSun" w:hAnsi="Times New Roman" w:cs="Times New Roman"/>
      <w:b/>
      <w:bCs/>
      <w:kern w:val="2"/>
      <w:sz w:val="32"/>
      <w:szCs w:val="32"/>
      <w:lang w:val="en-US" w:eastAsia="zh-CN" w:bidi="ar-SA"/>
    </w:rPr>
  </w:style>
  <w:style w:type="character" w:customStyle="1" w:styleId="Heading4Char">
    <w:name w:val="Heading 4 Char"/>
    <w:link w:val="Heading4"/>
    <w:qFormat/>
    <w:rPr>
      <w:rFonts w:ascii="SimSun" w:eastAsia="SimSun" w:hAnsi="SimSun" w:cs="Times New Roman"/>
      <w:color w:val="0000FF"/>
      <w:sz w:val="28"/>
      <w:lang w:val="en-US" w:eastAsia="zh-CN" w:bidi="ar-SA"/>
    </w:rPr>
  </w:style>
  <w:style w:type="character" w:customStyle="1" w:styleId="Heading5Char">
    <w:name w:val="Heading 5 Char"/>
    <w:link w:val="Heading5"/>
    <w:qFormat/>
    <w:rPr>
      <w:rFonts w:ascii="Verdana" w:eastAsia="SimSun" w:hAnsi="Verdana" w:cs="Times New Roman"/>
      <w:b/>
      <w:bCs/>
      <w:kern w:val="2"/>
      <w:sz w:val="28"/>
      <w:szCs w:val="28"/>
      <w:lang w:val="en-US" w:eastAsia="zh-CN" w:bidi="ar-SA"/>
    </w:rPr>
  </w:style>
  <w:style w:type="character" w:customStyle="1" w:styleId="Heading6Char">
    <w:name w:val="Heading 6 Char"/>
    <w:link w:val="Heading6"/>
    <w:qFormat/>
    <w:rPr>
      <w:rFonts w:ascii="Arial" w:eastAsia="SimHei" w:hAnsi="Arial" w:cs="Times New Roman"/>
      <w:b/>
      <w:bCs/>
      <w:kern w:val="2"/>
      <w:sz w:val="24"/>
      <w:szCs w:val="24"/>
      <w:lang w:val="en-US" w:eastAsia="zh-CN" w:bidi="ar-SA"/>
    </w:rPr>
  </w:style>
  <w:style w:type="character" w:customStyle="1" w:styleId="Heading7Char">
    <w:name w:val="Heading 7 Char"/>
    <w:link w:val="Heading7"/>
    <w:qFormat/>
    <w:rPr>
      <w:rFonts w:ascii="Times New Roman" w:eastAsia="SimSun" w:hAnsi="Times New Roman" w:cs="Times New Roman"/>
      <w:b/>
      <w:bCs/>
      <w:kern w:val="2"/>
      <w:sz w:val="24"/>
      <w:szCs w:val="24"/>
      <w:lang w:val="en-US" w:eastAsia="zh-CN" w:bidi="ar-SA"/>
    </w:rPr>
  </w:style>
  <w:style w:type="character" w:customStyle="1" w:styleId="Heading8Char">
    <w:name w:val="Heading 8 Char"/>
    <w:link w:val="Heading8"/>
    <w:qFormat/>
    <w:rPr>
      <w:rFonts w:ascii="Arial" w:eastAsia="SimHei" w:hAnsi="Arial" w:cs="Times New Roman"/>
      <w:kern w:val="2"/>
      <w:sz w:val="24"/>
      <w:szCs w:val="24"/>
      <w:lang w:val="en-US" w:eastAsia="zh-CN" w:bidi="ar-SA"/>
    </w:rPr>
  </w:style>
  <w:style w:type="character" w:customStyle="1" w:styleId="Heading9Char">
    <w:name w:val="Heading 9 Char"/>
    <w:link w:val="Heading9"/>
    <w:qFormat/>
    <w:rPr>
      <w:rFonts w:ascii="Arial" w:eastAsia="SimHei" w:hAnsi="Arial" w:cs="Times New Roman"/>
      <w:kern w:val="2"/>
      <w:sz w:val="21"/>
      <w:szCs w:val="21"/>
      <w:lang w:val="en-US" w:eastAsia="zh-CN" w:bidi="ar-SA"/>
    </w:rPr>
  </w:style>
  <w:style w:type="character" w:customStyle="1" w:styleId="DocumentMapChar">
    <w:name w:val="Document Map Char"/>
    <w:link w:val="DocumentMap"/>
    <w:qFormat/>
    <w:rPr>
      <w:rFonts w:ascii="Times New Roman" w:eastAsia="SimSun" w:hAnsi="Times New Roman" w:cs="Times New Roman"/>
      <w:szCs w:val="24"/>
      <w:shd w:val="clear" w:color="auto" w:fill="000080"/>
      <w:lang w:bidi="ar-SA"/>
    </w:rPr>
  </w:style>
  <w:style w:type="character" w:customStyle="1" w:styleId="BodyTextIndentChar">
    <w:name w:val="Body Text Indent Char"/>
    <w:link w:val="BodyTextIndent"/>
    <w:qFormat/>
    <w:rPr>
      <w:rFonts w:ascii="Times New Roman" w:eastAsia="SimSun" w:hAnsi="Times New Roman" w:cs="Times New Roman"/>
      <w:lang w:bidi="ar-SA"/>
    </w:rPr>
  </w:style>
  <w:style w:type="character" w:customStyle="1" w:styleId="PlainTextChar">
    <w:name w:val="Plain Text Char"/>
    <w:link w:val="PlainText"/>
    <w:qFormat/>
    <w:rPr>
      <w:rFonts w:ascii="SimSun" w:eastAsia="SimSun" w:hAnsi="Courier New" w:cs="Times New Roman"/>
      <w:szCs w:val="21"/>
      <w:lang w:bidi="ar-SA"/>
    </w:rPr>
  </w:style>
  <w:style w:type="character" w:customStyle="1" w:styleId="DateChar">
    <w:name w:val="Date Char"/>
    <w:link w:val="Date"/>
    <w:qFormat/>
    <w:rPr>
      <w:rFonts w:ascii="Times New Roman" w:eastAsia="SimSun" w:hAnsi="Times New Roman" w:cs="Times New Roman"/>
      <w:szCs w:val="24"/>
      <w:lang w:bidi="ar-SA"/>
    </w:rPr>
  </w:style>
  <w:style w:type="character" w:customStyle="1" w:styleId="BodyTextIndent2Char">
    <w:name w:val="Body Text Indent 2 Char"/>
    <w:link w:val="BodyTextIndent2"/>
    <w:qFormat/>
    <w:rPr>
      <w:rFonts w:ascii="SimSun" w:eastAsia="SimSun" w:hAnsi="Times New Roman" w:cs="Times New Roman"/>
      <w:sz w:val="28"/>
      <w:lang w:bidi="ar-SA"/>
    </w:rPr>
  </w:style>
  <w:style w:type="character" w:customStyle="1" w:styleId="BalloonTextChar">
    <w:name w:val="Balloon Text Char"/>
    <w:link w:val="BalloonText"/>
    <w:qFormat/>
    <w:rPr>
      <w:rFonts w:ascii="Times New Roman" w:eastAsia="SimSun" w:hAnsi="Times New Roman" w:cs="Times New Roman"/>
      <w:sz w:val="18"/>
      <w:szCs w:val="18"/>
      <w:lang w:bidi="ar-SA"/>
    </w:rPr>
  </w:style>
  <w:style w:type="character" w:customStyle="1" w:styleId="FooterChar">
    <w:name w:val="Footer Char"/>
    <w:link w:val="Footer"/>
    <w:qFormat/>
    <w:rPr>
      <w:rFonts w:ascii="Times New Roman" w:eastAsia="SimSun" w:hAnsi="Times New Roman" w:cs="Times New Roman"/>
      <w:sz w:val="18"/>
      <w:szCs w:val="24"/>
      <w:lang w:bidi="ar-SA"/>
    </w:rPr>
  </w:style>
  <w:style w:type="character" w:customStyle="1" w:styleId="HeaderChar">
    <w:name w:val="Header Char"/>
    <w:link w:val="Header"/>
    <w:qFormat/>
    <w:rPr>
      <w:rFonts w:ascii="Times New Roman" w:eastAsia="SimSun" w:hAnsi="Times New Roman" w:cs="Times New Roman"/>
      <w:sz w:val="18"/>
      <w:szCs w:val="18"/>
      <w:lang w:bidi="ar-SA"/>
    </w:rPr>
  </w:style>
  <w:style w:type="character" w:customStyle="1" w:styleId="BodyTextIndent3Char">
    <w:name w:val="Body Text Indent 3 Char"/>
    <w:link w:val="BodyTextIndent3"/>
    <w:qFormat/>
    <w:rPr>
      <w:rFonts w:ascii="Times New Roman" w:eastAsia="SimSun" w:hAnsi="Times New Roman" w:cs="Times New Roman"/>
      <w:sz w:val="24"/>
      <w:lang w:bidi="ar-SA"/>
    </w:rPr>
  </w:style>
  <w:style w:type="character" w:customStyle="1" w:styleId="BodyText2Char">
    <w:name w:val="Body Text 2 Char"/>
    <w:link w:val="BodyText2"/>
    <w:qFormat/>
    <w:rPr>
      <w:rFonts w:ascii="FangSong_GB2312" w:eastAsia="FangSong_GB2312" w:hAnsi="Times New Roman" w:cs="Times New Roman"/>
      <w:sz w:val="28"/>
      <w:lang w:bidi="ar-SA"/>
    </w:rPr>
  </w:style>
  <w:style w:type="character" w:customStyle="1" w:styleId="TitleChar">
    <w:name w:val="Title Char"/>
    <w:link w:val="Title"/>
    <w:qFormat/>
    <w:rPr>
      <w:rFonts w:ascii="Cambria" w:eastAsia="SimSun" w:hAnsi="Cambria" w:cs="Times New Roman"/>
      <w:b/>
      <w:bCs/>
      <w:sz w:val="32"/>
      <w:szCs w:val="32"/>
      <w:lang w:bidi="ar-SA"/>
    </w:rPr>
  </w:style>
  <w:style w:type="character" w:customStyle="1" w:styleId="BodyTextFirstIndentChar">
    <w:name w:val="Body Text First Indent Char"/>
    <w:link w:val="BodyTextFirstIndent"/>
    <w:qFormat/>
    <w:rPr>
      <w:rFonts w:ascii="Times New Roman" w:eastAsia="SimSun" w:hAnsi="Times New Roman" w:cs="Times New Roman"/>
      <w:szCs w:val="24"/>
      <w:lang w:bidi="ar-SA"/>
    </w:rPr>
  </w:style>
  <w:style w:type="character" w:customStyle="1" w:styleId="gjfg">
    <w:name w:val="gjfg"/>
    <w:basedOn w:val="DefaultParagraphFont"/>
    <w:qFormat/>
  </w:style>
  <w:style w:type="character" w:customStyle="1" w:styleId="cfdate">
    <w:name w:val="cfdate"/>
    <w:qFormat/>
    <w:rPr>
      <w:rFonts w:ascii="Times New Roman" w:eastAsia="SimSun" w:hAnsi="Times New Roman" w:cs="Times New Roman"/>
      <w:color w:val="333333"/>
      <w:sz w:val="12"/>
      <w:szCs w:val="12"/>
    </w:rPr>
  </w:style>
  <w:style w:type="character" w:customStyle="1" w:styleId="Char1">
    <w:name w:val="正文文本 Char1"/>
    <w:qFormat/>
    <w:rPr>
      <w:rFonts w:ascii="Times New Roman" w:eastAsia="SimSun" w:hAnsi="Times New Roman" w:cs="Times New Roman"/>
      <w:szCs w:val="24"/>
    </w:rPr>
  </w:style>
  <w:style w:type="character" w:customStyle="1" w:styleId="redfilenumber">
    <w:name w:val="redfilenumber"/>
    <w:qFormat/>
    <w:rPr>
      <w:rFonts w:ascii="Times New Roman" w:eastAsia="SimSun" w:hAnsi="Times New Roman" w:cs="Times New Roman"/>
      <w:color w:val="BA2636"/>
      <w:sz w:val="12"/>
      <w:szCs w:val="12"/>
    </w:rPr>
  </w:style>
  <w:style w:type="character" w:customStyle="1" w:styleId="ll2CharChar">
    <w:name w:val="ll2 Char Char"/>
    <w:link w:val="ll2"/>
    <w:qFormat/>
    <w:rPr>
      <w:rFonts w:ascii="SimSun" w:eastAsia="Times New Roman" w:hAnsi="SimSun"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SimSun" w:eastAsia="Times New Roman" w:hAnsi="SimSun"/>
      <w:bCs/>
      <w:color w:val="000000"/>
      <w:sz w:val="24"/>
      <w:szCs w:val="32"/>
      <w:lang w:val="en-US"/>
    </w:rPr>
  </w:style>
  <w:style w:type="character" w:customStyle="1" w:styleId="StyleBlackChar">
    <w:name w:val="Style .. + 宋体 五号 Black Char"/>
    <w:link w:val="StyleBlack"/>
    <w:qFormat/>
    <w:rPr>
      <w:rFonts w:ascii="SimSun" w:eastAsia="SimSun" w:hAnsi="SimSun" w:cs="Times New Roman"/>
      <w:color w:val="000000"/>
      <w:sz w:val="24"/>
      <w:lang w:bidi="ar-SA"/>
    </w:rPr>
  </w:style>
  <w:style w:type="paragraph" w:customStyle="1" w:styleId="StyleBlack">
    <w:name w:val="Style .. + 宋体 五号 Black"/>
    <w:basedOn w:val="Normal"/>
    <w:link w:val="StyleBlackChar"/>
    <w:qFormat/>
    <w:pPr>
      <w:autoSpaceDE w:val="0"/>
      <w:autoSpaceDN w:val="0"/>
      <w:adjustRightInd w:val="0"/>
      <w:spacing w:line="360" w:lineRule="auto"/>
      <w:jc w:val="left"/>
    </w:pPr>
    <w:rPr>
      <w:rFonts w:ascii="SimSun" w:hAnsi="SimSun"/>
      <w:color w:val="000000"/>
      <w:kern w:val="0"/>
      <w:sz w:val="24"/>
      <w:szCs w:val="20"/>
    </w:rPr>
  </w:style>
  <w:style w:type="character" w:customStyle="1" w:styleId="15">
    <w:name w:val="15"/>
    <w:basedOn w:val="DefaultParagraphFont"/>
    <w:qFormat/>
    <w:rPr>
      <w:rFonts w:ascii="Times New Roman" w:eastAsia="SimSun" w:hAnsi="Times New Roman" w:cs="Times New Roman" w:hint="default"/>
    </w:rPr>
  </w:style>
  <w:style w:type="character" w:customStyle="1" w:styleId="Char">
    <w:name w:val="正文文字 Char"/>
    <w:link w:val="a"/>
    <w:qFormat/>
    <w:rPr>
      <w:rFonts w:ascii="Times New Roman" w:eastAsia="SimSun" w:hAnsi="Times New Roman" w:cs="Times New Roman"/>
      <w:sz w:val="24"/>
      <w:szCs w:val="24"/>
      <w:lang w:bidi="ar-SA"/>
    </w:rPr>
  </w:style>
  <w:style w:type="paragraph" w:customStyle="1" w:styleId="a">
    <w:name w:val="正文文字"/>
    <w:basedOn w:val="Normal"/>
    <w:link w:val="Char"/>
    <w:qFormat/>
    <w:pPr>
      <w:spacing w:before="60" w:after="60" w:line="360" w:lineRule="auto"/>
      <w:ind w:firstLine="200" w:firstLineChars="200"/>
      <w:jc w:val="left"/>
    </w:pPr>
    <w:rPr>
      <w:kern w:val="0"/>
      <w:sz w:val="24"/>
    </w:rPr>
  </w:style>
  <w:style w:type="character" w:customStyle="1" w:styleId="Char0">
    <w:name w:val="文档正文 Char"/>
    <w:link w:val="a0"/>
    <w:qFormat/>
    <w:rPr>
      <w:rFonts w:ascii="长城仿宋" w:eastAsia="SimSun" w:hAnsi="Times New Roman" w:cs="Times New Roman"/>
      <w:sz w:val="24"/>
      <w:lang w:bidi="ar-SA"/>
    </w:rPr>
  </w:style>
  <w:style w:type="paragraph" w:customStyle="1" w:styleId="a0">
    <w:name w:val="文档正文"/>
    <w:basedOn w:val="Normal"/>
    <w:link w:val="Char0"/>
    <w:qFormat/>
    <w:pPr>
      <w:adjustRightInd w:val="0"/>
      <w:spacing w:line="480" w:lineRule="atLeast"/>
      <w:ind w:firstLine="567"/>
    </w:pPr>
    <w:rPr>
      <w:rFonts w:ascii="长城仿宋"/>
      <w:kern w:val="0"/>
      <w:sz w:val="24"/>
      <w:szCs w:val="20"/>
    </w:rPr>
  </w:style>
  <w:style w:type="character" w:customStyle="1" w:styleId="displayarti">
    <w:name w:val="displayarti"/>
    <w:qFormat/>
    <w:rPr>
      <w:rFonts w:ascii="Times New Roman" w:eastAsia="SimSun" w:hAnsi="Times New Roman" w:cs="Times New Roman"/>
      <w:color w:val="FFFFFF"/>
      <w:shd w:val="clear" w:color="auto" w:fill="A00000"/>
    </w:rPr>
  </w:style>
  <w:style w:type="character" w:customStyle="1" w:styleId="redfilefwwh">
    <w:name w:val="redfilefwwh"/>
    <w:qFormat/>
    <w:rPr>
      <w:rFonts w:ascii="Times New Roman" w:eastAsia="SimSun" w:hAnsi="Times New Roman" w:cs="Times New Roman"/>
      <w:color w:val="BA2636"/>
      <w:sz w:val="12"/>
      <w:szCs w:val="12"/>
    </w:rPr>
  </w:style>
  <w:style w:type="character" w:customStyle="1" w:styleId="qxdate">
    <w:name w:val="qxdate"/>
    <w:qFormat/>
    <w:rPr>
      <w:rFonts w:ascii="Times New Roman" w:eastAsia="SimSun" w:hAnsi="Times New Roman" w:cs="Times New Roman"/>
      <w:color w:val="333333"/>
      <w:sz w:val="12"/>
      <w:szCs w:val="12"/>
    </w:rPr>
  </w:style>
  <w:style w:type="paragraph" w:customStyle="1" w:styleId="Style3">
    <w:name w:val="_Style 3"/>
    <w:basedOn w:val="Heading1"/>
    <w:next w:val="Normal"/>
    <w:qFormat/>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a1">
    <w:name w:val="正文（绿盟科技）"/>
    <w:qFormat/>
    <w:pPr>
      <w:spacing w:after="160" w:line="300" w:lineRule="auto"/>
    </w:pPr>
    <w:rPr>
      <w:rFonts w:ascii="Arial" w:hAnsi="Arial" w:cs="SimHei"/>
      <w:sz w:val="21"/>
      <w:szCs w:val="21"/>
      <w:lang w:val="en-US"/>
    </w:rPr>
  </w:style>
  <w:style w:type="paragraph" w:customStyle="1" w:styleId="5">
    <w:name w:val="标题 5（有编号）（绿盟科技）"/>
    <w:basedOn w:val="Normal"/>
    <w:next w:val="a1"/>
    <w:qFormat/>
    <w:pPr>
      <w:keepNext/>
      <w:keepLines/>
      <w:numPr>
        <w:ilvl w:val="4"/>
        <w:numId w:val="4"/>
      </w:numPr>
      <w:spacing w:before="280" w:after="156" w:line="377" w:lineRule="auto"/>
      <w:jc w:val="left"/>
      <w:outlineLvl w:val="4"/>
    </w:pPr>
    <w:rPr>
      <w:rFonts w:ascii="Arial" w:eastAsia="SimHei" w:hAnsi="Arial" w:cs="SimHei"/>
      <w:b/>
      <w:kern w:val="0"/>
      <w:sz w:val="24"/>
      <w:szCs w:val="28"/>
    </w:rPr>
  </w:style>
  <w:style w:type="paragraph" w:customStyle="1" w:styleId="Char2">
    <w:name w:val="Char"/>
    <w:basedOn w:val="Normal"/>
    <w:qFormat/>
    <w:rPr>
      <w:rFonts w:ascii="Tahoma" w:hAnsi="Tahoma"/>
      <w:sz w:val="24"/>
      <w:szCs w:val="20"/>
    </w:rPr>
  </w:style>
  <w:style w:type="paragraph" w:styleId="ListParagraph">
    <w:name w:val="List Paragraph"/>
    <w:basedOn w:val="Normal"/>
    <w:uiPriority w:val="34"/>
    <w:qFormat/>
    <w:pPr>
      <w:ind w:firstLine="420"/>
    </w:pPr>
    <w:rPr>
      <w:kern w:val="0"/>
      <w:szCs w:val="21"/>
    </w:rPr>
  </w:style>
  <w:style w:type="paragraph" w:customStyle="1" w:styleId="a2">
    <w:name w:val="正常"/>
    <w:basedOn w:val="a3"/>
    <w:qFormat/>
    <w:rPr>
      <w:sz w:val="24"/>
    </w:rPr>
  </w:style>
  <w:style w:type="paragraph" w:customStyle="1" w:styleId="a3">
    <w:name w:val="小正常"/>
    <w:basedOn w:val="Normal"/>
    <w:qFormat/>
    <w:rPr>
      <w:sz w:val="20"/>
      <w:szCs w:val="20"/>
    </w:rPr>
  </w:style>
  <w:style w:type="paragraph" w:customStyle="1" w:styleId="26012">
    <w:name w:val="样式 样式 样式 标题 2 + 宋体 五号 非加粗 黑色 + 段前: 6 磅 段后: 0 磅 行距: 单倍行距 + 段前: 12..."/>
    <w:basedOn w:val="Normal"/>
    <w:qFormat/>
    <w:pPr>
      <w:keepNext/>
      <w:keepLines/>
      <w:tabs>
        <w:tab w:val="left" w:pos="1875"/>
      </w:tabs>
      <w:adjustRightInd w:val="0"/>
      <w:spacing w:before="240"/>
      <w:ind w:left="1875" w:hanging="435"/>
      <w:jc w:val="left"/>
      <w:outlineLvl w:val="1"/>
    </w:pPr>
    <w:rPr>
      <w:rFonts w:ascii="SimSun" w:hAnsi="SimSun"/>
      <w:color w:val="000000"/>
      <w:kern w:val="0"/>
      <w:szCs w:val="20"/>
    </w:rPr>
  </w:style>
  <w:style w:type="paragraph" w:customStyle="1" w:styleId="1">
    <w:name w:val="列出段落1"/>
    <w:basedOn w:val="Normal"/>
    <w:qFormat/>
    <w:pPr>
      <w:spacing w:line="360" w:lineRule="auto"/>
      <w:ind w:firstLine="420" w:firstLineChars="200"/>
      <w:jc w:val="left"/>
    </w:pPr>
    <w:rPr>
      <w:rFonts w:ascii="Calibri" w:hAnsi="Calibri"/>
      <w:kern w:val="0"/>
      <w:szCs w:val="22"/>
      <w:lang w:bidi="en-US"/>
    </w:rPr>
  </w:style>
  <w:style w:type="paragraph" w:customStyle="1" w:styleId="10">
    <w:name w:val="样式1"/>
    <w:basedOn w:val="Normal"/>
    <w:qFormat/>
    <w:pPr>
      <w:numPr>
        <w:numId w:val="5"/>
      </w:numPr>
      <w:adjustRightInd w:val="0"/>
    </w:pPr>
    <w:rPr>
      <w:rFonts w:ascii="SimSun" w:hAnsi="SimSun"/>
      <w:kern w:val="0"/>
      <w:szCs w:val="20"/>
    </w:rPr>
  </w:style>
  <w:style w:type="paragraph" w:customStyle="1" w:styleId="CharCharChar">
    <w:name w:val="Char Char Char"/>
    <w:basedOn w:val="Normal"/>
    <w:qFormat/>
    <w:rPr>
      <w:rFonts w:ascii="Tahoma" w:hAnsi="Tahoma"/>
      <w:sz w:val="24"/>
      <w:szCs w:val="20"/>
    </w:rPr>
  </w:style>
  <w:style w:type="paragraph" w:customStyle="1" w:styleId="NormalIndent1">
    <w:name w:val="Normal Indent1"/>
    <w:qFormat/>
    <w:pPr>
      <w:spacing w:after="160" w:afterLines="50" w:line="360" w:lineRule="auto"/>
      <w:ind w:firstLine="420" w:firstLineChars="200"/>
    </w:pPr>
    <w:rPr>
      <w:lang w:val="en-US"/>
    </w:rPr>
  </w:style>
  <w:style w:type="table" w:customStyle="1" w:styleId="TableNormal0">
    <w:name w:val="Table Normal_0"/>
    <w:unhideWhenUsed/>
    <w:qFormat/>
    <w:pPr>
      <w:spacing w:after="160" w:line="259" w:lineRule="auto"/>
    </w:pPr>
    <w:tblPr>
      <w:tblCellMar>
        <w:top w:w="0" w:type="dxa"/>
        <w:left w:w="0" w:type="dxa"/>
        <w:bottom w:w="0" w:type="dxa"/>
        <w:right w:w="0" w:type="dxa"/>
      </w:tblCellMar>
    </w:tblPr>
  </w:style>
  <w:style w:type="paragraph" w:customStyle="1" w:styleId="Normal0">
    <w:name w:val="Normal_0"/>
    <w:qFormat/>
    <w:rPr>
      <w:rFonts w:eastAsia="Times New Roman"/>
      <w:sz w:val="24"/>
      <w:szCs w:val="24"/>
      <w:lang w:val="en-US" w:eastAsia="en-US"/>
    </w:rPr>
  </w:style>
  <w:style w:type="character" w:customStyle="1" w:styleId="Hyperlink0">
    <w:name w:val="Hyperlink_0"/>
    <w:basedOn w:val="DefaultParagraphFont"/>
    <w:rsid w:val="00EF7B96"/>
    <w:rPr>
      <w:color w:val="0000FF"/>
      <w:u w:val="single"/>
    </w:rPr>
  </w:style>
  <w:style w:type="paragraph" w:customStyle="1" w:styleId="TOC10">
    <w:name w:val="TOC 1_0"/>
    <w:basedOn w:val="Normal"/>
    <w:next w:val="Normal0"/>
    <w:autoRedefine/>
    <w:rsid w:val="00805BCE"/>
    <w:pPr>
      <w:widowControl/>
      <w:spacing w:after="0" w:line="240" w:lineRule="auto"/>
      <w:jc w:val="left"/>
    </w:pPr>
    <w:rPr>
      <w:rFonts w:eastAsia="Times New Roman"/>
      <w:kern w:val="0"/>
      <w:sz w:val="24"/>
      <w:lang w:eastAsia="en-US"/>
    </w:rPr>
  </w:style>
  <w:style w:type="paragraph" w:styleId="TOC2">
    <w:name w:val="toc 2"/>
    <w:basedOn w:val="Normal"/>
    <w:next w:val="Normal0"/>
    <w:autoRedefine/>
    <w:rsid w:val="00805BCE"/>
    <w:pPr>
      <w:widowControl/>
      <w:spacing w:after="0" w:line="240" w:lineRule="auto"/>
      <w:ind w:left="240"/>
      <w:jc w:val="left"/>
    </w:pPr>
    <w:rPr>
      <w:rFonts w:ascii="仿宋_GB2312" w:eastAsia="仿宋_GB2312" w:hAnsi="仿宋_GB2312" w:cs="仿宋_GB2312"/>
      <w:b w:val="0"/>
      <w:color w:val="000000"/>
      <w:kern w:val="0"/>
      <w:sz w:val="24"/>
      <w:lang w:eastAsia="en-US"/>
    </w:rPr>
  </w:style>
  <w:style w:type="paragraph" w:styleId="TOC3">
    <w:name w:val="toc 3"/>
    <w:basedOn w:val="Normal"/>
    <w:next w:val="Normal0"/>
    <w:autoRedefine/>
    <w:rsid w:val="00805BCE"/>
    <w:pPr>
      <w:widowControl/>
      <w:spacing w:after="0" w:line="240" w:lineRule="auto"/>
      <w:ind w:left="480"/>
      <w:jc w:val="left"/>
    </w:pPr>
    <w:rPr>
      <w:rFonts w:ascii="仿宋_GB2312" w:eastAsia="仿宋_GB2312" w:hAnsi="仿宋_GB2312" w:cs="仿宋_GB2312"/>
      <w:b w:val="0"/>
      <w:color w:val="000000"/>
      <w:kern w:val="0"/>
      <w:sz w:val="24"/>
      <w:lang w:eastAsia="en-US"/>
    </w:rPr>
  </w:style>
  <w:style w:type="paragraph" w:customStyle="1" w:styleId="Heading10">
    <w:name w:val="Heading 1_0"/>
    <w:basedOn w:val="Normal"/>
    <w:next w:val="Normal0"/>
    <w:qFormat/>
    <w:rsid w:val="00EF7B96"/>
    <w:pPr>
      <w:keepNext/>
      <w:widowControl/>
      <w:spacing w:before="240" w:after="60" w:line="240" w:lineRule="auto"/>
      <w:jc w:val="left"/>
      <w:outlineLvl w:val="0"/>
    </w:pPr>
    <w:rPr>
      <w:rFonts w:ascii="Arial" w:eastAsia="Times New Roman" w:hAnsi="Arial" w:cs="Arial"/>
      <w:b/>
      <w:bCs/>
      <w:kern w:val="32"/>
      <w:sz w:val="32"/>
      <w:szCs w:val="32"/>
      <w:lang w:eastAsia="en-US"/>
    </w:rPr>
  </w:style>
  <w:style w:type="paragraph" w:customStyle="1" w:styleId="Heading20">
    <w:name w:val="Heading 2_0"/>
    <w:basedOn w:val="Normal"/>
    <w:next w:val="Normal0"/>
    <w:qFormat/>
    <w:rsid w:val="00EF7B96"/>
    <w:pPr>
      <w:keepNext/>
      <w:widowControl/>
      <w:spacing w:before="240" w:after="60" w:line="240" w:lineRule="auto"/>
      <w:jc w:val="left"/>
      <w:outlineLvl w:val="1"/>
    </w:pPr>
    <w:rPr>
      <w:rFonts w:ascii="Arial" w:eastAsia="Times New Roman" w:hAnsi="Arial" w:cs="Arial"/>
      <w:b/>
      <w:bCs/>
      <w:i/>
      <w:iCs/>
      <w:kern w:val="0"/>
      <w:sz w:val="28"/>
      <w:szCs w:val="28"/>
      <w:lang w:eastAsia="en-US"/>
    </w:rPr>
  </w:style>
  <w:style w:type="paragraph" w:customStyle="1" w:styleId="Heading30">
    <w:name w:val="Heading 3_0"/>
    <w:basedOn w:val="Normal"/>
    <w:next w:val="Normal0"/>
    <w:qFormat/>
    <w:rsid w:val="00EF7B96"/>
    <w:pPr>
      <w:keepNext/>
      <w:widowControl/>
      <w:spacing w:before="240" w:after="60" w:line="240" w:lineRule="auto"/>
      <w:jc w:val="left"/>
      <w:outlineLvl w:val="2"/>
    </w:pPr>
    <w:rPr>
      <w:rFonts w:ascii="Arial" w:eastAsia="Times New Roman" w:hAnsi="Arial" w:cs="Arial"/>
      <w:b/>
      <w:bCs/>
      <w:kern w:val="0"/>
      <w:sz w:val="26"/>
      <w:szCs w:val="26"/>
      <w:lang w:eastAsia="en-US"/>
    </w:rPr>
  </w:style>
  <w:style w:type="paragraph" w:customStyle="1" w:styleId="MsoNormal">
    <w:name w:val="MsoNormal"/>
    <w:basedOn w:val="Normal"/>
    <w:pPr>
      <w:widowControl/>
      <w:spacing w:after="0" w:line="240" w:lineRule="auto"/>
      <w:jc w:val="left"/>
    </w:pPr>
    <w:rPr>
      <w:rFonts w:eastAsia="Times New Roman"/>
      <w:kern w:val="0"/>
      <w:sz w:val="24"/>
      <w:lang w:eastAsia="en-US"/>
    </w:rPr>
  </w:style>
  <w:style w:type="paragraph" w:customStyle="1" w:styleId="Heading40">
    <w:name w:val="Heading 4_0"/>
    <w:basedOn w:val="Normal"/>
    <w:next w:val="Normal0"/>
    <w:qFormat/>
    <w:rsid w:val="00EF7B96"/>
    <w:pPr>
      <w:keepNext/>
      <w:widowControl/>
      <w:spacing w:before="240" w:after="60" w:line="240" w:lineRule="auto"/>
      <w:jc w:val="left"/>
      <w:outlineLvl w:val="3"/>
    </w:pPr>
    <w:rPr>
      <w:rFonts w:eastAsia="Times New Roman"/>
      <w:b/>
      <w:bCs/>
      <w:kern w:val="0"/>
      <w:sz w:val="28"/>
      <w:szCs w:val="28"/>
      <w:lang w:eastAsia="en-US"/>
    </w:rPr>
  </w:style>
  <w:style w:type="paragraph" w:customStyle="1" w:styleId="17">
    <w:name w:val="17"/>
    <w:basedOn w:val="Normal"/>
    <w:pPr>
      <w:widowControl/>
      <w:spacing w:after="0" w:line="240" w:lineRule="auto"/>
      <w:jc w:val="left"/>
    </w:pPr>
    <w:rPr>
      <w:rFonts w:eastAsia="Times New Roman"/>
      <w:kern w:val="0"/>
      <w:sz w:val="24"/>
      <w:lang w:eastAsia="en-US"/>
    </w:rPr>
  </w:style>
  <w:style w:type="paragraph" w:customStyle="1" w:styleId="16">
    <w:name w:val="16"/>
    <w:basedOn w:val="Normal"/>
    <w:pPr>
      <w:widowControl/>
      <w:spacing w:after="0" w:line="240" w:lineRule="auto"/>
      <w:jc w:val="left"/>
    </w:pPr>
    <w:rPr>
      <w:rFonts w:eastAsia="Times New Roman"/>
      <w:kern w:val="0"/>
      <w:sz w:val="24"/>
      <w:lang w:eastAsia="en-US"/>
    </w:rPr>
  </w:style>
  <w:style w:type="table" w:customStyle="1" w:styleId="18">
    <w:name w:val="18"/>
    <w:basedOn w:val="TableNormal"/>
    <w:rPr>
      <w:rFonts w:eastAsia="Times New Roman"/>
      <w:lang w:val="en-US" w:eastAsia="en-US"/>
    </w:rPr>
    <w:tblPr/>
  </w:style>
  <w:style w:type="character" w:customStyle="1" w:styleId="15Character">
    <w:name w:val="15 Character"/>
    <w:basedOn w:val="DefaultParagraphFont"/>
  </w:style>
  <w:style w:type="table" w:customStyle="1" w:styleId="MsoNormalTable">
    <w:name w:val="MsoNormalTable"/>
    <w:basedOn w:val="TableNormal"/>
    <w:rPr>
      <w:rFonts w:eastAsia="Times New Roman"/>
      <w:lang w:val="en-US" w:eastAsia="en-US"/>
    </w:rPr>
    <w:tblPr/>
  </w:style>
  <w:style w:type="character" w:customStyle="1" w:styleId="16Character">
    <w:name w:val="16 Characte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30</Pages>
  <Words>9</Words>
  <Characters>53</Characters>
  <Application>Microsoft Office Word</Application>
  <DocSecurity>0</DocSecurity>
  <Lines>1</Lines>
  <Paragraphs>1</Paragraphs>
  <ScaleCrop>false</ScaleCrop>
  <Company>China</Company>
  <LinksUpToDate>false</LinksUpToDate>
  <CharactersWithSpaces>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Chaoran Chen</cp:lastModifiedBy>
  <cp:revision>2</cp:revision>
  <cp:lastPrinted>2023-10-01T11:04:00Z</cp:lastPrinted>
  <dcterms:created xsi:type="dcterms:W3CDTF">2020-05-09T07:26:00Z</dcterms:created>
  <dcterms:modified xsi:type="dcterms:W3CDTF">2024-11-05T08:28:00Z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1033-6.12.1.8902</vt:lpwstr>
  </property>
</Properties>
</file>