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国家税务总局吉林省税务局2025年实名办税系统升级改造项目</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JL2025-ZXGK-C0081-B00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2025年10月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1.2.4系统情况</w:t>
        </w:r>
        <w:r>
          <w:tab/>
        </w:r>
        <w:r>
          <w:fldChar w:fldCharType="begin"/>
        </w:r>
        <w:r>
          <w:instrText xml:space="preserve"> PAGEREF _Toc256000007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1.3其他要求</w:t>
        </w:r>
        <w:r>
          <w:tab/>
        </w:r>
        <w:r>
          <w:fldChar w:fldCharType="begin"/>
        </w:r>
        <w:r>
          <w:instrText xml:space="preserve"> PAGEREF _Toc256000008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_Toc256000009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kern w:val="36"/>
          </w:rPr>
          <w:t>2投标/响应要求</w:t>
        </w:r>
        <w:r>
          <w:tab/>
        </w:r>
        <w:r>
          <w:fldChar w:fldCharType="begin"/>
        </w:r>
        <w:r>
          <w:instrText xml:space="preserve"> PAGEREF _Toc256000010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2.1对供应商的要求</w:t>
        </w:r>
        <w:r>
          <w:tab/>
        </w:r>
        <w:r>
          <w:fldChar w:fldCharType="begin"/>
        </w:r>
        <w:r>
          <w:instrText xml:space="preserve"> PAGEREF _Toc256000011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2.1.1必备资质</w:t>
        </w:r>
        <w:r>
          <w:tab/>
        </w:r>
        <w:r>
          <w:fldChar w:fldCharType="begin"/>
        </w:r>
        <w:r>
          <w:instrText xml:space="preserve"> PAGEREF _Toc256000012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2.1.2优选资质/优选指标</w:t>
        </w:r>
        <w:r>
          <w:tab/>
        </w:r>
        <w:r>
          <w:fldChar w:fldCharType="begin"/>
        </w:r>
        <w:r>
          <w:instrText xml:space="preserve"> PAGEREF _Toc256000013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2.1.3是否允许联合体</w:t>
        </w:r>
        <w:r>
          <w:tab/>
        </w:r>
        <w:r>
          <w:fldChar w:fldCharType="begin"/>
        </w:r>
        <w:r>
          <w:instrText xml:space="preserve"> PAGEREF _Toc256000014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2.1.4是否专门面向中小企业</w:t>
        </w:r>
        <w:r>
          <w:tab/>
        </w:r>
        <w:r>
          <w:fldChar w:fldCharType="begin"/>
        </w:r>
        <w:r>
          <w:instrText xml:space="preserve"> PAGEREF _Toc256000015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2.1.5其他要求</w:t>
        </w:r>
        <w:r>
          <w:tab/>
        </w:r>
        <w:r>
          <w:fldChar w:fldCharType="begin"/>
        </w:r>
        <w:r>
          <w:instrText xml:space="preserve"> PAGEREF _Toc256000016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2.2技术部分投标/响应内容</w:t>
        </w:r>
        <w:r>
          <w:tab/>
        </w:r>
        <w:r>
          <w:fldChar w:fldCharType="begin"/>
        </w:r>
        <w:r>
          <w:instrText xml:space="preserve"> PAGEREF _Toc256000017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2.2.1技术投标/响应总要求</w:t>
        </w:r>
        <w:r>
          <w:tab/>
        </w:r>
        <w:r>
          <w:fldChar w:fldCharType="begin"/>
        </w:r>
        <w:r>
          <w:instrText xml:space="preserve"> PAGEREF _Toc256000018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2.2.2投标/响应方案要求</w:t>
        </w:r>
        <w:r>
          <w:tab/>
        </w:r>
        <w:r>
          <w:fldChar w:fldCharType="begin"/>
        </w:r>
        <w:r>
          <w:instrText xml:space="preserve"> PAGEREF _Toc256000019 \h </w:instrText>
        </w:r>
        <w:r>
          <w:fldChar w:fldCharType="separate"/>
        </w:r>
        <w:r>
          <w:t>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kern w:val="36"/>
          </w:rPr>
          <w:t>3项目需求</w:t>
        </w:r>
        <w:r>
          <w:tab/>
        </w:r>
        <w:r>
          <w:fldChar w:fldCharType="begin"/>
        </w:r>
        <w:r>
          <w:instrText xml:space="preserve"> PAGEREF _Toc256000020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3.1总体要求</w:t>
        </w:r>
        <w:r>
          <w:tab/>
        </w:r>
        <w:r>
          <w:fldChar w:fldCharType="begin"/>
        </w:r>
        <w:r>
          <w:instrText xml:space="preserve"> PAGEREF _Toc256000021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3.2服务内容和要求</w:t>
        </w:r>
        <w:r>
          <w:tab/>
        </w:r>
        <w:r>
          <w:fldChar w:fldCharType="begin"/>
        </w:r>
        <w:r>
          <w:instrText xml:space="preserve"> PAGEREF _Toc256000022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3.2.1技术和服务客观指标</w:t>
        </w:r>
        <w:r>
          <w:tab/>
        </w:r>
        <w:r>
          <w:fldChar w:fldCharType="begin"/>
        </w:r>
        <w:r>
          <w:instrText xml:space="preserve"> PAGEREF _Toc256000023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3.2.2技术和服务其他要求</w:t>
        </w:r>
        <w:r>
          <w:tab/>
        </w:r>
        <w:r>
          <w:fldChar w:fldCharType="begin"/>
        </w:r>
        <w:r>
          <w:instrText xml:space="preserve"> PAGEREF _Toc256000024 \h </w:instrText>
        </w:r>
        <w:r>
          <w:fldChar w:fldCharType="separate"/>
        </w:r>
        <w:r>
          <w:t>10</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kern w:val="36"/>
          </w:rPr>
          <w:t>4人员要求</w:t>
        </w:r>
        <w:r>
          <w:tab/>
        </w:r>
        <w:r>
          <w:fldChar w:fldCharType="begin"/>
        </w:r>
        <w:r>
          <w:instrText xml:space="preserve"> PAGEREF _Toc256000025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4.1总体要求</w:t>
        </w:r>
        <w:r>
          <w:tab/>
        </w:r>
        <w:r>
          <w:fldChar w:fldCharType="begin"/>
        </w:r>
        <w:r>
          <w:instrText xml:space="preserve"> PAGEREF _Toc256000026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4.2管理团队</w:t>
        </w:r>
        <w:r>
          <w:tab/>
        </w:r>
        <w:r>
          <w:fldChar w:fldCharType="begin"/>
        </w:r>
        <w:r>
          <w:instrText xml:space="preserve"> PAGEREF _Toc256000027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4.2.1项目总监</w:t>
        </w:r>
        <w:r>
          <w:tab/>
        </w:r>
        <w:r>
          <w:fldChar w:fldCharType="begin"/>
        </w:r>
        <w:r>
          <w:instrText xml:space="preserve"> PAGEREF _Toc256000028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4.2.2项目经理</w:t>
        </w:r>
        <w:r>
          <w:tab/>
        </w:r>
        <w:r>
          <w:fldChar w:fldCharType="begin"/>
        </w:r>
        <w:r>
          <w:instrText xml:space="preserve"> PAGEREF _Toc256000029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4.3技术团队</w:t>
        </w:r>
        <w:r>
          <w:tab/>
        </w:r>
        <w:r>
          <w:fldChar w:fldCharType="begin"/>
        </w:r>
        <w:r>
          <w:instrText xml:space="preserve"> PAGEREF _Toc256000030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4.4优选资质/优选指标</w:t>
        </w:r>
        <w:r>
          <w:tab/>
        </w:r>
        <w:r>
          <w:fldChar w:fldCharType="begin"/>
        </w:r>
        <w:r>
          <w:instrText xml:space="preserve"> PAGEREF _Toc256000031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5管理实施要求</w:t>
        </w:r>
        <w:r>
          <w:tab/>
        </w:r>
        <w:r>
          <w:fldChar w:fldCharType="begin"/>
        </w:r>
        <w:r>
          <w:instrText xml:space="preserve"> PAGEREF _Toc256000032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6保密要求</w:t>
        </w:r>
        <w:r>
          <w:tab/>
        </w:r>
        <w:r>
          <w:fldChar w:fldCharType="begin"/>
        </w:r>
        <w:r>
          <w:instrText xml:space="preserve"> PAGEREF _Toc256000033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kern w:val="36"/>
          </w:rPr>
          <w:t>7知识转移要求</w:t>
        </w:r>
        <w:r>
          <w:tab/>
        </w:r>
        <w:r>
          <w:fldChar w:fldCharType="begin"/>
        </w:r>
        <w:r>
          <w:instrText xml:space="preserve"> PAGEREF _Toc256000034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kern w:val="36"/>
          </w:rPr>
          <w:t>8风险管控要求</w:t>
        </w:r>
        <w:r>
          <w:tab/>
        </w:r>
        <w:r>
          <w:fldChar w:fldCharType="begin"/>
        </w:r>
        <w:r>
          <w:instrText xml:space="preserve"> PAGEREF _Toc256000035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kern w:val="36"/>
          </w:rPr>
          <w:t>9履约验收要求</w:t>
        </w:r>
        <w:r>
          <w:tab/>
        </w:r>
        <w:r>
          <w:fldChar w:fldCharType="begin"/>
        </w:r>
        <w:r>
          <w:instrText xml:space="preserve"> PAGEREF _Toc256000036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9.1总体要求</w:t>
        </w:r>
        <w:r>
          <w:tab/>
        </w:r>
        <w:r>
          <w:fldChar w:fldCharType="begin"/>
        </w:r>
        <w:r>
          <w:instrText xml:space="preserve"> PAGEREF _Toc256000037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9.2具体要求</w:t>
        </w:r>
        <w:r>
          <w:tab/>
        </w:r>
        <w:r>
          <w:fldChar w:fldCharType="begin"/>
        </w:r>
        <w:r>
          <w:instrText xml:space="preserve"> PAGEREF _Toc256000038 \h </w:instrText>
        </w:r>
        <w:r>
          <w:fldChar w:fldCharType="separate"/>
        </w:r>
        <w:r>
          <w:t>14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kern w:val="36"/>
          </w:rPr>
          <w:t>10其他要求</w:t>
        </w:r>
        <w:r>
          <w:tab/>
        </w:r>
        <w:r>
          <w:fldChar w:fldCharType="begin"/>
        </w:r>
        <w:r>
          <w:instrText xml:space="preserve"> PAGEREF _Toc256000039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10.1必备要求</w:t>
        </w:r>
        <w:r>
          <w:tab/>
        </w:r>
        <w:r>
          <w:fldChar w:fldCharType="begin"/>
        </w:r>
        <w:r>
          <w:instrText xml:space="preserve"> PAGEREF _Toc256000040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10.1.1★税收信息化项目开发和应用管理工作要求</w:t>
        </w:r>
        <w:r>
          <w:tab/>
        </w:r>
        <w:r>
          <w:fldChar w:fldCharType="begin"/>
        </w:r>
        <w:r>
          <w:instrText xml:space="preserve"> PAGEREF _Toc256000041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10.1.2★ 税务信息化服务商廉政要求</w:t>
        </w:r>
        <w:r>
          <w:tab/>
        </w:r>
        <w:r>
          <w:fldChar w:fldCharType="begin"/>
        </w:r>
        <w:r>
          <w:instrText xml:space="preserve"> PAGEREF _Toc256000042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10.1.3★供应链安全管理要求</w:t>
        </w:r>
        <w:r>
          <w:tab/>
        </w:r>
        <w:r>
          <w:fldChar w:fldCharType="begin"/>
        </w:r>
        <w:r>
          <w:instrText xml:space="preserve"> PAGEREF _Toc256000043 \h </w:instrText>
        </w:r>
        <w:r>
          <w:fldChar w:fldCharType="separate"/>
        </w:r>
        <w:r>
          <w:t>17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10.1.4★信息化服务运维人员要求</w:t>
        </w:r>
        <w:r>
          <w:tab/>
        </w:r>
        <w:r>
          <w:fldChar w:fldCharType="begin"/>
        </w:r>
        <w:r>
          <w:instrText xml:space="preserve"> PAGEREF _Toc256000044 \h </w:instrText>
        </w:r>
        <w:r>
          <w:fldChar w:fldCharType="separate"/>
        </w:r>
        <w:r>
          <w:t>21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10.1.5其他</w:t>
        </w:r>
        <w:r>
          <w:tab/>
        </w:r>
        <w:r>
          <w:fldChar w:fldCharType="begin"/>
        </w:r>
        <w:r>
          <w:instrText xml:space="preserve"> PAGEREF _Toc256000045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6" w:history="1">
        <w:r>
          <w:rPr>
            <w:rStyle w:val="Hyperlink"/>
            <w:rFonts w:ascii="仿宋_GB2312" w:eastAsia="仿宋_GB2312" w:hAnsi="仿宋_GB2312" w:cs="仿宋_GB2312"/>
          </w:rPr>
          <w:t>10.2知识产权要求</w:t>
        </w:r>
        <w:r>
          <w:tab/>
        </w:r>
        <w:r>
          <w:fldChar w:fldCharType="begin"/>
        </w:r>
        <w:r>
          <w:instrText xml:space="preserve"> PAGEREF _Toc256000046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7" w:history="1">
        <w:r>
          <w:rPr>
            <w:rStyle w:val="Hyperlink"/>
            <w:rFonts w:ascii="仿宋_GB2312" w:eastAsia="仿宋_GB2312" w:hAnsi="仿宋_GB2312" w:cs="仿宋_GB2312"/>
          </w:rPr>
          <w:t>10.3付款安排建议</w:t>
        </w:r>
        <w:r>
          <w:tab/>
        </w:r>
        <w:r>
          <w:fldChar w:fldCharType="begin"/>
        </w:r>
        <w:r>
          <w:instrText xml:space="preserve"> PAGEREF _Toc256000047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8" w:history="1">
        <w:r>
          <w:rPr>
            <w:rStyle w:val="Hyperlink"/>
            <w:rFonts w:ascii="仿宋_GB2312" w:eastAsia="仿宋_GB2312" w:hAnsi="仿宋_GB2312" w:cs="仿宋_GB2312"/>
          </w:rPr>
          <w:t>10.4其他</w:t>
        </w:r>
        <w:r>
          <w:tab/>
        </w:r>
        <w:r>
          <w:fldChar w:fldCharType="begin"/>
        </w:r>
        <w:r>
          <w:instrText xml:space="preserve"> PAGEREF _Toc256000048 \h </w:instrText>
        </w:r>
        <w:r>
          <w:fldChar w:fldCharType="separate"/>
        </w:r>
        <w:r>
          <w:t>22</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为进一步提升纳税服务质效，保护纳税人合法权益，维护正常税收经济秩序，促进社会信用体系建设，根据《中华人民共和国税收征收管理法》及其实施细则和国家税务总局有关文件精神，国家税务总局吉林省税务局对吉林税务实名办税系统进行升级改造，即时进行纳税人身份真伪鉴别，为纳税人提供零障碍服务，从而提高办税效率，同时有利于税务机关更好地防范涉税违法行为，企业也可以有效避免他人盗用、冒用自身名义从事违法犯罪活动。</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国家税务总局吉林省税务局吉林税务实名办税系统升级改造、测试、试运行、验收、培训服务及维护服务。</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系统升级改造服务内容：</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一是根据工作安排，实名办税系统需要将对接总局实名办税监控系统接口调整为对接统一身份管理平台。同时在系统内新增上传风险纳税人信息、特定法定代表人信息等功能。</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二是12366运营中心和实名办税系统对接，实现即时纳税人信息数据同步和后台数据分析支撑。</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三是实名办税系统增加在风险纳税人企业法人进行实名信息采集时，针对采集的纳税人进行提示</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四是根据工作安排，实名办税系统对接叫号机系统，为其提供数据查询接口。</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五是根据工作安排，实名办税系统增加代理涉税专业服务人员身份，用于代理企业关联身份在办税服务厅进行涉税业务办理。并将关联数据同步至核心征管系统。</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国家税务总局吉林省税务局指定范围。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rPr>
        <w:t>   自签订合同之日起3个月完成上线部署工作，升级改造部分免费运维服务期限自验收通过之日起一年。</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 </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国家税务总局吉林省税务局指定地点。</w:t>
      </w:r>
    </w:p>
    <w:p>
      <w:pPr>
        <w:pStyle w:val="Heading3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sz w:val="28"/>
          <w:szCs w:val="28"/>
        </w:rPr>
        <w:t>1.2.4系统情况</w:t>
      </w:r>
      <w:bookmarkEnd w:id="11"/>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1.2.4.1现有软件系统的主要功能</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实名办税系统是针对纳税人的办税人员及自然人在办理涉税业务时身份确认应用系统。办税人员在办理涉税事项时提供有效个人身份证明，税务机关通过采集、比对等措施确认其身份信息后，办理涉税事项，</w:t>
      </w:r>
      <w:r>
        <w:rPr>
          <w:rFonts w:ascii="宋体" w:eastAsia="宋体" w:hAnsi="宋体" w:cs="宋体"/>
          <w:sz w:val="28"/>
          <w:szCs w:val="28"/>
        </w:rPr>
        <w:t>主要功能：</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1.实名信息采集：纳税人在首次办理涉税事项前，税务机关对其相关人员进行实名信息采集。没有在首次办理涉税事项时完成实名信息采集的相关人员，补办采集可在其再次办理涉税事宜时进行。</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2.实名信息变更：此模块功能是对已采集过的人员信息进行变更，信息变更包含身份证件信息变更以及手机号码变更。</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身份查验：此模块功能为调用身份证信息读取硬件设备，读取身份证信息，也可通过输入身份证件号码进行查验。根据身份证信息查询实名办税中已采集的人员信息。该人员关联的企业信息和黑名单信息（黑名单数据来源为《重大税收违法案件信息公布登记表》中所包含的企业法人）以及影像照片，这里展示的信息为全省信息。</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4.关联企业：已实名验证采集的办税人员信息可以通过该功能与企业进行关联关系维护。本模块为新增关联关系使用模块，已存在的关联关系在“关联关系管理”模块中管理。 </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6.关联关系管理：本模块用于管理已经存在企业和办税人的关联关系。对已存在的关联关系进行修改和解除关系操作。</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7.特定法定代表人管理：此模块功能是查询风险纳税人和黑名单所包含的企业及企业法人。目前特定法定代表人数据来源为纳税信用级别为“D”级的企业以及《重大税收违法案件信息公布登记表》中所包含的企业法人。</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8.风险纳税人名单管理：风险纳税人功能用于新增企业为风险纳税人，并对已添加的风险纳税人进行修改、查看及解除风险纳税人操作。</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1.2.4.2业务和技术体系架构及部署</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吉林税务实名办税系统在操作系统上，采用Linux操作系统。在数据库上，采用oracle数据库。在应用开发框架上，采用J2EE框架。客户端应用的兼容性，主要是采用B/S开发模式，可以通过浏览的方式访问应用。在B/S的开发基础上，系统采用HTML5的开发标准，目前所有厂商的浏览器，如IE7以上版本，360浏览器，谷歌浏览器等等，都支持HTML5。</w:t>
      </w:r>
      <w:r>
        <w:rPr>
          <w:rFonts w:ascii="Times New Roman" w:eastAsia="Times New Roman" w:hAnsi="Times New Roman" w:cs="Times New Roman"/>
          <w:sz w:val="28"/>
          <w:szCs w:val="28"/>
        </w:rPr>
        <w:t>省局部署平台应用服务器、oracle数据库服务器，支撑全省各级单位大厅运行和管理；市局通过账号统一登录平台进行日常管理；办税服务厅通过浏览器访问税务内网端实名办税系统开展日常业务办理。</w:t>
      </w:r>
    </w:p>
    <w:p>
      <w:pPr>
        <w:pStyle w:val="Heading2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i w:val="0"/>
          <w:iCs w:val="0"/>
        </w:rPr>
        <w:t>1.3其他要求</w:t>
      </w:r>
      <w:bookmarkEnd w:id="12"/>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1.3.1采购标的需执行的相关标准规范</w:t>
      </w:r>
      <w:bookmarkEnd w:id="13"/>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14" w:name="_Toc256000010"/>
      <w:r>
        <w:rPr>
          <w:rFonts w:ascii="仿宋_GB2312" w:eastAsia="仿宋_GB2312" w:hAnsi="仿宋_GB2312" w:cs="仿宋_GB2312"/>
          <w:kern w:val="36"/>
        </w:rPr>
        <w:t>2投标/响应要求</w:t>
      </w:r>
      <w:bookmarkEnd w:id="14"/>
    </w:p>
    <w:p>
      <w:pPr>
        <w:pStyle w:val="Heading2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i w:val="0"/>
          <w:iCs w:val="0"/>
        </w:rPr>
        <w:t>2.1对供应商的要求</w:t>
      </w:r>
      <w:bookmarkEnd w:id="15"/>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2.1.1必备资质</w:t>
      </w:r>
      <w:bookmarkEnd w:id="1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（1）★法人或者其他组织的营业执照等证明文件（复印件）；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（3）★近6个月内至少2个月依法缴纳税收的相关材料，如依法免税或不需要纳税的，则应提供相应文件证明（复印件）；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（4）★近6个月内至少2个月依法缴纳社会保障资金的相关材料，如依法不需要缴纳社会保障资金的，则应提供相应文件证明（复印件）；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（5）★参加本项目投标前三年内，在经营活动中没有重大违法记录（指供应商因违法经营受到刑事处罚或者责令停产停业、吊销许可证或者执照、较大数额罚款等行政处罚）的书面声明；</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2.1.2优选资质/优选指标</w:t>
      </w:r>
      <w:bookmarkEnd w:id="17"/>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95"/>
        <w:gridCol w:w="1459"/>
        <w:gridCol w:w="741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颁发ISO27001信息安全管理体系证书的认证机构必须是经过CNCA国家认证监督委员会(认监委)认可的认证机构方可在国内进行审核发证，所有通过认证且合法的证书均可在CNCA的网站上进行查询。</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颁发ISO9000系列质量认证证书的认证机构必须是经过CNCA国家认证监督委员会(认监委)认可的认证机构方可在国内进行审核发证，所有通过认证且合法的证书均可在CNCA的网站上进行查询。</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颁发ISO20000信息技术服务管理体系资质的认证机构必须是经过CNCA国家认证监督委员会(认监委)认可的认证机构方可在国内进行审核发证，所有通过认证且合法的证书均可在CNCA的网站上进行查询。</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提供2022年1月1日以来（以合同签订日期为准）独立承担实施的类似项目成功案例。</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2.1.3是否允许联合体</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sz w:val="28"/>
          <w:szCs w:val="28"/>
        </w:rPr>
        <w:t>2.1.4是否专门面向中小企业</w:t>
      </w:r>
      <w:bookmarkEnd w:id="1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sz w:val="28"/>
          <w:szCs w:val="28"/>
        </w:rPr>
        <w:t>2.1.5其他要求</w:t>
      </w:r>
      <w:bookmarkEnd w:id="20"/>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2.2技术部分投标/响应内容</w:t>
      </w:r>
      <w:bookmarkEnd w:id="21"/>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2.2.1技术投标/响应总要求</w:t>
      </w:r>
      <w:bookmarkEnd w:id="22"/>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投标人必须针对招标文件(技术部分)中有关章节的需求逐个或分块作出实质性响应，其响应应与需求书内容采用同样的顺序,对每个需求的响应必须遵循如下规则:</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1.重复该需求;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2、简要描述应答书或应答方案如何满足该需求，如果该响应在应答书其它部分有详述，可在该处简单应答，但必须给出确切的位置索引</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3.解释应答书或应答方案与国家税务总局需求之间的偏差;用数量来表示的需求，必须用确切的数字、单位来响应;</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投标人应提供实质性确切响应，并有详细的文字描述和说明，任何仅采用“符合”、“满足”或非确定性数值(如“&gt;-”或)的响应均将被视为没有对本需求书的实质性响应，从而可能导致严重后果;有关表格部分的响应应按商务部分规定的格式列出.</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5.招标文件(技术部分)中有标注★号的，为必备服务要求，必须满足，如未作出响应或响应不满足的，将导致投标无效。</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6.如《招标文件-技术部分》中有标注“#”为重要指标、标注“△”为一般指标项，满足在评审时予以加分。</w:t>
      </w:r>
    </w:p>
    <w:p>
      <w:pPr>
        <w:pStyle w:val="Heading3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sz w:val="28"/>
          <w:szCs w:val="28"/>
        </w:rPr>
        <w:t>2.2.2投标/响应方案要求</w:t>
      </w:r>
      <w:bookmarkEnd w:id="23"/>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150"/>
        <w:spacing w:before="0" w:after="0" w:line="360" w:lineRule="auto"/>
        <w:ind w:left="0" w:right="0" w:firstLine="480"/>
        <w:jc w:val="both"/>
        <w:rPr>
          <w:rFonts w:ascii="Times New Roman" w:eastAsia="Times New Roman" w:hAnsi="Times New Roman" w:cs="Times New Roman"/>
        </w:rPr>
      </w:pPr>
      <w:r>
        <w:rPr>
          <w:rFonts w:ascii="FangSong" w:eastAsia="FangSong" w:hAnsi="FangSong" w:cs="FangSong"/>
          <w:sz w:val="28"/>
          <w:szCs w:val="28"/>
        </w:rPr>
        <w:t>1.项目管理实施方案：投标人提供的方案内容应包含项目管理实施总要求、项目实施进度及项目质量管理。</w:t>
      </w:r>
    </w:p>
    <w:p>
      <w:pPr>
        <w:pStyle w:val="150"/>
        <w:spacing w:before="0" w:after="0" w:line="360" w:lineRule="auto"/>
        <w:ind w:left="0" w:right="0" w:firstLine="480"/>
        <w:jc w:val="both"/>
        <w:rPr>
          <w:rFonts w:ascii="Times New Roman" w:eastAsia="Times New Roman" w:hAnsi="Times New Roman" w:cs="Times New Roman"/>
        </w:rPr>
      </w:pPr>
      <w:r>
        <w:rPr>
          <w:rFonts w:ascii="FangSong" w:eastAsia="FangSong" w:hAnsi="FangSong" w:cs="FangSong"/>
          <w:sz w:val="28"/>
          <w:szCs w:val="28"/>
        </w:rPr>
        <w:t>2.升级改造方案：投标人提供的方案内容应包含需求分析、升级计划、技术评估及服务。</w:t>
      </w:r>
    </w:p>
    <w:p>
      <w:pPr>
        <w:pStyle w:val="150"/>
        <w:spacing w:before="0" w:after="0" w:line="360" w:lineRule="auto"/>
        <w:ind w:left="0" w:right="0" w:firstLine="480"/>
        <w:jc w:val="both"/>
        <w:rPr>
          <w:rFonts w:ascii="Times New Roman" w:eastAsia="Times New Roman" w:hAnsi="Times New Roman" w:cs="Times New Roman"/>
        </w:rPr>
      </w:pPr>
      <w:r>
        <w:rPr>
          <w:rFonts w:ascii="FangSong" w:eastAsia="FangSong" w:hAnsi="FangSong" w:cs="FangSong"/>
          <w:sz w:val="28"/>
          <w:szCs w:val="28"/>
        </w:rPr>
        <w:t>3.应急及安全保障方案：投标人提供的方案内容应包含安全保障方法、预警和预防机制、应急响应及处置措施。</w:t>
      </w:r>
    </w:p>
    <w:p>
      <w:pPr>
        <w:pStyle w:val="150"/>
        <w:spacing w:before="0" w:after="0" w:line="360" w:lineRule="auto"/>
        <w:ind w:left="0" w:right="0" w:firstLine="480"/>
        <w:jc w:val="both"/>
        <w:rPr>
          <w:rFonts w:ascii="Times New Roman" w:eastAsia="Times New Roman" w:hAnsi="Times New Roman" w:cs="Times New Roman"/>
        </w:rPr>
      </w:pPr>
      <w:r>
        <w:rPr>
          <w:rFonts w:ascii="FangSong" w:eastAsia="FangSong" w:hAnsi="FangSong" w:cs="FangSong"/>
          <w:sz w:val="28"/>
          <w:szCs w:val="28"/>
        </w:rPr>
        <w:t>4.保密方案：投标人提供的方案内容应包含保密组织管理、保密制度及保密措施。</w:t>
      </w:r>
    </w:p>
    <w:p>
      <w:pPr>
        <w:pStyle w:val="150"/>
        <w:spacing w:before="0" w:after="0" w:line="360" w:lineRule="auto"/>
        <w:ind w:left="0" w:right="0" w:firstLine="480"/>
        <w:jc w:val="both"/>
        <w:rPr>
          <w:rFonts w:ascii="Times New Roman" w:eastAsia="Times New Roman" w:hAnsi="Times New Roman" w:cs="Times New Roman"/>
        </w:rPr>
      </w:pPr>
      <w:r>
        <w:rPr>
          <w:rFonts w:ascii="FangSong" w:eastAsia="FangSong" w:hAnsi="FangSong" w:cs="FangSong"/>
          <w:sz w:val="28"/>
          <w:szCs w:val="28"/>
        </w:rPr>
        <w:t>5.项目验收方案：投标人提供的方案内容应包含验收组织流程、验收依据和标准、验收中出现问题的解决办法及补救措施。</w:t>
      </w:r>
    </w:p>
    <w:p>
      <w:pPr>
        <w:pStyle w:val="Heading10"/>
        <w:keepNext w:val="0"/>
        <w:spacing w:before="0" w:after="0" w:line="360" w:lineRule="auto"/>
        <w:jc w:val="center"/>
        <w:rPr>
          <w:rFonts w:ascii="仿宋_GB2312" w:eastAsia="仿宋_GB2312" w:hAnsi="仿宋_GB2312" w:cs="仿宋_GB2312"/>
          <w:b/>
          <w:bCs/>
          <w:sz w:val="32"/>
          <w:szCs w:val="32"/>
        </w:rPr>
      </w:pPr>
      <w:bookmarkStart w:id="24" w:name="_Toc256000020"/>
      <w:r>
        <w:rPr>
          <w:rFonts w:ascii="仿宋_GB2312" w:eastAsia="仿宋_GB2312" w:hAnsi="仿宋_GB2312" w:cs="仿宋_GB2312"/>
          <w:kern w:val="36"/>
        </w:rPr>
        <w:t>3项目需求</w:t>
      </w:r>
      <w:bookmarkEnd w:id="24"/>
    </w:p>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3.1总体要求</w:t>
      </w:r>
      <w:bookmarkEnd w:id="25"/>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（1）实名办税系统将对接统一身份管理平台、叫号机系统、12366运营中心及核心征管系统，完成接口对接、数据同步各项工作。</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（2）实名办税系统增加风险纳税人信息上传、特定法定代表人信息上传、人像照片下载模块。</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（3）实名办税系统增加代理涉税专业服务人员身份及风险纳税人实名采集事前风险提示。</w:t>
      </w:r>
    </w:p>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3.2服务内容和要求</w:t>
      </w:r>
      <w:bookmarkEnd w:id="2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3.2.1技术和服务客观指标</w:t>
      </w:r>
      <w:bookmarkEnd w:id="27"/>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p>
      <w:pPr>
        <w:pStyle w:val="MsoNormal"/>
        <w:spacing w:before="0" w:after="0" w:line="360" w:lineRule="auto"/>
        <w:ind w:left="0" w:right="0"/>
        <w:jc w:val="both"/>
        <w:rPr>
          <w:rFonts w:ascii="Calibri" w:eastAsia="Calibri" w:hAnsi="Calibri" w:cs="Calibri"/>
          <w:sz w:val="21"/>
          <w:szCs w:val="21"/>
        </w:rPr>
      </w:pPr>
      <w:r>
        <w:rPr>
          <w:rFonts w:ascii="Calibri" w:eastAsia="Calibri" w:hAnsi="Calibri" w:cs="Calibri"/>
          <w:sz w:val="21"/>
          <w:szCs w:val="21"/>
        </w:rPr>
        <w:t> </w:t>
      </w:r>
    </w:p>
    <w:tbl>
      <w:tblPr>
        <w:tblStyle w:val="MsoNormalTable"/>
        <w:tblW w:w="9245" w:type="dxa"/>
        <w:tblCellSpacing w:w="0" w:type="dxa"/>
        <w:tblInd w:w="221" w:type="dxa"/>
        <w:tblCellMar>
          <w:top w:w="15" w:type="dxa"/>
          <w:left w:w="15" w:type="dxa"/>
          <w:bottom w:w="15" w:type="dxa"/>
          <w:right w:w="15" w:type="dxa"/>
        </w:tblCellMar>
        <w:tblLook w:val="05E0"/>
      </w:tblPr>
      <w:tblGrid>
        <w:gridCol w:w="543"/>
        <w:gridCol w:w="1002"/>
        <w:gridCol w:w="2136"/>
        <w:gridCol w:w="14612"/>
        <w:gridCol w:w="624"/>
        <w:gridCol w:w="1254"/>
      </w:tblGrid>
      <w:tr>
        <w:tblPrEx>
          <w:tblW w:w="9245" w:type="dxa"/>
          <w:tblCellSpacing w:w="0" w:type="dxa"/>
          <w:tblInd w:w="221" w:type="dxa"/>
          <w:tblCellMar>
            <w:top w:w="15" w:type="dxa"/>
            <w:left w:w="15" w:type="dxa"/>
            <w:bottom w:w="15" w:type="dxa"/>
            <w:right w:w="15" w:type="dxa"/>
          </w:tblCellMar>
          <w:tblLook w:val="05E0"/>
        </w:tblPrEx>
        <w:trPr>
          <w:trHeight w:val="510"/>
          <w:tblCellSpacing w:w="0" w:type="dxa"/>
        </w:trPr>
        <w:tc>
          <w:tcPr>
            <w:tcW w:w="1106" w:type="dxa"/>
            <w:tcBorders>
              <w:top w:val="single" w:sz="8" w:space="0" w:color="000000"/>
              <w:left w:val="single" w:sz="8" w:space="0" w:color="000000"/>
              <w:bottom w:val="single" w:sz="8" w:space="0" w:color="000000"/>
              <w:right w:val="single" w:sz="8" w:space="0" w:color="000000"/>
            </w:tcBorders>
            <w:shd w:val="clear" w:color="auto" w:fill="D3D3D3"/>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384"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1738"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3926"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1114"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1363"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是否需要证明材料</w:t>
            </w:r>
          </w:p>
        </w:tc>
      </w:tr>
      <w:tr>
        <w:tblPrEx>
          <w:tblW w:w="9245" w:type="dxa"/>
          <w:tblCellSpacing w:w="0" w:type="dxa"/>
          <w:tblInd w:w="221" w:type="dxa"/>
          <w:tblCellMar>
            <w:top w:w="15" w:type="dxa"/>
            <w:left w:w="15" w:type="dxa"/>
            <w:bottom w:w="15" w:type="dxa"/>
            <w:right w:w="15" w:type="dxa"/>
          </w:tblCellMar>
          <w:tblLook w:val="05E0"/>
        </w:tblPrEx>
        <w:trPr>
          <w:trHeight w:val="224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384"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系统对接</w:t>
            </w: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对接统一身份管理平台查询类接口</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实名办税系统需要将对接总局实名办税监控系统接口调整为对接统一身份管理平台，查询类接口涉及、风险纳税人查询、特定法定代表人查询、查询企业关联办税人员身份信息、新老永居证证件号查询等接口。</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206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对接统一身份管理平台认证类接口</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实名办税系统需要将对接总局实名办税监控系统接口调整为对接统一身份管理平台，共涉及实名信息核验、手机号码验证、人像质量检测、港澳台居民居住证和通行证信息比对接口、双证验证等接口。</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2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对接统一身份管理平台获取应用</w:t>
            </w:r>
            <w:r>
              <w:rPr>
                <w:rFonts w:ascii="仿宋_GB2312" w:eastAsia="仿宋_GB2312" w:hAnsi="仿宋_GB2312" w:cs="仿宋_GB2312"/>
                <w:b w:val="0"/>
                <w:bCs w:val="0"/>
                <w:i w:val="0"/>
                <w:iCs w:val="0"/>
                <w:smallCaps w:val="0"/>
                <w:color w:val="000000"/>
                <w:sz w:val="21"/>
                <w:szCs w:val="21"/>
              </w:rPr>
              <w:t>Token接口</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对接统一身份管理平台获取应用</w:t>
            </w:r>
            <w:r>
              <w:rPr>
                <w:rFonts w:ascii="仿宋_GB2312" w:eastAsia="仿宋_GB2312" w:hAnsi="仿宋_GB2312" w:cs="仿宋_GB2312"/>
                <w:b w:val="0"/>
                <w:bCs w:val="0"/>
                <w:i w:val="0"/>
                <w:iCs w:val="0"/>
                <w:smallCaps w:val="0"/>
                <w:color w:val="000000"/>
                <w:sz w:val="21"/>
                <w:szCs w:val="21"/>
              </w:rPr>
              <w:t>Token接口，获取应用令牌。</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38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自然人关联关系解除数据同步</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实名办税系统将实名信息数据通过调用解绑关联关系接口实时同步至统一身份管理平台。</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5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自然人关联关系绑定数据同步</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实名办税系统将实名信息数据通过调用保存关联关系接口实时同步至统一身份管理平台。</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0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自然人实名信息数据同步</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实名办税系统将实名信息数据通过调用保存自然人信息接口实时同步至统一身份管理平台。</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28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自然人实名信息查询</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实名办税系统首先查询实名办税信息库数据，若无实名信息则调用统一身份管理平台查询自然人信息接口查询数据。</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6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自然人影像信息查询</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实名办税系统首先查询实名办税信息库数据，若无实名信息则调用统一身份管理平台人像照片下载接口查询数据。</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5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对接运营中心</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1"/>
                <w:szCs w:val="21"/>
              </w:rPr>
              <w:t>为</w:t>
            </w:r>
            <w:r>
              <w:rPr>
                <w:rStyle w:val="15Character"/>
                <w:rFonts w:ascii="仿宋_GB2312" w:eastAsia="仿宋_GB2312" w:hAnsi="仿宋_GB2312" w:cs="仿宋_GB2312"/>
                <w:b w:val="0"/>
                <w:bCs w:val="0"/>
                <w:i w:val="0"/>
                <w:iCs w:val="0"/>
                <w:smallCaps w:val="0"/>
                <w:color w:val="000000"/>
                <w:sz w:val="21"/>
                <w:szCs w:val="21"/>
              </w:rPr>
              <w:t>12366运营中心和提供数据查询接口。12366运营中心可通过通过姓名、电话号码调取实名办税系统中自然人、企业等关联关系数据。</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53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对接叫号机</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为办税服务厅的叫号机系统提供数据查询接口。纳税人在使用叫号机进行排队叫号时，输入身份证件号码信息，由叫号机系统调用实名办税系统接口进行查询纳税人所关联的企业信息及相关信息。</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204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同步代理协议及关联关系数据</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对接核心征管系统获取涉税专业服务人员协议签订数据，在代理企业关联时进行数据核验。保障代理企业在办税服务厅可以正常进行代理申报等业务办理。身份关联完成后，实名办税系统将关联数据同步至核心征管系统，用于后续办理涉税业务。</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56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1384"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系统功能建设</w:t>
            </w: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风险纳税人信息上传</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风险纳税人信息上传</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模块，各办税大厅均可上传本级风险纳税人信息，并自动同步至统一身份管理平台。</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5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特定法定代表人信息上传</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特定法定代表人信息上传</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模块，各办税大厅均可上传本级管辖纳税人的法定代表人信息，并自动同步至统一身份管理平台。</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44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人像照片下载</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人像照片下载</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模块，省市县三级均可查询并下载已采集的影像数据。</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226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风险提示</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事前风险提示：实名信息采集模块在企业法人首次进行实名信息采集、变更时，调用风险纳税人企业信息数据，核验纳税人是否为风险纳税人。若纳税人为风险纳税人，则在实名信息采集模块针对纳税人进行提示提醒，通知税务人员进行核验认证。</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26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增加涉税专业服务人员身份</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实名办税系统在企业关联模块增加代理涉税专业服务人员身份，用于代理企业关联身份在办税服务厅进行涉税业务办理。</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68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tcW w:w="1384"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项目实施要求</w:t>
            </w: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系统升级工作要求</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系统升级的工作主要是指按省税务局及本项目内技术要求，保障在规定时间完成实名办税系统升级工作，保障数据的统一性、正确性、完整性。</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7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系统升级问题处理</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1"/>
                <w:szCs w:val="21"/>
              </w:rPr>
              <w:t>当系统在使用过程中出现问题，并确认是系统错误或升级问题后，应向用户给出临时解决办法，并将问题提交给技术人员与系统升级人员。由技术人员和系统升级人员共同确认后，根据情况共同制定处理方案解决。</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38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7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系统测试问题反馈</w:t>
            </w:r>
          </w:p>
        </w:tc>
        <w:tc>
          <w:tcPr>
            <w:tcW w:w="39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参与测试人员记录问题内容、提出人及联系方式，并初步判断确认问题性质转交开发团队，后期做好问题的跟踪记录并反馈。</w:t>
            </w:r>
          </w:p>
        </w:tc>
        <w:tc>
          <w:tcPr>
            <w:tcW w:w="11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45" w:type="dxa"/>
          <w:tblCellSpacing w:w="0" w:type="dxa"/>
          <w:tblInd w:w="221" w:type="dxa"/>
          <w:tblCellMar>
            <w:top w:w="15" w:type="dxa"/>
            <w:left w:w="15" w:type="dxa"/>
            <w:bottom w:w="15" w:type="dxa"/>
            <w:right w:w="15" w:type="dxa"/>
          </w:tblCellMar>
          <w:tblLook w:val="05E0"/>
        </w:tblPrEx>
        <w:trPr>
          <w:trHeight w:val="1320"/>
          <w:tblCellSpacing w:w="0" w:type="dxa"/>
        </w:trPr>
        <w:tc>
          <w:tcPr>
            <w:tcW w:w="1106"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tcW w:w="1384"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性能需求</w:t>
            </w:r>
          </w:p>
        </w:tc>
        <w:tc>
          <w:tcPr>
            <w:tcW w:w="1738"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并发支持能力</w:t>
            </w:r>
          </w:p>
        </w:tc>
        <w:tc>
          <w:tcPr>
            <w:tcW w:w="392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支持至少每秒</w:t>
            </w:r>
            <w:r>
              <w:rPr>
                <w:rFonts w:ascii="仿宋_GB2312" w:eastAsia="仿宋_GB2312" w:hAnsi="仿宋_GB2312" w:cs="仿宋_GB2312"/>
                <w:b w:val="0"/>
                <w:bCs w:val="0"/>
                <w:i w:val="0"/>
                <w:iCs w:val="0"/>
                <w:smallCaps w:val="0"/>
                <w:color w:val="000000"/>
                <w:sz w:val="21"/>
                <w:szCs w:val="21"/>
              </w:rPr>
              <w:t>500次接口并发调用，满足业务高峰时期的需求。系统需具备良好的扩展性，能够根据业务发展灵活增加服务器资源，以应对不断增长的用户并发量。</w:t>
            </w:r>
          </w:p>
        </w:tc>
        <w:tc>
          <w:tcPr>
            <w:tcW w:w="1124"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363"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3.2.2技术和服务其他要求</w:t>
      </w:r>
      <w:bookmarkEnd w:id="28"/>
    </w:p>
    <w:p>
      <w:pPr>
        <w:pStyle w:val="MsoNormal"/>
        <w:spacing w:before="0" w:after="0" w:line="360" w:lineRule="auto"/>
        <w:ind w:left="0" w:right="0" w:firstLine="480"/>
      </w:pPr>
      <w:r>
        <w:rPr>
          <w:rFonts w:ascii="FangSong" w:eastAsia="FangSong" w:hAnsi="FangSong" w:cs="FangSong"/>
          <w:sz w:val="28"/>
          <w:szCs w:val="28"/>
        </w:rPr>
        <w:t>中标人应配备满足条件的开发团队，在规定时间内完成</w:t>
      </w:r>
      <w:r>
        <w:rPr>
          <w:rFonts w:ascii="FangSong" w:eastAsia="FangSong" w:hAnsi="FangSong" w:cs="FangSong"/>
          <w:sz w:val="28"/>
          <w:szCs w:val="28"/>
        </w:rPr>
        <w:t>吉林税务实名办税系统升级改造</w:t>
      </w:r>
      <w:r>
        <w:rPr>
          <w:rFonts w:ascii="FangSong" w:eastAsia="FangSong" w:hAnsi="FangSong" w:cs="FangSong"/>
          <w:sz w:val="28"/>
          <w:szCs w:val="28"/>
        </w:rPr>
        <w:t>的功能开发工作和上线试运行工作</w:t>
      </w:r>
      <w:r>
        <w:rPr>
          <w:rFonts w:ascii="FangSong" w:eastAsia="FangSong" w:hAnsi="FangSong" w:cs="FangSong"/>
          <w:sz w:val="28"/>
          <w:szCs w:val="28"/>
        </w:rPr>
        <w:t>，并负责开发上线后的培训，知识转移，运维服务等工作，保障用户能够及时找到人员进行问题处理及咨询，</w:t>
      </w:r>
      <w:r>
        <w:rPr>
          <w:rFonts w:ascii="FangSong" w:eastAsia="FangSong" w:hAnsi="FangSong" w:cs="FangSong"/>
          <w:sz w:val="28"/>
          <w:szCs w:val="28"/>
        </w:rPr>
        <w:t>同时实行</w:t>
      </w:r>
      <w:r>
        <w:rPr>
          <w:rFonts w:ascii="FangSong" w:eastAsia="FangSong" w:hAnsi="FangSong" w:cs="FangSong"/>
          <w:sz w:val="28"/>
          <w:szCs w:val="28"/>
        </w:rPr>
        <w:t>5*8工作制，7*24小时保障系统运行，重点监控系统平台及应用信息系统层面，并根据采购人实际工作需要，参与包括节假日在内的各类加班和值班。</w:t>
      </w:r>
    </w:p>
    <w:p>
      <w:pPr>
        <w:pStyle w:val="Heading10"/>
        <w:keepNext w:val="0"/>
        <w:spacing w:before="0" w:after="0" w:line="360" w:lineRule="auto"/>
        <w:jc w:val="center"/>
        <w:rPr>
          <w:rFonts w:ascii="仿宋_GB2312" w:eastAsia="仿宋_GB2312" w:hAnsi="仿宋_GB2312" w:cs="仿宋_GB2312"/>
          <w:b/>
          <w:bCs/>
          <w:sz w:val="32"/>
          <w:szCs w:val="32"/>
        </w:rPr>
      </w:pPr>
      <w:bookmarkStart w:id="29" w:name="_Toc256000025"/>
      <w:r>
        <w:rPr>
          <w:rFonts w:ascii="仿宋_GB2312" w:eastAsia="仿宋_GB2312" w:hAnsi="仿宋_GB2312" w:cs="仿宋_GB2312"/>
          <w:kern w:val="36"/>
        </w:rPr>
        <w:t>4人员要求</w:t>
      </w:r>
      <w:bookmarkEnd w:id="29"/>
    </w:p>
    <w:p>
      <w:pPr>
        <w:pStyle w:val="Heading2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i w:val="0"/>
          <w:iCs w:val="0"/>
        </w:rPr>
        <w:t>4.1总体要求</w:t>
      </w:r>
      <w:bookmarkEnd w:id="30"/>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本项目成立由国家税务总局吉林省税务局、投标人共同组成的项目管理机构，负责整个项目的实施工作。投标人的专职项目团队必须严格遵守国家的政策法规，执行项目管理机构的各项规章制度，服从管理和调度，认真履行工作职责，圆满完成工作任务。</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中标人应根据项目需求建立项目团队，明确项目组人员的角色。相关人员资质应满足以下要求: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1.中标人应为本项目的实施工作配置相应资质和数量的人员，保证本项目按照建设时间安排如期完成，根据项目要求投入的项目</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2.中标人选派的项目组成员应以专职为主，专职人员在项目实施期间不得兼任与本项目无关的其他工作。</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3.投标人的专职项目团队必须严格遵守国家的政策法规，执行项目管理机构的各项规章制度，服从管理和调度，认真履行工作职责，圆满完成工作任务。</w:t>
      </w:r>
    </w:p>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4.2管理团队</w:t>
      </w:r>
      <w:bookmarkEnd w:id="31"/>
    </w:p>
    <w:p>
      <w:pPr>
        <w:pStyle w:val="Heading3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sz w:val="28"/>
          <w:szCs w:val="28"/>
        </w:rPr>
        <w:t>4.2.1项目总监</w:t>
      </w:r>
      <w:bookmarkEnd w:id="32"/>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sz w:val="28"/>
          <w:szCs w:val="28"/>
        </w:rPr>
        <w:t>4.2.2项目经理</w:t>
      </w:r>
      <w:bookmarkEnd w:id="33"/>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投标人须在项目建设中，选派工作责任心强技术水平高业务熟练管理经验丰富的专业技术人员担任项目经理。</w:t>
      </w:r>
    </w:p>
    <w:p>
      <w:pPr>
        <w:pStyle w:val="Heading2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i w:val="0"/>
          <w:iCs w:val="0"/>
        </w:rPr>
        <w:t>4.3技术团队</w:t>
      </w:r>
      <w:bookmarkEnd w:id="34"/>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中标人应为本项目的实施工作配置相应资质和数量的人员，保证本项目按照建设时间安排如期完成。所选派需求分析、技术架构设计、开发、测试、应用集成人员应具有丰富的信息系统开发经验。</w:t>
      </w:r>
    </w:p>
    <w:p>
      <w:pPr>
        <w:pStyle w:val="Heading2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i w:val="0"/>
          <w:iCs w:val="0"/>
        </w:rPr>
        <w:t>4.4优选资质/优选指标</w:t>
      </w:r>
      <w:bookmarkEnd w:id="35"/>
    </w:p>
    <w:tbl>
      <w:tblPr>
        <w:tblStyle w:val="TableNormal"/>
        <w:tblW w:w="5000" w:type="pct"/>
        <w:tblInd w:w="30" w:type="dxa"/>
        <w:tblCellMar>
          <w:top w:w="15" w:type="dxa"/>
          <w:left w:w="15" w:type="dxa"/>
          <w:bottom w:w="15" w:type="dxa"/>
          <w:right w:w="15" w:type="dxa"/>
        </w:tblCellMar>
      </w:tblPr>
      <w:tblGrid>
        <w:gridCol w:w="196"/>
        <w:gridCol w:w="801"/>
        <w:gridCol w:w="498"/>
        <w:gridCol w:w="7002"/>
        <w:gridCol w:w="57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具有计算机技术与软件专业技术高级资格证书（包括信息系统项目管理师、系统分析师、系统架构设计师）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具有计算机技术与软件专业技术中级资格证书（包括软件评测师、软件设计师、软件过程能力评估师、系统集成项目管理工程师、信息系统监理师、信息安全工程师、数据库系统工程师、信息系统管理工程师）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初级信息技术专业人员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普通技术人员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具有计算机技术与软件专业技术初级资格证书（包括程序员、信息系统运行管理员）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具有信息系统项目管理师资质证书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5管理实施要求</w:t>
      </w:r>
      <w:bookmarkEnd w:id="36"/>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1.项目实施总体要求如下：本项目要求自合同签订之日起3个月内完成项目实施上线及项目终验，包括需求分析、概要设计、代码开发、软件测试、上线部署实施、验收等阶段。</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2.项目实施地点为国家税务总局吉林省税务局。</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3.项目实施范围为吉林税务实名办税系统升级改造服务。</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4.项目实施管理要求如下：</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投标人制定行之有效的项目实施管理方案，应包括但不限于项目计划管理、项目进度管理、项目质量管理。投标人需采用国际通用的软件工程实施和项目管理方法，成立科学的项目人员团队，制定行之有效的项目计划管理方案，采用科学合理的方法确定进度目标，提供完整的质量保证体系，对项目实施的全过程进行监控和管理，对项目进度和工程实施进度进行控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5.项目人员管理要求如下：</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（1）投标人应为本项目的实施工作配备相应资质和数量的人员。</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（2）投标人须承诺向采购人提供有经验的项目实施队伍；</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（3）采购人有对成交投标人所提供的实施人员进行审查的权利；</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（4）投标人必须为本项目建立独立的技术服务组织，服从采购人的统一调度和管理。投标人应提供该组织的分工安排、详细的人员组成情况等。</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6.安全及保密要求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项目合同期内，中标供应商要严格遵守局方的各项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7.人员变动要求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中标供应商合同期内，投标时所列人员如有变化，需提前一个月向用户方提出人员变更申请，在确认不影响运维工作的情况下，经局方许可后，方可调换人员。并保证一段时间的并行转换期。</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8.考核要求</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中标供应商应严格按照采购方相关应用信息系统运维管理要求开展工作，接受采购方的定期考核，并承诺接受采购方考核要求。对采购方提出的按照考核成绩与合同款项支付挂钩的安排不提出异议。</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9.服务响应时间要求</w:t>
      </w:r>
    </w:p>
    <w:tbl>
      <w:tblPr>
        <w:tblStyle w:val="TableNormal"/>
        <w:tblW w:w="4976"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Pr>
      <w:tblGrid>
        <w:gridCol w:w="3176"/>
        <w:gridCol w:w="3082"/>
        <w:gridCol w:w="2768"/>
      </w:tblGrid>
      <w:tr>
        <w:tblPrEx>
          <w:tblW w:w="4976"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PrEx>
        <w:trPr>
          <w:trHeight w:val="360"/>
        </w:trPr>
        <w:tc>
          <w:tcPr>
            <w:tcW w:w="1760" w:type="pct"/>
            <w:tcBorders>
              <w:bottom w:val="inset" w:sz="6" w:space="0" w:color="808080"/>
              <w:right w:val="inset" w:sz="6" w:space="0" w:color="808080"/>
            </w:tcBorders>
            <w:noWrap w:val="0"/>
            <w:tcMar>
              <w:top w:w="22" w:type="dxa"/>
              <w:left w:w="22" w:type="dxa"/>
              <w:bottom w:w="22" w:type="dxa"/>
              <w:right w:w="22" w:type="dxa"/>
            </w:tcMar>
            <w:vAlign w:val="center"/>
            <w:hideMark/>
          </w:tcPr>
          <w:p>
            <w:pPr>
              <w:pStyle w:val="Normal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28"/>
                <w:szCs w:val="28"/>
              </w:rPr>
              <w:t>         支持类型</w:t>
            </w:r>
          </w:p>
        </w:tc>
        <w:tc>
          <w:tcPr>
            <w:tcW w:w="1708" w:type="pct"/>
            <w:tcBorders>
              <w:left w:val="inset" w:sz="6" w:space="0" w:color="808080"/>
              <w:bottom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响应标准</w:t>
            </w:r>
          </w:p>
        </w:tc>
        <w:tc>
          <w:tcPr>
            <w:tcW w:w="1533" w:type="pct"/>
            <w:tcBorders>
              <w:left w:val="inset" w:sz="6" w:space="0" w:color="808080"/>
              <w:bottom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备注</w:t>
            </w:r>
          </w:p>
        </w:tc>
      </w:tr>
      <w:tr>
        <w:tblPrEx>
          <w:tblW w:w="4976" w:type="pct"/>
          <w:tblInd w:w="30" w:type="dxa"/>
          <w:tblCellMar>
            <w:top w:w="15" w:type="dxa"/>
            <w:left w:w="15" w:type="dxa"/>
            <w:bottom w:w="15" w:type="dxa"/>
            <w:right w:w="15" w:type="dxa"/>
          </w:tblCellMar>
        </w:tblPrEx>
        <w:trPr>
          <w:trHeight w:val="360"/>
        </w:trPr>
        <w:tc>
          <w:tcPr>
            <w:tcW w:w="1760" w:type="pct"/>
            <w:tcBorders>
              <w:top w:val="inset" w:sz="6" w:space="0" w:color="808080"/>
              <w:bottom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操作问题解答</w:t>
            </w:r>
          </w:p>
        </w:tc>
        <w:tc>
          <w:tcPr>
            <w:tcW w:w="1708" w:type="pct"/>
            <w:tcBorders>
              <w:top w:val="inset" w:sz="6" w:space="0" w:color="808080"/>
              <w:left w:val="inset" w:sz="6" w:space="0" w:color="808080"/>
              <w:bottom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现场及时答复</w:t>
            </w:r>
          </w:p>
        </w:tc>
        <w:tc>
          <w:tcPr>
            <w:tcW w:w="1533" w:type="pct"/>
            <w:tcBorders>
              <w:top w:val="inset" w:sz="6" w:space="0" w:color="808080"/>
              <w:left w:val="inset" w:sz="6" w:space="0" w:color="808080"/>
              <w:bottom w:val="inset" w:sz="6" w:space="0" w:color="808080"/>
            </w:tcBorders>
            <w:noWrap w:val="0"/>
            <w:tcMar>
              <w:top w:w="22" w:type="dxa"/>
              <w:left w:w="22" w:type="dxa"/>
              <w:bottom w:w="22" w:type="dxa"/>
              <w:right w:w="22" w:type="dxa"/>
            </w:tcMar>
            <w:vAlign w:val="center"/>
            <w:hideMark/>
          </w:tcPr>
          <w:p>
            <w:pPr>
              <w:pStyle w:val="Normal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 </w:t>
            </w:r>
          </w:p>
        </w:tc>
      </w:tr>
      <w:tr>
        <w:tblPrEx>
          <w:tblW w:w="4976" w:type="pct"/>
          <w:tblInd w:w="30" w:type="dxa"/>
          <w:tblCellMar>
            <w:top w:w="15" w:type="dxa"/>
            <w:left w:w="15" w:type="dxa"/>
            <w:bottom w:w="15" w:type="dxa"/>
            <w:right w:w="15" w:type="dxa"/>
          </w:tblCellMar>
        </w:tblPrEx>
        <w:trPr>
          <w:trHeight w:val="720"/>
        </w:trPr>
        <w:tc>
          <w:tcPr>
            <w:tcW w:w="1760" w:type="pct"/>
            <w:tcBorders>
              <w:top w:val="inset" w:sz="6" w:space="0" w:color="808080"/>
              <w:bottom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数据修改</w:t>
            </w:r>
          </w:p>
        </w:tc>
        <w:tc>
          <w:tcPr>
            <w:tcW w:w="1708" w:type="pct"/>
            <w:tcBorders>
              <w:top w:val="inset" w:sz="6" w:space="0" w:color="808080"/>
              <w:left w:val="inset" w:sz="6" w:space="0" w:color="808080"/>
              <w:bottom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小于</w:t>
            </w:r>
            <w:r>
              <w:rPr>
                <w:rFonts w:ascii="仿宋_GB2312" w:eastAsia="仿宋_GB2312" w:hAnsi="仿宋_GB2312" w:cs="仿宋_GB2312"/>
                <w:b w:val="0"/>
                <w:bCs w:val="0"/>
                <w:i w:val="0"/>
                <w:iCs w:val="0"/>
                <w:smallCaps w:val="0"/>
                <w:color w:val="000000"/>
                <w:sz w:val="28"/>
                <w:szCs w:val="28"/>
              </w:rPr>
              <w:t>2个工作日</w:t>
            </w:r>
          </w:p>
        </w:tc>
        <w:tc>
          <w:tcPr>
            <w:tcW w:w="1533" w:type="pct"/>
            <w:tcBorders>
              <w:top w:val="inset" w:sz="6" w:space="0" w:color="808080"/>
              <w:left w:val="inset" w:sz="6" w:space="0" w:color="808080"/>
              <w:bottom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从问题流转到中标供应商开始计算</w:t>
            </w:r>
          </w:p>
        </w:tc>
      </w:tr>
      <w:tr>
        <w:tblPrEx>
          <w:tblW w:w="4976" w:type="pct"/>
          <w:tblInd w:w="30" w:type="dxa"/>
          <w:tblCellMar>
            <w:top w:w="15" w:type="dxa"/>
            <w:left w:w="15" w:type="dxa"/>
            <w:bottom w:w="15" w:type="dxa"/>
            <w:right w:w="15" w:type="dxa"/>
          </w:tblCellMar>
        </w:tblPrEx>
        <w:trPr>
          <w:trHeight w:val="360"/>
        </w:trPr>
        <w:tc>
          <w:tcPr>
            <w:tcW w:w="1760" w:type="pct"/>
            <w:tcBorders>
              <w:top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故障响应</w:t>
            </w:r>
          </w:p>
        </w:tc>
        <w:tc>
          <w:tcPr>
            <w:tcW w:w="1708" w:type="pct"/>
            <w:tcBorders>
              <w:top w:val="inset" w:sz="6" w:space="0" w:color="808080"/>
              <w:left w:val="inset" w:sz="6" w:space="0" w:color="808080"/>
              <w:righ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立即响应</w:t>
            </w:r>
          </w:p>
        </w:tc>
        <w:tc>
          <w:tcPr>
            <w:tcW w:w="1533" w:type="pct"/>
            <w:tcBorders>
              <w:top w:val="inset" w:sz="6" w:space="0" w:color="808080"/>
              <w:left w:val="inset" w:sz="6" w:space="0" w:color="808080"/>
            </w:tcBorders>
            <w:noWrap w:val="0"/>
            <w:tcMar>
              <w:top w:w="22" w:type="dxa"/>
              <w:left w:w="22" w:type="dxa"/>
              <w:bottom w:w="22" w:type="dxa"/>
              <w:right w:w="2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tc>
      </w:tr>
    </w:tbl>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6保密要求</w:t>
      </w:r>
      <w:bookmarkEnd w:id="37"/>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1.双方应对在合同签订或履行过程中所接触的对方信息，包括但不限于知识产权、技术资料、技术诀窍、内部管理及其他相关信息，负有保密义务。</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（1）应以审慎态度避免泄露、公开或传播用户方的信息;</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（2）未经用户方书面许可，不得对有关信息进行修改、补充、复制;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（3）未经用户方书面许可，不得将信息以任何方式(如 E-mail)携带出甲方场所;</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（4）未经用户方书面许可，不得将信息透露给任何其他人;</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（5） 用户方以书面形式提出的其他保密措施。</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3.保密期限不受合同有效期的限制，在合同有效期结束后，信息接受方仍应承担保密义务，直至该等信息成为公开信息。</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4.双方如出现泄密行为，泄密方应承担相关的法律责任并承担由此给对方造成的经济损失。</w:t>
      </w:r>
    </w:p>
    <w:p>
      <w:pPr>
        <w:pStyle w:val="Heading10"/>
        <w:keepNext w:val="0"/>
        <w:spacing w:before="0" w:after="0" w:line="360" w:lineRule="auto"/>
        <w:jc w:val="center"/>
        <w:rPr>
          <w:rFonts w:ascii="仿宋_GB2312" w:eastAsia="仿宋_GB2312" w:hAnsi="仿宋_GB2312" w:cs="仿宋_GB2312"/>
          <w:b/>
          <w:bCs/>
          <w:sz w:val="32"/>
          <w:szCs w:val="32"/>
        </w:rPr>
      </w:pPr>
      <w:bookmarkStart w:id="38" w:name="_Toc256000034"/>
      <w:r>
        <w:rPr>
          <w:rFonts w:ascii="仿宋_GB2312" w:eastAsia="仿宋_GB2312" w:hAnsi="仿宋_GB2312" w:cs="仿宋_GB2312"/>
          <w:kern w:val="36"/>
        </w:rPr>
        <w:t>7知识转移要求</w:t>
      </w:r>
      <w:bookmarkEnd w:id="38"/>
    </w:p>
    <w:p>
      <w:pPr>
        <w:pStyle w:val="MsoNormal"/>
        <w:spacing w:before="0" w:after="0" w:line="360" w:lineRule="auto"/>
        <w:ind w:left="0" w:right="0"/>
      </w:pPr>
      <w:r>
        <w:rPr>
          <w:rFonts w:ascii="FangSong_GB2312" w:eastAsia="FangSong_GB2312" w:hAnsi="FangSong_GB2312" w:cs="FangSong_GB2312"/>
          <w:sz w:val="28"/>
          <w:szCs w:val="28"/>
        </w:rPr>
        <w:t>    投标人须按照国家税务总局吉林省税务局相关管理规程和要求，将项目执行过程所涉及的相关知识和工作文档按照招标人提出的质量、数量、提供方式、提供时间等要求进行整理，并按照要求转移给招标人。具体要求如下：</w:t>
      </w:r>
    </w:p>
    <w:p>
      <w:pPr>
        <w:pStyle w:val="MsoNormal"/>
        <w:spacing w:before="0" w:after="0" w:line="360" w:lineRule="auto"/>
        <w:ind w:left="0" w:right="0"/>
      </w:pPr>
      <w:r>
        <w:rPr>
          <w:rFonts w:ascii="FangSong_GB2312" w:eastAsia="FangSong_GB2312" w:hAnsi="FangSong_GB2312" w:cs="FangSong_GB2312"/>
          <w:sz w:val="28"/>
          <w:szCs w:val="28"/>
        </w:rPr>
        <w:t>1.投标人须将项目实施过程中出具的文档等形式转移给招标人，并将项目所涉及的其他各类工作文档按照要求进行移交归档。</w:t>
      </w:r>
    </w:p>
    <w:p>
      <w:pPr>
        <w:pStyle w:val="MsoNormal"/>
        <w:spacing w:before="0" w:after="0" w:line="360" w:lineRule="auto"/>
        <w:ind w:left="0" w:right="0"/>
      </w:pPr>
      <w:r>
        <w:rPr>
          <w:rFonts w:ascii="FangSong_GB2312" w:eastAsia="FangSong_GB2312" w:hAnsi="FangSong_GB2312" w:cs="FangSong_GB2312"/>
          <w:sz w:val="28"/>
          <w:szCs w:val="28"/>
        </w:rPr>
        <w:t>2.项目实施过程中，为确保移交文档的一致性和完整性，投标人须按照项目实施计划，分层次、分阶段进行项目文档提交。</w:t>
      </w:r>
    </w:p>
    <w:p>
      <w:pPr>
        <w:pStyle w:val="MsoNormal"/>
        <w:spacing w:before="0" w:after="0" w:line="360" w:lineRule="auto"/>
        <w:ind w:left="0" w:right="0"/>
      </w:pPr>
      <w:r>
        <w:rPr>
          <w:rFonts w:ascii="FangSong_GB2312" w:eastAsia="FangSong_GB2312" w:hAnsi="FangSong_GB2312" w:cs="FangSong_GB2312"/>
          <w:sz w:val="28"/>
          <w:szCs w:val="28"/>
        </w:rPr>
        <w:t>3.项目结束时，投标人须按照项目要求及时向招标人移交项目所有相关文档。</w:t>
      </w:r>
    </w:p>
    <w:p>
      <w:pPr>
        <w:pStyle w:val="Heading10"/>
        <w:keepNext w:val="0"/>
        <w:spacing w:before="0" w:after="0" w:line="360" w:lineRule="auto"/>
        <w:jc w:val="center"/>
        <w:rPr>
          <w:rFonts w:ascii="仿宋_GB2312" w:eastAsia="仿宋_GB2312" w:hAnsi="仿宋_GB2312" w:cs="仿宋_GB2312"/>
          <w:b/>
          <w:bCs/>
          <w:sz w:val="32"/>
          <w:szCs w:val="32"/>
        </w:rPr>
      </w:pPr>
      <w:bookmarkStart w:id="39" w:name="_Toc256000035"/>
      <w:r>
        <w:rPr>
          <w:rFonts w:ascii="仿宋_GB2312" w:eastAsia="仿宋_GB2312" w:hAnsi="仿宋_GB2312" w:cs="仿宋_GB2312"/>
          <w:kern w:val="36"/>
        </w:rPr>
        <w:t>8风险管控要求</w:t>
      </w:r>
      <w:bookmarkEnd w:id="39"/>
    </w:p>
    <w:p>
      <w:pPr>
        <w:pStyle w:val="MsoNormal"/>
        <w:spacing w:before="0" w:after="0" w:line="360" w:lineRule="auto"/>
        <w:ind w:left="0" w:right="0" w:firstLine="480"/>
      </w:pPr>
      <w:r>
        <w:rPr>
          <w:rFonts w:ascii="仿宋_GB2312" w:eastAsia="仿宋_GB2312" w:hAnsi="仿宋_GB2312" w:cs="仿宋_GB2312"/>
          <w:sz w:val="28"/>
          <w:szCs w:val="28"/>
        </w:rPr>
        <w:t>项目实施期间，投标人须做好安全保障工作，制定应急保障、安全保障防范措施，安全保障的措施包括：安全漏洞修复、人员的安全管理、资产安全管理、安全巡检、安全评估与加固、安全策略运营等；应急保障：充分考虑系统运行维护过程中可能发生的各种不确定因素，防范风险。</w:t>
      </w:r>
    </w:p>
    <w:p>
      <w:pPr>
        <w:pStyle w:val="Heading10"/>
        <w:keepNext w:val="0"/>
        <w:spacing w:before="0" w:after="0" w:line="360" w:lineRule="auto"/>
        <w:jc w:val="center"/>
        <w:rPr>
          <w:rFonts w:ascii="仿宋_GB2312" w:eastAsia="仿宋_GB2312" w:hAnsi="仿宋_GB2312" w:cs="仿宋_GB2312"/>
          <w:b/>
          <w:bCs/>
          <w:sz w:val="32"/>
          <w:szCs w:val="32"/>
        </w:rPr>
      </w:pPr>
      <w:bookmarkStart w:id="40" w:name="_Toc256000036"/>
      <w:r>
        <w:rPr>
          <w:rFonts w:ascii="仿宋_GB2312" w:eastAsia="仿宋_GB2312" w:hAnsi="仿宋_GB2312" w:cs="仿宋_GB2312"/>
          <w:kern w:val="36"/>
        </w:rPr>
        <w:t>9履约验收要求</w:t>
      </w:r>
      <w:bookmarkEnd w:id="40"/>
    </w:p>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9.1总体要求</w:t>
      </w:r>
      <w:bookmarkEnd w:id="41"/>
    </w:p>
    <w:tbl>
      <w:tblPr>
        <w:tblStyle w:val="TableNormal"/>
        <w:tblW w:w="5000" w:type="pct"/>
        <w:tblInd w:w="30" w:type="dxa"/>
        <w:tblCellMar>
          <w:top w:w="15" w:type="dxa"/>
          <w:left w:w="15" w:type="dxa"/>
          <w:bottom w:w="15" w:type="dxa"/>
          <w:right w:w="15" w:type="dxa"/>
        </w:tblCellMar>
      </w:tblPr>
      <w:tblGrid>
        <w:gridCol w:w="4535"/>
        <w:gridCol w:w="453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在完成项目系统升级改造服务全部内容后，进行系统升级改造验收。</w:t>
            </w:r>
          </w:p>
        </w:tc>
      </w:tr>
    </w:tbl>
    <w:p>
      <w:pPr>
        <w:pStyle w:val="Heading2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i w:val="0"/>
          <w:iCs w:val="0"/>
        </w:rPr>
        <w:t>9.2具体要求</w:t>
      </w:r>
      <w:bookmarkEnd w:id="42"/>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本项目验收工作由采购人组织实施，验收工作按采购人要求和相关规定执行。中标供应商应配合完成项目的验收工作，提交项目验收相关产出物，以税务信息化项目管理相关要求、招标文件要求、中标供应商投标文件及承诺、本项目合同约定标准组织验收，经采购人审核通过后组织召开验收会进行验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中标人提供的各类文档应内容完整、记录详细、描述清晰，各类方案要求实现目标明确、工作措施得力、可操作性强、具有前瞻性。产出物应提供电子版文件和纸质版文件，并保持版本一致。对验收中发现的问题，中标人应提出有效解决办法和措施，经采购人确认后实施。</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1.合同书（复印件）；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2.项目工作总结（加盖公章）；</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3.项目需求分析报告终稿；</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4.项目概要设计、详细设计终稿（包括安全设计文档）；</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5.项目建设报告，包括目标实现情况、计划进度执行情况等；</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6.系统测试报告，包括性能测试和功能测试的方案、用例、结果和反馈等；</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7.用户操作手册；</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8.项目源代码及注释；</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9.接口协议及注释；</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10.安全风险评估报告（信息系统源代码审计报告、漏洞扫描报告、安全基线报告、等保测评报告，其中信息系统源代码审计报告内外网均需要提交，相关费用由投标人承担）；</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11.内控内生化方案（包括内控内生化方案中的各项功能，是否事前预警、事中阻断、事后筛查等风险防控措施能够嵌入到软件中，保证正常运行。）；</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12.内控内生化报告；</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13.必要时，需要提供项目费用使用情况；</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14.若项目为公开招标，提供相关招标文件；</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15.其他，根据采购人要求提供。</w:t>
      </w:r>
    </w:p>
    <w:p>
      <w:pPr>
        <w:pStyle w:val="Heading10"/>
        <w:keepNext w:val="0"/>
        <w:spacing w:before="0" w:after="0" w:line="360" w:lineRule="auto"/>
        <w:jc w:val="center"/>
        <w:rPr>
          <w:rFonts w:ascii="仿宋_GB2312" w:eastAsia="仿宋_GB2312" w:hAnsi="仿宋_GB2312" w:cs="仿宋_GB2312"/>
          <w:b/>
          <w:bCs/>
          <w:sz w:val="32"/>
          <w:szCs w:val="32"/>
        </w:rPr>
      </w:pPr>
      <w:bookmarkStart w:id="43" w:name="_Toc256000039"/>
      <w:r>
        <w:rPr>
          <w:rFonts w:ascii="仿宋_GB2312" w:eastAsia="仿宋_GB2312" w:hAnsi="仿宋_GB2312" w:cs="仿宋_GB2312"/>
          <w:kern w:val="36"/>
        </w:rPr>
        <w:t>10其他要求</w:t>
      </w:r>
      <w:bookmarkEnd w:id="43"/>
    </w:p>
    <w:p>
      <w:pPr>
        <w:pStyle w:val="Heading2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i w:val="0"/>
          <w:iCs w:val="0"/>
        </w:rPr>
        <w:t>10.1必备要求</w:t>
      </w:r>
      <w:bookmarkEnd w:id="44"/>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10.1.1★税收信息化项目开发和应用管理工作要求</w:t>
      </w:r>
      <w:bookmarkEnd w:id="4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10.1.2★ 税务信息化服务商廉政要求</w:t>
      </w:r>
      <w:bookmarkEnd w:id="46"/>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中标人在参与税务部门信息化项目工作过程中，需严格遵守法律法规、规范履行合同，积极协助税务部门开展廉政风险防控工作。请严格遵守并落实如下要求：</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一、积极发挥廉政风险防控正向作用。中标人有义务配合税务部门在信息化项目工作中加强廉政风险防控，执行有关措施。</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三、杜绝违纪违法行为。中标人及相关项目人员必须严格遵守党纪国法，坚守职业道德，杜绝任何形式的利益输送、权力寻租等违纪违法行为，对甲方工作人员不得实施以下行为</w:t>
      </w:r>
      <w:r>
        <w:rPr>
          <w:rFonts w:ascii="仿宋_GB2312" w:eastAsia="仿宋_GB2312" w:hAnsi="仿宋_GB2312" w:cs="仿宋_GB2312"/>
          <w:sz w:val="28"/>
          <w:szCs w:val="28"/>
        </w:rPr>
        <w:t>:</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（二）以各种形式和名义提供宴请、旅游、健身、娱乐、私人会所等活动安排；代付加班餐费、打车费等。</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（三）以讲课费、咨询费等名义，提供或变相提供报酬。</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（四）借款、借房、借车，报销应由个人负担的费用。</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（五）以无偿、象征性地收取费用等方式提供家政、司机等服务劳务。</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（六）其他通过任何形式行贿或输送利益的行为。</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7"/>
        <w:spacing w:before="0" w:after="0" w:line="360" w:lineRule="auto"/>
        <w:ind w:firstLine="480"/>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税务信息化服务商廉洁承诺书</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为深入贯彻落实党中央关于全面从严治党的决策部署，进一步加强税务信息化项目合作中的廉政建设，防范廉政风险发生，确保项目公开、公平、公正推进，我司郑重承诺如下：</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一、合法合规经营。</w:t>
      </w:r>
      <w:r>
        <w:rPr>
          <w:rFonts w:ascii="仿宋_GB2312" w:eastAsia="仿宋_GB2312" w:hAnsi="仿宋_GB2312" w:cs="仿宋_GB2312"/>
          <w:sz w:val="28"/>
          <w:szCs w:val="28"/>
        </w:rPr>
        <w:t>严格遵守国家法律法规及税务部门的相关规定，坚持廉洁从业、诚信经营的原则。在合作过程中不以任何形式进行利益输送，维护良好的政商关系。</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二、杜绝商业贿赂。</w:t>
      </w:r>
      <w:r>
        <w:rPr>
          <w:rFonts w:ascii="仿宋_GB2312" w:eastAsia="仿宋_GB2312" w:hAnsi="仿宋_GB2312" w:cs="仿宋_GB2312"/>
          <w:sz w:val="28"/>
          <w:szCs w:val="28"/>
        </w:rPr>
        <w:t>加强内部管理，我司及我司员工均不对甲方工作人员实施以下行为：</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（二）以各种形式和名义提供宴请、旅游、健身、娱乐、私人会所等活动安排；代付加班餐费、打车费等。</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（三）以讲课费、咨询费等名义，提供或变相提供报酬。</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（四）借款、借房、借车，报销应由个人负担的费用。</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（五）以无偿、象征性地收取费用等方式提供家政、司机等服务劳务。</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（六）其他通过任何形式行贿或输送利益的行为。</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三、规范经营活动。</w:t>
      </w:r>
      <w:r>
        <w:rPr>
          <w:rFonts w:ascii="仿宋_GB2312" w:eastAsia="仿宋_GB2312" w:hAnsi="仿宋_GB2312" w:cs="仿宋_GB2312"/>
          <w:sz w:val="28"/>
          <w:szCs w:val="28"/>
        </w:rPr>
        <w:t>严格按照合同约定履行义务，保证项目质量，按时完成建设任务；在合作过程中不以任何借口拖延工期、虚报成本或谋取私利。</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四、公开透明合作。</w:t>
      </w:r>
      <w:r>
        <w:rPr>
          <w:rFonts w:ascii="仿宋_GB2312" w:eastAsia="仿宋_GB2312" w:hAnsi="仿宋_GB2312" w:cs="仿宋_GB2312"/>
          <w:sz w:val="28"/>
          <w:szCs w:val="28"/>
        </w:rPr>
        <w:t>我司承诺在项目实施过程中保持公开透明，主动接受税务部门及纪检监察机构的全程监督，并积极配合任何有关廉洁从业的调查工作。</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五、严格内部管理。</w:t>
      </w:r>
      <w:r>
        <w:rPr>
          <w:rFonts w:ascii="仿宋_GB2312" w:eastAsia="仿宋_GB2312" w:hAnsi="仿宋_GB2312" w:cs="仿宋_GB2312"/>
          <w:sz w:val="28"/>
          <w:szCs w:val="28"/>
        </w:rPr>
        <w:t>加强企业内部廉洁教育，确保员工知晓并遵守相关法律法规及廉洁要求；加强项目实施全过程廉洁监督；对于违反廉洁承诺的员工，将严肃处理，并承担相应责任。</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28"/>
          <w:szCs w:val="28"/>
        </w:rPr>
        <w:t>六、积极参与监督。</w:t>
      </w:r>
      <w:r>
        <w:rPr>
          <w:rFonts w:ascii="仿宋_GB2312" w:eastAsia="仿宋_GB2312" w:hAnsi="仿宋_GB2312" w:cs="仿宋_GB2312"/>
          <w:sz w:val="28"/>
          <w:szCs w:val="28"/>
        </w:rPr>
        <w:t>在税务信息化项目实施过程中，如发现任何违纪违法行为，将如实反馈问题和意见。</w:t>
      </w:r>
    </w:p>
    <w:p>
      <w:pPr>
        <w:pStyle w:val="17"/>
        <w:spacing w:before="0" w:after="0" w:line="360" w:lineRule="auto"/>
        <w:ind w:firstLine="480"/>
        <w:rPr>
          <w:rFonts w:ascii="Times New Roman" w:eastAsia="Times New Roman" w:hAnsi="Times New Roman" w:cs="Times New Roman"/>
        </w:rPr>
      </w:pPr>
      <w:r>
        <w:rPr>
          <w:sz w:val="28"/>
          <w:szCs w:val="28"/>
        </w:rPr>
        <w:t> </w:t>
      </w:r>
    </w:p>
    <w:p>
      <w:pPr>
        <w:pStyle w:val="17"/>
        <w:spacing w:before="0" w:after="0" w:line="360" w:lineRule="auto"/>
        <w:ind w:firstLine="480"/>
        <w:rPr>
          <w:rFonts w:ascii="Times New Roman" w:eastAsia="Times New Roman" w:hAnsi="Times New Roman" w:cs="Times New Roman"/>
        </w:rPr>
      </w:pPr>
      <w:r>
        <w:rPr>
          <w:sz w:val="28"/>
          <w:szCs w:val="28"/>
        </w:rPr>
        <w:t> </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承诺单位（盖章）：</w:t>
      </w:r>
      <w:r>
        <w:rPr>
          <w:rFonts w:ascii="仿宋_GB2312" w:eastAsia="仿宋_GB2312" w:hAnsi="仿宋_GB2312" w:cs="仿宋_GB2312"/>
          <w:sz w:val="28"/>
          <w:szCs w:val="28"/>
        </w:rPr>
        <w:t>________________________</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法定代表人或授权代表签字：</w:t>
      </w:r>
      <w:r>
        <w:rPr>
          <w:rFonts w:ascii="仿宋_GB2312" w:eastAsia="仿宋_GB2312" w:hAnsi="仿宋_GB2312" w:cs="仿宋_GB2312"/>
          <w:sz w:val="28"/>
          <w:szCs w:val="28"/>
        </w:rPr>
        <w:t>_______________</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日期：</w:t>
      </w:r>
      <w:r>
        <w:rPr>
          <w:rFonts w:ascii="仿宋_GB2312" w:eastAsia="仿宋_GB2312" w:hAnsi="仿宋_GB2312" w:cs="仿宋_GB2312"/>
          <w:sz w:val="28"/>
          <w:szCs w:val="28"/>
        </w:rPr>
        <w:t>XX年XX月XX日</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备注：本承诺书一式两份，一份由承诺单位留存，另一份交税务部门备案。</w:t>
      </w:r>
    </w:p>
    <w:p>
      <w:pPr>
        <w:pStyle w:val="17"/>
        <w:spacing w:before="0" w:after="0" w:line="360" w:lineRule="auto"/>
        <w:ind w:firstLine="480"/>
        <w:rPr>
          <w:rFonts w:ascii="Times New Roman" w:eastAsia="Times New Roman" w:hAnsi="Times New Roman" w:cs="Times New Roman"/>
        </w:rPr>
      </w:pPr>
      <w:r>
        <w:rPr>
          <w:sz w:val="28"/>
          <w:szCs w:val="28"/>
        </w:rPr>
        <w:t> </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项目终验前提交《税务信息化项目服务商廉政反馈书》</w:t>
      </w:r>
    </w:p>
    <w:p>
      <w:pPr>
        <w:pStyle w:val="17"/>
        <w:spacing w:before="0" w:after="0" w:line="360" w:lineRule="auto"/>
        <w:ind w:firstLine="480"/>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税务信息化廉政情况反馈书</w:t>
      </w:r>
    </w:p>
    <w:tbl>
      <w:tblPr>
        <w:tblStyle w:val="19"/>
        <w:tblW w:w="9270" w:type="dxa"/>
        <w:tblCellSpacing w:w="0" w:type="dxa"/>
        <w:tblInd w:w="324" w:type="dxa"/>
        <w:tblCellMar>
          <w:top w:w="15" w:type="dxa"/>
          <w:left w:w="15" w:type="dxa"/>
          <w:bottom w:w="15" w:type="dxa"/>
          <w:right w:w="15" w:type="dxa"/>
        </w:tblCellMar>
        <w:tblLook w:val="05E0"/>
      </w:tblPr>
      <w:tblGrid>
        <w:gridCol w:w="2392"/>
        <w:gridCol w:w="6878"/>
      </w:tblGrid>
      <w:tr>
        <w:tblPrEx>
          <w:tblW w:w="9270" w:type="dxa"/>
          <w:tblCellSpacing w:w="0" w:type="dxa"/>
          <w:tblInd w:w="324" w:type="dxa"/>
          <w:tblCellMar>
            <w:top w:w="15" w:type="dxa"/>
            <w:left w:w="15" w:type="dxa"/>
            <w:bottom w:w="15" w:type="dxa"/>
            <w:right w:w="15" w:type="dxa"/>
          </w:tblCellMar>
          <w:tblLook w:val="05E0"/>
        </w:tblPrEx>
        <w:trPr>
          <w:trHeight w:val="840"/>
          <w:tblCellSpacing w:w="0" w:type="dxa"/>
        </w:trPr>
        <w:tc>
          <w:tcPr>
            <w:tcW w:w="10278" w:type="dxa"/>
            <w:gridSpan w:val="2"/>
            <w:tcBorders>
              <w:top w:val="single" w:sz="8" w:space="0" w:color="000000"/>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项目基本情况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项目名称（编号）</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XXX税务信息化项目  项目编号</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服务商名称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XXX公司</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联系人及电话</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联系人：  职务：   电话：123-4567890</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项目情况概述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9270" w:type="dxa"/>
          <w:tblCellSpacing w:w="0" w:type="dxa"/>
          <w:tblInd w:w="324" w:type="dxa"/>
          <w:tblCellMar>
            <w:top w:w="15" w:type="dxa"/>
            <w:left w:w="15" w:type="dxa"/>
            <w:bottom w:w="15" w:type="dxa"/>
            <w:right w:w="15" w:type="dxa"/>
          </w:tblCellMar>
          <w:tblLook w:val="05E0"/>
        </w:tblPrEx>
        <w:trPr>
          <w:trHeight w:val="700"/>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反馈项</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反馈内容</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杜绝商业贿赂</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向税务工作人员及其家属赠送礼品、礼金或提供任何形式的宴请、娱乐活动情况。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规范经营活动</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按照合同要求，按时完成各阶段任务，确保项目质量和进度情况。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公开透明合作</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在项目实施过程中保持信息公开透明，主动接受相关部门的监督和检查情况。</w:t>
            </w:r>
          </w:p>
        </w:tc>
      </w:tr>
      <w:tr>
        <w:tblPrEx>
          <w:tblW w:w="9270" w:type="dxa"/>
          <w:tblCellSpacing w:w="0" w:type="dxa"/>
          <w:tblInd w:w="324" w:type="dxa"/>
          <w:tblCellMar>
            <w:top w:w="15" w:type="dxa"/>
            <w:left w:w="15" w:type="dxa"/>
            <w:bottom w:w="15" w:type="dxa"/>
            <w:right w:w="15" w:type="dxa"/>
          </w:tblCellMar>
          <w:tblLook w:val="05E0"/>
        </w:tblPrEx>
        <w:trPr>
          <w:trHeight w:val="405"/>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270" w:type="dxa"/>
          <w:tblCellSpacing w:w="0" w:type="dxa"/>
          <w:tblInd w:w="324" w:type="dxa"/>
          <w:tblCellMar>
            <w:top w:w="15" w:type="dxa"/>
            <w:left w:w="15" w:type="dxa"/>
            <w:bottom w:w="15" w:type="dxa"/>
            <w:right w:w="15" w:type="dxa"/>
          </w:tblCellMar>
          <w:tblLook w:val="05E0"/>
        </w:tblPrEx>
        <w:trPr>
          <w:trHeight w:val="505"/>
          <w:tblCellSpacing w:w="0" w:type="dxa"/>
        </w:trPr>
        <w:tc>
          <w:tcPr>
            <w:tcW w:w="3643" w:type="dxa"/>
            <w:vMerge w:val="restart"/>
            <w:tcBorders>
              <w:left w:val="single" w:sz="8" w:space="0" w:color="000000"/>
              <w:right w:val="single" w:sz="8" w:space="0" w:color="000000"/>
            </w:tcBorders>
            <w:noWrap w:val="0"/>
            <w:tcMar>
              <w:top w:w="0" w:type="dxa"/>
              <w:left w:w="168" w:type="dxa"/>
              <w:bottom w:w="0" w:type="dxa"/>
              <w:right w:w="168" w:type="dxa"/>
            </w:tcMar>
            <w:vAlign w:val="center"/>
            <w:hideMark/>
          </w:tcPr>
          <w:p>
            <w:pPr>
              <w:pStyle w:val="18"/>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税务人员履职过程存在违纪违规行为</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否</w:t>
            </w:r>
          </w:p>
        </w:tc>
      </w:tr>
      <w:tr>
        <w:tblPrEx>
          <w:tblW w:w="9270" w:type="dxa"/>
          <w:tblCellSpacing w:w="0" w:type="dxa"/>
          <w:tblInd w:w="324" w:type="dxa"/>
          <w:tblCellMar>
            <w:top w:w="15" w:type="dxa"/>
            <w:left w:w="15" w:type="dxa"/>
            <w:bottom w:w="15" w:type="dxa"/>
            <w:right w:w="15" w:type="dxa"/>
          </w:tblCellMar>
          <w:tblLook w:val="05E0"/>
        </w:tblPrEx>
        <w:trPr>
          <w:trHeight w:val="47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1"/>
                <w:szCs w:val="21"/>
              </w:rPr>
            </w:pPr>
          </w:p>
        </w:tc>
        <w:tc>
          <w:tcPr>
            <w:tcW w:w="7433" w:type="dxa"/>
            <w:vMerge w:val="restart"/>
            <w:tcBorders>
              <w:right w:val="single" w:sz="8" w:space="0" w:color="000000"/>
            </w:tcBorders>
            <w:noWrap w:val="0"/>
            <w:tcMar>
              <w:top w:w="0" w:type="dxa"/>
              <w:left w:w="108" w:type="dxa"/>
              <w:bottom w:w="0" w:type="dxa"/>
              <w:right w:w="168" w:type="dxa"/>
            </w:tcMar>
            <w:vAlign w:val="center"/>
            <w:hideMark/>
          </w:tcPr>
          <w:p>
            <w:pPr>
              <w:pStyle w:val="18"/>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是（说明具体情况）</w:t>
            </w:r>
          </w:p>
        </w:tc>
      </w:tr>
      <w:tr>
        <w:tblPrEx>
          <w:tblW w:w="9270" w:type="dxa"/>
          <w:tblCellSpacing w:w="0" w:type="dxa"/>
          <w:tblInd w:w="324" w:type="dxa"/>
          <w:tblCellMar>
            <w:top w:w="15" w:type="dxa"/>
            <w:left w:w="15" w:type="dxa"/>
            <w:bottom w:w="15" w:type="dxa"/>
            <w:right w:w="15" w:type="dxa"/>
          </w:tblCellMar>
          <w:tblLook w:val="05E0"/>
        </w:tblPrEx>
        <w:trPr>
          <w:trHeight w:val="537"/>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r>
    </w:tbl>
    <w:p>
      <w:pPr>
        <w:pStyle w:val="17"/>
        <w:spacing w:before="0" w:after="0" w:line="360" w:lineRule="auto"/>
        <w:ind w:firstLine="480"/>
        <w:rPr>
          <w:rFonts w:ascii="Times New Roman" w:eastAsia="Times New Roman" w:hAnsi="Times New Roman" w:cs="Times New Roman"/>
        </w:rPr>
      </w:pPr>
      <w:r>
        <w:t> </w:t>
      </w:r>
    </w:p>
    <w:p>
      <w:pPr>
        <w:pStyle w:val="17"/>
        <w:spacing w:before="0" w:after="0" w:line="360" w:lineRule="auto"/>
        <w:ind w:firstLine="480"/>
        <w:rPr>
          <w:rFonts w:ascii="Times New Roman" w:eastAsia="Times New Roman" w:hAnsi="Times New Roman" w:cs="Times New Roman"/>
        </w:rPr>
      </w:pPr>
      <w:r>
        <w:rPr>
          <w:sz w:val="28"/>
          <w:szCs w:val="28"/>
        </w:rPr>
        <w:t> </w:t>
      </w:r>
      <w:r>
        <w:rPr>
          <w:rStyle w:val="15Character"/>
          <w:rFonts w:ascii="仿宋_GB2312" w:eastAsia="仿宋_GB2312" w:hAnsi="仿宋_GB2312" w:cs="仿宋_GB2312"/>
          <w:sz w:val="28"/>
          <w:szCs w:val="28"/>
          <w:shd w:val="clear" w:color="auto" w:fill="FFFFFF"/>
        </w:rPr>
        <w:t>提交单位（盖章）：</w:t>
      </w:r>
      <w:r>
        <w:rPr>
          <w:rStyle w:val="15Character"/>
          <w:rFonts w:ascii="仿宋_GB2312" w:eastAsia="仿宋_GB2312" w:hAnsi="仿宋_GB2312" w:cs="仿宋_GB2312"/>
          <w:sz w:val="28"/>
          <w:szCs w:val="28"/>
          <w:shd w:val="clear" w:color="auto" w:fill="FFFFFF"/>
        </w:rPr>
        <w:t>XXX公司</w:t>
      </w:r>
    </w:p>
    <w:p>
      <w:pPr>
        <w:pStyle w:val="17"/>
        <w:spacing w:before="0" w:after="0" w:line="360" w:lineRule="auto"/>
        <w:ind w:firstLine="480"/>
        <w:rPr>
          <w:rFonts w:ascii="Times New Roman" w:eastAsia="Times New Roman" w:hAnsi="Times New Roman" w:cs="Times New Roman"/>
        </w:rPr>
      </w:pPr>
      <w:r>
        <w:rPr>
          <w:rStyle w:val="15Character"/>
          <w:rFonts w:ascii="仿宋_GB2312" w:eastAsia="仿宋_GB2312" w:hAnsi="仿宋_GB2312" w:cs="仿宋_GB2312"/>
          <w:sz w:val="28"/>
          <w:szCs w:val="28"/>
          <w:shd w:val="clear" w:color="auto" w:fill="FFFFFF"/>
        </w:rPr>
        <w:t>法定代表人或授权代表签字：</w:t>
      </w:r>
      <w:r>
        <w:rPr>
          <w:rStyle w:val="15Character"/>
          <w:rFonts w:ascii="仿宋_GB2312" w:eastAsia="仿宋_GB2312" w:hAnsi="仿宋_GB2312" w:cs="仿宋_GB2312"/>
          <w:sz w:val="28"/>
          <w:szCs w:val="28"/>
          <w:shd w:val="clear" w:color="auto" w:fill="FFFFFF"/>
        </w:rPr>
        <w:t>_______________________</w:t>
      </w:r>
    </w:p>
    <w:p>
      <w:pPr>
        <w:pStyle w:val="17"/>
        <w:spacing w:before="0" w:after="0" w:line="360" w:lineRule="auto"/>
        <w:ind w:firstLine="480"/>
        <w:rPr>
          <w:rFonts w:ascii="Times New Roman" w:eastAsia="Times New Roman" w:hAnsi="Times New Roman" w:cs="Times New Roman"/>
        </w:rPr>
      </w:pPr>
      <w:r>
        <w:rPr>
          <w:sz w:val="28"/>
          <w:szCs w:val="28"/>
        </w:rPr>
        <w:t> </w:t>
      </w:r>
    </w:p>
    <w:p>
      <w:pPr>
        <w:pStyle w:val="16"/>
        <w:spacing w:before="0" w:after="0" w:line="360" w:lineRule="auto"/>
        <w:ind w:firstLine="480"/>
        <w:rPr>
          <w:rFonts w:ascii="Times New Roman" w:eastAsia="Times New Roman" w:hAnsi="Times New Roman" w:cs="Times New Roman"/>
        </w:rPr>
      </w:pPr>
      <w:r>
        <w:rPr>
          <w:rStyle w:val="15Character"/>
          <w:rFonts w:ascii="仿宋_GB2312" w:eastAsia="仿宋_GB2312" w:hAnsi="仿宋_GB2312" w:cs="仿宋_GB2312"/>
          <w:sz w:val="28"/>
          <w:szCs w:val="28"/>
          <w:shd w:val="clear" w:color="auto" w:fill="FFFFFF"/>
        </w:rPr>
        <w:t>日期：</w:t>
      </w:r>
      <w:r>
        <w:rPr>
          <w:rStyle w:val="15Character"/>
          <w:rFonts w:ascii="仿宋_GB2312" w:eastAsia="仿宋_GB2312" w:hAnsi="仿宋_GB2312" w:cs="仿宋_GB2312"/>
          <w:sz w:val="28"/>
          <w:szCs w:val="28"/>
          <w:shd w:val="clear" w:color="auto" w:fill="FFFFFF"/>
        </w:rPr>
        <w:t>XX年XX月XX日</w:t>
      </w:r>
    </w:p>
    <w:p>
      <w:pPr>
        <w:pStyle w:val="Heading3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sz w:val="28"/>
          <w:szCs w:val="28"/>
        </w:rPr>
        <w:t>10.1.3★供应链安全管理要求</w:t>
      </w:r>
      <w:bookmarkEnd w:id="4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（一）厂商及人员安全管理需求</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2.供应链厂商要配合税务机关对涉及税务机关税务信息化项目（以下简称项目）的人员做好背景审查。</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3.供应链厂商要定期对聘用离职税务人员情况进行排查，建立相关资料档案，确保人员安全可信。</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5.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150"/>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6.供应链厂商要及时向税务机关报告可能发生影响网络安全的重大事项，包括负责人及重要工作人员变更、业务转型、合并重组、投资并购等。</w:t>
      </w:r>
    </w:p>
    <w:p>
      <w:pPr>
        <w:pStyle w:val="150"/>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8.供应链厂商及人员要严格遵守采购合同、协议、承诺书等文件中的安全相关条款。</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9.供应链厂商要按照税务机关相关要求，对关键信息基础设施和重要信息系统进行自查，不利用提供产品和服务的便利条件非法获取数据、非法控制和操纵设备，不中断产品供应或必要的技术支持服务等。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150"/>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（二）进驻税务机关办公安全管理需求</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2.驻场办公人员进驻运维场地期间不得携带个人电脑、个人存储介质（U盘）、未授权软件安装包等工具。</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3.驻场办公人员未经授权不允许访问、维护、维修基础设施。</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4.驻场办公人员严禁私自使用运维终端打印及刻录输出数据。</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5.驻场办公人员不得向第三方提供基础设施、场地设计图、设备部署图等有关信息。</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6.驻场办公人员使用的终端必须安装防病毒软件，定期开展终端病毒查杀，并形成病毒查杀文档。</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7.驻场办公人员不得将工作数据、工作内容、工作环境等任何与工作有关的信息传播至QQ、微信或任何与工作无关的地方。</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（三）开发建设安全管理需求</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1.供应链厂商的软件研发工作场所需安全可控可信，要搭建专用的开发测试环境，配置安全可信的开发管理工具，设置可靠的权限管理策略，确保项目研发安全可控。</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150"/>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4.供应链厂商对项目使用的重要供应链产品要定期核查，形成《供应链产品清单》。</w:t>
      </w:r>
    </w:p>
    <w:p>
      <w:pPr>
        <w:pStyle w:val="150"/>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150"/>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6.供应链厂商禁止使用存在高安全风险隐患或已停止维护的第三方组件。</w:t>
      </w:r>
    </w:p>
    <w:p>
      <w:pPr>
        <w:pStyle w:val="150"/>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7.供应链厂商在产品中如使用了开源代码，应确保其符合开源许可协议要求。供应链厂商自行开发且多项目共用的基础框架及组件，一并参照管理。</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8.供应链厂商在项目开发建设时，要配置独立的、与互联网隔离的内部代码管理平台,并开展安全审查。严禁将源代码上传第三方平台，严禁使用互联网代码托管平台。</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9.供应链厂商在项目开发建设时，要搭建具备权限管控功能的统一版本控制系统，将全部源代码纳入管理，并制定安全编码规范，严禁开发人员未经授权或越权访问和违规开发。</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11.供应链厂商需要税务机关提供用于测试的脱敏数据时，应明确脱敏字段需求，要规范测试数据使用权限，切断数据拷出途径，确保测试数据安全。</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
        <w:spacing w:before="0" w:after="0" w:line="360" w:lineRule="auto"/>
        <w:ind w:left="0" w:right="0" w:firstLine="480"/>
        <w:jc w:val="both"/>
        <w:rPr>
          <w:rFonts w:ascii="Times New Roman" w:eastAsia="Times New Roman" w:hAnsi="Times New Roman" w:cs="Times New Roman"/>
        </w:rPr>
      </w:pPr>
      <w:r>
        <w:rPr>
          <w:rFonts w:ascii="FangSong_GB2312" w:eastAsia="FangSong_GB2312" w:hAnsi="FangSong_GB2312" w:cs="FangSong_GB2312"/>
          <w:spacing w:val="0"/>
          <w:sz w:val="28"/>
          <w:szCs w:val="28"/>
        </w:rPr>
        <w:t>（四）日常运维安全管理需求</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3.供应链厂商及人员需要导出数据时要经过审批且符合规定，严禁私自导出数据。</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4.供应链厂商及人员不得私自截留涉税相关数据，不得变更用途、用法，不得公开、转让或向第三方提供。</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5.供应链厂商要及时发现风险隐患，对发现的网络安全漏洞、缺陷、数据泄露或其他重大网络安全风险，及时向税务机关报告，不得公开或向第三方提供。</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pacing w:val="0"/>
          <w:sz w:val="28"/>
          <w:szCs w:val="28"/>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sz w:val="28"/>
          <w:szCs w:val="28"/>
        </w:rPr>
        <w:t>10.1.4★信息化服务运维人员要求</w:t>
      </w:r>
      <w:bookmarkEnd w:id="4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同一驻场运维人员在同一服务期内不得为两个或以上信息化项目提供驻场服务。</w:t>
      </w:r>
    </w:p>
    <w:p>
      <w:pPr>
        <w:pStyle w:val="Heading3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sz w:val="28"/>
          <w:szCs w:val="28"/>
        </w:rPr>
        <w:t>10.1.5其他</w:t>
      </w:r>
      <w:bookmarkEnd w:id="4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50" w:name="_Toc256000046"/>
      <w:r>
        <w:rPr>
          <w:rFonts w:ascii="仿宋_GB2312" w:eastAsia="仿宋_GB2312" w:hAnsi="仿宋_GB2312" w:cs="仿宋_GB2312"/>
          <w:i w:val="0"/>
          <w:iCs w:val="0"/>
        </w:rPr>
        <w:t>10.2知识产权要求</w:t>
      </w:r>
      <w:bookmarkEnd w:id="50"/>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本项目所有知识产权归国家税务总局吉林省税务局所有。投标人需保证所提供的服务不侵犯第三方的知识产权（专利权、商标权、版权等），因侵害第三方知识产权而产生的法律责任，全部由投标人承担。</w:t>
      </w:r>
    </w:p>
    <w:p>
      <w:pPr>
        <w:pStyle w:val="Heading20"/>
        <w:keepNext w:val="0"/>
        <w:spacing w:before="0" w:after="0" w:line="360" w:lineRule="auto"/>
        <w:rPr>
          <w:rFonts w:ascii="仿宋_GB2312" w:eastAsia="仿宋_GB2312" w:hAnsi="仿宋_GB2312" w:cs="仿宋_GB2312"/>
          <w:b/>
          <w:bCs/>
          <w:sz w:val="28"/>
          <w:szCs w:val="28"/>
        </w:rPr>
      </w:pPr>
      <w:bookmarkStart w:id="51" w:name="_Toc256000047"/>
      <w:r>
        <w:rPr>
          <w:rFonts w:ascii="仿宋_GB2312" w:eastAsia="仿宋_GB2312" w:hAnsi="仿宋_GB2312" w:cs="仿宋_GB2312"/>
          <w:i w:val="0"/>
          <w:iCs w:val="0"/>
        </w:rPr>
        <w:t>10.3付款安排建议</w:t>
      </w:r>
      <w:bookmarkEnd w:id="51"/>
    </w:p>
    <w:tbl>
      <w:tblPr>
        <w:tblStyle w:val="TableNormal"/>
        <w:tblW w:w="5000" w:type="pct"/>
        <w:tblInd w:w="30" w:type="dxa"/>
        <w:tblCellMar>
          <w:top w:w="15" w:type="dxa"/>
          <w:left w:w="15" w:type="dxa"/>
          <w:bottom w:w="15" w:type="dxa"/>
          <w:right w:w="15" w:type="dxa"/>
        </w:tblCellMar>
      </w:tblPr>
      <w:tblGrid>
        <w:gridCol w:w="2848"/>
        <w:gridCol w:w="5509"/>
        <w:gridCol w:w="713"/>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国家税务总局吉林省税务局2025年实名办税系统升级改造项目</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在全部功能开发完成并实施上线，经验收合格后，中标供应商提出付款申请并出具合法等额发票后10个工作日内支付合同全款。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52" w:name="_Toc256000048"/>
      <w:r>
        <w:rPr>
          <w:rFonts w:ascii="仿宋_GB2312" w:eastAsia="仿宋_GB2312" w:hAnsi="仿宋_GB2312" w:cs="仿宋_GB2312"/>
          <w:i w:val="0"/>
          <w:iCs w:val="0"/>
        </w:rPr>
        <w:t>10.4其他</w:t>
      </w:r>
      <w:bookmarkEnd w:id="52"/>
    </w:p>
    <w:p>
      <w:pPr>
        <w:pStyle w:val="150"/>
        <w:spacing w:before="0" w:after="0" w:line="360" w:lineRule="auto"/>
        <w:ind w:left="1600" w:firstLine="0"/>
        <w:jc w:val="both"/>
        <w:rPr>
          <w:rFonts w:ascii="Times New Roman" w:eastAsia="Times New Roman" w:hAnsi="Times New Roman" w:cs="Times New Roman"/>
        </w:rPr>
      </w:pPr>
      <w:r>
        <w:rPr>
          <w:rFonts w:ascii="方正小标宋_GBK" w:eastAsia="方正小标宋_GBK" w:hAnsi="方正小标宋_GBK" w:cs="方正小标宋_GBK"/>
          <w:sz w:val="32"/>
          <w:szCs w:val="32"/>
        </w:rPr>
        <w:t>“满足指标要求情况”内容（概括版）</w:t>
      </w:r>
    </w:p>
    <w:tbl>
      <w:tblPr>
        <w:tblStyle w:val="MsoNormalTable"/>
        <w:tblW w:w="9345" w:type="dxa"/>
        <w:tblCellSpacing w:w="0" w:type="dxa"/>
        <w:tblInd w:w="221" w:type="dxa"/>
        <w:tblCellMar>
          <w:top w:w="15" w:type="dxa"/>
          <w:left w:w="15" w:type="dxa"/>
          <w:bottom w:w="15" w:type="dxa"/>
          <w:right w:w="15" w:type="dxa"/>
        </w:tblCellMar>
        <w:tblLook w:val="05E0"/>
      </w:tblPr>
      <w:tblGrid>
        <w:gridCol w:w="543"/>
        <w:gridCol w:w="1002"/>
        <w:gridCol w:w="750"/>
        <w:gridCol w:w="2136"/>
        <w:gridCol w:w="14612"/>
        <w:gridCol w:w="4153"/>
      </w:tblGrid>
      <w:tr>
        <w:tblPrEx>
          <w:tblW w:w="9345" w:type="dxa"/>
          <w:tblCellSpacing w:w="0" w:type="dxa"/>
          <w:tblInd w:w="221" w:type="dxa"/>
          <w:tblCellMar>
            <w:top w:w="15" w:type="dxa"/>
            <w:left w:w="15" w:type="dxa"/>
            <w:bottom w:w="15" w:type="dxa"/>
            <w:right w:w="15" w:type="dxa"/>
          </w:tblCellMar>
          <w:tblLook w:val="05E0"/>
        </w:tblPrEx>
        <w:trPr>
          <w:trHeight w:val="1785"/>
          <w:tblCellSpacing w:w="0" w:type="dxa"/>
        </w:trPr>
        <w:tc>
          <w:tcPr>
            <w:tcW w:w="1106" w:type="dxa"/>
            <w:tcBorders>
              <w:top w:val="single" w:sz="8" w:space="0" w:color="000000"/>
              <w:left w:val="single" w:sz="8" w:space="0" w:color="000000"/>
              <w:bottom w:val="single" w:sz="8" w:space="0" w:color="000000"/>
              <w:right w:val="single" w:sz="8" w:space="0" w:color="000000"/>
            </w:tcBorders>
            <w:shd w:val="clear" w:color="auto" w:fill="D3D3D3"/>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366"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产品名称</w:t>
            </w:r>
          </w:p>
        </w:tc>
        <w:tc>
          <w:tcPr>
            <w:tcW w:w="1381"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1826"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3214"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1838" w:type="dxa"/>
            <w:tcBorders>
              <w:top w:val="single" w:sz="8" w:space="0" w:color="000000"/>
              <w:bottom w:val="single" w:sz="8" w:space="0" w:color="000000"/>
              <w:right w:val="single" w:sz="8" w:space="0" w:color="000000"/>
            </w:tcBorders>
            <w:shd w:val="clear" w:color="auto" w:fill="D3D3D3"/>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bCs/>
                <w:i w:val="0"/>
                <w:iCs w:val="0"/>
                <w:smallCaps w:val="0"/>
                <w:color w:val="000000"/>
                <w:sz w:val="21"/>
                <w:szCs w:val="21"/>
              </w:rPr>
              <w:t>证明材料要求（官网截图或产品说明书或白皮书或承诺书等证明材料）</w:t>
            </w:r>
          </w:p>
        </w:tc>
      </w:tr>
      <w:tr>
        <w:tblPrEx>
          <w:tblW w:w="9345" w:type="dxa"/>
          <w:tblCellSpacing w:w="0" w:type="dxa"/>
          <w:tblInd w:w="221" w:type="dxa"/>
          <w:tblCellMar>
            <w:top w:w="15" w:type="dxa"/>
            <w:left w:w="15" w:type="dxa"/>
            <w:bottom w:w="15" w:type="dxa"/>
            <w:right w:w="15" w:type="dxa"/>
          </w:tblCellMar>
          <w:tblLook w:val="05E0"/>
        </w:tblPrEx>
        <w:trPr>
          <w:trHeight w:val="153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36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系统对接</w:t>
            </w: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对接统一身份管理平台查询类接口</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实名办税系统需要将对接总局实名办税监控系统接口调整为对接统一身份管理平台，查询类接口涉及、风险纳税人查询、特定法定代表人查询、查询企业关联办税人员身份信息、新老永居证证件号查询等接口。</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53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对接统一身份管理平台认证类接口</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实名办税系统需要将对接总局实名办税监控系统接口调整为对接统一身份管理平台，共涉及实名信息核验、手机号码验证、人像质量检测、港澳台居民居住证和通行证信息比对接口、双证验证等接口。</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80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对接统一身份管理平台获取应用</w:t>
            </w:r>
            <w:r>
              <w:rPr>
                <w:rFonts w:ascii="仿宋_GB2312" w:eastAsia="仿宋_GB2312" w:hAnsi="仿宋_GB2312" w:cs="仿宋_GB2312"/>
                <w:b w:val="0"/>
                <w:bCs w:val="0"/>
                <w:i w:val="0"/>
                <w:iCs w:val="0"/>
                <w:smallCaps w:val="0"/>
                <w:color w:val="000000"/>
                <w:sz w:val="21"/>
                <w:szCs w:val="21"/>
              </w:rPr>
              <w:t>Token接口</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对接统一身份管理平台获取应用</w:t>
            </w:r>
            <w:r>
              <w:rPr>
                <w:rFonts w:ascii="仿宋_GB2312" w:eastAsia="仿宋_GB2312" w:hAnsi="仿宋_GB2312" w:cs="仿宋_GB2312"/>
                <w:b w:val="0"/>
                <w:bCs w:val="0"/>
                <w:i w:val="0"/>
                <w:iCs w:val="0"/>
                <w:smallCaps w:val="0"/>
                <w:color w:val="000000"/>
                <w:sz w:val="21"/>
                <w:szCs w:val="21"/>
              </w:rPr>
              <w:t>Token接口，获取应用令牌。</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765"/>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自然人关联关系解除数据同步</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实名办税系统将实名信息数据通过调用解绑关联关系接口实时同步至统一身份管理平台。</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765"/>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自然人关联关系绑定数据同步</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实名办税系统将实名信息数据通过调用保存关联关系接口实时同步至统一身份管理平台。</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765"/>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自然人实名信息数据同步</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实名办税系统将实名信息数据通过调用保存自然人信息接口实时同步至统一身份管理平台。</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自然人实名信息查询</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实名办税系统首先查询实名办税信息库数据，若无实名信息则调用统一身份管理平台查询自然人信息接口查询数据。</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自然人影像信息查询</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实名办税系统首先查询实名办税信息库数据，若无实名信息则调用统一身份管理平台人像照片下载接口查询数据。</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对接运营中心</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为</w:t>
            </w:r>
            <w:r>
              <w:rPr>
                <w:rFonts w:ascii="仿宋_GB2312" w:eastAsia="仿宋_GB2312" w:hAnsi="仿宋_GB2312" w:cs="仿宋_GB2312"/>
                <w:b w:val="0"/>
                <w:bCs w:val="0"/>
                <w:i w:val="0"/>
                <w:iCs w:val="0"/>
                <w:smallCaps w:val="0"/>
                <w:color w:val="000000"/>
                <w:sz w:val="21"/>
                <w:szCs w:val="21"/>
              </w:rPr>
              <w:t>12366运营中心和提供数据查询接口。12366运营中心可通过通过姓名、电话号码调取实名办税系统中自然人、企业等关联关系数据。</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53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对接叫号机</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为办税服务厅的叫号机系统提供数据查询接口。纳税人在使用叫号机进行排队叫号时，输入身份证件号码信息，由叫号机系统调用实名办税系统接口进行查询纳税人所关联的企业信息及相关信息。</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204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同步代理协议及关联关系数据</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对接核心征管系统获取涉税专业服务人员协议签订数据，在代理企业关联时进行数据核验。保障代理企业在办税服务厅可以正常进行代理申报等业务办理。身份关联完成后，实名办税系统将关联数据同步至核心征管系统，用于后续办理涉税业务。</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136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系统功能建设</w:t>
            </w: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风险纳税人信息上传</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风险纳税人信息上传</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模块，各办税大厅均可上传本级风险纳税人信息，并自动同步至统一身份管理平台。</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特定法定代表人信息上传</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特定法定代表人信息上传</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模块，各办税大厅均可上传本级管辖纳税人的法定代表人信息，并自动同步至统一身份管理平台。</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765"/>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人像照片下载</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人像照片下载</w:t>
            </w:r>
            <w:r>
              <w:rPr>
                <w:rFonts w:ascii="宋体" w:eastAsia="宋体" w:hAnsi="宋体" w:cs="宋体"/>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模块，省市县三级均可查询并下载已采集的影像数据。</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785"/>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风险提示</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事前风险提示：实名信息采集模块在企业法人首次进行实名信息采集、变更时，调用风险纳税人企业信息数据，核验纳税人是否为风险纳税人。若纳税人为风险纳税人，则在实名信息采集模块针对纳税人进行提示提醒，通知税务人员进行核验认证。</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增加涉税专业服务人员身份</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实名办税系统在企业关联模块增加代理涉税专业服务人员身份，用于代理企业关联身份在办税服务厅进行涉税业务办理。</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02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tcW w:w="1366"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项目实施要求</w:t>
            </w: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系统升级工作要求</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系统升级的工作主要是指按省税务局及本项目内技术要求，保障在规定时间完成实名办税系统升级工作，保障数据的统一性、正确性、完整性。</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53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系统升级问题处理</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当系统在使用过程中出现问题，并确认是系统错误或升级问题后，应向用户给出临时解决办法，并将问题提交给技术人员与系统升级人员。由技术人员和系统升级人员共同确认后，根据情况共同制定处理方案解决。</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140"/>
          <w:tblCellSpacing w:w="0" w:type="dxa"/>
        </w:trPr>
        <w:tc>
          <w:tcPr>
            <w:tcW w:w="110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tcW w:w="138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系统测试问题反馈</w:t>
            </w:r>
          </w:p>
        </w:tc>
        <w:tc>
          <w:tcPr>
            <w:tcW w:w="3214"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参与测试人员记录问题内容、提出人及联系方式，并初步判断确认问题性质转交开发团队，后期做好问题的跟踪记录并反馈。</w:t>
            </w:r>
          </w:p>
        </w:tc>
        <w:tc>
          <w:tcPr>
            <w:tcW w:w="1838"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45" w:type="dxa"/>
          <w:tblCellSpacing w:w="0" w:type="dxa"/>
          <w:tblInd w:w="221" w:type="dxa"/>
          <w:tblCellMar>
            <w:top w:w="15" w:type="dxa"/>
            <w:left w:w="15" w:type="dxa"/>
            <w:bottom w:w="15" w:type="dxa"/>
            <w:right w:w="15" w:type="dxa"/>
          </w:tblCellMar>
          <w:tblLook w:val="05E0"/>
        </w:tblPrEx>
        <w:trPr>
          <w:trHeight w:val="1420"/>
          <w:tblCellSpacing w:w="0" w:type="dxa"/>
        </w:trPr>
        <w:tc>
          <w:tcPr>
            <w:tcW w:w="1106"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tcW w:w="136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性能需求</w:t>
            </w:r>
          </w:p>
        </w:tc>
        <w:tc>
          <w:tcPr>
            <w:tcW w:w="139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2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并发支持能力</w:t>
            </w:r>
          </w:p>
        </w:tc>
        <w:tc>
          <w:tcPr>
            <w:tcW w:w="3214"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支持至少每秒</w:t>
            </w:r>
            <w:r>
              <w:rPr>
                <w:rFonts w:ascii="仿宋_GB2312" w:eastAsia="仿宋_GB2312" w:hAnsi="仿宋_GB2312" w:cs="仿宋_GB2312"/>
                <w:b w:val="0"/>
                <w:bCs w:val="0"/>
                <w:i w:val="0"/>
                <w:iCs w:val="0"/>
                <w:smallCaps w:val="0"/>
                <w:color w:val="000000"/>
                <w:sz w:val="21"/>
                <w:szCs w:val="21"/>
              </w:rPr>
              <w:t>500次接口并发调用，满足业务高峰时期的需求。系统需具备良好的扩展性，能够根据业务发展灵活增加服务器资源，以应对不断增长的用户并发量。</w:t>
            </w:r>
          </w:p>
        </w:tc>
        <w:tc>
          <w:tcPr>
            <w:tcW w:w="1848"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bl>
    <w:p>
      <w:pPr>
        <w:pStyle w:val="150"/>
        <w:spacing w:before="0" w:after="0" w:line="360" w:lineRule="auto"/>
        <w:ind w:left="1600" w:firstLine="0"/>
        <w:jc w:val="both"/>
        <w:rPr>
          <w:rFonts w:ascii="Times New Roman" w:eastAsia="Times New Roman" w:hAnsi="Times New Roman" w:cs="Times New Roman"/>
        </w:rPr>
      </w:pPr>
      <w:r>
        <w:rPr>
          <w:rFonts w:ascii="Times New Roman" w:eastAsia="Times New Roman" w:hAnsi="Times New Roman" w:cs="Times New Roman"/>
        </w:rPr>
        <w:t> </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24</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50">
    <w:name w:val="15_0"/>
    <w:basedOn w:val="Normal"/>
    <w:pPr>
      <w:widowControl/>
      <w:spacing w:after="0" w:line="240" w:lineRule="auto"/>
      <w:jc w:val="left"/>
    </w:pPr>
    <w:rPr>
      <w:rFonts w:eastAsia="Times New Roman"/>
      <w:kern w:val="0"/>
      <w:sz w:val="24"/>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table" w:customStyle="1" w:styleId="MsoNormalTable">
    <w:name w:val="MsoNormalTable"/>
    <w:basedOn w:val="TableNormal"/>
    <w:rPr>
      <w:rFonts w:eastAsia="Times New Roman"/>
      <w:lang w:val="en-US" w:eastAsia="en-US"/>
    </w:rPr>
    <w:tblPr/>
  </w:style>
  <w:style w:type="character" w:customStyle="1" w:styleId="15Character">
    <w:name w:val="15 Character"/>
    <w:basedOn w:val="DefaultParagraphFont"/>
  </w:style>
  <w:style w:type="paragraph" w:customStyle="1" w:styleId="17">
    <w:name w:val="17"/>
    <w:basedOn w:val="Normal"/>
    <w:pPr>
      <w:widowControl/>
      <w:spacing w:after="0" w:line="240" w:lineRule="auto"/>
      <w:jc w:val="left"/>
    </w:pPr>
    <w:rPr>
      <w:rFonts w:eastAsia="Times New Roman"/>
      <w:kern w:val="0"/>
      <w:sz w:val="24"/>
      <w:lang w:eastAsia="en-US"/>
    </w:rPr>
  </w:style>
  <w:style w:type="paragraph" w:customStyle="1" w:styleId="18">
    <w:name w:val="18"/>
    <w:basedOn w:val="Normal"/>
    <w:pPr>
      <w:widowControl/>
      <w:spacing w:after="0" w:line="240" w:lineRule="auto"/>
      <w:jc w:val="left"/>
    </w:pPr>
    <w:rPr>
      <w:rFonts w:eastAsia="Times New Roman"/>
      <w:kern w:val="0"/>
      <w:sz w:val="24"/>
      <w:lang w:eastAsia="en-US"/>
    </w:rPr>
  </w:style>
  <w:style w:type="table" w:customStyle="1" w:styleId="19">
    <w:name w:val="19"/>
    <w:basedOn w:val="TableNormal"/>
    <w:rPr>
      <w:rFonts w:eastAsia="Times New Roman"/>
      <w:lang w:val="en-US" w:eastAsia="en-US"/>
    </w:rPr>
    <w:tblPr/>
  </w:style>
  <w:style w:type="paragraph" w:customStyle="1" w:styleId="16">
    <w:name w:val="16"/>
    <w:basedOn w:val="Normal"/>
    <w:pPr>
      <w:widowControl/>
      <w:spacing w:after="0" w:line="240" w:lineRule="auto"/>
      <w:jc w:val="left"/>
    </w:pPr>
    <w:rPr>
      <w:rFonts w:eastAsia="Times New Roman"/>
      <w:kern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