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rsidR="00BD6A54" w14:paraId="51C321CE" w14:textId="77777777">
      <w:pPr>
        <w:jc w:val="left"/>
        <w:rPr>
          <w:rFonts w:hAnsi="SimSun"/>
          <w:b/>
          <w:sz w:val="96"/>
          <w:szCs w:val="96"/>
        </w:rPr>
      </w:pPr>
    </w:p>
    <w:p w:rsidR="00BD6A54" w14:paraId="45F4BCF1" w14:textId="77777777">
      <w:pPr>
        <w:topLinePunct/>
        <w:autoSpaceDE w:val="0"/>
        <w:autoSpaceDN w:val="0"/>
        <w:jc w:val="center"/>
        <w:rPr>
          <w:rFonts w:hAnsi="SimSun"/>
          <w:b/>
          <w:sz w:val="96"/>
          <w:szCs w:val="96"/>
        </w:rPr>
      </w:pPr>
      <w:r>
        <w:rPr>
          <w:rFonts w:hAnsi="SimSun" w:hint="eastAsia"/>
          <w:b/>
          <w:sz w:val="96"/>
          <w:szCs w:val="96"/>
        </w:rPr>
        <w:t>招</w:t>
      </w:r>
      <w:r>
        <w:rPr>
          <w:rFonts w:hAnsi="SimSun" w:hint="eastAsia"/>
          <w:b/>
          <w:sz w:val="96"/>
          <w:szCs w:val="96"/>
        </w:rPr>
        <w:t xml:space="preserve"> </w:t>
      </w:r>
      <w:r>
        <w:rPr>
          <w:rFonts w:hAnsi="SimSun" w:hint="eastAsia"/>
          <w:b/>
          <w:sz w:val="96"/>
          <w:szCs w:val="96"/>
        </w:rPr>
        <w:t>标</w:t>
      </w:r>
      <w:r>
        <w:rPr>
          <w:rFonts w:hAnsi="SimSun" w:hint="eastAsia"/>
          <w:b/>
          <w:sz w:val="96"/>
          <w:szCs w:val="96"/>
        </w:rPr>
        <w:t xml:space="preserve"> </w:t>
      </w:r>
      <w:r>
        <w:rPr>
          <w:rFonts w:hAnsi="SimSun" w:hint="eastAsia"/>
          <w:b/>
          <w:sz w:val="96"/>
          <w:szCs w:val="96"/>
        </w:rPr>
        <w:t>文</w:t>
      </w:r>
      <w:r>
        <w:rPr>
          <w:rFonts w:hAnsi="SimSun" w:hint="eastAsia"/>
          <w:b/>
          <w:sz w:val="96"/>
          <w:szCs w:val="96"/>
        </w:rPr>
        <w:t xml:space="preserve"> </w:t>
      </w:r>
      <w:r>
        <w:rPr>
          <w:rFonts w:hAnsi="SimSun" w:hint="eastAsia"/>
          <w:b/>
          <w:sz w:val="96"/>
          <w:szCs w:val="96"/>
        </w:rPr>
        <w:t>件</w:t>
      </w:r>
    </w:p>
    <w:p w:rsidR="00BD6A54" w14:paraId="590152F9" w14:textId="77777777">
      <w:pPr>
        <w:topLinePunct/>
        <w:autoSpaceDE w:val="0"/>
        <w:autoSpaceDN w:val="0"/>
        <w:spacing w:line="60" w:lineRule="exact"/>
        <w:jc w:val="center"/>
        <w:rPr>
          <w:rFonts w:hAnsi="SimSun"/>
          <w:sz w:val="96"/>
          <w:szCs w:val="96"/>
        </w:rPr>
      </w:pPr>
    </w:p>
    <w:p w:rsidR="00BD6A54" w14:paraId="22D90A1A" w14:textId="77777777">
      <w:pPr>
        <w:topLinePunct/>
        <w:autoSpaceDE w:val="0"/>
        <w:autoSpaceDN w:val="0"/>
        <w:snapToGrid w:val="0"/>
        <w:jc w:val="center"/>
        <w:rPr>
          <w:rFonts w:ascii="SimSun" w:hAnsi="SimSun"/>
          <w:sz w:val="96"/>
          <w:szCs w:val="96"/>
        </w:rPr>
      </w:pPr>
      <w:r>
        <w:rPr>
          <w:rFonts w:hAnsi="SimSun" w:hint="eastAsia"/>
          <w:b/>
          <w:sz w:val="56"/>
          <w:szCs w:val="56"/>
        </w:rPr>
        <w:t>（技术部分）</w:t>
      </w:r>
    </w:p>
    <w:p w:rsidR="00BD6A54" w14:paraId="7B6553A5"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7946D6BA"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2DA88C17" w14:textId="6E0FC461">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项目名称：</w:t>
      </w:r>
      <w:bookmarkStart w:id="0" w:name="项目名称_fa_planName"/>
      <w:r w:rsidRPr="00381FED" w:rsidR="00381FED">
        <w:rPr>
          <w:rFonts w:ascii="SimSun" w:hint="eastAsia"/>
          <w:b/>
          <w:bCs/>
          <w:sz w:val="28"/>
          <w:szCs w:val="28"/>
        </w:rPr>
        <w:t>国家税务总局吉林省税务局2025年专网核心交换机更新项目（第二次）</w:t>
      </w:r>
      <w:bookmarkEnd w:id="0"/>
    </w:p>
    <w:p w:rsidR="00BD6A54" w14:paraId="36132533" w14:textId="40A2B885">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项目编号：</w:t>
      </w:r>
      <w:bookmarkStart w:id="1" w:name="项目编号_fa_planNo"/>
      <w:r w:rsidRPr="00381FED" w:rsidR="00381FED">
        <w:rPr>
          <w:rFonts w:ascii="SimSun" w:hint="eastAsia"/>
          <w:b/>
          <w:bCs/>
          <w:sz w:val="28"/>
          <w:szCs w:val="28"/>
        </w:rPr>
        <w:t>JL2025-ZXGK-A0064-B00</w:t>
      </w:r>
      <w:bookmarkEnd w:id="1"/>
    </w:p>
    <w:p w:rsidR="00BD6A54" w14:paraId="1786DD03" w14:textId="77777777">
      <w:pPr>
        <w:topLinePunct/>
        <w:autoSpaceDE w:val="0"/>
        <w:autoSpaceDN w:val="0"/>
        <w:snapToGrid w:val="0"/>
        <w:spacing w:line="360" w:lineRule="auto"/>
        <w:ind w:firstLine="1120" w:firstLineChars="400"/>
        <w:rPr>
          <w:rFonts w:ascii="SimSun"/>
          <w:b/>
          <w:bCs/>
          <w:sz w:val="28"/>
          <w:szCs w:val="28"/>
        </w:rPr>
      </w:pPr>
    </w:p>
    <w:p w:rsidR="00BD6A54" w14:paraId="2BD97A82" w14:textId="77777777">
      <w:pPr>
        <w:topLinePunct/>
        <w:autoSpaceDE w:val="0"/>
        <w:autoSpaceDN w:val="0"/>
        <w:snapToGrid w:val="0"/>
        <w:spacing w:line="360" w:lineRule="auto"/>
        <w:rPr>
          <w:rFonts w:ascii="SimSun"/>
          <w:b/>
          <w:bCs/>
          <w:sz w:val="28"/>
          <w:szCs w:val="28"/>
        </w:rPr>
      </w:pPr>
    </w:p>
    <w:p w:rsidR="00BD6A54" w14:paraId="513D8C77" w14:textId="77777777">
      <w:pPr>
        <w:topLinePunct/>
        <w:autoSpaceDE w:val="0"/>
        <w:autoSpaceDN w:val="0"/>
        <w:spacing w:line="460" w:lineRule="exact"/>
        <w:rPr>
          <w:rFonts w:ascii="SimHei" w:eastAsia="SimHei"/>
          <w:b/>
          <w:sz w:val="52"/>
        </w:rPr>
      </w:pPr>
    </w:p>
    <w:p w:rsidR="00BD6A54" w14:paraId="414296C2" w14:textId="77777777">
      <w:pPr>
        <w:topLinePunct/>
        <w:autoSpaceDE w:val="0"/>
        <w:autoSpaceDN w:val="0"/>
        <w:spacing w:line="460" w:lineRule="exact"/>
        <w:rPr>
          <w:rFonts w:ascii="SimHei" w:eastAsia="SimHei"/>
          <w:b/>
          <w:sz w:val="36"/>
          <w:szCs w:val="36"/>
        </w:rPr>
      </w:pPr>
    </w:p>
    <w:p w:rsidR="00BD6A54" w14:paraId="329E6F0A" w14:textId="77777777">
      <w:pPr>
        <w:topLinePunct/>
        <w:autoSpaceDE w:val="0"/>
        <w:autoSpaceDN w:val="0"/>
        <w:spacing w:line="460" w:lineRule="exact"/>
        <w:rPr>
          <w:rFonts w:ascii="SimHei" w:eastAsia="SimHei"/>
          <w:b/>
          <w:sz w:val="36"/>
          <w:szCs w:val="36"/>
        </w:rPr>
      </w:pPr>
    </w:p>
    <w:p w:rsidR="00BD6A54" w14:paraId="03168EF4" w14:textId="77777777">
      <w:pPr>
        <w:topLinePunct/>
        <w:autoSpaceDE w:val="0"/>
        <w:autoSpaceDN w:val="0"/>
        <w:spacing w:line="460" w:lineRule="exact"/>
        <w:jc w:val="center"/>
        <w:rPr>
          <w:rFonts w:ascii="SimHei" w:eastAsia="SimHei"/>
          <w:sz w:val="36"/>
          <w:szCs w:val="36"/>
        </w:rPr>
      </w:pPr>
    </w:p>
    <w:p w:rsidR="00BD6A54" w14:paraId="1376E296" w14:textId="77777777">
      <w:pPr>
        <w:topLinePunct/>
        <w:autoSpaceDE w:val="0"/>
        <w:autoSpaceDN w:val="0"/>
        <w:spacing w:line="460" w:lineRule="exact"/>
        <w:jc w:val="center"/>
        <w:rPr>
          <w:rFonts w:ascii="SimHei" w:eastAsia="SimHei"/>
          <w:sz w:val="36"/>
          <w:szCs w:val="36"/>
        </w:rPr>
      </w:pPr>
    </w:p>
    <w:p w:rsidR="00BD6A54" w14:paraId="52DF53F5" w14:textId="77777777">
      <w:pPr>
        <w:topLinePunct/>
        <w:autoSpaceDE w:val="0"/>
        <w:autoSpaceDN w:val="0"/>
        <w:spacing w:line="460" w:lineRule="exact"/>
        <w:jc w:val="center"/>
        <w:rPr>
          <w:rFonts w:ascii="SimHei" w:eastAsia="SimHei"/>
          <w:sz w:val="36"/>
          <w:szCs w:val="36"/>
        </w:rPr>
      </w:pPr>
    </w:p>
    <w:p w:rsidR="00BD6A54" w14:paraId="5CA4C913" w14:textId="77777777">
      <w:pPr>
        <w:topLinePunct/>
        <w:autoSpaceDE w:val="0"/>
        <w:autoSpaceDN w:val="0"/>
        <w:spacing w:line="460" w:lineRule="exact"/>
        <w:jc w:val="center"/>
        <w:rPr>
          <w:rFonts w:ascii="SimHei" w:eastAsia="SimHei"/>
          <w:sz w:val="36"/>
          <w:szCs w:val="36"/>
        </w:rPr>
      </w:pPr>
      <w:bookmarkStart w:id="2" w:name="采购人名称_cgrmc"/>
      <w:r>
        <w:rPr>
          <w:rFonts w:ascii="SimHei" w:eastAsia="SimHei" w:hint="eastAsia"/>
          <w:sz w:val="36"/>
          <w:szCs w:val="36"/>
        </w:rPr>
        <w:t>国家税务总局吉林省税务局</w:t>
      </w:r>
      <w:bookmarkEnd w:id="2"/>
    </w:p>
    <w:p w:rsidR="00BD6A54" w14:paraId="244E8052" w14:textId="77777777">
      <w:pPr>
        <w:widowControl/>
        <w:topLinePunct/>
        <w:autoSpaceDE w:val="0"/>
        <w:autoSpaceDN w:val="0"/>
        <w:jc w:val="center"/>
        <w:rPr>
          <w:rFonts w:ascii="SimSun" w:hAnsi="SimSun" w:cs="SimSun"/>
        </w:rPr>
        <w:sectPr>
          <w:pgSz w:w="11906" w:h="16838"/>
          <w:pgMar w:top="1440" w:right="1508" w:bottom="1440" w:left="1588" w:header="851" w:footer="851" w:gutter="0"/>
          <w:cols w:space="720"/>
          <w:titlePg/>
          <w:docGrid w:type="lines" w:linePitch="312"/>
        </w:sectPr>
      </w:pPr>
      <w:bookmarkStart w:id="3" w:name="生成日期_currentDateTime_ymd"/>
      <w:r>
        <w:rPr>
          <w:rFonts w:ascii="SimHei" w:eastAsia="SimHei" w:hAnsi="Courier New" w:cs="Courier New" w:hint="eastAsia"/>
          <w:sz w:val="36"/>
          <w:szCs w:val="36"/>
        </w:rPr>
        <w:t>2025年9月</w:t>
      </w:r>
      <w:bookmarkEnd w:id="3"/>
    </w:p>
    <w:p w:rsidR="00A77B3E">
      <w:pPr>
        <w:pStyle w:val="Normal0"/>
        <w:spacing w:before="0" w:after="0" w:line="360" w:lineRule="auto"/>
        <w:jc w:val="center"/>
        <w:rPr>
          <w:rFonts w:ascii="SimSun" w:eastAsia="SimSun" w:hAnsi="SimSun" w:cs="SimSun"/>
          <w:sz w:val="32"/>
        </w:rPr>
      </w:pPr>
      <w:r>
        <w:rPr>
          <w:rFonts w:ascii="SimSun" w:eastAsia="SimSun" w:hAnsi="SimSun" w:cs="SimSun"/>
          <w:sz w:val="32"/>
        </w:rPr>
        <w:t>目 录</w:t>
      </w:r>
    </w:p>
    <w:p>
      <w:pPr>
        <w:pStyle w:val="TOC1"/>
        <w:tabs>
          <w:tab w:val="right" w:leader="dot" w:pos="9016"/>
        </w:tabs>
        <w:spacing w:before="0" w:after="0" w:line="360" w:lineRule="auto"/>
        <w:rPr>
          <w:rFonts w:asciiTheme="minorHAnsi" w:hAnsiTheme="minorHAns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1" w:history="1">
        <w:r>
          <w:rPr>
            <w:rStyle w:val="Hyperlink"/>
            <w:rFonts w:ascii="仿宋_GB2312" w:eastAsia="仿宋_GB2312" w:hAnsi="仿宋_GB2312" w:cs="仿宋_GB2312"/>
          </w:rPr>
          <w:t>1.1项目背景</w:t>
        </w:r>
        <w:r>
          <w:tab/>
        </w:r>
        <w:r>
          <w:fldChar w:fldCharType="begin"/>
        </w:r>
        <w:r>
          <w:instrText xml:space="preserve"> PAGEREF _Toc256000001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2" w:history="1">
        <w:r>
          <w:rPr>
            <w:rStyle w:val="Hyperlink"/>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3" w:history="1">
        <w:r>
          <w:rPr>
            <w:rStyle w:val="Hyperlink"/>
            <w:rFonts w:ascii="仿宋_GB2312" w:eastAsia="仿宋_GB2312" w:hAnsi="仿宋_GB2312" w:cs="仿宋_GB2312"/>
          </w:rPr>
          <w:t>1.2项目内容</w:t>
        </w:r>
        <w:r>
          <w:tab/>
        </w:r>
        <w:r>
          <w:fldChar w:fldCharType="begin"/>
        </w:r>
        <w:r>
          <w:instrText xml:space="preserve"> PAGEREF _Toc256000003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4" w:history="1">
        <w:r>
          <w:rPr>
            <w:rStyle w:val="Hyperlink"/>
            <w:rFonts w:ascii="仿宋_GB2312" w:eastAsia="仿宋_GB2312" w:hAnsi="仿宋_GB2312" w:cs="仿宋_GB2312"/>
          </w:rPr>
          <w:t>1.2.1项目建设思路</w:t>
        </w:r>
        <w:r>
          <w:tab/>
        </w:r>
        <w:r>
          <w:fldChar w:fldCharType="begin"/>
        </w:r>
        <w:r>
          <w:instrText xml:space="preserve"> PAGEREF _Toc256000004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5" w:history="1">
        <w:r>
          <w:rPr>
            <w:rStyle w:val="Hyperlink"/>
            <w:rFonts w:ascii="仿宋_GB2312" w:eastAsia="仿宋_GB2312" w:hAnsi="仿宋_GB2312" w:cs="仿宋_GB2312"/>
          </w:rPr>
          <w:t>1.2.2采购内容</w:t>
        </w:r>
        <w:r>
          <w:tab/>
        </w:r>
        <w:r>
          <w:fldChar w:fldCharType="begin"/>
        </w:r>
        <w:r>
          <w:instrText xml:space="preserve"> PAGEREF _Toc256000005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6" w:history="1">
        <w:r>
          <w:rPr>
            <w:rStyle w:val="Hyperlink"/>
            <w:rFonts w:ascii="仿宋_GB2312" w:eastAsia="仿宋_GB2312" w:hAnsi="仿宋_GB2312" w:cs="仿宋_GB2312"/>
          </w:rPr>
          <w:t>1.2.3项目实施要求</w:t>
        </w:r>
        <w:r>
          <w:tab/>
        </w:r>
        <w:r>
          <w:fldChar w:fldCharType="begin"/>
        </w:r>
        <w:r>
          <w:instrText xml:space="preserve"> PAGEREF _Toc256000006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7" w:history="1">
        <w:r>
          <w:rPr>
            <w:rStyle w:val="Hyperlink"/>
            <w:rFonts w:ascii="仿宋_GB2312" w:eastAsia="仿宋_GB2312" w:hAnsi="仿宋_GB2312" w:cs="仿宋_GB2312"/>
          </w:rPr>
          <w:t>1.3其他要求</w:t>
        </w:r>
        <w:r>
          <w:tab/>
        </w:r>
        <w:r>
          <w:fldChar w:fldCharType="begin"/>
        </w:r>
        <w:r>
          <w:instrText xml:space="preserve"> PAGEREF _Toc256000007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8" w:history="1">
        <w:r>
          <w:rPr>
            <w:rStyle w:val="Hyperlink"/>
            <w:rFonts w:ascii="仿宋_GB2312" w:eastAsia="仿宋_GB2312" w:hAnsi="仿宋_GB2312" w:cs="仿宋_GB2312"/>
          </w:rPr>
          <w:t>1.3.1采购标的需执行的相关标准规范</w:t>
        </w:r>
        <w:r>
          <w:tab/>
        </w:r>
        <w:r>
          <w:fldChar w:fldCharType="begin"/>
        </w:r>
        <w:r>
          <w:instrText xml:space="preserve"> PAGEREF _Toc256000008 \h </w:instrText>
        </w:r>
        <w:r>
          <w:fldChar w:fldCharType="separate"/>
        </w:r>
        <w:r>
          <w:t>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09" w:history="1">
        <w:r>
          <w:rPr>
            <w:rStyle w:val="Hyperlink"/>
            <w:rFonts w:ascii="仿宋_GB2312" w:eastAsia="仿宋_GB2312" w:hAnsi="仿宋_GB2312" w:cs="仿宋_GB2312"/>
            <w:kern w:val="36"/>
          </w:rPr>
          <w:t>2投标/响应要求</w:t>
        </w:r>
        <w:r>
          <w:tab/>
        </w:r>
        <w:r>
          <w:fldChar w:fldCharType="begin"/>
        </w:r>
        <w:r>
          <w:instrText xml:space="preserve"> PAGEREF _Toc256000009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0" w:history="1">
        <w:r>
          <w:rPr>
            <w:rStyle w:val="Hyperlink"/>
            <w:rFonts w:ascii="仿宋_GB2312" w:eastAsia="仿宋_GB2312" w:hAnsi="仿宋_GB2312" w:cs="仿宋_GB2312"/>
          </w:rPr>
          <w:t>2.1对供应商的要求</w:t>
        </w:r>
        <w:r>
          <w:tab/>
        </w:r>
        <w:r>
          <w:fldChar w:fldCharType="begin"/>
        </w:r>
        <w:r>
          <w:instrText xml:space="preserve"> PAGEREF _Toc256000010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1" w:history="1">
        <w:r>
          <w:rPr>
            <w:rStyle w:val="Hyperlink"/>
            <w:rFonts w:ascii="仿宋_GB2312" w:eastAsia="仿宋_GB2312" w:hAnsi="仿宋_GB2312" w:cs="仿宋_GB2312"/>
          </w:rPr>
          <w:t>2.1.1必备资质</w:t>
        </w:r>
        <w:r>
          <w:tab/>
        </w:r>
        <w:r>
          <w:fldChar w:fldCharType="begin"/>
        </w:r>
        <w:r>
          <w:instrText xml:space="preserve"> PAGEREF _Toc256000011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2" w:history="1">
        <w:r>
          <w:rPr>
            <w:rStyle w:val="Hyperlink"/>
            <w:rFonts w:ascii="仿宋_GB2312" w:eastAsia="仿宋_GB2312" w:hAnsi="仿宋_GB2312" w:cs="仿宋_GB2312"/>
          </w:rPr>
          <w:t>2.1.2优选资质/优选指标</w:t>
        </w:r>
        <w:r>
          <w:tab/>
        </w:r>
        <w:r>
          <w:fldChar w:fldCharType="begin"/>
        </w:r>
        <w:r>
          <w:instrText xml:space="preserve"> PAGEREF _Toc256000012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3" w:history="1">
        <w:r>
          <w:rPr>
            <w:rStyle w:val="Hyperlink"/>
            <w:rFonts w:ascii="仿宋_GB2312" w:eastAsia="仿宋_GB2312" w:hAnsi="仿宋_GB2312" w:cs="仿宋_GB2312"/>
          </w:rPr>
          <w:t>2.1.3是否允许联合体</w:t>
        </w:r>
        <w:r>
          <w:tab/>
        </w:r>
        <w:r>
          <w:fldChar w:fldCharType="begin"/>
        </w:r>
        <w:r>
          <w:instrText xml:space="preserve"> PAGEREF _Toc256000013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4" w:history="1">
        <w:r>
          <w:rPr>
            <w:rStyle w:val="Hyperlink"/>
            <w:rFonts w:ascii="仿宋_GB2312" w:eastAsia="仿宋_GB2312" w:hAnsi="仿宋_GB2312" w:cs="仿宋_GB2312"/>
          </w:rPr>
          <w:t>2.1.4是否专门面向中小企业</w:t>
        </w:r>
        <w:r>
          <w:tab/>
        </w:r>
        <w:r>
          <w:fldChar w:fldCharType="begin"/>
        </w:r>
        <w:r>
          <w:instrText xml:space="preserve"> PAGEREF _Toc256000014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5" w:history="1">
        <w:r>
          <w:rPr>
            <w:rStyle w:val="Hyperlink"/>
            <w:rFonts w:ascii="仿宋_GB2312" w:eastAsia="仿宋_GB2312" w:hAnsi="仿宋_GB2312" w:cs="仿宋_GB2312"/>
          </w:rPr>
          <w:t>2.1.5其他要求</w:t>
        </w:r>
        <w:r>
          <w:tab/>
        </w:r>
        <w:r>
          <w:fldChar w:fldCharType="begin"/>
        </w:r>
        <w:r>
          <w:instrText xml:space="preserve"> PAGEREF _Toc256000015 \h </w:instrText>
        </w:r>
        <w:r>
          <w:fldChar w:fldCharType="separate"/>
        </w:r>
        <w:r>
          <w:t>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6" w:history="1">
        <w:r>
          <w:rPr>
            <w:rStyle w:val="Hyperlink"/>
            <w:rFonts w:ascii="仿宋_GB2312" w:eastAsia="仿宋_GB2312" w:hAnsi="仿宋_GB2312" w:cs="仿宋_GB2312"/>
          </w:rPr>
          <w:t>2.2技术部分投标/响应内容</w:t>
        </w:r>
        <w:r>
          <w:tab/>
        </w:r>
        <w:r>
          <w:fldChar w:fldCharType="begin"/>
        </w:r>
        <w:r>
          <w:instrText xml:space="preserve"> PAGEREF _Toc256000016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7" w:history="1">
        <w:r>
          <w:rPr>
            <w:rStyle w:val="Hyperlink"/>
            <w:rFonts w:ascii="仿宋_GB2312" w:eastAsia="仿宋_GB2312" w:hAnsi="仿宋_GB2312" w:cs="仿宋_GB2312"/>
          </w:rPr>
          <w:t>2.2.1技术投标/响应总要求</w:t>
        </w:r>
        <w:r>
          <w:tab/>
        </w:r>
        <w:r>
          <w:fldChar w:fldCharType="begin"/>
        </w:r>
        <w:r>
          <w:instrText xml:space="preserve"> PAGEREF _Toc256000017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8" w:history="1">
        <w:r>
          <w:rPr>
            <w:rStyle w:val="Hyperlink"/>
            <w:rFonts w:ascii="仿宋_GB2312" w:eastAsia="仿宋_GB2312" w:hAnsi="仿宋_GB2312" w:cs="仿宋_GB2312"/>
          </w:rPr>
          <w:t>2.2.2投标/响应方案要求</w:t>
        </w:r>
        <w:r>
          <w:tab/>
        </w:r>
        <w:r>
          <w:fldChar w:fldCharType="begin"/>
        </w:r>
        <w:r>
          <w:instrText xml:space="preserve"> PAGEREF _Toc256000018 \h </w:instrText>
        </w:r>
        <w:r>
          <w:fldChar w:fldCharType="separate"/>
        </w:r>
        <w:r>
          <w:t>5</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9" w:history="1">
        <w:r>
          <w:rPr>
            <w:rStyle w:val="Hyperlink"/>
            <w:rFonts w:ascii="仿宋_GB2312" w:eastAsia="仿宋_GB2312" w:hAnsi="仿宋_GB2312" w:cs="仿宋_GB2312"/>
            <w:kern w:val="36"/>
          </w:rPr>
          <w:t>3项目需求</w:t>
        </w:r>
        <w:r>
          <w:tab/>
        </w:r>
        <w:r>
          <w:fldChar w:fldCharType="begin"/>
        </w:r>
        <w:r>
          <w:instrText xml:space="preserve"> PAGEREF _Toc256000019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0" w:history="1">
        <w:r>
          <w:rPr>
            <w:rStyle w:val="Hyperlink"/>
            <w:rFonts w:ascii="仿宋_GB2312" w:eastAsia="仿宋_GB2312" w:hAnsi="仿宋_GB2312" w:cs="仿宋_GB2312"/>
          </w:rPr>
          <w:t>3.1总体要求</w:t>
        </w:r>
        <w:r>
          <w:tab/>
        </w:r>
        <w:r>
          <w:fldChar w:fldCharType="begin"/>
        </w:r>
        <w:r>
          <w:instrText xml:space="preserve"> PAGEREF _Toc256000020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1" w:history="1">
        <w:r>
          <w:rPr>
            <w:rStyle w:val="Hyperlink"/>
            <w:rFonts w:ascii="仿宋_GB2312" w:eastAsia="仿宋_GB2312" w:hAnsi="仿宋_GB2312" w:cs="仿宋_GB2312"/>
          </w:rPr>
          <w:t>3.2采购产品一览表</w:t>
        </w:r>
        <w:r>
          <w:tab/>
        </w:r>
        <w:r>
          <w:fldChar w:fldCharType="begin"/>
        </w:r>
        <w:r>
          <w:instrText xml:space="preserve"> PAGEREF _Toc256000021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2" w:history="1">
        <w:r>
          <w:rPr>
            <w:rStyle w:val="Hyperlink"/>
            <w:rFonts w:ascii="仿宋_GB2312" w:eastAsia="仿宋_GB2312" w:hAnsi="仿宋_GB2312" w:cs="仿宋_GB2312"/>
          </w:rPr>
          <w:t>3.3采购产品详细清单及技术指标</w:t>
        </w:r>
        <w:r>
          <w:tab/>
        </w:r>
        <w:r>
          <w:fldChar w:fldCharType="begin"/>
        </w:r>
        <w:r>
          <w:instrText xml:space="preserve"> PAGEREF _Toc256000022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3" w:history="1">
        <w:r>
          <w:rPr>
            <w:rStyle w:val="Hyperlink"/>
            <w:rFonts w:ascii="仿宋_GB2312" w:eastAsia="仿宋_GB2312" w:hAnsi="仿宋_GB2312" w:cs="仿宋_GB2312"/>
          </w:rPr>
          <w:t>3.3.1核心交换机（2台）</w:t>
        </w:r>
        <w:r>
          <w:tab/>
        </w:r>
        <w:r>
          <w:fldChar w:fldCharType="begin"/>
        </w:r>
        <w:r>
          <w:instrText xml:space="preserve"> PAGEREF _Toc256000023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4" w:history="1">
        <w:r>
          <w:rPr>
            <w:rStyle w:val="Hyperlink"/>
            <w:rFonts w:ascii="仿宋_GB2312" w:eastAsia="仿宋_GB2312" w:hAnsi="仿宋_GB2312" w:cs="仿宋_GB2312"/>
          </w:rPr>
          <w:t>3.3.2交换机-25G（2台）</w:t>
        </w:r>
        <w:r>
          <w:tab/>
        </w:r>
        <w:r>
          <w:fldChar w:fldCharType="begin"/>
        </w:r>
        <w:r>
          <w:instrText xml:space="preserve"> PAGEREF _Toc256000024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5" w:history="1">
        <w:r>
          <w:rPr>
            <w:rStyle w:val="Hyperlink"/>
            <w:rFonts w:ascii="仿宋_GB2312" w:eastAsia="仿宋_GB2312" w:hAnsi="仿宋_GB2312" w:cs="仿宋_GB2312"/>
          </w:rPr>
          <w:t>3.3.3交换机板卡（2块）</w:t>
        </w:r>
        <w:r>
          <w:tab/>
        </w:r>
        <w:r>
          <w:fldChar w:fldCharType="begin"/>
        </w:r>
        <w:r>
          <w:instrText xml:space="preserve"> PAGEREF _Toc256000025 \h </w:instrText>
        </w:r>
        <w:r>
          <w:fldChar w:fldCharType="separate"/>
        </w:r>
        <w:r>
          <w:t>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6" w:history="1">
        <w:r>
          <w:rPr>
            <w:rStyle w:val="Hyperlink"/>
            <w:rFonts w:ascii="仿宋_GB2312" w:eastAsia="仿宋_GB2312" w:hAnsi="仿宋_GB2312" w:cs="仿宋_GB2312"/>
          </w:rPr>
          <w:t>3.4服务要求</w:t>
        </w:r>
        <w:r>
          <w:tab/>
        </w:r>
        <w:r>
          <w:fldChar w:fldCharType="begin"/>
        </w:r>
        <w:r>
          <w:instrText xml:space="preserve"> PAGEREF _Toc256000026 \h </w:instrText>
        </w:r>
        <w:r>
          <w:fldChar w:fldCharType="separate"/>
        </w:r>
        <w:r>
          <w:t>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7" w:history="1">
        <w:r>
          <w:rPr>
            <w:rStyle w:val="Hyperlink"/>
            <w:rFonts w:ascii="仿宋_GB2312" w:eastAsia="仿宋_GB2312" w:hAnsi="仿宋_GB2312" w:cs="仿宋_GB2312"/>
          </w:rPr>
          <w:t>3.4.1服务要求</w:t>
        </w:r>
        <w:r>
          <w:tab/>
        </w:r>
        <w:r>
          <w:fldChar w:fldCharType="begin"/>
        </w:r>
        <w:r>
          <w:instrText xml:space="preserve"> PAGEREF _Toc256000027 \h </w:instrText>
        </w:r>
        <w:r>
          <w:fldChar w:fldCharType="separate"/>
        </w:r>
        <w:r>
          <w:t>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8" w:history="1">
        <w:r>
          <w:rPr>
            <w:rStyle w:val="Hyperlink"/>
            <w:rFonts w:ascii="仿宋_GB2312" w:eastAsia="仿宋_GB2312" w:hAnsi="仿宋_GB2312" w:cs="仿宋_GB2312"/>
          </w:rPr>
          <w:t>3.5其他要求</w:t>
        </w:r>
        <w:r>
          <w:tab/>
        </w:r>
        <w:r>
          <w:fldChar w:fldCharType="begin"/>
        </w:r>
        <w:r>
          <w:instrText xml:space="preserve"> PAGEREF _Toc256000028 \h </w:instrText>
        </w:r>
        <w:r>
          <w:fldChar w:fldCharType="separate"/>
        </w:r>
        <w:r>
          <w:t>9</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9" w:history="1">
        <w:r>
          <w:rPr>
            <w:rStyle w:val="Hyperlink"/>
            <w:rFonts w:ascii="仿宋_GB2312" w:eastAsia="仿宋_GB2312" w:hAnsi="仿宋_GB2312" w:cs="仿宋_GB2312"/>
            <w:kern w:val="36"/>
          </w:rPr>
          <w:t>4人员要求</w:t>
        </w:r>
        <w:r>
          <w:tab/>
        </w:r>
        <w:r>
          <w:fldChar w:fldCharType="begin"/>
        </w:r>
        <w:r>
          <w:instrText xml:space="preserve"> PAGEREF _Toc256000029 \h </w:instrText>
        </w:r>
        <w:r>
          <w:fldChar w:fldCharType="separate"/>
        </w:r>
        <w:r>
          <w:t>9</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0" w:history="1">
        <w:r>
          <w:rPr>
            <w:rStyle w:val="Hyperlink"/>
            <w:rFonts w:ascii="仿宋_GB2312" w:eastAsia="仿宋_GB2312" w:hAnsi="仿宋_GB2312" w:cs="仿宋_GB2312"/>
          </w:rPr>
          <w:t>4.1团队要求</w:t>
        </w:r>
        <w:r>
          <w:tab/>
        </w:r>
        <w:r>
          <w:fldChar w:fldCharType="begin"/>
        </w:r>
        <w:r>
          <w:instrText xml:space="preserve"> PAGEREF _Toc256000030 \h </w:instrText>
        </w:r>
        <w:r>
          <w:fldChar w:fldCharType="separate"/>
        </w:r>
        <w:r>
          <w:t>9</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1" w:history="1">
        <w:r>
          <w:rPr>
            <w:rStyle w:val="Hyperlink"/>
            <w:rFonts w:ascii="仿宋_GB2312" w:eastAsia="仿宋_GB2312" w:hAnsi="仿宋_GB2312" w:cs="仿宋_GB2312"/>
          </w:rPr>
          <w:t>4.1.1基本要求</w:t>
        </w:r>
        <w:r>
          <w:tab/>
        </w:r>
        <w:r>
          <w:fldChar w:fldCharType="begin"/>
        </w:r>
        <w:r>
          <w:instrText xml:space="preserve"> PAGEREF _Toc256000031 \h </w:instrText>
        </w:r>
        <w:r>
          <w:fldChar w:fldCharType="separate"/>
        </w:r>
        <w:r>
          <w:t>9</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2" w:history="1">
        <w:r>
          <w:rPr>
            <w:rStyle w:val="Hyperlink"/>
            <w:rFonts w:ascii="仿宋_GB2312" w:eastAsia="仿宋_GB2312" w:hAnsi="仿宋_GB2312" w:cs="仿宋_GB2312"/>
          </w:rPr>
          <w:t>4.1.2优选资质/优选指标</w:t>
        </w:r>
        <w:r>
          <w:tab/>
        </w:r>
        <w:r>
          <w:fldChar w:fldCharType="begin"/>
        </w:r>
        <w:r>
          <w:instrText xml:space="preserve"> PAGEREF _Toc256000032 \h </w:instrText>
        </w:r>
        <w:r>
          <w:fldChar w:fldCharType="separate"/>
        </w:r>
        <w:r>
          <w:t>9</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3" w:history="1">
        <w:r>
          <w:rPr>
            <w:rStyle w:val="Hyperlink"/>
            <w:rFonts w:ascii="仿宋_GB2312" w:eastAsia="仿宋_GB2312" w:hAnsi="仿宋_GB2312" w:cs="仿宋_GB2312"/>
            <w:kern w:val="36"/>
          </w:rPr>
          <w:t>5管理实施要求</w:t>
        </w:r>
        <w:r>
          <w:tab/>
        </w:r>
        <w:r>
          <w:fldChar w:fldCharType="begin"/>
        </w:r>
        <w:r>
          <w:instrText xml:space="preserve"> PAGEREF _Toc256000033 \h </w:instrText>
        </w:r>
        <w:r>
          <w:fldChar w:fldCharType="separate"/>
        </w:r>
        <w:r>
          <w:t>9</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4" w:history="1">
        <w:r>
          <w:rPr>
            <w:rStyle w:val="Hyperlink"/>
            <w:rFonts w:ascii="仿宋_GB2312" w:eastAsia="仿宋_GB2312" w:hAnsi="仿宋_GB2312" w:cs="仿宋_GB2312"/>
            <w:kern w:val="36"/>
          </w:rPr>
          <w:t>6风险管控要求</w:t>
        </w:r>
        <w:r>
          <w:tab/>
        </w:r>
        <w:r>
          <w:fldChar w:fldCharType="begin"/>
        </w:r>
        <w:r>
          <w:instrText xml:space="preserve"> PAGEREF _Toc256000034 \h </w:instrText>
        </w:r>
        <w:r>
          <w:fldChar w:fldCharType="separate"/>
        </w:r>
        <w:r>
          <w:t>10</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5" w:history="1">
        <w:r>
          <w:rPr>
            <w:rStyle w:val="Hyperlink"/>
            <w:rFonts w:ascii="仿宋_GB2312" w:eastAsia="仿宋_GB2312" w:hAnsi="仿宋_GB2312" w:cs="仿宋_GB2312"/>
            <w:kern w:val="36"/>
          </w:rPr>
          <w:t>7履约验收要求</w:t>
        </w:r>
        <w:r>
          <w:tab/>
        </w:r>
        <w:r>
          <w:fldChar w:fldCharType="begin"/>
        </w:r>
        <w:r>
          <w:instrText xml:space="preserve"> PAGEREF _Toc256000035 \h </w:instrText>
        </w:r>
        <w:r>
          <w:fldChar w:fldCharType="separate"/>
        </w:r>
        <w:r>
          <w:t>10</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6" w:history="1">
        <w:r>
          <w:rPr>
            <w:rStyle w:val="Hyperlink"/>
            <w:rFonts w:ascii="仿宋_GB2312" w:eastAsia="仿宋_GB2312" w:hAnsi="仿宋_GB2312" w:cs="仿宋_GB2312"/>
          </w:rPr>
          <w:t>7.1总体要求</w:t>
        </w:r>
        <w:r>
          <w:tab/>
        </w:r>
        <w:r>
          <w:fldChar w:fldCharType="begin"/>
        </w:r>
        <w:r>
          <w:instrText xml:space="preserve"> PAGEREF _Toc256000036 \h </w:instrText>
        </w:r>
        <w:r>
          <w:fldChar w:fldCharType="separate"/>
        </w:r>
        <w:r>
          <w:t>10</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7" w:history="1">
        <w:r>
          <w:rPr>
            <w:rStyle w:val="Hyperlink"/>
            <w:rFonts w:ascii="仿宋_GB2312" w:eastAsia="仿宋_GB2312" w:hAnsi="仿宋_GB2312" w:cs="仿宋_GB2312"/>
          </w:rPr>
          <w:t>7.2具体要求</w:t>
        </w:r>
        <w:r>
          <w:tab/>
        </w:r>
        <w:r>
          <w:fldChar w:fldCharType="begin"/>
        </w:r>
        <w:r>
          <w:instrText xml:space="preserve"> PAGEREF _Toc256000037 \h </w:instrText>
        </w:r>
        <w:r>
          <w:fldChar w:fldCharType="separate"/>
        </w:r>
        <w:r>
          <w:t>10</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8" w:history="1">
        <w:r>
          <w:rPr>
            <w:rStyle w:val="Hyperlink"/>
            <w:rFonts w:ascii="仿宋_GB2312" w:eastAsia="仿宋_GB2312" w:hAnsi="仿宋_GB2312" w:cs="仿宋_GB2312"/>
            <w:kern w:val="36"/>
          </w:rPr>
          <w:t>8其他要求</w:t>
        </w:r>
        <w:r>
          <w:tab/>
        </w:r>
        <w:r>
          <w:fldChar w:fldCharType="begin"/>
        </w:r>
        <w:r>
          <w:instrText xml:space="preserve"> PAGEREF _Toc256000038 \h </w:instrText>
        </w:r>
        <w:r>
          <w:fldChar w:fldCharType="separate"/>
        </w:r>
        <w:r>
          <w:t>10</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9" w:history="1">
        <w:r>
          <w:rPr>
            <w:rStyle w:val="Hyperlink"/>
            <w:rFonts w:ascii="仿宋_GB2312" w:eastAsia="仿宋_GB2312" w:hAnsi="仿宋_GB2312" w:cs="仿宋_GB2312"/>
          </w:rPr>
          <w:t>8.1必备要求</w:t>
        </w:r>
        <w:r>
          <w:tab/>
        </w:r>
        <w:r>
          <w:fldChar w:fldCharType="begin"/>
        </w:r>
        <w:r>
          <w:instrText xml:space="preserve"> PAGEREF _Toc256000039 \h </w:instrText>
        </w:r>
        <w:r>
          <w:fldChar w:fldCharType="separate"/>
        </w:r>
        <w:r>
          <w:t>10</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0" w:history="1">
        <w:r>
          <w:rPr>
            <w:rStyle w:val="Hyperlink"/>
            <w:rFonts w:ascii="仿宋_GB2312" w:eastAsia="仿宋_GB2312" w:hAnsi="仿宋_GB2312" w:cs="仿宋_GB2312"/>
          </w:rPr>
          <w:t>8.1.1通用必备要求</w:t>
        </w:r>
        <w:r>
          <w:tab/>
        </w:r>
        <w:r>
          <w:fldChar w:fldCharType="begin"/>
        </w:r>
        <w:r>
          <w:instrText xml:space="preserve"> PAGEREF _Toc256000040 \h </w:instrText>
        </w:r>
        <w:r>
          <w:fldChar w:fldCharType="separate"/>
        </w:r>
        <w:r>
          <w:t>11</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1" w:history="1">
        <w:r>
          <w:rPr>
            <w:rStyle w:val="Hyperlink"/>
            <w:rFonts w:ascii="仿宋_GB2312" w:eastAsia="仿宋_GB2312" w:hAnsi="仿宋_GB2312" w:cs="仿宋_GB2312"/>
          </w:rPr>
          <w:t>8.1.2★税收信息化项目开发和应用管理工作要求</w:t>
        </w:r>
        <w:r>
          <w:tab/>
        </w:r>
        <w:r>
          <w:fldChar w:fldCharType="begin"/>
        </w:r>
        <w:r>
          <w:instrText xml:space="preserve"> PAGEREF _Toc256000041 \h </w:instrText>
        </w:r>
        <w:r>
          <w:fldChar w:fldCharType="separate"/>
        </w:r>
        <w:r>
          <w:t>11</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2" w:history="1">
        <w:r>
          <w:rPr>
            <w:rStyle w:val="Hyperlink"/>
            <w:rFonts w:ascii="仿宋_GB2312" w:eastAsia="仿宋_GB2312" w:hAnsi="仿宋_GB2312" w:cs="仿宋_GB2312"/>
          </w:rPr>
          <w:t>8.1.3★供应链安全管理要求</w:t>
        </w:r>
        <w:r>
          <w:tab/>
        </w:r>
        <w:r>
          <w:fldChar w:fldCharType="begin"/>
        </w:r>
        <w:r>
          <w:instrText xml:space="preserve"> PAGEREF _Toc256000042 \h </w:instrText>
        </w:r>
        <w:r>
          <w:fldChar w:fldCharType="separate"/>
        </w:r>
        <w:r>
          <w:t>11</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3" w:history="1">
        <w:r>
          <w:rPr>
            <w:rStyle w:val="Hyperlink"/>
            <w:rFonts w:ascii="仿宋_GB2312" w:eastAsia="仿宋_GB2312" w:hAnsi="仿宋_GB2312" w:cs="仿宋_GB2312"/>
          </w:rPr>
          <w:t>8.1.4★信息化服务运维人员要求</w:t>
        </w:r>
        <w:r>
          <w:tab/>
        </w:r>
        <w:r>
          <w:fldChar w:fldCharType="begin"/>
        </w:r>
        <w:r>
          <w:instrText xml:space="preserve"> PAGEREF _Toc256000043 \h </w:instrText>
        </w:r>
        <w:r>
          <w:fldChar w:fldCharType="separate"/>
        </w:r>
        <w:r>
          <w:t>14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4" w:history="1">
        <w:r>
          <w:rPr>
            <w:rStyle w:val="Hyperlink"/>
            <w:rFonts w:ascii="仿宋_GB2312" w:eastAsia="仿宋_GB2312" w:hAnsi="仿宋_GB2312" w:cs="仿宋_GB2312"/>
          </w:rPr>
          <w:t>8.1.5★税收信息化服务商廉政要求</w:t>
        </w:r>
        <w:r>
          <w:tab/>
        </w:r>
        <w:r>
          <w:fldChar w:fldCharType="begin"/>
        </w:r>
        <w:r>
          <w:instrText xml:space="preserve"> PAGEREF _Toc256000044 \h </w:instrText>
        </w:r>
        <w:r>
          <w:fldChar w:fldCharType="separate"/>
        </w:r>
        <w:r>
          <w:t>15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5" w:history="1">
        <w:r>
          <w:rPr>
            <w:rStyle w:val="Hyperlink"/>
            <w:rFonts w:ascii="仿宋_GB2312" w:eastAsia="仿宋_GB2312" w:hAnsi="仿宋_GB2312" w:cs="仿宋_GB2312"/>
          </w:rPr>
          <w:t>8.2付款安排建议</w:t>
        </w:r>
        <w:r>
          <w:tab/>
        </w:r>
        <w:r>
          <w:fldChar w:fldCharType="begin"/>
        </w:r>
        <w:r>
          <w:instrText xml:space="preserve"> PAGEREF _Toc256000045 \h </w:instrText>
        </w:r>
        <w:r>
          <w:fldChar w:fldCharType="separate"/>
        </w:r>
        <w:r>
          <w:t>18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6" w:history="1">
        <w:r>
          <w:rPr>
            <w:rStyle w:val="Hyperlink"/>
            <w:rFonts w:ascii="仿宋_GB2312" w:eastAsia="仿宋_GB2312" w:hAnsi="仿宋_GB2312" w:cs="仿宋_GB2312"/>
          </w:rPr>
          <w:t>8.3其他要求</w:t>
        </w:r>
        <w:r>
          <w:tab/>
        </w:r>
        <w:r>
          <w:fldChar w:fldCharType="begin"/>
        </w:r>
        <w:r>
          <w:instrText xml:space="preserve"> PAGEREF _Toc256000046 \h </w:instrText>
        </w:r>
        <w:r>
          <w:fldChar w:fldCharType="separate"/>
        </w:r>
        <w:r>
          <w:t>18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7" w:history="1">
        <w:r>
          <w:rPr>
            <w:rStyle w:val="Hyperlink"/>
            <w:rFonts w:ascii="仿宋_GB2312" w:eastAsia="仿宋_GB2312" w:hAnsi="仿宋_GB2312" w:cs="仿宋_GB2312"/>
          </w:rPr>
          <w:t>8.3.1保密要求</w:t>
        </w:r>
        <w:r>
          <w:tab/>
        </w:r>
        <w:r>
          <w:fldChar w:fldCharType="begin"/>
        </w:r>
        <w:r>
          <w:instrText xml:space="preserve"> PAGEREF _Toc256000047 \h </w:instrText>
        </w:r>
        <w:r>
          <w:fldChar w:fldCharType="separate"/>
        </w:r>
        <w:r>
          <w:t>18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8" w:history="1">
        <w:r>
          <w:rPr>
            <w:rStyle w:val="Hyperlink"/>
            <w:rFonts w:ascii="仿宋_GB2312" w:eastAsia="仿宋_GB2312" w:hAnsi="仿宋_GB2312" w:cs="仿宋_GB2312"/>
          </w:rPr>
          <w:t>8.3.2知识产权要求</w:t>
        </w:r>
        <w:r>
          <w:tab/>
        </w:r>
        <w:r>
          <w:fldChar w:fldCharType="begin"/>
        </w:r>
        <w:r>
          <w:instrText xml:space="preserve"> PAGEREF _Toc256000048 \h </w:instrText>
        </w:r>
        <w:r>
          <w:fldChar w:fldCharType="separate"/>
        </w:r>
        <w:r>
          <w:t>19</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9" w:history="1">
        <w:r>
          <w:rPr>
            <w:rStyle w:val="Hyperlink"/>
            <w:rFonts w:ascii="仿宋_GB2312" w:eastAsia="仿宋_GB2312" w:hAnsi="仿宋_GB2312" w:cs="仿宋_GB2312"/>
          </w:rPr>
          <w:t>8.3.3其它</w:t>
        </w:r>
        <w:r>
          <w:tab/>
        </w:r>
        <w:r>
          <w:fldChar w:fldCharType="begin"/>
        </w:r>
        <w:r>
          <w:instrText xml:space="preserve"> PAGEREF _Toc256000049 \h </w:instrText>
        </w:r>
        <w:r>
          <w:fldChar w:fldCharType="separate"/>
        </w:r>
        <w:r>
          <w:t>19</w:t>
        </w:r>
        <w:r>
          <w:fldChar w:fldCharType="end"/>
        </w:r>
      </w:hyperlink>
    </w:p>
    <w:p>
      <w:pPr>
        <w:pStyle w:val="Normal0"/>
        <w:spacing w:before="0" w:after="0" w:line="360" w:lineRule="auto"/>
        <w:jc w:val="left"/>
      </w:pPr>
      <w:r w:rsidR="00A77B3E">
        <w:rPr>
          <w:rFonts w:ascii="SimSun" w:eastAsia="SimSun" w:hAnsi="SimSun" w:cs="SimSun"/>
          <w:sz w:val="32"/>
        </w:rPr>
        <w:fldChar w:fldCharType="end"/>
      </w:r>
      <w:r>
        <w:br w:type="page"/>
      </w:r>
    </w:p>
    <w:p>
      <w:pPr>
        <w:pStyle w:val="Heading10"/>
        <w:keepNext w:val="0"/>
        <w:spacing w:before="0" w:after="0" w:line="360" w:lineRule="auto"/>
        <w:jc w:val="center"/>
        <w:rPr>
          <w:rFonts w:ascii="仿宋_GB2312" w:eastAsia="仿宋_GB2312" w:hAnsi="仿宋_GB2312" w:cs="仿宋_GB2312"/>
          <w:b/>
          <w:bCs/>
          <w:sz w:val="32"/>
          <w:szCs w:val="32"/>
        </w:rPr>
      </w:pPr>
      <w:bookmarkStart w:id="4" w:name="_Toc256000000"/>
      <w:r>
        <w:rPr>
          <w:rFonts w:ascii="仿宋_GB2312" w:eastAsia="仿宋_GB2312" w:hAnsi="仿宋_GB2312" w:cs="仿宋_GB2312"/>
          <w:kern w:val="36"/>
        </w:rPr>
        <w:t>1项目概述</w:t>
      </w:r>
      <w:bookmarkEnd w:id="4"/>
    </w:p>
    <w:p>
      <w:pPr>
        <w:pStyle w:val="Heading20"/>
        <w:keepNext w:val="0"/>
        <w:spacing w:before="0" w:after="0" w:line="360" w:lineRule="auto"/>
        <w:rPr>
          <w:rFonts w:ascii="仿宋_GB2312" w:eastAsia="仿宋_GB2312" w:hAnsi="仿宋_GB2312" w:cs="仿宋_GB2312"/>
          <w:b/>
          <w:bCs/>
          <w:sz w:val="28"/>
          <w:szCs w:val="28"/>
        </w:rPr>
      </w:pPr>
      <w:bookmarkStart w:id="5" w:name="_Toc256000001"/>
      <w:r>
        <w:rPr>
          <w:rFonts w:ascii="仿宋_GB2312" w:eastAsia="仿宋_GB2312" w:hAnsi="仿宋_GB2312" w:cs="仿宋_GB2312"/>
          <w:i w:val="0"/>
          <w:iCs w:val="0"/>
        </w:rPr>
        <w:t>1.1项目背景</w:t>
      </w:r>
      <w:bookmarkEnd w:id="5"/>
    </w:p>
    <w:p>
      <w:pPr>
        <w:pStyle w:val="Heading30"/>
        <w:keepNext w:val="0"/>
        <w:spacing w:before="0" w:after="0" w:line="360" w:lineRule="auto"/>
        <w:rPr>
          <w:rFonts w:ascii="仿宋_GB2312" w:eastAsia="仿宋_GB2312" w:hAnsi="仿宋_GB2312" w:cs="仿宋_GB2312"/>
          <w:b/>
          <w:bCs/>
          <w:sz w:val="28"/>
          <w:szCs w:val="28"/>
        </w:rPr>
      </w:pPr>
      <w:bookmarkStart w:id="6" w:name="_Toc256000002"/>
      <w:r>
        <w:rPr>
          <w:rFonts w:ascii="仿宋_GB2312" w:eastAsia="仿宋_GB2312" w:hAnsi="仿宋_GB2312" w:cs="仿宋_GB2312"/>
          <w:sz w:val="28"/>
          <w:szCs w:val="28"/>
        </w:rPr>
        <w:t>1.1.1项目目的、意义及背景</w:t>
      </w:r>
      <w:bookmarkEnd w:id="6"/>
    </w:p>
    <w:p>
      <w:pPr>
        <w:pStyle w:val="MsoNormal"/>
        <w:spacing w:before="0" w:after="0" w:line="360" w:lineRule="auto"/>
        <w:ind w:left="0" w:right="0"/>
      </w:pPr>
      <w:r>
        <w:rPr>
          <w:rFonts w:ascii="仿宋_GB2312" w:eastAsia="仿宋_GB2312" w:hAnsi="仿宋_GB2312" w:cs="仿宋_GB2312"/>
          <w:sz w:val="28"/>
          <w:szCs w:val="28"/>
        </w:rPr>
        <w:t>省局数据中心税务专网核心交换机运行已超过十年，设备资源较为紧张，设备性能逐渐不能满足数据中心接入设备运行质量和运行效率的要求，为确保数据中心税务专网网络系统安全稳定运行，购买核心交换机更新替换现有核心交换机。</w:t>
      </w:r>
    </w:p>
    <w:p>
      <w:pPr>
        <w:pStyle w:val="Heading20"/>
        <w:keepNext w:val="0"/>
        <w:spacing w:before="0" w:after="0" w:line="360" w:lineRule="auto"/>
        <w:rPr>
          <w:rFonts w:ascii="仿宋_GB2312" w:eastAsia="仿宋_GB2312" w:hAnsi="仿宋_GB2312" w:cs="仿宋_GB2312"/>
          <w:b/>
          <w:bCs/>
          <w:sz w:val="28"/>
          <w:szCs w:val="28"/>
        </w:rPr>
      </w:pPr>
      <w:bookmarkStart w:id="7" w:name="_Toc256000003"/>
      <w:r>
        <w:rPr>
          <w:rFonts w:ascii="仿宋_GB2312" w:eastAsia="仿宋_GB2312" w:hAnsi="仿宋_GB2312" w:cs="仿宋_GB2312"/>
          <w:i w:val="0"/>
          <w:iCs w:val="0"/>
        </w:rPr>
        <w:t>1.2项目内容</w:t>
      </w:r>
      <w:bookmarkEnd w:id="7"/>
    </w:p>
    <w:p>
      <w:pPr>
        <w:pStyle w:val="Heading30"/>
        <w:keepNext w:val="0"/>
        <w:spacing w:before="0" w:after="0" w:line="360" w:lineRule="auto"/>
        <w:rPr>
          <w:rFonts w:ascii="仿宋_GB2312" w:eastAsia="仿宋_GB2312" w:hAnsi="仿宋_GB2312" w:cs="仿宋_GB2312"/>
          <w:b/>
          <w:bCs/>
          <w:sz w:val="28"/>
          <w:szCs w:val="28"/>
        </w:rPr>
      </w:pPr>
      <w:bookmarkStart w:id="8" w:name="_Toc256000004"/>
      <w:r>
        <w:rPr>
          <w:rFonts w:ascii="仿宋_GB2312" w:eastAsia="仿宋_GB2312" w:hAnsi="仿宋_GB2312" w:cs="仿宋_GB2312"/>
          <w:sz w:val="28"/>
          <w:szCs w:val="28"/>
        </w:rPr>
        <w:t>1.2.1项目建设思路</w:t>
      </w:r>
      <w:bookmarkEnd w:id="8"/>
    </w:p>
    <w:p>
      <w:pPr>
        <w:pStyle w:val="MsoNormal"/>
        <w:spacing w:before="0" w:after="0" w:line="360" w:lineRule="auto"/>
        <w:ind w:left="0" w:right="0"/>
      </w:pPr>
      <w:r>
        <w:rPr>
          <w:rFonts w:ascii="仿宋_GB2312" w:eastAsia="仿宋_GB2312" w:hAnsi="仿宋_GB2312" w:cs="仿宋_GB2312"/>
          <w:sz w:val="28"/>
          <w:szCs w:val="28"/>
        </w:rPr>
        <w:t>采购满足数据中心使用的核心交换机及板卡，确保数据中心税务专网网络系统安全稳定运行</w:t>
      </w:r>
      <w:r>
        <w:rPr>
          <w:rFonts w:ascii="仿宋_GB2312" w:eastAsia="仿宋_GB2312" w:hAnsi="仿宋_GB2312" w:cs="仿宋_GB2312"/>
          <w:sz w:val="28"/>
          <w:szCs w:val="28"/>
        </w:rPr>
        <w:t>。</w:t>
      </w:r>
    </w:p>
    <w:p>
      <w:pPr>
        <w:pStyle w:val="Heading30"/>
        <w:keepNext w:val="0"/>
        <w:spacing w:before="0" w:after="0" w:line="360" w:lineRule="auto"/>
        <w:rPr>
          <w:rFonts w:ascii="仿宋_GB2312" w:eastAsia="仿宋_GB2312" w:hAnsi="仿宋_GB2312" w:cs="仿宋_GB2312"/>
          <w:b/>
          <w:bCs/>
          <w:sz w:val="28"/>
          <w:szCs w:val="28"/>
        </w:rPr>
      </w:pPr>
      <w:bookmarkStart w:id="9" w:name="_Toc256000005"/>
      <w:r>
        <w:rPr>
          <w:rFonts w:ascii="仿宋_GB2312" w:eastAsia="仿宋_GB2312" w:hAnsi="仿宋_GB2312" w:cs="仿宋_GB2312"/>
          <w:sz w:val="28"/>
          <w:szCs w:val="28"/>
        </w:rPr>
        <w:t>1.2.2采购内容</w:t>
      </w:r>
      <w:bookmarkEnd w:id="9"/>
    </w:p>
    <w:p>
      <w:pPr>
        <w:pStyle w:val="MsoNormal"/>
        <w:spacing w:before="0" w:after="0" w:line="360" w:lineRule="auto"/>
        <w:ind w:left="0" w:right="0"/>
      </w:pPr>
      <w:r>
        <w:rPr>
          <w:rFonts w:ascii="仿宋_GB2312" w:eastAsia="仿宋_GB2312" w:hAnsi="仿宋_GB2312" w:cs="仿宋_GB2312"/>
          <w:sz w:val="28"/>
          <w:szCs w:val="28"/>
        </w:rPr>
        <w:t>核心交换机</w:t>
      </w:r>
      <w:r>
        <w:rPr>
          <w:rFonts w:ascii="仿宋_GB2312" w:eastAsia="仿宋_GB2312" w:hAnsi="仿宋_GB2312" w:cs="仿宋_GB2312"/>
          <w:sz w:val="28"/>
          <w:szCs w:val="28"/>
        </w:rPr>
        <w:t>2台、25G交换机2台，交换机板卡2块。</w:t>
      </w:r>
    </w:p>
    <w:p>
      <w:pPr>
        <w:pStyle w:val="Heading30"/>
        <w:keepNext w:val="0"/>
        <w:spacing w:before="0" w:after="0" w:line="360" w:lineRule="auto"/>
        <w:rPr>
          <w:rFonts w:ascii="仿宋_GB2312" w:eastAsia="仿宋_GB2312" w:hAnsi="仿宋_GB2312" w:cs="仿宋_GB2312"/>
          <w:b/>
          <w:bCs/>
          <w:sz w:val="28"/>
          <w:szCs w:val="28"/>
        </w:rPr>
      </w:pPr>
      <w:bookmarkStart w:id="10" w:name="_Toc256000006"/>
      <w:r>
        <w:rPr>
          <w:rFonts w:ascii="仿宋_GB2312" w:eastAsia="仿宋_GB2312" w:hAnsi="仿宋_GB2312" w:cs="仿宋_GB2312"/>
          <w:sz w:val="28"/>
          <w:szCs w:val="28"/>
        </w:rPr>
        <w:t>1.2.3项目实施要求</w:t>
      </w:r>
      <w:bookmarkEnd w:id="10"/>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1.2.3.1实施范围要求</w:t>
      </w:r>
    </w:p>
    <w:p>
      <w:pPr>
        <w:pStyle w:val="MsoNormal"/>
        <w:spacing w:before="0" w:after="0" w:line="360" w:lineRule="auto"/>
        <w:ind w:left="0" w:right="0"/>
      </w:pPr>
      <w:r>
        <w:rPr>
          <w:rFonts w:ascii="仿宋_GB2312" w:eastAsia="仿宋_GB2312" w:hAnsi="仿宋_GB2312" w:cs="仿宋_GB2312"/>
          <w:sz w:val="28"/>
          <w:szCs w:val="28"/>
        </w:rPr>
        <w:t>应用于吉林省税务局数据中心。</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1.2.3.2实施时间要求</w:t>
      </w:r>
    </w:p>
    <w:p>
      <w:pPr>
        <w:pStyle w:val="MsoNormal"/>
        <w:spacing w:before="0" w:after="0" w:line="360" w:lineRule="auto"/>
        <w:ind w:left="0" w:right="0"/>
      </w:pPr>
      <w:r>
        <w:rPr>
          <w:rFonts w:ascii="仿宋_GB2312" w:eastAsia="仿宋_GB2312" w:hAnsi="仿宋_GB2312" w:cs="仿宋_GB2312"/>
          <w:sz w:val="28"/>
          <w:szCs w:val="28"/>
        </w:rPr>
        <w:t>到货期限：自合同签订之日起</w:t>
      </w:r>
      <w:r>
        <w:rPr>
          <w:rFonts w:ascii="仿宋_GB2312" w:eastAsia="仿宋_GB2312" w:hAnsi="仿宋_GB2312" w:cs="仿宋_GB2312"/>
          <w:sz w:val="28"/>
          <w:szCs w:val="28"/>
        </w:rPr>
        <w:t>15天内到达吉林省税务局指定地点，货物达到后15天内完成部署上线，并保证所有设备稳定运行。</w:t>
      </w:r>
    </w:p>
    <w:p>
      <w:pPr>
        <w:pStyle w:val="MsoNormal"/>
        <w:spacing w:before="0" w:after="0" w:line="360" w:lineRule="auto"/>
        <w:ind w:left="0" w:right="0"/>
      </w:pPr>
      <w:r>
        <w:rPr>
          <w:rFonts w:ascii="仿宋_GB2312" w:eastAsia="仿宋_GB2312" w:hAnsi="仿宋_GB2312" w:cs="仿宋_GB2312"/>
          <w:sz w:val="28"/>
          <w:szCs w:val="28"/>
        </w:rPr>
        <w:t>质量保障服务期限：自验收通过之日起三年。</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1.2.3.3实施地点要求</w:t>
      </w:r>
    </w:p>
    <w:p>
      <w:pPr>
        <w:pStyle w:val="MsoNormal"/>
        <w:spacing w:before="0" w:after="0" w:line="360" w:lineRule="auto"/>
        <w:ind w:left="0" w:right="0"/>
      </w:pPr>
      <w:r>
        <w:rPr>
          <w:rFonts w:ascii="FangSong_GB2312" w:eastAsia="FangSong_GB2312" w:hAnsi="FangSong_GB2312" w:cs="FangSong_GB2312"/>
          <w:sz w:val="28"/>
          <w:szCs w:val="28"/>
        </w:rPr>
        <w:t>国家税务总局吉林省税务局</w:t>
      </w:r>
    </w:p>
    <w:p>
      <w:pPr>
        <w:pStyle w:val="Heading20"/>
        <w:keepNext w:val="0"/>
        <w:spacing w:before="0" w:after="0" w:line="360" w:lineRule="auto"/>
        <w:rPr>
          <w:rFonts w:ascii="仿宋_GB2312" w:eastAsia="仿宋_GB2312" w:hAnsi="仿宋_GB2312" w:cs="仿宋_GB2312"/>
          <w:b/>
          <w:bCs/>
          <w:sz w:val="28"/>
          <w:szCs w:val="28"/>
        </w:rPr>
      </w:pPr>
      <w:bookmarkStart w:id="11" w:name="_Toc256000007"/>
      <w:r>
        <w:rPr>
          <w:rFonts w:ascii="仿宋_GB2312" w:eastAsia="仿宋_GB2312" w:hAnsi="仿宋_GB2312" w:cs="仿宋_GB2312"/>
          <w:i w:val="0"/>
          <w:iCs w:val="0"/>
        </w:rPr>
        <w:t>1.3其他要求</w:t>
      </w:r>
      <w:bookmarkEnd w:id="11"/>
    </w:p>
    <w:p>
      <w:pPr>
        <w:pStyle w:val="Heading30"/>
        <w:keepNext w:val="0"/>
        <w:spacing w:before="0" w:after="0" w:line="360" w:lineRule="auto"/>
        <w:rPr>
          <w:rFonts w:ascii="仿宋_GB2312" w:eastAsia="仿宋_GB2312" w:hAnsi="仿宋_GB2312" w:cs="仿宋_GB2312"/>
          <w:b/>
          <w:bCs/>
          <w:sz w:val="28"/>
          <w:szCs w:val="28"/>
        </w:rPr>
      </w:pPr>
      <w:bookmarkStart w:id="12" w:name="_Toc256000008"/>
      <w:r>
        <w:rPr>
          <w:rFonts w:ascii="仿宋_GB2312" w:eastAsia="仿宋_GB2312" w:hAnsi="仿宋_GB2312" w:cs="仿宋_GB2312"/>
          <w:sz w:val="28"/>
          <w:szCs w:val="28"/>
        </w:rPr>
        <w:t>1.3.1采购标的需执行的相关标准规范</w:t>
      </w:r>
      <w:bookmarkEnd w:id="12"/>
    </w:p>
    <w:p>
      <w:pPr>
        <w:pStyle w:val="MsoNormal"/>
        <w:spacing w:before="0" w:after="0" w:line="360" w:lineRule="auto"/>
        <w:ind w:left="0" w:right="0"/>
      </w:pPr>
      <w:r>
        <w:rPr>
          <w:rFonts w:ascii="仿宋_GB2312" w:eastAsia="仿宋_GB2312" w:hAnsi="仿宋_GB2312" w:cs="仿宋_GB2312"/>
          <w:sz w:val="28"/>
          <w:szCs w:val="28"/>
        </w:rPr>
        <w:t>按照网络安全法和数据安全法等法律法规要求，确保数据中心税务专网网络系统安全稳定运行</w:t>
      </w:r>
      <w:r>
        <w:rPr>
          <w:rFonts w:ascii="仿宋_GB2312" w:eastAsia="仿宋_GB2312" w:hAnsi="仿宋_GB2312" w:cs="仿宋_GB2312"/>
          <w:sz w:val="28"/>
          <w:szCs w:val="28"/>
        </w:rPr>
        <w:t>。</w:t>
      </w:r>
    </w:p>
    <w:p>
      <w:pPr>
        <w:pStyle w:val="Heading10"/>
        <w:keepNext w:val="0"/>
        <w:spacing w:before="0" w:after="0" w:line="360" w:lineRule="auto"/>
        <w:jc w:val="center"/>
        <w:rPr>
          <w:rFonts w:ascii="仿宋_GB2312" w:eastAsia="仿宋_GB2312" w:hAnsi="仿宋_GB2312" w:cs="仿宋_GB2312"/>
          <w:b/>
          <w:bCs/>
          <w:sz w:val="32"/>
          <w:szCs w:val="32"/>
        </w:rPr>
      </w:pPr>
      <w:bookmarkStart w:id="13" w:name="_Toc256000009"/>
      <w:r>
        <w:rPr>
          <w:rFonts w:ascii="仿宋_GB2312" w:eastAsia="仿宋_GB2312" w:hAnsi="仿宋_GB2312" w:cs="仿宋_GB2312"/>
          <w:kern w:val="36"/>
        </w:rPr>
        <w:t>2投标/响应要求</w:t>
      </w:r>
      <w:bookmarkEnd w:id="13"/>
    </w:p>
    <w:p>
      <w:pPr>
        <w:pStyle w:val="Heading20"/>
        <w:keepNext w:val="0"/>
        <w:spacing w:before="0" w:after="0" w:line="360" w:lineRule="auto"/>
        <w:rPr>
          <w:rFonts w:ascii="仿宋_GB2312" w:eastAsia="仿宋_GB2312" w:hAnsi="仿宋_GB2312" w:cs="仿宋_GB2312"/>
          <w:b/>
          <w:bCs/>
          <w:sz w:val="28"/>
          <w:szCs w:val="28"/>
        </w:rPr>
      </w:pPr>
      <w:bookmarkStart w:id="14" w:name="_Toc256000010"/>
      <w:r>
        <w:rPr>
          <w:rFonts w:ascii="仿宋_GB2312" w:eastAsia="仿宋_GB2312" w:hAnsi="仿宋_GB2312" w:cs="仿宋_GB2312"/>
          <w:i w:val="0"/>
          <w:iCs w:val="0"/>
        </w:rPr>
        <w:t>2.1对供应商的要求</w:t>
      </w:r>
      <w:bookmarkEnd w:id="14"/>
    </w:p>
    <w:p>
      <w:pPr>
        <w:pStyle w:val="Heading30"/>
        <w:keepNext w:val="0"/>
        <w:spacing w:before="0" w:after="0" w:line="360" w:lineRule="auto"/>
        <w:rPr>
          <w:rFonts w:ascii="仿宋_GB2312" w:eastAsia="仿宋_GB2312" w:hAnsi="仿宋_GB2312" w:cs="仿宋_GB2312"/>
          <w:b/>
          <w:bCs/>
          <w:sz w:val="28"/>
          <w:szCs w:val="28"/>
        </w:rPr>
      </w:pPr>
      <w:bookmarkStart w:id="15" w:name="_Toc256000011"/>
      <w:r>
        <w:rPr>
          <w:rFonts w:ascii="仿宋_GB2312" w:eastAsia="仿宋_GB2312" w:hAnsi="仿宋_GB2312" w:cs="仿宋_GB2312"/>
          <w:sz w:val="28"/>
          <w:szCs w:val="28"/>
        </w:rPr>
        <w:t>2.1.1必备资质</w:t>
      </w:r>
      <w:bookmarkEnd w:id="15"/>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2.1.1.2本项目的特定资格要求</w:t>
      </w:r>
    </w:p>
    <w:p>
      <w:pPr>
        <w:pStyle w:val="Normal0"/>
        <w:spacing w:before="0" w:after="0" w:line="360" w:lineRule="auto"/>
        <w:rPr>
          <w:rFonts w:ascii="Times New Roman" w:eastAsia="Times New Roman" w:hAnsi="Times New Roman" w:cs="Times New Roman"/>
        </w:rPr>
      </w:pPr>
      <w:r>
        <w:rPr>
          <w:rFonts w:ascii="FangSong_GB2312" w:eastAsia="FangSong_GB2312" w:hAnsi="FangSong_GB2312" w:cs="FangSong_GB2312"/>
          <w:color w:val="95A5A6"/>
          <w:sz w:val="28"/>
          <w:szCs w:val="28"/>
        </w:rPr>
        <w:t>无。</w:t>
      </w:r>
    </w:p>
    <w:p>
      <w:pPr>
        <w:pStyle w:val="Heading30"/>
        <w:keepNext w:val="0"/>
        <w:spacing w:before="0" w:after="0" w:line="360" w:lineRule="auto"/>
        <w:rPr>
          <w:rFonts w:ascii="仿宋_GB2312" w:eastAsia="仿宋_GB2312" w:hAnsi="仿宋_GB2312" w:cs="仿宋_GB2312"/>
          <w:b/>
          <w:bCs/>
          <w:sz w:val="28"/>
          <w:szCs w:val="28"/>
        </w:rPr>
      </w:pPr>
      <w:bookmarkStart w:id="16" w:name="_Toc256000012"/>
      <w:r>
        <w:rPr>
          <w:rFonts w:ascii="仿宋_GB2312" w:eastAsia="仿宋_GB2312" w:hAnsi="仿宋_GB2312" w:cs="仿宋_GB2312"/>
          <w:sz w:val="28"/>
          <w:szCs w:val="28"/>
        </w:rPr>
        <w:t>2.1.2优选资质/优选指标</w:t>
      </w:r>
      <w:bookmarkEnd w:id="16"/>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Style w:val="TableNormal"/>
        <w:tblW w:w="5000" w:type="pct"/>
        <w:tblInd w:w="30" w:type="dxa"/>
        <w:tblCellMar>
          <w:top w:w="15" w:type="dxa"/>
          <w:left w:w="15" w:type="dxa"/>
          <w:bottom w:w="15" w:type="dxa"/>
          <w:right w:w="15" w:type="dxa"/>
        </w:tblCellMar>
      </w:tblPr>
      <w:tblGrid>
        <w:gridCol w:w="1413"/>
        <w:gridCol w:w="3386"/>
        <w:gridCol w:w="4271"/>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备注</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信息安全管理体系认证(ISO/IEC 27001)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认证机构经国家认证认可监督管理委员会批准且在有效期内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信息技术服务管理体系认证(ISO/IEC 20000)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认证机构经国家认证认可监督管理委员会批准且在有效期内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质量管理体系认证证书(ISO9001)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认证机构经国家认证认可监督管理委员会批准且在有效期内</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pStyle w:val="Normal0"/>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提供</w:t>
      </w:r>
      <w:r>
        <w:rPr>
          <w:rFonts w:ascii="仿宋_GB2312" w:eastAsia="仿宋_GB2312" w:hAnsi="仿宋_GB2312" w:cs="仿宋_GB2312"/>
          <w:sz w:val="28"/>
          <w:szCs w:val="28"/>
        </w:rPr>
        <w:t>2022年1月1日以来（以合同签订日期为准）独立承担类似项目成功案例。</w:t>
      </w:r>
    </w:p>
    <w:p>
      <w:pPr>
        <w:pStyle w:val="Heading30"/>
        <w:keepNext w:val="0"/>
        <w:spacing w:before="0" w:after="0" w:line="360" w:lineRule="auto"/>
        <w:rPr>
          <w:rFonts w:ascii="仿宋_GB2312" w:eastAsia="仿宋_GB2312" w:hAnsi="仿宋_GB2312" w:cs="仿宋_GB2312"/>
          <w:b/>
          <w:bCs/>
          <w:sz w:val="28"/>
          <w:szCs w:val="28"/>
        </w:rPr>
      </w:pPr>
      <w:bookmarkStart w:id="17" w:name="_Toc256000013"/>
      <w:r>
        <w:rPr>
          <w:rFonts w:ascii="仿宋_GB2312" w:eastAsia="仿宋_GB2312" w:hAnsi="仿宋_GB2312" w:cs="仿宋_GB2312"/>
          <w:sz w:val="28"/>
          <w:szCs w:val="28"/>
        </w:rPr>
        <w:t>2.1.3是否允许联合体</w:t>
      </w:r>
      <w:bookmarkEnd w:id="17"/>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0"/>
        <w:keepNext w:val="0"/>
        <w:spacing w:before="0" w:after="0" w:line="360" w:lineRule="auto"/>
        <w:rPr>
          <w:rFonts w:ascii="仿宋_GB2312" w:eastAsia="仿宋_GB2312" w:hAnsi="仿宋_GB2312" w:cs="仿宋_GB2312"/>
          <w:b/>
          <w:bCs/>
          <w:sz w:val="28"/>
          <w:szCs w:val="28"/>
        </w:rPr>
      </w:pPr>
      <w:bookmarkStart w:id="18" w:name="_Toc256000014"/>
      <w:r>
        <w:rPr>
          <w:rFonts w:ascii="仿宋_GB2312" w:eastAsia="仿宋_GB2312" w:hAnsi="仿宋_GB2312" w:cs="仿宋_GB2312"/>
          <w:sz w:val="28"/>
          <w:szCs w:val="28"/>
        </w:rPr>
        <w:t>2.1.4是否专门面向中小企业</w:t>
      </w:r>
      <w:bookmarkEnd w:id="18"/>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本项目不专门面向中小企业采购项目</w:t>
      </w:r>
    </w:p>
    <w:p>
      <w:pPr>
        <w:pStyle w:val="Heading30"/>
        <w:keepNext w:val="0"/>
        <w:spacing w:before="0" w:after="0" w:line="360" w:lineRule="auto"/>
        <w:rPr>
          <w:rFonts w:ascii="仿宋_GB2312" w:eastAsia="仿宋_GB2312" w:hAnsi="仿宋_GB2312" w:cs="仿宋_GB2312"/>
          <w:b/>
          <w:bCs/>
          <w:sz w:val="28"/>
          <w:szCs w:val="28"/>
        </w:rPr>
      </w:pPr>
      <w:bookmarkStart w:id="19" w:name="_Toc256000015"/>
      <w:r>
        <w:rPr>
          <w:rFonts w:ascii="仿宋_GB2312" w:eastAsia="仿宋_GB2312" w:hAnsi="仿宋_GB2312" w:cs="仿宋_GB2312"/>
          <w:sz w:val="28"/>
          <w:szCs w:val="28"/>
        </w:rPr>
        <w:t>2.1.5其他要求</w:t>
      </w:r>
      <w:bookmarkEnd w:id="19"/>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无。</w:t>
      </w:r>
    </w:p>
    <w:p>
      <w:pPr>
        <w:pStyle w:val="Heading20"/>
        <w:keepNext w:val="0"/>
        <w:spacing w:before="0" w:after="0" w:line="360" w:lineRule="auto"/>
        <w:rPr>
          <w:rFonts w:ascii="仿宋_GB2312" w:eastAsia="仿宋_GB2312" w:hAnsi="仿宋_GB2312" w:cs="仿宋_GB2312"/>
          <w:b/>
          <w:bCs/>
          <w:sz w:val="28"/>
          <w:szCs w:val="28"/>
        </w:rPr>
      </w:pPr>
      <w:bookmarkStart w:id="20" w:name="_Toc256000016"/>
      <w:r>
        <w:rPr>
          <w:rFonts w:ascii="仿宋_GB2312" w:eastAsia="仿宋_GB2312" w:hAnsi="仿宋_GB2312" w:cs="仿宋_GB2312"/>
          <w:i w:val="0"/>
          <w:iCs w:val="0"/>
        </w:rPr>
        <w:t>2.2技术部分投标/响应内容</w:t>
      </w:r>
      <w:bookmarkEnd w:id="20"/>
    </w:p>
    <w:p>
      <w:pPr>
        <w:pStyle w:val="Heading30"/>
        <w:keepNext w:val="0"/>
        <w:spacing w:before="0" w:after="0" w:line="360" w:lineRule="auto"/>
        <w:rPr>
          <w:rFonts w:ascii="仿宋_GB2312" w:eastAsia="仿宋_GB2312" w:hAnsi="仿宋_GB2312" w:cs="仿宋_GB2312"/>
          <w:b/>
          <w:bCs/>
          <w:sz w:val="28"/>
          <w:szCs w:val="28"/>
        </w:rPr>
      </w:pPr>
      <w:bookmarkStart w:id="21" w:name="_Toc256000017"/>
      <w:r>
        <w:rPr>
          <w:rFonts w:ascii="仿宋_GB2312" w:eastAsia="仿宋_GB2312" w:hAnsi="仿宋_GB2312" w:cs="仿宋_GB2312"/>
          <w:sz w:val="28"/>
          <w:szCs w:val="28"/>
        </w:rPr>
        <w:t>2.2.1技术投标/响应总要求</w:t>
      </w:r>
      <w:bookmarkEnd w:id="21"/>
    </w:p>
    <w:p>
      <w:pPr>
        <w:pStyle w:val="MsoNormal"/>
        <w:spacing w:before="0" w:after="0" w:line="360" w:lineRule="auto"/>
        <w:ind w:left="0" w:right="0"/>
      </w:pPr>
      <w:r>
        <w:rPr>
          <w:rFonts w:ascii="仿宋_GB2312" w:eastAsia="仿宋_GB2312" w:hAnsi="仿宋_GB2312" w:cs="仿宋_GB2312"/>
          <w:sz w:val="28"/>
          <w:szCs w:val="28"/>
        </w:rPr>
        <w:t>（</w:t>
      </w:r>
      <w:r>
        <w:rPr>
          <w:rFonts w:ascii="仿宋_GB2312" w:eastAsia="仿宋_GB2312" w:hAnsi="仿宋_GB2312" w:cs="仿宋_GB2312"/>
          <w:sz w:val="28"/>
          <w:szCs w:val="28"/>
        </w:rPr>
        <w:t>1）需提供法人或者其他组织的营业执照等证明文件（复印件）。</w:t>
      </w:r>
    </w:p>
    <w:p>
      <w:pPr>
        <w:pStyle w:val="MsoNormal"/>
        <w:spacing w:before="0" w:after="0" w:line="360" w:lineRule="auto"/>
        <w:ind w:left="0" w:right="0"/>
      </w:pPr>
      <w:r>
        <w:rPr>
          <w:rFonts w:ascii="仿宋_GB2312" w:eastAsia="仿宋_GB2312" w:hAnsi="仿宋_GB2312" w:cs="仿宋_GB2312"/>
          <w:sz w:val="28"/>
          <w:szCs w:val="28"/>
        </w:rPr>
        <w:t>（</w:t>
      </w:r>
      <w:r>
        <w:rPr>
          <w:rFonts w:ascii="仿宋_GB2312" w:eastAsia="仿宋_GB2312" w:hAnsi="仿宋_GB2312" w:cs="仿宋_GB2312"/>
          <w:sz w:val="28"/>
          <w:szCs w:val="28"/>
        </w:rPr>
        <w:t>2）需提供2024年度经会计师事务所审计的财务报告，包括资产负债表、利润表(损益表、收益表)、现金流量表。</w:t>
      </w:r>
    </w:p>
    <w:p>
      <w:pPr>
        <w:pStyle w:val="MsoNormal"/>
        <w:spacing w:before="0" w:after="0" w:line="360" w:lineRule="auto"/>
        <w:ind w:left="0" w:right="0"/>
      </w:pPr>
      <w:r>
        <w:rPr>
          <w:rFonts w:ascii="仿宋_GB2312" w:eastAsia="仿宋_GB2312" w:hAnsi="仿宋_GB2312" w:cs="仿宋_GB2312"/>
          <w:sz w:val="28"/>
          <w:szCs w:val="28"/>
        </w:rPr>
        <w:t>（</w:t>
      </w:r>
      <w:r>
        <w:rPr>
          <w:rFonts w:ascii="仿宋_GB2312" w:eastAsia="仿宋_GB2312" w:hAnsi="仿宋_GB2312" w:cs="仿宋_GB2312"/>
          <w:sz w:val="28"/>
          <w:szCs w:val="28"/>
        </w:rPr>
        <w:t>3）需提供近6个月内已缴存的至少两个月的纳税证明或完税证明的相关材料，如依法免税或不需要纳税的，则应提供相应文件证明（复印件）。</w:t>
      </w:r>
    </w:p>
    <w:p>
      <w:pPr>
        <w:pStyle w:val="MsoNormal"/>
        <w:spacing w:before="0" w:after="0" w:line="360" w:lineRule="auto"/>
        <w:ind w:left="0" w:right="0"/>
      </w:pPr>
      <w:r>
        <w:rPr>
          <w:rFonts w:ascii="仿宋_GB2312" w:eastAsia="仿宋_GB2312" w:hAnsi="仿宋_GB2312" w:cs="仿宋_GB2312"/>
          <w:sz w:val="28"/>
          <w:szCs w:val="28"/>
        </w:rPr>
        <w:t>（</w:t>
      </w:r>
      <w:r>
        <w:rPr>
          <w:rFonts w:ascii="仿宋_GB2312" w:eastAsia="仿宋_GB2312" w:hAnsi="仿宋_GB2312" w:cs="仿宋_GB2312"/>
          <w:sz w:val="28"/>
          <w:szCs w:val="28"/>
        </w:rPr>
        <w:t>4）需提供近6个月内已缴存的至少两个月的社会保障资金缴存单据或社保机构开具的社会保险参保缴费情况证明的相关材料，如依法不需要缴纳社会保障资金的，则应提供相应文件证明（复印件）。</w:t>
      </w:r>
    </w:p>
    <w:p>
      <w:pPr>
        <w:pStyle w:val="MsoNormal"/>
        <w:spacing w:before="0" w:after="0" w:line="360" w:lineRule="auto"/>
        <w:ind w:left="0" w:right="0"/>
      </w:pPr>
      <w:r>
        <w:rPr>
          <w:rFonts w:ascii="仿宋_GB2312" w:eastAsia="仿宋_GB2312" w:hAnsi="仿宋_GB2312" w:cs="仿宋_GB2312"/>
          <w:sz w:val="28"/>
          <w:szCs w:val="28"/>
        </w:rPr>
        <w:t>（</w:t>
      </w:r>
      <w:r>
        <w:rPr>
          <w:rFonts w:ascii="仿宋_GB2312" w:eastAsia="仿宋_GB2312" w:hAnsi="仿宋_GB2312" w:cs="仿宋_GB2312"/>
          <w:sz w:val="28"/>
          <w:szCs w:val="28"/>
        </w:rPr>
        <w:t>5）企业信用良好。三年内未被列入严重违法失信行为记录名单。</w:t>
      </w:r>
    </w:p>
    <w:p>
      <w:pPr>
        <w:pStyle w:val="MsoNormal"/>
        <w:spacing w:before="0" w:after="0" w:line="360" w:lineRule="auto"/>
        <w:ind w:left="0" w:right="0"/>
      </w:pPr>
      <w:r>
        <w:rPr>
          <w:rFonts w:ascii="仿宋_GB2312" w:eastAsia="仿宋_GB2312" w:hAnsi="仿宋_GB2312" w:cs="仿宋_GB2312"/>
          <w:sz w:val="28"/>
          <w:szCs w:val="28"/>
        </w:rPr>
        <w:t>（</w:t>
      </w:r>
      <w:r>
        <w:rPr>
          <w:rFonts w:ascii="仿宋_GB2312" w:eastAsia="仿宋_GB2312" w:hAnsi="仿宋_GB2312" w:cs="仿宋_GB2312"/>
          <w:sz w:val="28"/>
          <w:szCs w:val="28"/>
        </w:rPr>
        <w:t>6）符合政府采购法第二十二条规定。</w:t>
      </w:r>
    </w:p>
    <w:p>
      <w:pPr>
        <w:pStyle w:val="Heading30"/>
        <w:keepNext w:val="0"/>
        <w:spacing w:before="0" w:after="0" w:line="360" w:lineRule="auto"/>
        <w:rPr>
          <w:rFonts w:ascii="仿宋_GB2312" w:eastAsia="仿宋_GB2312" w:hAnsi="仿宋_GB2312" w:cs="仿宋_GB2312"/>
          <w:b/>
          <w:bCs/>
          <w:sz w:val="28"/>
          <w:szCs w:val="28"/>
        </w:rPr>
      </w:pPr>
      <w:bookmarkStart w:id="22" w:name="_Toc256000018"/>
      <w:r>
        <w:rPr>
          <w:rFonts w:ascii="仿宋_GB2312" w:eastAsia="仿宋_GB2312" w:hAnsi="仿宋_GB2312" w:cs="仿宋_GB2312"/>
          <w:sz w:val="28"/>
          <w:szCs w:val="28"/>
        </w:rPr>
        <w:t>2.2.2投标/响应方案要求</w:t>
      </w:r>
      <w:bookmarkEnd w:id="22"/>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以下相关方案，若作为评审因素，则投标人应在满足★关键指标项要求的前提下，根据项目特点和采购需求，制定更为完整、详细、可操作性强的方案。</w:t>
      </w:r>
    </w:p>
    <w:p>
      <w:pPr>
        <w:pStyle w:val="MsoNormal"/>
        <w:spacing w:before="0" w:after="0" w:line="360" w:lineRule="auto"/>
        <w:ind w:left="0" w:right="0"/>
      </w:pPr>
      <w:r>
        <w:rPr>
          <w:rFonts w:ascii="仿宋_GB2312" w:eastAsia="仿宋_GB2312" w:hAnsi="仿宋_GB2312" w:cs="仿宋_GB2312"/>
          <w:sz w:val="28"/>
          <w:szCs w:val="28"/>
        </w:rPr>
        <w:t>1.管理实施方案，2.技术服务方案，3.应急及安全保障方案，4.保密方案，5.验收方案。</w:t>
      </w:r>
    </w:p>
    <w:p>
      <w:pPr>
        <w:pStyle w:val="Heading10"/>
        <w:keepNext w:val="0"/>
        <w:spacing w:before="0" w:after="0" w:line="360" w:lineRule="auto"/>
        <w:jc w:val="center"/>
        <w:rPr>
          <w:rFonts w:ascii="仿宋_GB2312" w:eastAsia="仿宋_GB2312" w:hAnsi="仿宋_GB2312" w:cs="仿宋_GB2312"/>
          <w:b/>
          <w:bCs/>
          <w:sz w:val="32"/>
          <w:szCs w:val="32"/>
        </w:rPr>
      </w:pPr>
      <w:bookmarkStart w:id="23" w:name="_Toc256000019"/>
      <w:r>
        <w:rPr>
          <w:rFonts w:ascii="仿宋_GB2312" w:eastAsia="仿宋_GB2312" w:hAnsi="仿宋_GB2312" w:cs="仿宋_GB2312"/>
          <w:kern w:val="36"/>
        </w:rPr>
        <w:t>3项目需求</w:t>
      </w:r>
      <w:bookmarkEnd w:id="23"/>
    </w:p>
    <w:p>
      <w:pPr>
        <w:pStyle w:val="Heading20"/>
        <w:keepNext w:val="0"/>
        <w:spacing w:before="0" w:after="0" w:line="360" w:lineRule="auto"/>
        <w:rPr>
          <w:rFonts w:ascii="仿宋_GB2312" w:eastAsia="仿宋_GB2312" w:hAnsi="仿宋_GB2312" w:cs="仿宋_GB2312"/>
          <w:b/>
          <w:bCs/>
          <w:sz w:val="28"/>
          <w:szCs w:val="28"/>
        </w:rPr>
      </w:pPr>
      <w:bookmarkStart w:id="24" w:name="_Toc256000020"/>
      <w:r>
        <w:rPr>
          <w:rFonts w:ascii="仿宋_GB2312" w:eastAsia="仿宋_GB2312" w:hAnsi="仿宋_GB2312" w:cs="仿宋_GB2312"/>
          <w:i w:val="0"/>
          <w:iCs w:val="0"/>
        </w:rPr>
        <w:t>3.1总体要求</w:t>
      </w:r>
      <w:bookmarkEnd w:id="24"/>
    </w:p>
    <w:p>
      <w:pPr>
        <w:pStyle w:val="MsoNormal"/>
        <w:spacing w:before="0" w:after="0" w:line="360" w:lineRule="auto"/>
        <w:ind w:left="0" w:right="0"/>
      </w:pPr>
      <w:r>
        <w:rPr>
          <w:rFonts w:ascii="仿宋_GB2312" w:eastAsia="仿宋_GB2312" w:hAnsi="仿宋_GB2312" w:cs="仿宋_GB2312"/>
          <w:sz w:val="28"/>
          <w:szCs w:val="28"/>
        </w:rPr>
        <w:t>确保数据中心税务专网网络系统安全稳定运行。</w:t>
      </w:r>
    </w:p>
    <w:p>
      <w:pPr>
        <w:pStyle w:val="Heading20"/>
        <w:keepNext w:val="0"/>
        <w:spacing w:before="0" w:after="0" w:line="360" w:lineRule="auto"/>
        <w:rPr>
          <w:rFonts w:ascii="仿宋_GB2312" w:eastAsia="仿宋_GB2312" w:hAnsi="仿宋_GB2312" w:cs="仿宋_GB2312"/>
          <w:b/>
          <w:bCs/>
          <w:sz w:val="28"/>
          <w:szCs w:val="28"/>
        </w:rPr>
      </w:pPr>
      <w:bookmarkStart w:id="25" w:name="_Toc256000021"/>
      <w:r>
        <w:rPr>
          <w:rFonts w:ascii="仿宋_GB2312" w:eastAsia="仿宋_GB2312" w:hAnsi="仿宋_GB2312" w:cs="仿宋_GB2312"/>
          <w:i w:val="0"/>
          <w:iCs w:val="0"/>
        </w:rPr>
        <w:t>3.2采购产品一览表</w:t>
      </w:r>
      <w:bookmarkEnd w:id="25"/>
    </w:p>
    <w:tbl>
      <w:tblPr>
        <w:tblStyle w:val="TableNormal"/>
        <w:tblW w:w="5000" w:type="pct"/>
        <w:tblInd w:w="30" w:type="dxa"/>
        <w:tblCellMar>
          <w:top w:w="15" w:type="dxa"/>
          <w:left w:w="15" w:type="dxa"/>
          <w:bottom w:w="15" w:type="dxa"/>
          <w:right w:w="15" w:type="dxa"/>
        </w:tblCellMar>
      </w:tblPr>
      <w:tblGrid>
        <w:gridCol w:w="831"/>
        <w:gridCol w:w="1669"/>
        <w:gridCol w:w="1692"/>
        <w:gridCol w:w="1632"/>
        <w:gridCol w:w="1623"/>
        <w:gridCol w:w="1623"/>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产品类别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产品名称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数量</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单位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备注</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核心交换机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25G交换机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交换机板卡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交换机板卡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块</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bl>
    <w:p>
      <w:pPr>
        <w:pStyle w:val="Heading20"/>
        <w:keepNext w:val="0"/>
        <w:spacing w:before="0" w:after="0" w:line="360" w:lineRule="auto"/>
        <w:rPr>
          <w:rFonts w:ascii="仿宋_GB2312" w:eastAsia="仿宋_GB2312" w:hAnsi="仿宋_GB2312" w:cs="仿宋_GB2312"/>
          <w:b/>
          <w:bCs/>
          <w:sz w:val="28"/>
          <w:szCs w:val="28"/>
        </w:rPr>
      </w:pPr>
      <w:bookmarkStart w:id="26" w:name="_Toc256000022"/>
      <w:r>
        <w:rPr>
          <w:rFonts w:ascii="仿宋_GB2312" w:eastAsia="仿宋_GB2312" w:hAnsi="仿宋_GB2312" w:cs="仿宋_GB2312"/>
          <w:i w:val="0"/>
          <w:iCs w:val="0"/>
        </w:rPr>
        <w:t>3.3采购产品详细清单及技术指标</w:t>
      </w:r>
      <w:bookmarkEnd w:id="26"/>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采购文件（技术部分）中有标注★号的，为必备服务要求，必须满足，如未作出响应，将导致响应无效；#为重要服务内容、△为一般服务内容。</w:t>
      </w:r>
    </w:p>
    <w:p>
      <w:pPr>
        <w:pStyle w:val="Heading30"/>
        <w:keepNext w:val="0"/>
        <w:spacing w:before="0" w:after="0" w:line="360" w:lineRule="auto"/>
        <w:rPr>
          <w:rFonts w:ascii="仿宋_GB2312" w:eastAsia="仿宋_GB2312" w:hAnsi="仿宋_GB2312" w:cs="仿宋_GB2312"/>
          <w:b/>
          <w:bCs/>
          <w:sz w:val="28"/>
          <w:szCs w:val="28"/>
        </w:rPr>
      </w:pPr>
      <w:bookmarkStart w:id="27" w:name="_Toc256000023"/>
      <w:r>
        <w:rPr>
          <w:rFonts w:ascii="仿宋_GB2312" w:eastAsia="仿宋_GB2312" w:hAnsi="仿宋_GB2312" w:cs="仿宋_GB2312"/>
          <w:sz w:val="28"/>
          <w:szCs w:val="28"/>
        </w:rPr>
        <w:t>3.3.1核心交换机（2台）</w:t>
      </w:r>
      <w:bookmarkEnd w:id="27"/>
    </w:p>
    <w:tbl>
      <w:tblPr>
        <w:tblStyle w:val="TableNormal"/>
        <w:tblW w:w="9235" w:type="dxa"/>
        <w:jc w:val="center"/>
        <w:tblCellSpacing w:w="0" w:type="dxa"/>
        <w:tblInd w:w="128" w:type="dxa"/>
        <w:tblCellMar>
          <w:top w:w="15" w:type="dxa"/>
          <w:left w:w="15" w:type="dxa"/>
          <w:bottom w:w="15" w:type="dxa"/>
          <w:right w:w="15" w:type="dxa"/>
        </w:tblCellMar>
      </w:tblPr>
      <w:tblGrid>
        <w:gridCol w:w="530"/>
        <w:gridCol w:w="1326"/>
        <w:gridCol w:w="1326"/>
        <w:gridCol w:w="4447"/>
        <w:gridCol w:w="606"/>
        <w:gridCol w:w="1206"/>
      </w:tblGrid>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top w:val="single" w:sz="8" w:space="0" w:color="000000"/>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序号</w:t>
            </w:r>
          </w:p>
        </w:tc>
        <w:tc>
          <w:tcPr>
            <w:tcW w:w="1861"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指标种类</w:t>
            </w:r>
          </w:p>
        </w:tc>
        <w:tc>
          <w:tcPr>
            <w:tcW w:w="1561"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指标名称</w:t>
            </w:r>
          </w:p>
        </w:tc>
        <w:tc>
          <w:tcPr>
            <w:tcW w:w="4171"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指标内容</w:t>
            </w:r>
          </w:p>
        </w:tc>
        <w:tc>
          <w:tcPr>
            <w:tcW w:w="931"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重要性</w:t>
            </w:r>
          </w:p>
        </w:tc>
        <w:tc>
          <w:tcPr>
            <w:tcW w:w="1366"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是否需要证明材料</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Style w:val="16"/>
                <w:rFonts w:ascii="宋体" w:eastAsia="宋体" w:hAnsi="宋体" w:cs="宋体"/>
                <w:b w:val="0"/>
                <w:bCs w:val="0"/>
                <w:i w:val="0"/>
                <w:iCs w:val="0"/>
                <w:smallCaps w:val="0"/>
                <w:color w:val="000000"/>
                <w:sz w:val="20"/>
                <w:szCs w:val="20"/>
              </w:rPr>
              <w:t>交换容量</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交换容量</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交换容量</w:t>
            </w:r>
            <w:r>
              <w:rPr>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1800Tbps</w:t>
            </w:r>
            <w:r>
              <w:rPr>
                <w:rStyle w:val="16"/>
                <w:rFonts w:ascii="宋体" w:eastAsia="宋体" w:hAnsi="宋体" w:cs="宋体"/>
                <w:b w:val="0"/>
                <w:bCs w:val="0"/>
                <w:i w:val="0"/>
                <w:iCs w:val="0"/>
                <w:smallCaps w:val="0"/>
                <w:color w:val="000000"/>
                <w:sz w:val="20"/>
                <w:szCs w:val="20"/>
              </w:rPr>
              <w:t>，以官网最小参数为准；</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2</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Style w:val="16"/>
                <w:rFonts w:ascii="宋体" w:eastAsia="宋体" w:hAnsi="宋体" w:cs="宋体"/>
                <w:b w:val="0"/>
                <w:bCs w:val="0"/>
                <w:i w:val="0"/>
                <w:iCs w:val="0"/>
                <w:smallCaps w:val="0"/>
                <w:color w:val="000000"/>
                <w:sz w:val="20"/>
                <w:szCs w:val="20"/>
              </w:rPr>
              <w:t>转发性能</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转发性能</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转发性能</w:t>
            </w:r>
            <w:r>
              <w:rPr>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460800Mpps</w:t>
            </w:r>
            <w:r>
              <w:rPr>
                <w:rStyle w:val="16"/>
                <w:rFonts w:ascii="宋体" w:eastAsia="宋体" w:hAnsi="宋体" w:cs="宋体"/>
                <w:b w:val="0"/>
                <w:bCs w:val="0"/>
                <w:i w:val="0"/>
                <w:iCs w:val="0"/>
                <w:smallCaps w:val="0"/>
                <w:color w:val="000000"/>
                <w:sz w:val="20"/>
                <w:szCs w:val="20"/>
              </w:rPr>
              <w:t>，以官网最小参数为准；</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3</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-CPU</w:t>
            </w:r>
            <w:r>
              <w:rPr>
                <w:rStyle w:val="16"/>
                <w:rFonts w:ascii="宋体" w:eastAsia="宋体" w:hAnsi="宋体" w:cs="宋体"/>
                <w:b w:val="0"/>
                <w:bCs w:val="0"/>
                <w:i w:val="0"/>
                <w:iCs w:val="0"/>
                <w:smallCaps w:val="0"/>
                <w:color w:val="000000"/>
                <w:sz w:val="20"/>
                <w:szCs w:val="20"/>
              </w:rPr>
              <w:t>要求</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CPU</w:t>
            </w:r>
            <w:r>
              <w:rPr>
                <w:rStyle w:val="16"/>
                <w:rFonts w:ascii="宋体" w:eastAsia="宋体" w:hAnsi="宋体" w:cs="宋体"/>
                <w:b w:val="0"/>
                <w:bCs w:val="0"/>
                <w:i w:val="0"/>
                <w:iCs w:val="0"/>
                <w:smallCaps w:val="0"/>
                <w:color w:val="000000"/>
                <w:sz w:val="20"/>
                <w:szCs w:val="20"/>
              </w:rPr>
              <w:t>要求</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 xml:space="preserve">CPU </w:t>
            </w:r>
            <w:r>
              <w:rPr>
                <w:rStyle w:val="16"/>
                <w:rFonts w:ascii="宋体" w:eastAsia="宋体" w:hAnsi="宋体" w:cs="宋体"/>
                <w:b w:val="0"/>
                <w:bCs w:val="0"/>
                <w:i w:val="0"/>
                <w:iCs w:val="0"/>
                <w:smallCaps w:val="0"/>
                <w:color w:val="000000"/>
                <w:sz w:val="20"/>
                <w:szCs w:val="20"/>
              </w:rPr>
              <w:t>通过中国信息安全测评中心的安全可靠测评：</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提供承诺书</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4</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Style w:val="16"/>
                <w:rFonts w:ascii="宋体" w:eastAsia="宋体" w:hAnsi="宋体" w:cs="宋体"/>
                <w:b w:val="0"/>
                <w:bCs w:val="0"/>
                <w:i w:val="0"/>
                <w:iCs w:val="0"/>
                <w:smallCaps w:val="0"/>
                <w:color w:val="000000"/>
                <w:sz w:val="20"/>
                <w:szCs w:val="20"/>
              </w:rPr>
              <w:t>设备架构</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设备架构</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采用正交</w:t>
            </w:r>
            <w:r>
              <w:rPr>
                <w:rStyle w:val="16"/>
                <w:rFonts w:ascii="仿宋_GB2312" w:eastAsia="仿宋_GB2312" w:hAnsi="仿宋_GB2312" w:cs="仿宋_GB2312"/>
                <w:b w:val="0"/>
                <w:bCs w:val="0"/>
                <w:i w:val="0"/>
                <w:iCs w:val="0"/>
                <w:smallCaps w:val="0"/>
                <w:color w:val="000000"/>
                <w:sz w:val="20"/>
                <w:szCs w:val="20"/>
              </w:rPr>
              <w:t>CLOS</w:t>
            </w:r>
            <w:r>
              <w:rPr>
                <w:rStyle w:val="16"/>
                <w:rFonts w:ascii="宋体" w:eastAsia="宋体" w:hAnsi="宋体" w:cs="宋体"/>
                <w:b w:val="0"/>
                <w:bCs w:val="0"/>
                <w:i w:val="0"/>
                <w:iCs w:val="0"/>
                <w:smallCaps w:val="0"/>
                <w:color w:val="000000"/>
                <w:sz w:val="20"/>
                <w:szCs w:val="20"/>
              </w:rPr>
              <w:t>无中板架构设计，业务板卡与交换网板采用正交设计</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5</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Style w:val="16"/>
                <w:rFonts w:ascii="宋体" w:eastAsia="宋体" w:hAnsi="宋体" w:cs="宋体"/>
                <w:b w:val="0"/>
                <w:bCs w:val="0"/>
                <w:i w:val="0"/>
                <w:iCs w:val="0"/>
                <w:smallCaps w:val="0"/>
                <w:color w:val="000000"/>
                <w:sz w:val="20"/>
                <w:szCs w:val="20"/>
              </w:rPr>
              <w:t>硬件规格</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硬件规格</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主控板槽位数</w:t>
            </w:r>
            <w:r>
              <w:rPr>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2</w:t>
            </w:r>
            <w:r>
              <w:rPr>
                <w:rStyle w:val="16"/>
                <w:rFonts w:ascii="宋体" w:eastAsia="宋体" w:hAnsi="宋体" w:cs="宋体"/>
                <w:b w:val="0"/>
                <w:bCs w:val="0"/>
                <w:i w:val="0"/>
                <w:iCs w:val="0"/>
                <w:smallCaps w:val="0"/>
                <w:color w:val="000000"/>
                <w:sz w:val="20"/>
                <w:szCs w:val="20"/>
              </w:rPr>
              <w:t>，独立交换网板数</w:t>
            </w:r>
            <w:r>
              <w:rPr>
                <w:rStyle w:val="16"/>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6</w:t>
            </w:r>
            <w:r>
              <w:rPr>
                <w:rStyle w:val="16"/>
                <w:rFonts w:ascii="宋体" w:eastAsia="宋体" w:hAnsi="宋体" w:cs="宋体"/>
                <w:b w:val="0"/>
                <w:bCs w:val="0"/>
                <w:i w:val="0"/>
                <w:iCs w:val="0"/>
                <w:smallCaps w:val="0"/>
                <w:color w:val="000000"/>
                <w:sz w:val="20"/>
                <w:szCs w:val="20"/>
              </w:rPr>
              <w:t>，业务板槽位数</w:t>
            </w:r>
            <w:r>
              <w:rPr>
                <w:rStyle w:val="16"/>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8</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r>
        <w:tblPrEx>
          <w:tblW w:w="9235" w:type="dxa"/>
          <w:jc w:val="center"/>
          <w:tblCellSpacing w:w="0" w:type="dxa"/>
          <w:tblInd w:w="128" w:type="dxa"/>
          <w:tblCellMar>
            <w:top w:w="15" w:type="dxa"/>
            <w:left w:w="15" w:type="dxa"/>
            <w:bottom w:w="15" w:type="dxa"/>
            <w:right w:w="15" w:type="dxa"/>
          </w:tblCellMar>
        </w:tblPrEx>
        <w:trPr>
          <w:trHeight w:val="73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6</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-VLAN</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VLAN</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支持基于端口、基于协议、基于</w:t>
            </w:r>
            <w:r>
              <w:rPr>
                <w:rStyle w:val="16"/>
                <w:rFonts w:ascii="仿宋_GB2312" w:eastAsia="仿宋_GB2312" w:hAnsi="仿宋_GB2312" w:cs="仿宋_GB2312"/>
                <w:b w:val="0"/>
                <w:bCs w:val="0"/>
                <w:i w:val="0"/>
                <w:iCs w:val="0"/>
                <w:smallCaps w:val="0"/>
                <w:color w:val="000000"/>
                <w:sz w:val="20"/>
                <w:szCs w:val="20"/>
              </w:rPr>
              <w:t>MAC</w:t>
            </w:r>
            <w:r>
              <w:rPr>
                <w:rStyle w:val="16"/>
                <w:rFonts w:ascii="宋体" w:eastAsia="宋体" w:hAnsi="宋体" w:cs="宋体"/>
                <w:b w:val="0"/>
                <w:bCs w:val="0"/>
                <w:i w:val="0"/>
                <w:iCs w:val="0"/>
                <w:smallCaps w:val="0"/>
                <w:color w:val="000000"/>
                <w:sz w:val="20"/>
                <w:szCs w:val="20"/>
              </w:rPr>
              <w:t>的</w:t>
            </w:r>
            <w:r>
              <w:rPr>
                <w:rStyle w:val="16"/>
                <w:rFonts w:ascii="仿宋_GB2312" w:eastAsia="仿宋_GB2312" w:hAnsi="仿宋_GB2312" w:cs="仿宋_GB2312"/>
                <w:b w:val="0"/>
                <w:bCs w:val="0"/>
                <w:i w:val="0"/>
                <w:iCs w:val="0"/>
                <w:smallCaps w:val="0"/>
                <w:color w:val="000000"/>
                <w:sz w:val="20"/>
                <w:szCs w:val="20"/>
              </w:rPr>
              <w:t>VLAN</w:t>
            </w:r>
            <w:r>
              <w:rPr>
                <w:rStyle w:val="16"/>
                <w:rFonts w:ascii="宋体" w:eastAsia="宋体" w:hAnsi="宋体" w:cs="宋体"/>
                <w:b w:val="0"/>
                <w:bCs w:val="0"/>
                <w:i w:val="0"/>
                <w:iCs w:val="0"/>
                <w:smallCaps w:val="0"/>
                <w:color w:val="000000"/>
                <w:sz w:val="20"/>
                <w:szCs w:val="20"/>
              </w:rPr>
              <w:t>；支持</w:t>
            </w:r>
            <w:r>
              <w:rPr>
                <w:rStyle w:val="16"/>
                <w:rFonts w:ascii="仿宋_GB2312" w:eastAsia="仿宋_GB2312" w:hAnsi="仿宋_GB2312" w:cs="仿宋_GB2312"/>
                <w:b w:val="0"/>
                <w:bCs w:val="0"/>
                <w:i w:val="0"/>
                <w:iCs w:val="0"/>
                <w:smallCaps w:val="0"/>
                <w:color w:val="000000"/>
                <w:sz w:val="20"/>
                <w:szCs w:val="20"/>
              </w:rPr>
              <w:t>QinQ</w:t>
            </w:r>
            <w:r>
              <w:rPr>
                <w:rStyle w:val="16"/>
                <w:rFonts w:ascii="宋体" w:eastAsia="宋体" w:hAnsi="宋体" w:cs="宋体"/>
                <w:b w:val="0"/>
                <w:bCs w:val="0"/>
                <w:i w:val="0"/>
                <w:iCs w:val="0"/>
                <w:smallCaps w:val="0"/>
                <w:color w:val="000000"/>
                <w:sz w:val="20"/>
                <w:szCs w:val="20"/>
              </w:rPr>
              <w:t>；支持</w:t>
            </w:r>
            <w:r>
              <w:rPr>
                <w:rStyle w:val="16"/>
                <w:rFonts w:ascii="仿宋_GB2312" w:eastAsia="仿宋_GB2312" w:hAnsi="仿宋_GB2312" w:cs="仿宋_GB2312"/>
                <w:b w:val="0"/>
                <w:bCs w:val="0"/>
                <w:i w:val="0"/>
                <w:iCs w:val="0"/>
                <w:smallCaps w:val="0"/>
                <w:color w:val="000000"/>
                <w:sz w:val="20"/>
                <w:szCs w:val="20"/>
              </w:rPr>
              <w:t>DLDP</w:t>
            </w:r>
            <w:r>
              <w:rPr>
                <w:rStyle w:val="16"/>
                <w:rFonts w:ascii="宋体" w:eastAsia="宋体" w:hAnsi="宋体" w:cs="宋体"/>
                <w:b w:val="0"/>
                <w:bCs w:val="0"/>
                <w:i w:val="0"/>
                <w:iCs w:val="0"/>
                <w:smallCaps w:val="0"/>
                <w:color w:val="000000"/>
                <w:sz w:val="20"/>
                <w:szCs w:val="20"/>
              </w:rPr>
              <w:t>；支持动态</w:t>
            </w:r>
            <w:r>
              <w:rPr>
                <w:rStyle w:val="16"/>
                <w:rFonts w:ascii="仿宋_GB2312" w:eastAsia="仿宋_GB2312" w:hAnsi="仿宋_GB2312" w:cs="仿宋_GB2312"/>
                <w:b w:val="0"/>
                <w:bCs w:val="0"/>
                <w:i w:val="0"/>
                <w:iCs w:val="0"/>
                <w:smallCaps w:val="0"/>
                <w:color w:val="000000"/>
                <w:sz w:val="20"/>
                <w:szCs w:val="20"/>
              </w:rPr>
              <w:t>MAC</w:t>
            </w:r>
            <w:r>
              <w:rPr>
                <w:rStyle w:val="16"/>
                <w:rFonts w:ascii="宋体" w:eastAsia="宋体" w:hAnsi="宋体" w:cs="宋体"/>
                <w:b w:val="0"/>
                <w:bCs w:val="0"/>
                <w:i w:val="0"/>
                <w:iCs w:val="0"/>
                <w:smallCaps w:val="0"/>
                <w:color w:val="000000"/>
                <w:sz w:val="20"/>
                <w:szCs w:val="20"/>
              </w:rPr>
              <w:t>、静态</w:t>
            </w:r>
            <w:r>
              <w:rPr>
                <w:rStyle w:val="16"/>
                <w:rFonts w:ascii="仿宋_GB2312" w:eastAsia="仿宋_GB2312" w:hAnsi="仿宋_GB2312" w:cs="仿宋_GB2312"/>
                <w:b w:val="0"/>
                <w:bCs w:val="0"/>
                <w:i w:val="0"/>
                <w:iCs w:val="0"/>
                <w:smallCaps w:val="0"/>
                <w:color w:val="000000"/>
                <w:sz w:val="20"/>
                <w:szCs w:val="20"/>
              </w:rPr>
              <w:t>MAC</w:t>
            </w:r>
            <w:r>
              <w:rPr>
                <w:rStyle w:val="16"/>
                <w:rFonts w:ascii="宋体" w:eastAsia="宋体" w:hAnsi="宋体" w:cs="宋体"/>
                <w:b w:val="0"/>
                <w:bCs w:val="0"/>
                <w:i w:val="0"/>
                <w:iCs w:val="0"/>
                <w:smallCaps w:val="0"/>
                <w:color w:val="000000"/>
                <w:sz w:val="20"/>
                <w:szCs w:val="20"/>
              </w:rPr>
              <w:t>和黑洞</w:t>
            </w:r>
            <w:r>
              <w:rPr>
                <w:rStyle w:val="16"/>
                <w:rFonts w:ascii="仿宋_GB2312" w:eastAsia="仿宋_GB2312" w:hAnsi="仿宋_GB2312" w:cs="仿宋_GB2312"/>
                <w:b w:val="0"/>
                <w:bCs w:val="0"/>
                <w:i w:val="0"/>
                <w:iCs w:val="0"/>
                <w:smallCaps w:val="0"/>
                <w:color w:val="000000"/>
                <w:sz w:val="20"/>
                <w:szCs w:val="20"/>
              </w:rPr>
              <w:t>MAC</w:t>
            </w:r>
            <w:r>
              <w:rPr>
                <w:rStyle w:val="16"/>
                <w:rFonts w:ascii="宋体" w:eastAsia="宋体" w:hAnsi="宋体" w:cs="宋体"/>
                <w:b w:val="0"/>
                <w:bCs w:val="0"/>
                <w:i w:val="0"/>
                <w:iCs w:val="0"/>
                <w:smallCaps w:val="0"/>
                <w:color w:val="000000"/>
                <w:sz w:val="20"/>
                <w:szCs w:val="20"/>
              </w:rPr>
              <w:t>表项；</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r>
        <w:tblPrEx>
          <w:tblW w:w="9235" w:type="dxa"/>
          <w:jc w:val="center"/>
          <w:tblCellSpacing w:w="0" w:type="dxa"/>
          <w:tblInd w:w="128" w:type="dxa"/>
          <w:tblCellMar>
            <w:top w:w="15" w:type="dxa"/>
            <w:left w:w="15" w:type="dxa"/>
            <w:bottom w:w="15" w:type="dxa"/>
            <w:right w:w="15" w:type="dxa"/>
          </w:tblCellMar>
        </w:tblPrEx>
        <w:trPr>
          <w:trHeight w:val="97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7</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-IP</w:t>
            </w:r>
            <w:r>
              <w:rPr>
                <w:rStyle w:val="16"/>
                <w:rFonts w:ascii="宋体" w:eastAsia="宋体" w:hAnsi="宋体" w:cs="宋体"/>
                <w:b w:val="0"/>
                <w:bCs w:val="0"/>
                <w:i w:val="0"/>
                <w:iCs w:val="0"/>
                <w:smallCaps w:val="0"/>
                <w:color w:val="000000"/>
                <w:sz w:val="20"/>
                <w:szCs w:val="20"/>
              </w:rPr>
              <w:t>路由</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IP</w:t>
            </w:r>
            <w:r>
              <w:rPr>
                <w:rStyle w:val="16"/>
                <w:rFonts w:ascii="宋体" w:eastAsia="宋体" w:hAnsi="宋体" w:cs="宋体"/>
                <w:b w:val="0"/>
                <w:bCs w:val="0"/>
                <w:i w:val="0"/>
                <w:iCs w:val="0"/>
                <w:smallCaps w:val="0"/>
                <w:color w:val="000000"/>
                <w:sz w:val="20"/>
                <w:szCs w:val="20"/>
              </w:rPr>
              <w:t>路由</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w:t>
            </w:r>
            <w:r>
              <w:rPr>
                <w:rStyle w:val="16"/>
                <w:rFonts w:ascii="仿宋_GB2312" w:eastAsia="仿宋_GB2312" w:hAnsi="仿宋_GB2312" w:cs="仿宋_GB2312"/>
                <w:b w:val="0"/>
                <w:bCs w:val="0"/>
                <w:i w:val="0"/>
                <w:iCs w:val="0"/>
                <w:smallCaps w:val="0"/>
                <w:color w:val="000000"/>
                <w:sz w:val="20"/>
                <w:szCs w:val="20"/>
              </w:rPr>
              <w:t>RIP</w:t>
            </w:r>
            <w:r>
              <w:rPr>
                <w:rStyle w:val="16"/>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OSPF</w:t>
            </w:r>
            <w:r>
              <w:rPr>
                <w:rStyle w:val="16"/>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ISIS</w:t>
            </w:r>
            <w:r>
              <w:rPr>
                <w:rStyle w:val="16"/>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BGP</w:t>
            </w:r>
            <w:r>
              <w:rPr>
                <w:rStyle w:val="16"/>
                <w:rFonts w:ascii="宋体" w:eastAsia="宋体" w:hAnsi="宋体" w:cs="宋体"/>
                <w:b w:val="0"/>
                <w:bCs w:val="0"/>
                <w:i w:val="0"/>
                <w:iCs w:val="0"/>
                <w:smallCaps w:val="0"/>
                <w:color w:val="000000"/>
                <w:sz w:val="20"/>
                <w:szCs w:val="20"/>
              </w:rPr>
              <w:t>等</w:t>
            </w:r>
            <w:r>
              <w:rPr>
                <w:rStyle w:val="16"/>
                <w:rFonts w:ascii="仿宋_GB2312" w:eastAsia="仿宋_GB2312" w:hAnsi="仿宋_GB2312" w:cs="仿宋_GB2312"/>
                <w:b w:val="0"/>
                <w:bCs w:val="0"/>
                <w:i w:val="0"/>
                <w:iCs w:val="0"/>
                <w:smallCaps w:val="0"/>
                <w:color w:val="000000"/>
                <w:sz w:val="20"/>
                <w:szCs w:val="20"/>
              </w:rPr>
              <w:t>IPv4</w:t>
            </w:r>
            <w:r>
              <w:rPr>
                <w:rStyle w:val="16"/>
                <w:rFonts w:ascii="宋体" w:eastAsia="宋体" w:hAnsi="宋体" w:cs="宋体"/>
                <w:b w:val="0"/>
                <w:bCs w:val="0"/>
                <w:i w:val="0"/>
                <w:iCs w:val="0"/>
                <w:smallCaps w:val="0"/>
                <w:color w:val="000000"/>
                <w:sz w:val="20"/>
                <w:szCs w:val="20"/>
              </w:rPr>
              <w:t>动态路由协议，支持</w:t>
            </w:r>
            <w:r>
              <w:rPr>
                <w:rStyle w:val="16"/>
                <w:rFonts w:ascii="仿宋_GB2312" w:eastAsia="仿宋_GB2312" w:hAnsi="仿宋_GB2312" w:cs="仿宋_GB2312"/>
                <w:b w:val="0"/>
                <w:bCs w:val="0"/>
                <w:i w:val="0"/>
                <w:iCs w:val="0"/>
                <w:smallCaps w:val="0"/>
                <w:color w:val="000000"/>
                <w:sz w:val="20"/>
                <w:szCs w:val="20"/>
              </w:rPr>
              <w:t>RIPng</w:t>
            </w:r>
            <w:r>
              <w:rPr>
                <w:rStyle w:val="16"/>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OSPFv3</w:t>
            </w:r>
            <w:r>
              <w:rPr>
                <w:rStyle w:val="16"/>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ISISv6</w:t>
            </w:r>
            <w:r>
              <w:rPr>
                <w:rStyle w:val="16"/>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BGP4+</w:t>
            </w:r>
            <w:r>
              <w:rPr>
                <w:rStyle w:val="16"/>
                <w:rFonts w:ascii="宋体" w:eastAsia="宋体" w:hAnsi="宋体" w:cs="宋体"/>
                <w:b w:val="0"/>
                <w:bCs w:val="0"/>
                <w:i w:val="0"/>
                <w:iCs w:val="0"/>
                <w:smallCaps w:val="0"/>
                <w:color w:val="000000"/>
                <w:sz w:val="20"/>
                <w:szCs w:val="20"/>
              </w:rPr>
              <w:t>等</w:t>
            </w:r>
            <w:r>
              <w:rPr>
                <w:rStyle w:val="16"/>
                <w:rFonts w:ascii="仿宋_GB2312" w:eastAsia="仿宋_GB2312" w:hAnsi="仿宋_GB2312" w:cs="仿宋_GB2312"/>
                <w:b w:val="0"/>
                <w:bCs w:val="0"/>
                <w:i w:val="0"/>
                <w:iCs w:val="0"/>
                <w:smallCaps w:val="0"/>
                <w:color w:val="000000"/>
                <w:sz w:val="20"/>
                <w:szCs w:val="20"/>
              </w:rPr>
              <w:t>IPv6</w:t>
            </w:r>
            <w:r>
              <w:rPr>
                <w:rStyle w:val="16"/>
                <w:rFonts w:ascii="宋体" w:eastAsia="宋体" w:hAnsi="宋体" w:cs="宋体"/>
                <w:b w:val="0"/>
                <w:bCs w:val="0"/>
                <w:i w:val="0"/>
                <w:iCs w:val="0"/>
                <w:smallCaps w:val="0"/>
                <w:color w:val="000000"/>
                <w:sz w:val="20"/>
                <w:szCs w:val="20"/>
              </w:rPr>
              <w:t>动态路由协议，支持</w:t>
            </w:r>
            <w:r>
              <w:rPr>
                <w:rStyle w:val="16"/>
                <w:rFonts w:ascii="仿宋_GB2312" w:eastAsia="仿宋_GB2312" w:hAnsi="仿宋_GB2312" w:cs="仿宋_GB2312"/>
                <w:b w:val="0"/>
                <w:bCs w:val="0"/>
                <w:i w:val="0"/>
                <w:iCs w:val="0"/>
                <w:smallCaps w:val="0"/>
                <w:color w:val="000000"/>
                <w:sz w:val="20"/>
                <w:szCs w:val="20"/>
              </w:rPr>
              <w:t>IPv6 ND</w:t>
            </w:r>
            <w:r>
              <w:rPr>
                <w:rStyle w:val="16"/>
                <w:rFonts w:ascii="宋体" w:eastAsia="宋体" w:hAnsi="宋体" w:cs="宋体"/>
                <w:b w:val="0"/>
                <w:bCs w:val="0"/>
                <w:i w:val="0"/>
                <w:iCs w:val="0"/>
                <w:smallCaps w:val="0"/>
                <w:color w:val="000000"/>
                <w:sz w:val="20"/>
                <w:szCs w:val="20"/>
              </w:rPr>
              <w:t>、支持路径</w:t>
            </w:r>
            <w:r>
              <w:rPr>
                <w:rStyle w:val="16"/>
                <w:rFonts w:ascii="仿宋_GB2312" w:eastAsia="仿宋_GB2312" w:hAnsi="仿宋_GB2312" w:cs="仿宋_GB2312"/>
                <w:b w:val="0"/>
                <w:bCs w:val="0"/>
                <w:i w:val="0"/>
                <w:iCs w:val="0"/>
                <w:smallCaps w:val="0"/>
                <w:color w:val="000000"/>
                <w:sz w:val="20"/>
                <w:szCs w:val="20"/>
              </w:rPr>
              <w:t>MTU</w:t>
            </w:r>
            <w:r>
              <w:rPr>
                <w:rStyle w:val="16"/>
                <w:rFonts w:ascii="宋体" w:eastAsia="宋体" w:hAnsi="宋体" w:cs="宋体"/>
                <w:b w:val="0"/>
                <w:bCs w:val="0"/>
                <w:i w:val="0"/>
                <w:iCs w:val="0"/>
                <w:smallCaps w:val="0"/>
                <w:color w:val="000000"/>
                <w:sz w:val="20"/>
                <w:szCs w:val="20"/>
              </w:rPr>
              <w:t>发现，支持</w:t>
            </w:r>
            <w:r>
              <w:rPr>
                <w:rStyle w:val="16"/>
                <w:rFonts w:ascii="仿宋_GB2312" w:eastAsia="仿宋_GB2312" w:hAnsi="仿宋_GB2312" w:cs="仿宋_GB2312"/>
                <w:b w:val="0"/>
                <w:bCs w:val="0"/>
                <w:i w:val="0"/>
                <w:iCs w:val="0"/>
                <w:smallCaps w:val="0"/>
                <w:color w:val="000000"/>
                <w:sz w:val="20"/>
                <w:szCs w:val="20"/>
              </w:rPr>
              <w:t>GRE</w:t>
            </w:r>
            <w:r>
              <w:rPr>
                <w:rStyle w:val="16"/>
                <w:rFonts w:ascii="宋体" w:eastAsia="宋体" w:hAnsi="宋体" w:cs="宋体"/>
                <w:b w:val="0"/>
                <w:bCs w:val="0"/>
                <w:i w:val="0"/>
                <w:iCs w:val="0"/>
                <w:smallCaps w:val="0"/>
                <w:color w:val="000000"/>
                <w:sz w:val="20"/>
                <w:szCs w:val="20"/>
              </w:rPr>
              <w:t>隧道；</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r>
        <w:tblPrEx>
          <w:tblW w:w="9235" w:type="dxa"/>
          <w:jc w:val="center"/>
          <w:tblCellSpacing w:w="0" w:type="dxa"/>
          <w:tblInd w:w="128" w:type="dxa"/>
          <w:tblCellMar>
            <w:top w:w="15" w:type="dxa"/>
            <w:left w:w="15" w:type="dxa"/>
            <w:bottom w:w="15" w:type="dxa"/>
            <w:right w:w="15" w:type="dxa"/>
          </w:tblCellMar>
        </w:tblPrEx>
        <w:trPr>
          <w:trHeight w:val="28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8</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-QoS</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QoS</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w:t>
            </w:r>
            <w:r>
              <w:rPr>
                <w:rStyle w:val="16"/>
                <w:rFonts w:ascii="仿宋_GB2312" w:eastAsia="仿宋_GB2312" w:hAnsi="仿宋_GB2312" w:cs="仿宋_GB2312"/>
                <w:b w:val="0"/>
                <w:bCs w:val="0"/>
                <w:i w:val="0"/>
                <w:iCs w:val="0"/>
                <w:smallCaps w:val="0"/>
                <w:color w:val="000000"/>
                <w:sz w:val="20"/>
                <w:szCs w:val="20"/>
              </w:rPr>
              <w:t>SP, WRR,WFQ, SP+WRR, SP+WFQ</w:t>
            </w:r>
            <w:r>
              <w:rPr>
                <w:rStyle w:val="16"/>
                <w:rFonts w:ascii="宋体" w:eastAsia="宋体" w:hAnsi="宋体" w:cs="宋体"/>
                <w:b w:val="0"/>
                <w:bCs w:val="0"/>
                <w:i w:val="0"/>
                <w:iCs w:val="0"/>
                <w:smallCaps w:val="0"/>
                <w:color w:val="000000"/>
                <w:sz w:val="20"/>
                <w:szCs w:val="20"/>
              </w:rPr>
              <w:t>调度方式</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9</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-VXLAN</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VXLAN</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w:t>
            </w:r>
            <w:r>
              <w:rPr>
                <w:rStyle w:val="16"/>
                <w:rFonts w:ascii="仿宋_GB2312" w:eastAsia="仿宋_GB2312" w:hAnsi="仿宋_GB2312" w:cs="仿宋_GB2312"/>
                <w:b w:val="0"/>
                <w:bCs w:val="0"/>
                <w:i w:val="0"/>
                <w:iCs w:val="0"/>
                <w:smallCaps w:val="0"/>
                <w:color w:val="000000"/>
                <w:sz w:val="20"/>
                <w:szCs w:val="20"/>
              </w:rPr>
              <w:t xml:space="preserve">VxLAN </w:t>
            </w:r>
            <w:r>
              <w:rPr>
                <w:rStyle w:val="16"/>
                <w:rFonts w:ascii="宋体" w:eastAsia="宋体" w:hAnsi="宋体" w:cs="宋体"/>
                <w:b w:val="0"/>
                <w:bCs w:val="0"/>
                <w:i w:val="0"/>
                <w:iCs w:val="0"/>
                <w:smallCaps w:val="0"/>
                <w:color w:val="000000"/>
                <w:sz w:val="20"/>
                <w:szCs w:val="20"/>
              </w:rPr>
              <w:t>网关，支持基于</w:t>
            </w:r>
            <w:r>
              <w:rPr>
                <w:rStyle w:val="16"/>
                <w:rFonts w:ascii="仿宋_GB2312" w:eastAsia="仿宋_GB2312" w:hAnsi="仿宋_GB2312" w:cs="仿宋_GB2312"/>
                <w:b w:val="0"/>
                <w:bCs w:val="0"/>
                <w:i w:val="0"/>
                <w:iCs w:val="0"/>
                <w:smallCaps w:val="0"/>
                <w:color w:val="000000"/>
                <w:sz w:val="20"/>
                <w:szCs w:val="20"/>
              </w:rPr>
              <w:t>IPv4/IPv6</w:t>
            </w:r>
            <w:r>
              <w:rPr>
                <w:rStyle w:val="16"/>
                <w:rFonts w:ascii="宋体" w:eastAsia="宋体" w:hAnsi="宋体" w:cs="宋体"/>
                <w:b w:val="0"/>
                <w:bCs w:val="0"/>
                <w:i w:val="0"/>
                <w:iCs w:val="0"/>
                <w:smallCaps w:val="0"/>
                <w:color w:val="000000"/>
                <w:sz w:val="20"/>
                <w:szCs w:val="20"/>
              </w:rPr>
              <w:t>的</w:t>
            </w:r>
            <w:r>
              <w:rPr>
                <w:rStyle w:val="16"/>
                <w:rFonts w:ascii="仿宋_GB2312" w:eastAsia="仿宋_GB2312" w:hAnsi="仿宋_GB2312" w:cs="仿宋_GB2312"/>
                <w:b w:val="0"/>
                <w:bCs w:val="0"/>
                <w:i w:val="0"/>
                <w:iCs w:val="0"/>
                <w:smallCaps w:val="0"/>
                <w:color w:val="000000"/>
                <w:sz w:val="20"/>
                <w:szCs w:val="20"/>
              </w:rPr>
              <w:t>VxLAN</w:t>
            </w:r>
            <w:r>
              <w:rPr>
                <w:rStyle w:val="16"/>
                <w:rFonts w:ascii="宋体" w:eastAsia="宋体" w:hAnsi="宋体" w:cs="宋体"/>
                <w:b w:val="0"/>
                <w:bCs w:val="0"/>
                <w:i w:val="0"/>
                <w:iCs w:val="0"/>
                <w:smallCaps w:val="0"/>
                <w:color w:val="000000"/>
                <w:sz w:val="20"/>
                <w:szCs w:val="20"/>
              </w:rPr>
              <w:t>二三层互通，实配</w:t>
            </w:r>
            <w:r>
              <w:rPr>
                <w:rStyle w:val="16"/>
                <w:rFonts w:ascii="仿宋_GB2312" w:eastAsia="仿宋_GB2312" w:hAnsi="仿宋_GB2312" w:cs="仿宋_GB2312"/>
                <w:b w:val="0"/>
                <w:bCs w:val="0"/>
                <w:i w:val="0"/>
                <w:iCs w:val="0"/>
                <w:smallCaps w:val="0"/>
                <w:color w:val="000000"/>
                <w:sz w:val="20"/>
                <w:szCs w:val="20"/>
              </w:rPr>
              <w:t>VxLAN</w:t>
            </w:r>
            <w:r>
              <w:rPr>
                <w:rStyle w:val="16"/>
                <w:rFonts w:ascii="宋体" w:eastAsia="宋体" w:hAnsi="宋体" w:cs="宋体"/>
                <w:b w:val="0"/>
                <w:bCs w:val="0"/>
                <w:i w:val="0"/>
                <w:iCs w:val="0"/>
                <w:smallCaps w:val="0"/>
                <w:color w:val="000000"/>
                <w:sz w:val="20"/>
                <w:szCs w:val="20"/>
              </w:rPr>
              <w:t>功能</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r>
        <w:tblPrEx>
          <w:tblW w:w="9235" w:type="dxa"/>
          <w:jc w:val="center"/>
          <w:tblCellSpacing w:w="0" w:type="dxa"/>
          <w:tblInd w:w="128" w:type="dxa"/>
          <w:tblCellMar>
            <w:top w:w="15" w:type="dxa"/>
            <w:left w:w="15" w:type="dxa"/>
            <w:bottom w:w="15" w:type="dxa"/>
            <w:right w:w="15" w:type="dxa"/>
          </w:tblCellMar>
        </w:tblPrEx>
        <w:trPr>
          <w:trHeight w:val="121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10</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Style w:val="16"/>
                <w:rFonts w:ascii="宋体" w:eastAsia="宋体" w:hAnsi="宋体" w:cs="宋体"/>
                <w:b w:val="0"/>
                <w:bCs w:val="0"/>
                <w:i w:val="0"/>
                <w:iCs w:val="0"/>
                <w:smallCaps w:val="0"/>
                <w:color w:val="000000"/>
                <w:sz w:val="20"/>
                <w:szCs w:val="20"/>
              </w:rPr>
              <w:t>配置要求</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配置要求</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满配主控、交换网板、风扇、电源模块，配置</w:t>
            </w:r>
            <w:r>
              <w:rPr>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96</w:t>
            </w:r>
            <w:r>
              <w:rPr>
                <w:rStyle w:val="16"/>
                <w:rFonts w:ascii="宋体" w:eastAsia="宋体" w:hAnsi="宋体" w:cs="宋体"/>
                <w:b w:val="0"/>
                <w:bCs w:val="0"/>
                <w:i w:val="0"/>
                <w:iCs w:val="0"/>
                <w:smallCaps w:val="0"/>
                <w:color w:val="000000"/>
                <w:sz w:val="20"/>
                <w:szCs w:val="20"/>
              </w:rPr>
              <w:t>个万兆光口</w:t>
            </w:r>
            <w:r>
              <w:rPr>
                <w:rStyle w:val="16"/>
                <w:rFonts w:ascii="仿宋_GB2312" w:eastAsia="仿宋_GB2312" w:hAnsi="仿宋_GB2312" w:cs="仿宋_GB2312"/>
                <w:b w:val="0"/>
                <w:bCs w:val="0"/>
                <w:i w:val="0"/>
                <w:iCs w:val="0"/>
                <w:smallCaps w:val="0"/>
                <w:color w:val="000000"/>
                <w:sz w:val="20"/>
                <w:szCs w:val="20"/>
              </w:rPr>
              <w:t>+48</w:t>
            </w:r>
            <w:r>
              <w:rPr>
                <w:rStyle w:val="16"/>
                <w:rFonts w:ascii="宋体" w:eastAsia="宋体" w:hAnsi="宋体" w:cs="宋体"/>
                <w:b w:val="0"/>
                <w:bCs w:val="0"/>
                <w:i w:val="0"/>
                <w:iCs w:val="0"/>
                <w:smallCaps w:val="0"/>
                <w:color w:val="000000"/>
                <w:sz w:val="20"/>
                <w:szCs w:val="20"/>
              </w:rPr>
              <w:t>个</w:t>
            </w:r>
            <w:r>
              <w:rPr>
                <w:rStyle w:val="16"/>
                <w:rFonts w:ascii="仿宋_GB2312" w:eastAsia="仿宋_GB2312" w:hAnsi="仿宋_GB2312" w:cs="仿宋_GB2312"/>
                <w:b w:val="0"/>
                <w:bCs w:val="0"/>
                <w:i w:val="0"/>
                <w:iCs w:val="0"/>
                <w:smallCaps w:val="0"/>
                <w:color w:val="000000"/>
                <w:sz w:val="20"/>
                <w:szCs w:val="20"/>
              </w:rPr>
              <w:t>25G</w:t>
            </w:r>
            <w:r>
              <w:rPr>
                <w:rStyle w:val="16"/>
                <w:rFonts w:ascii="宋体" w:eastAsia="宋体" w:hAnsi="宋体" w:cs="宋体"/>
                <w:b w:val="0"/>
                <w:bCs w:val="0"/>
                <w:i w:val="0"/>
                <w:iCs w:val="0"/>
                <w:smallCaps w:val="0"/>
                <w:color w:val="000000"/>
                <w:sz w:val="20"/>
                <w:szCs w:val="20"/>
              </w:rPr>
              <w:t>光口</w:t>
            </w:r>
            <w:r>
              <w:rPr>
                <w:rStyle w:val="16"/>
                <w:rFonts w:ascii="仿宋_GB2312" w:eastAsia="仿宋_GB2312" w:hAnsi="仿宋_GB2312" w:cs="仿宋_GB2312"/>
                <w:b w:val="0"/>
                <w:bCs w:val="0"/>
                <w:i w:val="0"/>
                <w:iCs w:val="0"/>
                <w:smallCaps w:val="0"/>
                <w:color w:val="000000"/>
                <w:sz w:val="20"/>
                <w:szCs w:val="20"/>
              </w:rPr>
              <w:t>+36</w:t>
            </w:r>
            <w:r>
              <w:rPr>
                <w:rStyle w:val="16"/>
                <w:rFonts w:ascii="宋体" w:eastAsia="宋体" w:hAnsi="宋体" w:cs="宋体"/>
                <w:b w:val="0"/>
                <w:bCs w:val="0"/>
                <w:i w:val="0"/>
                <w:iCs w:val="0"/>
                <w:smallCaps w:val="0"/>
                <w:color w:val="000000"/>
                <w:sz w:val="20"/>
                <w:szCs w:val="20"/>
              </w:rPr>
              <w:t>个</w:t>
            </w:r>
            <w:r>
              <w:rPr>
                <w:rStyle w:val="16"/>
                <w:rFonts w:ascii="仿宋_GB2312" w:eastAsia="仿宋_GB2312" w:hAnsi="仿宋_GB2312" w:cs="仿宋_GB2312"/>
                <w:b w:val="0"/>
                <w:bCs w:val="0"/>
                <w:i w:val="0"/>
                <w:iCs w:val="0"/>
                <w:smallCaps w:val="0"/>
                <w:color w:val="000000"/>
                <w:sz w:val="20"/>
                <w:szCs w:val="20"/>
              </w:rPr>
              <w:t>40G</w:t>
            </w:r>
            <w:r>
              <w:rPr>
                <w:rStyle w:val="16"/>
                <w:rFonts w:ascii="宋体" w:eastAsia="宋体" w:hAnsi="宋体" w:cs="宋体"/>
                <w:b w:val="0"/>
                <w:bCs w:val="0"/>
                <w:i w:val="0"/>
                <w:iCs w:val="0"/>
                <w:smallCaps w:val="0"/>
                <w:color w:val="000000"/>
                <w:sz w:val="20"/>
                <w:szCs w:val="20"/>
              </w:rPr>
              <w:t>光口</w:t>
            </w:r>
            <w:r>
              <w:rPr>
                <w:rStyle w:val="16"/>
                <w:rFonts w:ascii="仿宋_GB2312" w:eastAsia="仿宋_GB2312" w:hAnsi="仿宋_GB2312" w:cs="仿宋_GB2312"/>
                <w:b w:val="0"/>
                <w:bCs w:val="0"/>
                <w:i w:val="0"/>
                <w:iCs w:val="0"/>
                <w:smallCaps w:val="0"/>
                <w:color w:val="000000"/>
                <w:sz w:val="20"/>
                <w:szCs w:val="20"/>
              </w:rPr>
              <w:t>+36</w:t>
            </w:r>
            <w:r>
              <w:rPr>
                <w:rStyle w:val="16"/>
                <w:rFonts w:ascii="宋体" w:eastAsia="宋体" w:hAnsi="宋体" w:cs="宋体"/>
                <w:b w:val="0"/>
                <w:bCs w:val="0"/>
                <w:i w:val="0"/>
                <w:iCs w:val="0"/>
                <w:smallCaps w:val="0"/>
                <w:color w:val="000000"/>
                <w:sz w:val="20"/>
                <w:szCs w:val="20"/>
              </w:rPr>
              <w:t>个</w:t>
            </w:r>
            <w:r>
              <w:rPr>
                <w:rStyle w:val="16"/>
                <w:rFonts w:ascii="仿宋_GB2312" w:eastAsia="仿宋_GB2312" w:hAnsi="仿宋_GB2312" w:cs="仿宋_GB2312"/>
                <w:b w:val="0"/>
                <w:bCs w:val="0"/>
                <w:i w:val="0"/>
                <w:iCs w:val="0"/>
                <w:smallCaps w:val="0"/>
                <w:color w:val="000000"/>
                <w:sz w:val="20"/>
                <w:szCs w:val="20"/>
              </w:rPr>
              <w:t>100G</w:t>
            </w:r>
            <w:r>
              <w:rPr>
                <w:rStyle w:val="16"/>
                <w:rFonts w:ascii="宋体" w:eastAsia="宋体" w:hAnsi="宋体" w:cs="宋体"/>
                <w:b w:val="0"/>
                <w:bCs w:val="0"/>
                <w:i w:val="0"/>
                <w:iCs w:val="0"/>
                <w:smallCaps w:val="0"/>
                <w:color w:val="000000"/>
                <w:sz w:val="20"/>
                <w:szCs w:val="20"/>
              </w:rPr>
              <w:t>光口，配置</w:t>
            </w:r>
            <w:r>
              <w:rPr>
                <w:rStyle w:val="16"/>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96</w:t>
            </w:r>
            <w:r>
              <w:rPr>
                <w:rStyle w:val="16"/>
                <w:rFonts w:ascii="宋体" w:eastAsia="宋体" w:hAnsi="宋体" w:cs="宋体"/>
                <w:b w:val="0"/>
                <w:bCs w:val="0"/>
                <w:i w:val="0"/>
                <w:iCs w:val="0"/>
                <w:smallCaps w:val="0"/>
                <w:color w:val="000000"/>
                <w:sz w:val="20"/>
                <w:szCs w:val="20"/>
              </w:rPr>
              <w:t>个万兆多模光模块</w:t>
            </w:r>
            <w:r>
              <w:rPr>
                <w:rStyle w:val="16"/>
                <w:rFonts w:ascii="仿宋_GB2312" w:eastAsia="仿宋_GB2312" w:hAnsi="仿宋_GB2312" w:cs="仿宋_GB2312"/>
                <w:b w:val="0"/>
                <w:bCs w:val="0"/>
                <w:i w:val="0"/>
                <w:iCs w:val="0"/>
                <w:smallCaps w:val="0"/>
                <w:color w:val="000000"/>
                <w:sz w:val="20"/>
                <w:szCs w:val="20"/>
              </w:rPr>
              <w:t>+48</w:t>
            </w:r>
            <w:r>
              <w:rPr>
                <w:rStyle w:val="16"/>
                <w:rFonts w:ascii="宋体" w:eastAsia="宋体" w:hAnsi="宋体" w:cs="宋体"/>
                <w:b w:val="0"/>
                <w:bCs w:val="0"/>
                <w:i w:val="0"/>
                <w:iCs w:val="0"/>
                <w:smallCaps w:val="0"/>
                <w:color w:val="000000"/>
                <w:sz w:val="20"/>
                <w:szCs w:val="20"/>
              </w:rPr>
              <w:t>个</w:t>
            </w:r>
            <w:r>
              <w:rPr>
                <w:rStyle w:val="16"/>
                <w:rFonts w:ascii="仿宋_GB2312" w:eastAsia="仿宋_GB2312" w:hAnsi="仿宋_GB2312" w:cs="仿宋_GB2312"/>
                <w:b w:val="0"/>
                <w:bCs w:val="0"/>
                <w:i w:val="0"/>
                <w:iCs w:val="0"/>
                <w:smallCaps w:val="0"/>
                <w:color w:val="000000"/>
                <w:sz w:val="20"/>
                <w:szCs w:val="20"/>
              </w:rPr>
              <w:t>25G</w:t>
            </w:r>
            <w:r>
              <w:rPr>
                <w:rStyle w:val="16"/>
                <w:rFonts w:ascii="宋体" w:eastAsia="宋体" w:hAnsi="宋体" w:cs="宋体"/>
                <w:b w:val="0"/>
                <w:bCs w:val="0"/>
                <w:i w:val="0"/>
                <w:iCs w:val="0"/>
                <w:smallCaps w:val="0"/>
                <w:color w:val="000000"/>
                <w:sz w:val="20"/>
                <w:szCs w:val="20"/>
              </w:rPr>
              <w:t>多模光模块</w:t>
            </w:r>
            <w:r>
              <w:rPr>
                <w:rStyle w:val="16"/>
                <w:rFonts w:ascii="仿宋_GB2312" w:eastAsia="仿宋_GB2312" w:hAnsi="仿宋_GB2312" w:cs="仿宋_GB2312"/>
                <w:b w:val="0"/>
                <w:bCs w:val="0"/>
                <w:i w:val="0"/>
                <w:iCs w:val="0"/>
                <w:smallCaps w:val="0"/>
                <w:color w:val="000000"/>
                <w:sz w:val="20"/>
                <w:szCs w:val="20"/>
              </w:rPr>
              <w:t>+36</w:t>
            </w:r>
            <w:r>
              <w:rPr>
                <w:rStyle w:val="16"/>
                <w:rFonts w:ascii="宋体" w:eastAsia="宋体" w:hAnsi="宋体" w:cs="宋体"/>
                <w:b w:val="0"/>
                <w:bCs w:val="0"/>
                <w:i w:val="0"/>
                <w:iCs w:val="0"/>
                <w:smallCaps w:val="0"/>
                <w:color w:val="000000"/>
                <w:sz w:val="20"/>
                <w:szCs w:val="20"/>
              </w:rPr>
              <w:t>个</w:t>
            </w:r>
            <w:r>
              <w:rPr>
                <w:rStyle w:val="16"/>
                <w:rFonts w:ascii="仿宋_GB2312" w:eastAsia="仿宋_GB2312" w:hAnsi="仿宋_GB2312" w:cs="仿宋_GB2312"/>
                <w:b w:val="0"/>
                <w:bCs w:val="0"/>
                <w:i w:val="0"/>
                <w:iCs w:val="0"/>
                <w:smallCaps w:val="0"/>
                <w:color w:val="000000"/>
                <w:sz w:val="20"/>
                <w:szCs w:val="20"/>
              </w:rPr>
              <w:t>40G</w:t>
            </w:r>
            <w:r>
              <w:rPr>
                <w:rStyle w:val="16"/>
                <w:rFonts w:ascii="宋体" w:eastAsia="宋体" w:hAnsi="宋体" w:cs="宋体"/>
                <w:b w:val="0"/>
                <w:bCs w:val="0"/>
                <w:i w:val="0"/>
                <w:iCs w:val="0"/>
                <w:smallCaps w:val="0"/>
                <w:color w:val="000000"/>
                <w:sz w:val="20"/>
                <w:szCs w:val="20"/>
              </w:rPr>
              <w:t>多模光模块</w:t>
            </w:r>
            <w:r>
              <w:rPr>
                <w:rStyle w:val="16"/>
                <w:rFonts w:ascii="仿宋_GB2312" w:eastAsia="仿宋_GB2312" w:hAnsi="仿宋_GB2312" w:cs="仿宋_GB2312"/>
                <w:b w:val="0"/>
                <w:bCs w:val="0"/>
                <w:i w:val="0"/>
                <w:iCs w:val="0"/>
                <w:smallCaps w:val="0"/>
                <w:color w:val="000000"/>
                <w:sz w:val="20"/>
                <w:szCs w:val="20"/>
              </w:rPr>
              <w:t>+36</w:t>
            </w:r>
            <w:r>
              <w:rPr>
                <w:rStyle w:val="16"/>
                <w:rFonts w:ascii="宋体" w:eastAsia="宋体" w:hAnsi="宋体" w:cs="宋体"/>
                <w:b w:val="0"/>
                <w:bCs w:val="0"/>
                <w:i w:val="0"/>
                <w:iCs w:val="0"/>
                <w:smallCaps w:val="0"/>
                <w:color w:val="000000"/>
                <w:sz w:val="20"/>
                <w:szCs w:val="20"/>
              </w:rPr>
              <w:t>个</w:t>
            </w:r>
            <w:r>
              <w:rPr>
                <w:rStyle w:val="16"/>
                <w:rFonts w:ascii="仿宋_GB2312" w:eastAsia="仿宋_GB2312" w:hAnsi="仿宋_GB2312" w:cs="仿宋_GB2312"/>
                <w:b w:val="0"/>
                <w:bCs w:val="0"/>
                <w:i w:val="0"/>
                <w:iCs w:val="0"/>
                <w:smallCaps w:val="0"/>
                <w:color w:val="000000"/>
                <w:sz w:val="20"/>
                <w:szCs w:val="20"/>
              </w:rPr>
              <w:t>100G</w:t>
            </w:r>
            <w:r>
              <w:rPr>
                <w:rStyle w:val="16"/>
                <w:rFonts w:ascii="宋体" w:eastAsia="宋体" w:hAnsi="宋体" w:cs="宋体"/>
                <w:b w:val="0"/>
                <w:bCs w:val="0"/>
                <w:i w:val="0"/>
                <w:iCs w:val="0"/>
                <w:smallCaps w:val="0"/>
                <w:color w:val="000000"/>
                <w:sz w:val="20"/>
                <w:szCs w:val="20"/>
              </w:rPr>
              <w:t>多模光模块</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11</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Style w:val="16"/>
                <w:rFonts w:ascii="宋体" w:eastAsia="宋体" w:hAnsi="宋体" w:cs="宋体"/>
                <w:b w:val="0"/>
                <w:bCs w:val="0"/>
                <w:i w:val="0"/>
                <w:iCs w:val="0"/>
                <w:smallCaps w:val="0"/>
                <w:color w:val="000000"/>
                <w:sz w:val="20"/>
                <w:szCs w:val="20"/>
              </w:rPr>
              <w:t>维保服务</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维保服务</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需要提供原厂三年维保服务</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提供承诺书</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12</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Style w:val="16"/>
                <w:rFonts w:ascii="宋体" w:eastAsia="宋体" w:hAnsi="宋体" w:cs="宋体"/>
                <w:b w:val="0"/>
                <w:bCs w:val="0"/>
                <w:i w:val="0"/>
                <w:iCs w:val="0"/>
                <w:smallCaps w:val="0"/>
                <w:color w:val="000000"/>
                <w:sz w:val="20"/>
                <w:szCs w:val="20"/>
              </w:rPr>
              <w:t>设备高度</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设备高度</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为节约机柜空间，要求设备高度</w:t>
            </w:r>
            <w:r>
              <w:rPr>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13U</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13</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-MACSEC</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MACSEC</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支持并实配全端口</w:t>
            </w:r>
            <w:r>
              <w:rPr>
                <w:rStyle w:val="16"/>
                <w:rFonts w:ascii="仿宋_GB2312" w:eastAsia="仿宋_GB2312" w:hAnsi="仿宋_GB2312" w:cs="仿宋_GB2312"/>
                <w:b w:val="0"/>
                <w:bCs w:val="0"/>
                <w:i w:val="0"/>
                <w:iCs w:val="0"/>
                <w:smallCaps w:val="0"/>
                <w:color w:val="000000"/>
                <w:sz w:val="20"/>
                <w:szCs w:val="20"/>
              </w:rPr>
              <w:t>MACSEC 256bits</w:t>
            </w:r>
            <w:r>
              <w:rPr>
                <w:rStyle w:val="16"/>
                <w:rFonts w:ascii="宋体" w:eastAsia="宋体" w:hAnsi="宋体" w:cs="宋体"/>
                <w:b w:val="0"/>
                <w:bCs w:val="0"/>
                <w:i w:val="0"/>
                <w:iCs w:val="0"/>
                <w:smallCaps w:val="0"/>
                <w:color w:val="000000"/>
                <w:sz w:val="20"/>
                <w:szCs w:val="20"/>
              </w:rPr>
              <w:t>加密功能</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top"/>
            <w:hideMark/>
          </w:tcPr>
          <w:p>
            <w:pPr>
              <w:pStyle w:val="MsoNormal"/>
              <w:spacing w:before="0" w:after="0"/>
              <w:ind w:left="0" w:right="0"/>
              <w:jc w:val="center"/>
              <w:textAlignment w:val="top"/>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提供承诺书</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14</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Style w:val="16"/>
                <w:rFonts w:ascii="宋体" w:eastAsia="宋体" w:hAnsi="宋体" w:cs="宋体"/>
                <w:b w:val="0"/>
                <w:bCs w:val="0"/>
                <w:i w:val="0"/>
                <w:iCs w:val="0"/>
                <w:smallCaps w:val="0"/>
                <w:color w:val="000000"/>
                <w:sz w:val="20"/>
                <w:szCs w:val="20"/>
              </w:rPr>
              <w:t>时延要求</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时延要求</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10G/25G/40G/100G/400G</w:t>
            </w:r>
            <w:r>
              <w:rPr>
                <w:rStyle w:val="16"/>
                <w:rFonts w:ascii="宋体" w:eastAsia="宋体" w:hAnsi="宋体" w:cs="宋体"/>
                <w:b w:val="0"/>
                <w:bCs w:val="0"/>
                <w:i w:val="0"/>
                <w:iCs w:val="0"/>
                <w:smallCaps w:val="0"/>
                <w:color w:val="000000"/>
                <w:sz w:val="20"/>
                <w:szCs w:val="20"/>
              </w:rPr>
              <w:t>端口时延</w:t>
            </w:r>
            <w:r>
              <w:rPr>
                <w:rStyle w:val="16"/>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1.2us</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top"/>
            <w:hideMark/>
          </w:tcPr>
          <w:p>
            <w:pPr>
              <w:pStyle w:val="MsoNormal"/>
              <w:spacing w:before="0" w:after="0"/>
              <w:ind w:left="0" w:right="0"/>
              <w:jc w:val="center"/>
              <w:textAlignment w:val="top"/>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提供承诺书</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15</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Style w:val="16"/>
                <w:rFonts w:ascii="宋体" w:eastAsia="宋体" w:hAnsi="宋体" w:cs="宋体"/>
                <w:b w:val="0"/>
                <w:bCs w:val="0"/>
                <w:i w:val="0"/>
                <w:iCs w:val="0"/>
                <w:smallCaps w:val="0"/>
                <w:color w:val="000000"/>
                <w:sz w:val="20"/>
                <w:szCs w:val="20"/>
              </w:rPr>
              <w:t>高性能</w:t>
            </w:r>
            <w:r>
              <w:rPr>
                <w:rStyle w:val="16"/>
                <w:rFonts w:ascii="仿宋_GB2312" w:eastAsia="仿宋_GB2312" w:hAnsi="仿宋_GB2312" w:cs="仿宋_GB2312"/>
                <w:b w:val="0"/>
                <w:bCs w:val="0"/>
                <w:i w:val="0"/>
                <w:iCs w:val="0"/>
                <w:smallCaps w:val="0"/>
                <w:color w:val="000000"/>
                <w:sz w:val="20"/>
                <w:szCs w:val="20"/>
              </w:rPr>
              <w:t>AI</w:t>
            </w:r>
            <w:r>
              <w:rPr>
                <w:rStyle w:val="16"/>
                <w:rFonts w:ascii="宋体" w:eastAsia="宋体" w:hAnsi="宋体" w:cs="宋体"/>
                <w:b w:val="0"/>
                <w:bCs w:val="0"/>
                <w:i w:val="0"/>
                <w:iCs w:val="0"/>
                <w:smallCaps w:val="0"/>
                <w:color w:val="000000"/>
                <w:sz w:val="20"/>
                <w:szCs w:val="20"/>
              </w:rPr>
              <w:t>计算模块</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高性能</w:t>
            </w:r>
            <w:r>
              <w:rPr>
                <w:rStyle w:val="16"/>
                <w:rFonts w:ascii="仿宋_GB2312" w:eastAsia="仿宋_GB2312" w:hAnsi="仿宋_GB2312" w:cs="仿宋_GB2312"/>
                <w:b w:val="0"/>
                <w:bCs w:val="0"/>
                <w:i w:val="0"/>
                <w:iCs w:val="0"/>
                <w:smallCaps w:val="0"/>
                <w:color w:val="000000"/>
                <w:sz w:val="20"/>
                <w:szCs w:val="20"/>
              </w:rPr>
              <w:t>AI</w:t>
            </w:r>
            <w:r>
              <w:rPr>
                <w:rStyle w:val="16"/>
                <w:rFonts w:ascii="宋体" w:eastAsia="宋体" w:hAnsi="宋体" w:cs="宋体"/>
                <w:b w:val="0"/>
                <w:bCs w:val="0"/>
                <w:i w:val="0"/>
                <w:iCs w:val="0"/>
                <w:smallCaps w:val="0"/>
                <w:color w:val="000000"/>
                <w:sz w:val="20"/>
                <w:szCs w:val="20"/>
              </w:rPr>
              <w:t>计算模块</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支持高性能</w:t>
            </w:r>
            <w:r>
              <w:rPr>
                <w:rStyle w:val="16"/>
                <w:rFonts w:ascii="仿宋_GB2312" w:eastAsia="仿宋_GB2312" w:hAnsi="仿宋_GB2312" w:cs="仿宋_GB2312"/>
                <w:b w:val="0"/>
                <w:bCs w:val="0"/>
                <w:i w:val="0"/>
                <w:iCs w:val="0"/>
                <w:smallCaps w:val="0"/>
                <w:color w:val="000000"/>
                <w:sz w:val="20"/>
                <w:szCs w:val="20"/>
              </w:rPr>
              <w:t>AI</w:t>
            </w:r>
            <w:r>
              <w:rPr>
                <w:rStyle w:val="16"/>
                <w:rFonts w:ascii="宋体" w:eastAsia="宋体" w:hAnsi="宋体" w:cs="宋体"/>
                <w:b w:val="0"/>
                <w:bCs w:val="0"/>
                <w:i w:val="0"/>
                <w:iCs w:val="0"/>
                <w:smallCaps w:val="0"/>
                <w:color w:val="000000"/>
                <w:sz w:val="20"/>
                <w:szCs w:val="20"/>
              </w:rPr>
              <w:t>计算模块，可以为网络和业务提供强大算力，可实现浮点运算能力</w:t>
            </w:r>
            <w:r>
              <w:rPr>
                <w:rStyle w:val="16"/>
                <w:rFonts w:ascii="仿宋_GB2312" w:eastAsia="仿宋_GB2312" w:hAnsi="仿宋_GB2312" w:cs="仿宋_GB2312"/>
                <w:b w:val="0"/>
                <w:bCs w:val="0"/>
                <w:i w:val="0"/>
                <w:iCs w:val="0"/>
                <w:smallCaps w:val="0"/>
                <w:color w:val="000000"/>
                <w:sz w:val="20"/>
                <w:szCs w:val="20"/>
              </w:rPr>
              <w:t>≥100TFlops</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提供官网截图</w:t>
            </w:r>
          </w:p>
        </w:tc>
      </w:tr>
      <w:tr>
        <w:tblPrEx>
          <w:tblW w:w="9235" w:type="dxa"/>
          <w:jc w:val="center"/>
          <w:tblCellSpacing w:w="0" w:type="dxa"/>
          <w:tblInd w:w="128" w:type="dxa"/>
          <w:tblCellMar>
            <w:top w:w="15" w:type="dxa"/>
            <w:left w:w="15" w:type="dxa"/>
            <w:bottom w:w="15" w:type="dxa"/>
            <w:right w:w="15" w:type="dxa"/>
          </w:tblCellMar>
        </w:tblPrEx>
        <w:trPr>
          <w:trHeight w:val="97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16</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-TAP</w:t>
            </w:r>
            <w:r>
              <w:rPr>
                <w:rStyle w:val="16"/>
                <w:rFonts w:ascii="宋体" w:eastAsia="宋体" w:hAnsi="宋体" w:cs="宋体"/>
                <w:b w:val="0"/>
                <w:bCs w:val="0"/>
                <w:i w:val="0"/>
                <w:iCs w:val="0"/>
                <w:smallCaps w:val="0"/>
                <w:color w:val="000000"/>
                <w:sz w:val="20"/>
                <w:szCs w:val="20"/>
              </w:rPr>
              <w:t>功能</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TAP</w:t>
            </w:r>
            <w:r>
              <w:rPr>
                <w:rStyle w:val="16"/>
                <w:rFonts w:ascii="宋体" w:eastAsia="宋体" w:hAnsi="宋体" w:cs="宋体"/>
                <w:b w:val="0"/>
                <w:bCs w:val="0"/>
                <w:i w:val="0"/>
                <w:iCs w:val="0"/>
                <w:smallCaps w:val="0"/>
                <w:color w:val="000000"/>
                <w:sz w:val="20"/>
                <w:szCs w:val="20"/>
              </w:rPr>
              <w:t>功能</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w:t>
            </w:r>
            <w:r>
              <w:rPr>
                <w:rStyle w:val="16"/>
                <w:rFonts w:ascii="仿宋_GB2312" w:eastAsia="仿宋_GB2312" w:hAnsi="仿宋_GB2312" w:cs="仿宋_GB2312"/>
                <w:b w:val="0"/>
                <w:bCs w:val="0"/>
                <w:i w:val="0"/>
                <w:iCs w:val="0"/>
                <w:smallCaps w:val="0"/>
                <w:color w:val="000000"/>
                <w:sz w:val="20"/>
                <w:szCs w:val="20"/>
              </w:rPr>
              <w:t>TAP</w:t>
            </w:r>
            <w:r>
              <w:rPr>
                <w:rStyle w:val="16"/>
                <w:rFonts w:ascii="宋体" w:eastAsia="宋体" w:hAnsi="宋体" w:cs="宋体"/>
                <w:b w:val="0"/>
                <w:bCs w:val="0"/>
                <w:i w:val="0"/>
                <w:iCs w:val="0"/>
                <w:smallCaps w:val="0"/>
                <w:color w:val="000000"/>
                <w:sz w:val="20"/>
                <w:szCs w:val="20"/>
              </w:rPr>
              <w:t>能力，可支持</w:t>
            </w:r>
            <w:r>
              <w:rPr>
                <w:rStyle w:val="16"/>
                <w:rFonts w:ascii="仿宋_GB2312" w:eastAsia="仿宋_GB2312" w:hAnsi="仿宋_GB2312" w:cs="仿宋_GB2312"/>
                <w:b w:val="0"/>
                <w:bCs w:val="0"/>
                <w:i w:val="0"/>
                <w:iCs w:val="0"/>
                <w:smallCaps w:val="0"/>
                <w:color w:val="000000"/>
                <w:sz w:val="20"/>
                <w:szCs w:val="20"/>
              </w:rPr>
              <w:t xml:space="preserve">TAP </w:t>
            </w:r>
            <w:r>
              <w:rPr>
                <w:rStyle w:val="16"/>
                <w:rFonts w:ascii="宋体" w:eastAsia="宋体" w:hAnsi="宋体" w:cs="宋体"/>
                <w:b w:val="0"/>
                <w:bCs w:val="0"/>
                <w:i w:val="0"/>
                <w:iCs w:val="0"/>
                <w:smallCaps w:val="0"/>
                <w:color w:val="000000"/>
                <w:sz w:val="20"/>
                <w:szCs w:val="20"/>
              </w:rPr>
              <w:t>同源同宿功能，报文截断功能，源端口标识功能，支持</w:t>
            </w:r>
            <w:r>
              <w:rPr>
                <w:rStyle w:val="16"/>
                <w:rFonts w:ascii="宋体" w:eastAsia="宋体" w:hAnsi="宋体" w:cs="宋体"/>
                <w:b w:val="0"/>
                <w:bCs w:val="0"/>
                <w:i w:val="0"/>
                <w:iCs w:val="0"/>
                <w:smallCaps w:val="0"/>
                <w:color w:val="000000"/>
                <w:sz w:val="20"/>
                <w:szCs w:val="20"/>
              </w:rPr>
              <w:t xml:space="preserve"> </w:t>
            </w:r>
            <w:r>
              <w:rPr>
                <w:rStyle w:val="16"/>
                <w:rFonts w:ascii="仿宋_GB2312" w:eastAsia="仿宋_GB2312" w:hAnsi="仿宋_GB2312" w:cs="仿宋_GB2312"/>
                <w:b w:val="0"/>
                <w:bCs w:val="0"/>
                <w:i w:val="0"/>
                <w:iCs w:val="0"/>
                <w:smallCaps w:val="0"/>
                <w:color w:val="000000"/>
                <w:sz w:val="20"/>
                <w:szCs w:val="20"/>
              </w:rPr>
              <w:t xml:space="preserve">TAP </w:t>
            </w:r>
            <w:r>
              <w:rPr>
                <w:rStyle w:val="16"/>
                <w:rFonts w:ascii="宋体" w:eastAsia="宋体" w:hAnsi="宋体" w:cs="宋体"/>
                <w:b w:val="0"/>
                <w:bCs w:val="0"/>
                <w:i w:val="0"/>
                <w:iCs w:val="0"/>
                <w:smallCaps w:val="0"/>
                <w:color w:val="000000"/>
                <w:sz w:val="20"/>
                <w:szCs w:val="20"/>
              </w:rPr>
              <w:t>基于端口的</w:t>
            </w:r>
            <w:r>
              <w:rPr>
                <w:rStyle w:val="16"/>
                <w:rFonts w:ascii="宋体" w:eastAsia="宋体" w:hAnsi="宋体" w:cs="宋体"/>
                <w:b w:val="0"/>
                <w:bCs w:val="0"/>
                <w:i w:val="0"/>
                <w:iCs w:val="0"/>
                <w:smallCaps w:val="0"/>
                <w:color w:val="000000"/>
                <w:sz w:val="20"/>
                <w:szCs w:val="20"/>
              </w:rPr>
              <w:t xml:space="preserve"> </w:t>
            </w:r>
            <w:r>
              <w:rPr>
                <w:rStyle w:val="16"/>
                <w:rFonts w:ascii="仿宋_GB2312" w:eastAsia="仿宋_GB2312" w:hAnsi="仿宋_GB2312" w:cs="仿宋_GB2312"/>
                <w:b w:val="0"/>
                <w:bCs w:val="0"/>
                <w:i w:val="0"/>
                <w:iCs w:val="0"/>
                <w:smallCaps w:val="0"/>
                <w:color w:val="000000"/>
                <w:sz w:val="20"/>
                <w:szCs w:val="20"/>
              </w:rPr>
              <w:t xml:space="preserve">M:N </w:t>
            </w:r>
            <w:r>
              <w:rPr>
                <w:rStyle w:val="16"/>
                <w:rFonts w:ascii="宋体" w:eastAsia="宋体" w:hAnsi="宋体" w:cs="宋体"/>
                <w:b w:val="0"/>
                <w:bCs w:val="0"/>
                <w:i w:val="0"/>
                <w:iCs w:val="0"/>
                <w:smallCaps w:val="0"/>
                <w:color w:val="000000"/>
                <w:sz w:val="20"/>
                <w:szCs w:val="20"/>
              </w:rPr>
              <w:t>模型功能，</w:t>
            </w:r>
            <w:r>
              <w:rPr>
                <w:rStyle w:val="16"/>
                <w:rFonts w:ascii="仿宋_GB2312" w:eastAsia="仿宋_GB2312" w:hAnsi="仿宋_GB2312" w:cs="仿宋_GB2312"/>
                <w:b w:val="0"/>
                <w:bCs w:val="0"/>
                <w:i w:val="0"/>
                <w:iCs w:val="0"/>
                <w:smallCaps w:val="0"/>
                <w:color w:val="000000"/>
                <w:sz w:val="20"/>
                <w:szCs w:val="20"/>
              </w:rPr>
              <w:t xml:space="preserve">M:N </w:t>
            </w:r>
            <w:r>
              <w:rPr>
                <w:rStyle w:val="16"/>
                <w:rFonts w:ascii="宋体" w:eastAsia="宋体" w:hAnsi="宋体" w:cs="宋体"/>
                <w:b w:val="0"/>
                <w:bCs w:val="0"/>
                <w:i w:val="0"/>
                <w:iCs w:val="0"/>
                <w:smallCaps w:val="0"/>
                <w:color w:val="000000"/>
                <w:sz w:val="20"/>
                <w:szCs w:val="20"/>
              </w:rPr>
              <w:t>模型下最大</w:t>
            </w:r>
            <w:r>
              <w:rPr>
                <w:rStyle w:val="16"/>
                <w:rFonts w:ascii="宋体" w:eastAsia="宋体" w:hAnsi="宋体" w:cs="宋体"/>
                <w:b w:val="0"/>
                <w:bCs w:val="0"/>
                <w:i w:val="0"/>
                <w:iCs w:val="0"/>
                <w:smallCaps w:val="0"/>
                <w:color w:val="000000"/>
                <w:sz w:val="20"/>
                <w:szCs w:val="20"/>
              </w:rPr>
              <w:t xml:space="preserve"> </w:t>
            </w:r>
            <w:r>
              <w:rPr>
                <w:rStyle w:val="16"/>
                <w:rFonts w:ascii="仿宋_GB2312" w:eastAsia="仿宋_GB2312" w:hAnsi="仿宋_GB2312" w:cs="仿宋_GB2312"/>
                <w:b w:val="0"/>
                <w:bCs w:val="0"/>
                <w:i w:val="0"/>
                <w:iCs w:val="0"/>
                <w:smallCaps w:val="0"/>
                <w:color w:val="000000"/>
                <w:sz w:val="20"/>
                <w:szCs w:val="20"/>
              </w:rPr>
              <w:t xml:space="preserve">M </w:t>
            </w:r>
            <w:r>
              <w:rPr>
                <w:rStyle w:val="16"/>
                <w:rFonts w:ascii="宋体" w:eastAsia="宋体" w:hAnsi="宋体" w:cs="宋体"/>
                <w:b w:val="0"/>
                <w:bCs w:val="0"/>
                <w:i w:val="0"/>
                <w:iCs w:val="0"/>
                <w:smallCaps w:val="0"/>
                <w:color w:val="000000"/>
                <w:sz w:val="20"/>
                <w:szCs w:val="20"/>
              </w:rPr>
              <w:t>口规格为</w:t>
            </w:r>
            <w:r>
              <w:rPr>
                <w:rStyle w:val="16"/>
                <w:rFonts w:ascii="宋体" w:eastAsia="宋体" w:hAnsi="宋体" w:cs="宋体"/>
                <w:b w:val="0"/>
                <w:bCs w:val="0"/>
                <w:i w:val="0"/>
                <w:iCs w:val="0"/>
                <w:smallCaps w:val="0"/>
                <w:color w:val="000000"/>
                <w:sz w:val="20"/>
                <w:szCs w:val="20"/>
              </w:rPr>
              <w:t xml:space="preserve"> </w:t>
            </w:r>
            <w:r>
              <w:rPr>
                <w:rStyle w:val="16"/>
                <w:rFonts w:ascii="仿宋_GB2312" w:eastAsia="仿宋_GB2312" w:hAnsi="仿宋_GB2312" w:cs="仿宋_GB2312"/>
                <w:b w:val="0"/>
                <w:bCs w:val="0"/>
                <w:i w:val="0"/>
                <w:iCs w:val="0"/>
                <w:smallCaps w:val="0"/>
                <w:color w:val="000000"/>
                <w:sz w:val="20"/>
                <w:szCs w:val="20"/>
              </w:rPr>
              <w:t>575, N</w:t>
            </w:r>
            <w:r>
              <w:rPr>
                <w:rStyle w:val="16"/>
                <w:rFonts w:ascii="宋体" w:eastAsia="宋体" w:hAnsi="宋体" w:cs="宋体"/>
                <w:b w:val="0"/>
                <w:bCs w:val="0"/>
                <w:i w:val="0"/>
                <w:iCs w:val="0"/>
                <w:smallCaps w:val="0"/>
                <w:color w:val="000000"/>
                <w:sz w:val="20"/>
                <w:szCs w:val="20"/>
              </w:rPr>
              <w:t>口规格为</w:t>
            </w:r>
            <w:r>
              <w:rPr>
                <w:rStyle w:val="16"/>
                <w:rFonts w:ascii="仿宋_GB2312" w:eastAsia="仿宋_GB2312" w:hAnsi="仿宋_GB2312" w:cs="仿宋_GB2312"/>
                <w:b w:val="0"/>
                <w:bCs w:val="0"/>
                <w:i w:val="0"/>
                <w:iCs w:val="0"/>
                <w:smallCaps w:val="0"/>
                <w:color w:val="000000"/>
                <w:sz w:val="20"/>
                <w:szCs w:val="20"/>
              </w:rPr>
              <w:t>575;</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提供承诺书</w:t>
            </w:r>
          </w:p>
        </w:tc>
      </w:tr>
      <w:tr>
        <w:tblPrEx>
          <w:tblW w:w="9235" w:type="dxa"/>
          <w:jc w:val="center"/>
          <w:tblCellSpacing w:w="0" w:type="dxa"/>
          <w:tblInd w:w="128" w:type="dxa"/>
          <w:tblCellMar>
            <w:top w:w="15" w:type="dxa"/>
            <w:left w:w="15" w:type="dxa"/>
            <w:bottom w:w="15" w:type="dxa"/>
            <w:right w:w="15" w:type="dxa"/>
          </w:tblCellMar>
        </w:tblPrEx>
        <w:trPr>
          <w:trHeight w:val="300"/>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17</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-MPLS</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MPLS</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w:t>
            </w:r>
            <w:r>
              <w:rPr>
                <w:rStyle w:val="16"/>
                <w:rFonts w:ascii="仿宋_GB2312" w:eastAsia="仿宋_GB2312" w:hAnsi="仿宋_GB2312" w:cs="仿宋_GB2312"/>
                <w:b w:val="0"/>
                <w:bCs w:val="0"/>
                <w:i w:val="0"/>
                <w:iCs w:val="0"/>
                <w:smallCaps w:val="0"/>
                <w:color w:val="000000"/>
                <w:sz w:val="20"/>
                <w:szCs w:val="20"/>
              </w:rPr>
              <w:t>MPLS VPN</w:t>
            </w:r>
            <w:r>
              <w:rPr>
                <w:rStyle w:val="16"/>
                <w:rFonts w:ascii="宋体" w:eastAsia="宋体" w:hAnsi="宋体" w:cs="宋体"/>
                <w:b w:val="0"/>
                <w:bCs w:val="0"/>
                <w:i w:val="0"/>
                <w:iCs w:val="0"/>
                <w:smallCaps w:val="0"/>
                <w:color w:val="000000"/>
                <w:sz w:val="20"/>
                <w:szCs w:val="20"/>
              </w:rPr>
              <w:t>；</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提供承诺书</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18</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Style w:val="16"/>
                <w:rFonts w:ascii="宋体" w:eastAsia="宋体" w:hAnsi="宋体" w:cs="宋体"/>
                <w:b w:val="0"/>
                <w:bCs w:val="0"/>
                <w:i w:val="0"/>
                <w:iCs w:val="0"/>
                <w:smallCaps w:val="0"/>
                <w:color w:val="000000"/>
                <w:sz w:val="20"/>
                <w:szCs w:val="20"/>
              </w:rPr>
              <w:t>智能无损可视化特性</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智能无损可视化特性</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支持会话可视、路径可视、丢包可视功能</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提供承诺书</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19</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Style w:val="16"/>
                <w:rFonts w:ascii="宋体" w:eastAsia="宋体" w:hAnsi="宋体" w:cs="宋体"/>
                <w:b w:val="0"/>
                <w:bCs w:val="0"/>
                <w:i w:val="0"/>
                <w:iCs w:val="0"/>
                <w:smallCaps w:val="0"/>
                <w:color w:val="000000"/>
                <w:sz w:val="20"/>
                <w:szCs w:val="20"/>
              </w:rPr>
              <w:t>跨设备链路聚合</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跨设备链路聚合</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支持跨设备链路聚合及升级功能，保证业务不中断</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提供承诺书</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20</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Style w:val="16"/>
                <w:rFonts w:ascii="宋体" w:eastAsia="宋体" w:hAnsi="宋体" w:cs="宋体"/>
                <w:b w:val="0"/>
                <w:bCs w:val="0"/>
                <w:i w:val="0"/>
                <w:iCs w:val="0"/>
                <w:smallCaps w:val="0"/>
                <w:color w:val="000000"/>
                <w:sz w:val="20"/>
                <w:szCs w:val="20"/>
              </w:rPr>
              <w:t>智能网管</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智能网管</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支持内置图形化管理功能，实现纵向虚拟化，对于下联设备具备统一管理的功能</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提供承诺书</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21</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Style w:val="16"/>
                <w:rFonts w:ascii="宋体" w:eastAsia="宋体" w:hAnsi="宋体" w:cs="宋体"/>
                <w:b w:val="0"/>
                <w:bCs w:val="0"/>
                <w:i w:val="0"/>
                <w:iCs w:val="0"/>
                <w:smallCaps w:val="0"/>
                <w:color w:val="000000"/>
                <w:sz w:val="20"/>
                <w:szCs w:val="20"/>
              </w:rPr>
              <w:t>时钟同步</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时钟同步</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支持硬件时钟同步功能，支持</w:t>
            </w:r>
            <w:r>
              <w:rPr>
                <w:rStyle w:val="16"/>
                <w:rFonts w:ascii="仿宋_GB2312" w:eastAsia="仿宋_GB2312" w:hAnsi="仿宋_GB2312" w:cs="仿宋_GB2312"/>
                <w:b w:val="0"/>
                <w:bCs w:val="0"/>
                <w:i w:val="0"/>
                <w:iCs w:val="0"/>
                <w:smallCaps w:val="0"/>
                <w:color w:val="000000"/>
                <w:sz w:val="20"/>
                <w:szCs w:val="20"/>
              </w:rPr>
              <w:t> </w:t>
            </w:r>
            <w:r>
              <w:rPr>
                <w:rStyle w:val="16"/>
                <w:rFonts w:ascii="仿宋_GB2312" w:eastAsia="仿宋_GB2312" w:hAnsi="仿宋_GB2312" w:cs="仿宋_GB2312"/>
                <w:b w:val="0"/>
                <w:bCs w:val="0"/>
                <w:i w:val="0"/>
                <w:iCs w:val="0"/>
                <w:smallCaps w:val="0"/>
                <w:color w:val="000000"/>
                <w:sz w:val="20"/>
                <w:szCs w:val="20"/>
              </w:rPr>
              <w:t xml:space="preserve">PTP </w:t>
            </w:r>
            <w:r>
              <w:rPr>
                <w:rStyle w:val="16"/>
                <w:rFonts w:ascii="宋体" w:eastAsia="宋体" w:hAnsi="宋体" w:cs="宋体"/>
                <w:b w:val="0"/>
                <w:bCs w:val="0"/>
                <w:i w:val="0"/>
                <w:iCs w:val="0"/>
                <w:smallCaps w:val="0"/>
                <w:color w:val="000000"/>
                <w:sz w:val="20"/>
                <w:szCs w:val="20"/>
              </w:rPr>
              <w:t>和</w:t>
            </w:r>
            <w:r>
              <w:rPr>
                <w:rStyle w:val="16"/>
                <w:rFonts w:ascii="宋体" w:eastAsia="宋体" w:hAnsi="宋体" w:cs="宋体"/>
                <w:b w:val="0"/>
                <w:bCs w:val="0"/>
                <w:i w:val="0"/>
                <w:iCs w:val="0"/>
                <w:smallCaps w:val="0"/>
                <w:color w:val="000000"/>
                <w:sz w:val="20"/>
                <w:szCs w:val="20"/>
              </w:rPr>
              <w:t xml:space="preserve"> </w:t>
            </w:r>
            <w:r>
              <w:rPr>
                <w:rStyle w:val="16"/>
                <w:rFonts w:ascii="仿宋_GB2312" w:eastAsia="仿宋_GB2312" w:hAnsi="仿宋_GB2312" w:cs="仿宋_GB2312"/>
                <w:b w:val="0"/>
                <w:bCs w:val="0"/>
                <w:i w:val="0"/>
                <w:iCs w:val="0"/>
                <w:smallCaps w:val="0"/>
                <w:color w:val="000000"/>
                <w:sz w:val="20"/>
                <w:szCs w:val="20"/>
              </w:rPr>
              <w:t xml:space="preserve">SyncE </w:t>
            </w:r>
            <w:r>
              <w:rPr>
                <w:rStyle w:val="16"/>
                <w:rFonts w:ascii="宋体" w:eastAsia="宋体" w:hAnsi="宋体" w:cs="宋体"/>
                <w:b w:val="0"/>
                <w:bCs w:val="0"/>
                <w:i w:val="0"/>
                <w:iCs w:val="0"/>
                <w:smallCaps w:val="0"/>
                <w:color w:val="000000"/>
                <w:sz w:val="20"/>
                <w:szCs w:val="20"/>
              </w:rPr>
              <w:t>功能，</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提供承诺书</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22</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Style w:val="16"/>
                <w:rFonts w:ascii="宋体" w:eastAsia="宋体" w:hAnsi="宋体" w:cs="宋体"/>
                <w:b w:val="0"/>
                <w:bCs w:val="0"/>
                <w:i w:val="0"/>
                <w:iCs w:val="0"/>
                <w:smallCaps w:val="0"/>
                <w:color w:val="000000"/>
                <w:sz w:val="20"/>
                <w:szCs w:val="20"/>
              </w:rPr>
              <w:t>无损以太网特性</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无损以太网特性</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w:t>
            </w:r>
            <w:r>
              <w:rPr>
                <w:rStyle w:val="16"/>
                <w:rFonts w:ascii="仿宋_GB2312" w:eastAsia="仿宋_GB2312" w:hAnsi="仿宋_GB2312" w:cs="仿宋_GB2312"/>
                <w:b w:val="0"/>
                <w:bCs w:val="0"/>
                <w:i w:val="0"/>
                <w:iCs w:val="0"/>
                <w:smallCaps w:val="0"/>
                <w:color w:val="000000"/>
                <w:sz w:val="20"/>
                <w:szCs w:val="20"/>
              </w:rPr>
              <w:t>RDMA</w:t>
            </w:r>
            <w:r>
              <w:rPr>
                <w:rStyle w:val="16"/>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RoCE v2</w:t>
            </w:r>
            <w:r>
              <w:rPr>
                <w:rStyle w:val="16"/>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PFC</w:t>
            </w:r>
            <w:r>
              <w:rPr>
                <w:rStyle w:val="16"/>
                <w:rFonts w:ascii="宋体" w:eastAsia="宋体" w:hAnsi="宋体" w:cs="宋体"/>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ECN</w:t>
            </w:r>
            <w:r>
              <w:rPr>
                <w:rStyle w:val="16"/>
                <w:rFonts w:ascii="宋体" w:eastAsia="宋体" w:hAnsi="宋体" w:cs="宋体"/>
                <w:b w:val="0"/>
                <w:bCs w:val="0"/>
                <w:i w:val="0"/>
                <w:iCs w:val="0"/>
                <w:smallCaps w:val="0"/>
                <w:color w:val="000000"/>
                <w:sz w:val="20"/>
                <w:szCs w:val="20"/>
              </w:rPr>
              <w:t>等无损以太网特性</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b w:val="0"/>
                <w:bCs w:val="0"/>
                <w:i w:val="0"/>
                <w:iCs w:val="0"/>
                <w:smallCaps w:val="0"/>
                <w:color w:val="00000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r>
        <w:tblPrEx>
          <w:tblW w:w="923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0"/>
                <w:szCs w:val="20"/>
              </w:rPr>
              <w:t>23</w:t>
            </w:r>
          </w:p>
        </w:tc>
        <w:tc>
          <w:tcPr>
            <w:tcW w:w="18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Style w:val="16"/>
                <w:rFonts w:ascii="宋体" w:eastAsia="宋体" w:hAnsi="宋体" w:cs="宋体"/>
                <w:b w:val="0"/>
                <w:bCs w:val="0"/>
                <w:i w:val="0"/>
                <w:iCs w:val="0"/>
                <w:smallCaps w:val="0"/>
                <w:color w:val="000000"/>
                <w:sz w:val="20"/>
                <w:szCs w:val="20"/>
              </w:rPr>
              <w:t>可靠性</w:t>
            </w:r>
          </w:p>
        </w:tc>
        <w:tc>
          <w:tcPr>
            <w:tcW w:w="156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可靠性</w:t>
            </w:r>
          </w:p>
        </w:tc>
        <w:tc>
          <w:tcPr>
            <w:tcW w:w="417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支持</w:t>
            </w:r>
            <w:r>
              <w:rPr>
                <w:rStyle w:val="16"/>
                <w:rFonts w:ascii="仿宋_GB2312" w:eastAsia="仿宋_GB2312" w:hAnsi="仿宋_GB2312" w:cs="仿宋_GB2312"/>
                <w:b w:val="0"/>
                <w:bCs w:val="0"/>
                <w:i w:val="0"/>
                <w:iCs w:val="0"/>
                <w:smallCaps w:val="0"/>
                <w:color w:val="000000"/>
                <w:sz w:val="20"/>
                <w:szCs w:val="20"/>
              </w:rPr>
              <w:t>BFD</w:t>
            </w:r>
            <w:r>
              <w:rPr>
                <w:rStyle w:val="16"/>
                <w:rFonts w:ascii="宋体" w:eastAsia="宋体" w:hAnsi="宋体" w:cs="宋体"/>
                <w:b w:val="0"/>
                <w:bCs w:val="0"/>
                <w:i w:val="0"/>
                <w:iCs w:val="0"/>
                <w:smallCaps w:val="0"/>
                <w:color w:val="000000"/>
                <w:sz w:val="20"/>
                <w:szCs w:val="20"/>
              </w:rPr>
              <w:t>功能，支持</w:t>
            </w:r>
            <w:r>
              <w:rPr>
                <w:rStyle w:val="16"/>
                <w:rFonts w:ascii="仿宋_GB2312" w:eastAsia="仿宋_GB2312" w:hAnsi="仿宋_GB2312" w:cs="仿宋_GB2312"/>
                <w:b w:val="0"/>
                <w:bCs w:val="0"/>
                <w:i w:val="0"/>
                <w:iCs w:val="0"/>
                <w:smallCaps w:val="0"/>
                <w:color w:val="000000"/>
                <w:sz w:val="20"/>
                <w:szCs w:val="20"/>
              </w:rPr>
              <w:t>STP/RSTP/MSTP</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b w:val="0"/>
                <w:bCs w:val="0"/>
                <w:i w:val="0"/>
                <w:iCs w:val="0"/>
                <w:smallCaps w:val="0"/>
                <w:color w:val="000000"/>
              </w:rPr>
              <w:t>▲</w:t>
            </w:r>
          </w:p>
        </w:tc>
        <w:tc>
          <w:tcPr>
            <w:tcW w:w="13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否</w:t>
            </w:r>
          </w:p>
        </w:tc>
      </w:tr>
    </w:tbl>
    <w:p>
      <w:pPr>
        <w:pStyle w:val="Heading30"/>
        <w:keepNext w:val="0"/>
        <w:spacing w:before="0" w:after="0" w:line="360" w:lineRule="auto"/>
        <w:rPr>
          <w:rFonts w:ascii="仿宋_GB2312" w:eastAsia="仿宋_GB2312" w:hAnsi="仿宋_GB2312" w:cs="仿宋_GB2312"/>
          <w:b/>
          <w:bCs/>
          <w:sz w:val="28"/>
          <w:szCs w:val="28"/>
        </w:rPr>
      </w:pPr>
      <w:bookmarkStart w:id="28" w:name="_Toc256000024"/>
      <w:r>
        <w:rPr>
          <w:rFonts w:ascii="仿宋_GB2312" w:eastAsia="仿宋_GB2312" w:hAnsi="仿宋_GB2312" w:cs="仿宋_GB2312"/>
          <w:sz w:val="28"/>
          <w:szCs w:val="28"/>
        </w:rPr>
        <w:t>3.3.2交换机-25G（2台）</w:t>
      </w:r>
      <w:bookmarkEnd w:id="28"/>
    </w:p>
    <w:tbl>
      <w:tblPr>
        <w:tblStyle w:val="TableNormal"/>
        <w:tblW w:w="8905" w:type="dxa"/>
        <w:jc w:val="center"/>
        <w:tblCellSpacing w:w="0" w:type="dxa"/>
        <w:tblInd w:w="128" w:type="dxa"/>
        <w:tblCellMar>
          <w:top w:w="15" w:type="dxa"/>
          <w:left w:w="15" w:type="dxa"/>
          <w:bottom w:w="15" w:type="dxa"/>
          <w:right w:w="15" w:type="dxa"/>
        </w:tblCellMar>
      </w:tblPr>
      <w:tblGrid>
        <w:gridCol w:w="337"/>
        <w:gridCol w:w="806"/>
        <w:gridCol w:w="806"/>
        <w:gridCol w:w="6031"/>
        <w:gridCol w:w="386"/>
        <w:gridCol w:w="768"/>
      </w:tblGrid>
      <w:tr>
        <w:tblPrEx>
          <w:tblW w:w="890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top w:val="single" w:sz="8" w:space="0" w:color="000000"/>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序号</w:t>
            </w:r>
          </w:p>
        </w:tc>
        <w:tc>
          <w:tcPr>
            <w:tcW w:w="2131"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bCs/>
                <w:i w:val="0"/>
                <w:iCs w:val="0"/>
                <w:smallCaps w:val="0"/>
                <w:color w:val="000000"/>
                <w:sz w:val="20"/>
                <w:szCs w:val="20"/>
              </w:rPr>
              <w:t>指标种类</w:t>
            </w:r>
          </w:p>
        </w:tc>
        <w:tc>
          <w:tcPr>
            <w:tcW w:w="1306"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指标名称</w:t>
            </w:r>
          </w:p>
        </w:tc>
        <w:tc>
          <w:tcPr>
            <w:tcW w:w="3526"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指标内容</w:t>
            </w:r>
          </w:p>
        </w:tc>
        <w:tc>
          <w:tcPr>
            <w:tcW w:w="931"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重要性</w:t>
            </w:r>
          </w:p>
        </w:tc>
        <w:tc>
          <w:tcPr>
            <w:tcW w:w="1666"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bCs/>
                <w:i w:val="0"/>
                <w:iCs w:val="0"/>
                <w:smallCaps w:val="0"/>
                <w:color w:val="000000"/>
                <w:sz w:val="20"/>
                <w:szCs w:val="20"/>
              </w:rPr>
              <w:t>是否需要证明材料</w:t>
            </w:r>
          </w:p>
        </w:tc>
      </w:tr>
      <w:tr>
        <w:tblPrEx>
          <w:tblW w:w="890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1</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25G交换机-交换容量</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交换容量</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交换容量≥8Tbps；以最小参数为准；</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提供官网截图</w:t>
            </w:r>
          </w:p>
        </w:tc>
      </w:tr>
      <w:tr>
        <w:tblPrEx>
          <w:tblW w:w="890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25G交换机-转发性能</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转发性能</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转发性能≥2400Mpps；以最小参数为准；</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提供官网截图</w:t>
            </w:r>
          </w:p>
        </w:tc>
      </w:tr>
      <w:tr>
        <w:tblPrEx>
          <w:tblW w:w="8905" w:type="dxa"/>
          <w:jc w:val="center"/>
          <w:tblCellSpacing w:w="0" w:type="dxa"/>
          <w:tblInd w:w="128" w:type="dxa"/>
          <w:tblCellMar>
            <w:top w:w="15" w:type="dxa"/>
            <w:left w:w="15" w:type="dxa"/>
            <w:bottom w:w="15" w:type="dxa"/>
            <w:right w:w="15" w:type="dxa"/>
          </w:tblCellMar>
        </w:tblPrEx>
        <w:trPr>
          <w:trHeight w:val="121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3</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25G交换机-硬件配置</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硬件配置</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实配25G光口端口数量≥48个（含48个原厂25G多模模块），实配100G光接口≥8个（含4个原厂100G多模模块），含双模块化电源，双模块化风扇；</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否</w:t>
            </w:r>
          </w:p>
        </w:tc>
      </w:tr>
      <w:tr>
        <w:tblPrEx>
          <w:tblW w:w="8905" w:type="dxa"/>
          <w:jc w:val="center"/>
          <w:tblCellSpacing w:w="0" w:type="dxa"/>
          <w:tblInd w:w="128" w:type="dxa"/>
          <w:tblCellMar>
            <w:top w:w="15" w:type="dxa"/>
            <w:left w:w="15" w:type="dxa"/>
            <w:bottom w:w="15" w:type="dxa"/>
            <w:right w:w="15" w:type="dxa"/>
          </w:tblCellMar>
        </w:tblPrEx>
        <w:trPr>
          <w:trHeight w:val="28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4</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25G交换机-维保服务</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维保服务</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需要提供原厂三年维保服务</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提供承诺书</w:t>
            </w:r>
          </w:p>
        </w:tc>
      </w:tr>
      <w:tr>
        <w:tblPrEx>
          <w:tblW w:w="8905" w:type="dxa"/>
          <w:jc w:val="center"/>
          <w:tblCellSpacing w:w="0" w:type="dxa"/>
          <w:tblInd w:w="128" w:type="dxa"/>
          <w:tblCellMar>
            <w:top w:w="15" w:type="dxa"/>
            <w:left w:w="15" w:type="dxa"/>
            <w:bottom w:w="15" w:type="dxa"/>
            <w:right w:w="15" w:type="dxa"/>
          </w:tblCellMar>
        </w:tblPrEx>
        <w:trPr>
          <w:trHeight w:val="73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5</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25G交换机-地址表</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地址表</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整机最大路由地址表≥320K，整机最大ARP地址表≥270K，整机最大MAC地址表≥280K；</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提供官网截图</w:t>
            </w:r>
          </w:p>
        </w:tc>
      </w:tr>
      <w:tr>
        <w:tblPrEx>
          <w:tblW w:w="890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6</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25G交换机-最大功耗</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最大功耗</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满足节能供电要求，整机最大功耗≤210W；</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提供官网截图</w:t>
            </w:r>
          </w:p>
        </w:tc>
      </w:tr>
      <w:tr>
        <w:tblPrEx>
          <w:tblW w:w="890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7</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25G交换机-风扇模块</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风扇模块</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保障设备散热效果，风扇模块数量≥5；</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提供官网截图</w:t>
            </w:r>
          </w:p>
        </w:tc>
      </w:tr>
      <w:tr>
        <w:tblPrEx>
          <w:tblW w:w="8905" w:type="dxa"/>
          <w:jc w:val="center"/>
          <w:tblCellSpacing w:w="0" w:type="dxa"/>
          <w:tblInd w:w="128" w:type="dxa"/>
          <w:tblCellMar>
            <w:top w:w="15" w:type="dxa"/>
            <w:left w:w="15" w:type="dxa"/>
            <w:bottom w:w="15" w:type="dxa"/>
            <w:right w:w="15" w:type="dxa"/>
          </w:tblCellMar>
        </w:tblPrEx>
        <w:trPr>
          <w:trHeight w:val="28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8</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25G交换机-整机缓存</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整机缓存</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整机缓存</w:t>
            </w:r>
            <w:r>
              <w:rPr>
                <w:rFonts w:ascii="Arial" w:eastAsia="Arial" w:hAnsi="Arial" w:cs="Arial"/>
                <w:b w:val="0"/>
                <w:bCs w:val="0"/>
                <w:i w:val="0"/>
                <w:iCs w:val="0"/>
                <w:smallCaps w:val="0"/>
                <w:color w:val="000000"/>
                <w:sz w:val="20"/>
                <w:szCs w:val="20"/>
              </w:rPr>
              <w:t>≧</w:t>
            </w:r>
            <w:r>
              <w:rPr>
                <w:rFonts w:ascii="仿宋" w:eastAsia="仿宋" w:hAnsi="仿宋" w:cs="仿宋"/>
                <w:b w:val="0"/>
                <w:bCs w:val="0"/>
                <w:i w:val="0"/>
                <w:iCs w:val="0"/>
                <w:smallCaps w:val="0"/>
                <w:color w:val="000000"/>
                <w:sz w:val="20"/>
                <w:szCs w:val="20"/>
              </w:rPr>
              <w:t>36MB</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提供官网截图</w:t>
            </w:r>
          </w:p>
        </w:tc>
      </w:tr>
      <w:tr>
        <w:tblPrEx>
          <w:tblW w:w="8905" w:type="dxa"/>
          <w:jc w:val="center"/>
          <w:tblCellSpacing w:w="0" w:type="dxa"/>
          <w:tblInd w:w="128" w:type="dxa"/>
          <w:tblCellMar>
            <w:top w:w="15" w:type="dxa"/>
            <w:left w:w="15" w:type="dxa"/>
            <w:bottom w:w="15" w:type="dxa"/>
            <w:right w:w="15" w:type="dxa"/>
          </w:tblCellMar>
        </w:tblPrEx>
        <w:trPr>
          <w:trHeight w:val="28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9</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25G交换机-转发时延</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转发时延</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端口转发时延</w:t>
            </w:r>
            <w:r>
              <w:rPr>
                <w:rFonts w:ascii="Arial" w:eastAsia="Arial" w:hAnsi="Arial" w:cs="Arial"/>
                <w:b w:val="0"/>
                <w:bCs w:val="0"/>
                <w:i w:val="0"/>
                <w:iCs w:val="0"/>
                <w:smallCaps w:val="0"/>
                <w:color w:val="000000"/>
                <w:sz w:val="20"/>
                <w:szCs w:val="20"/>
              </w:rPr>
              <w:t>≤</w:t>
            </w:r>
            <w:r>
              <w:rPr>
                <w:rFonts w:ascii="仿宋" w:eastAsia="仿宋" w:hAnsi="仿宋" w:cs="仿宋"/>
                <w:b w:val="0"/>
                <w:bCs w:val="0"/>
                <w:i w:val="0"/>
                <w:iCs w:val="0"/>
                <w:smallCaps w:val="0"/>
                <w:color w:val="000000"/>
                <w:sz w:val="20"/>
                <w:szCs w:val="20"/>
              </w:rPr>
              <w:t>800ms</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提供官网截图</w:t>
            </w:r>
          </w:p>
        </w:tc>
      </w:tr>
      <w:tr>
        <w:tblPrEx>
          <w:tblW w:w="8905" w:type="dxa"/>
          <w:jc w:val="center"/>
          <w:tblCellSpacing w:w="0" w:type="dxa"/>
          <w:tblInd w:w="128" w:type="dxa"/>
          <w:tblCellMar>
            <w:top w:w="15" w:type="dxa"/>
            <w:left w:w="15" w:type="dxa"/>
            <w:bottom w:w="15" w:type="dxa"/>
            <w:right w:w="15" w:type="dxa"/>
          </w:tblCellMar>
        </w:tblPrEx>
        <w:trPr>
          <w:trHeight w:val="73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10</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25G交换机-Telemetry Srteam</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Telemetry Srteam</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支持Telemetry Srteam功能，支持全硬件采集上送，解放CPU资源并且可以支持最大全流量1：1采样；</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both"/>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提供承诺书</w:t>
            </w:r>
          </w:p>
        </w:tc>
      </w:tr>
      <w:tr>
        <w:tblPrEx>
          <w:tblW w:w="890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11</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25G交换机-VXLAN</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VXLAN</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实配支持二层、三层Vxlan网关和BGP EVPN特性</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提供官网截图</w:t>
            </w:r>
          </w:p>
        </w:tc>
      </w:tr>
      <w:tr>
        <w:tblPrEx>
          <w:tblW w:w="890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12</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25G交换机-配置和维护</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配置和维护</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支持SNMP、Telnet、RMON、SSH</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提供官网截图</w:t>
            </w:r>
          </w:p>
        </w:tc>
      </w:tr>
      <w:tr>
        <w:tblPrEx>
          <w:tblW w:w="8905" w:type="dxa"/>
          <w:jc w:val="center"/>
          <w:tblCellSpacing w:w="0" w:type="dxa"/>
          <w:tblInd w:w="128" w:type="dxa"/>
          <w:tblCellMar>
            <w:top w:w="15" w:type="dxa"/>
            <w:left w:w="15" w:type="dxa"/>
            <w:bottom w:w="15" w:type="dxa"/>
            <w:right w:w="15" w:type="dxa"/>
          </w:tblCellMar>
        </w:tblPrEx>
        <w:trPr>
          <w:trHeight w:val="28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13</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25G交换机-MOD</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MOD</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支持MOD功能，不占用路由资源</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提供承诺书</w:t>
            </w:r>
          </w:p>
        </w:tc>
      </w:tr>
      <w:tr>
        <w:tblPrEx>
          <w:tblW w:w="8905" w:type="dxa"/>
          <w:jc w:val="center"/>
          <w:tblCellSpacing w:w="0" w:type="dxa"/>
          <w:tblInd w:w="128" w:type="dxa"/>
          <w:tblCellMar>
            <w:top w:w="15" w:type="dxa"/>
            <w:left w:w="15" w:type="dxa"/>
            <w:bottom w:w="15" w:type="dxa"/>
            <w:right w:w="15" w:type="dxa"/>
          </w:tblCellMar>
        </w:tblPrEx>
        <w:trPr>
          <w:trHeight w:val="73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14</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25G交换机-无损网络</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无损网络</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支持无损网络RoCE（RoCEv1/RoCEv2功能）/RDMA，支持PFC、ECN、ETS、DCB</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 </w:t>
            </w:r>
            <w:r>
              <w:rPr>
                <w:rFonts w:ascii="宋体" w:eastAsia="宋体" w:hAnsi="宋体" w:cs="宋体"/>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提供官网截图</w:t>
            </w:r>
          </w:p>
        </w:tc>
      </w:tr>
      <w:tr>
        <w:tblPrEx>
          <w:tblW w:w="8905" w:type="dxa"/>
          <w:jc w:val="center"/>
          <w:tblCellSpacing w:w="0" w:type="dxa"/>
          <w:tblInd w:w="128" w:type="dxa"/>
          <w:tblCellMar>
            <w:top w:w="15" w:type="dxa"/>
            <w:left w:w="15" w:type="dxa"/>
            <w:bottom w:w="15" w:type="dxa"/>
            <w:right w:w="15" w:type="dxa"/>
          </w:tblCellMar>
        </w:tblPrEx>
        <w:trPr>
          <w:trHeight w:val="73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15</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25G交换机-VLAN</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VLAN</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支持基于端口、基于协议、基于MAC的VLAN；支持QinQ；支持DLDP；支持动态MAC、静态MAC和黑洞MAC表项；</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否</w:t>
            </w:r>
          </w:p>
        </w:tc>
      </w:tr>
      <w:tr>
        <w:tblPrEx>
          <w:tblW w:w="8905" w:type="dxa"/>
          <w:jc w:val="center"/>
          <w:tblCellSpacing w:w="0" w:type="dxa"/>
          <w:tblInd w:w="128" w:type="dxa"/>
          <w:tblCellMar>
            <w:top w:w="15" w:type="dxa"/>
            <w:left w:w="15" w:type="dxa"/>
            <w:bottom w:w="15" w:type="dxa"/>
            <w:right w:w="15" w:type="dxa"/>
          </w:tblCellMar>
        </w:tblPrEx>
        <w:trPr>
          <w:trHeight w:val="121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16</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25G交换机-IP路由</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IP路由</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支持RIP、OSPF、ISIS、BGP等IPv4动态路由协议，支持RIPng、OSPFv3、ISISv6、BGP4+等IPv6动态路由协议，支持IPv6 ND、支持路径MTU发现，支持GRE隧道；</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否</w:t>
            </w:r>
          </w:p>
        </w:tc>
      </w:tr>
      <w:tr>
        <w:tblPrEx>
          <w:tblW w:w="8905" w:type="dxa"/>
          <w:jc w:val="center"/>
          <w:tblCellSpacing w:w="0" w:type="dxa"/>
          <w:tblInd w:w="128" w:type="dxa"/>
          <w:tblCellMar>
            <w:top w:w="15" w:type="dxa"/>
            <w:left w:w="15" w:type="dxa"/>
            <w:bottom w:w="15" w:type="dxa"/>
            <w:right w:w="15" w:type="dxa"/>
          </w:tblCellMar>
        </w:tblPrEx>
        <w:trPr>
          <w:trHeight w:val="28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17</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25G交换机-MPLS</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MPLS</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支持MPLS VPN，支持MPLS TE；</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宋体" w:eastAsia="宋体" w:hAnsi="宋体" w:cs="宋体"/>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否</w:t>
            </w:r>
          </w:p>
        </w:tc>
      </w:tr>
      <w:tr>
        <w:tblPrEx>
          <w:tblW w:w="8905" w:type="dxa"/>
          <w:jc w:val="center"/>
          <w:tblCellSpacing w:w="0" w:type="dxa"/>
          <w:tblInd w:w="128" w:type="dxa"/>
          <w:tblCellMar>
            <w:top w:w="15" w:type="dxa"/>
            <w:left w:w="15" w:type="dxa"/>
            <w:bottom w:w="15" w:type="dxa"/>
            <w:right w:w="15" w:type="dxa"/>
          </w:tblCellMar>
        </w:tblPrEx>
        <w:trPr>
          <w:trHeight w:val="495"/>
          <w:tblCellSpacing w:w="0" w:type="dxa"/>
          <w:jc w:val="center"/>
        </w:trPr>
        <w:tc>
          <w:tcPr>
            <w:tcW w:w="731"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18</w:t>
            </w:r>
          </w:p>
        </w:tc>
        <w:tc>
          <w:tcPr>
            <w:tcW w:w="21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25G交换机-QoS</w:t>
            </w:r>
          </w:p>
        </w:tc>
        <w:tc>
          <w:tcPr>
            <w:tcW w:w="130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QoS</w:t>
            </w:r>
          </w:p>
        </w:tc>
        <w:tc>
          <w:tcPr>
            <w:tcW w:w="352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支持SP, WRR,WFQ, SP+WRR, SP+WFQ调度方式；</w:t>
            </w:r>
          </w:p>
        </w:tc>
        <w:tc>
          <w:tcPr>
            <w:tcW w:w="931"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w:t>
            </w:r>
          </w:p>
        </w:tc>
        <w:tc>
          <w:tcPr>
            <w:tcW w:w="1666"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spacing w:before="0" w:after="0"/>
              <w:ind w:left="0" w:right="0"/>
              <w:jc w:val="center"/>
              <w:textAlignment w:val="center"/>
              <w:rPr>
                <w:rFonts w:ascii="Calibri" w:eastAsia="Calibri" w:hAnsi="Calibri" w:cs="Calibri"/>
                <w:b w:val="0"/>
                <w:bCs w:val="0"/>
                <w:i w:val="0"/>
                <w:iCs w:val="0"/>
                <w:smallCaps w:val="0"/>
                <w:color w:val="000000"/>
                <w:sz w:val="21"/>
                <w:szCs w:val="21"/>
              </w:rPr>
            </w:pPr>
            <w:r>
              <w:rPr>
                <w:rFonts w:ascii="仿宋" w:eastAsia="仿宋" w:hAnsi="仿宋" w:cs="仿宋"/>
                <w:b w:val="0"/>
                <w:bCs w:val="0"/>
                <w:i w:val="0"/>
                <w:iCs w:val="0"/>
                <w:smallCaps w:val="0"/>
                <w:color w:val="000000"/>
                <w:sz w:val="20"/>
                <w:szCs w:val="20"/>
              </w:rPr>
              <w:t>否</w:t>
            </w:r>
          </w:p>
        </w:tc>
      </w:tr>
    </w:tbl>
    <w:p>
      <w:pPr>
        <w:pStyle w:val="Heading30"/>
        <w:keepNext w:val="0"/>
        <w:spacing w:before="0" w:after="0" w:line="360" w:lineRule="auto"/>
        <w:rPr>
          <w:rFonts w:ascii="仿宋_GB2312" w:eastAsia="仿宋_GB2312" w:hAnsi="仿宋_GB2312" w:cs="仿宋_GB2312"/>
          <w:b/>
          <w:bCs/>
          <w:sz w:val="28"/>
          <w:szCs w:val="28"/>
        </w:rPr>
      </w:pPr>
      <w:bookmarkStart w:id="29" w:name="_Toc256000025"/>
      <w:r>
        <w:rPr>
          <w:rFonts w:ascii="仿宋_GB2312" w:eastAsia="仿宋_GB2312" w:hAnsi="仿宋_GB2312" w:cs="仿宋_GB2312"/>
          <w:sz w:val="28"/>
          <w:szCs w:val="28"/>
        </w:rPr>
        <w:t>3.3.3交换机板卡（2块）</w:t>
      </w:r>
      <w:bookmarkEnd w:id="29"/>
    </w:p>
    <w:tbl>
      <w:tblPr>
        <w:tblStyle w:val="16Table"/>
        <w:tblW w:w="9602" w:type="dxa"/>
        <w:jc w:val="center"/>
        <w:tblCellSpacing w:w="0" w:type="dxa"/>
        <w:tblInd w:w="138" w:type="dxa"/>
        <w:tblCellMar>
          <w:top w:w="15" w:type="dxa"/>
          <w:left w:w="15" w:type="dxa"/>
          <w:bottom w:w="15" w:type="dxa"/>
          <w:right w:w="15" w:type="dxa"/>
        </w:tblCellMar>
        <w:tblLook w:val="05E0"/>
      </w:tblPr>
      <w:tblGrid>
        <w:gridCol w:w="1413"/>
        <w:gridCol w:w="736"/>
        <w:gridCol w:w="2004"/>
        <w:gridCol w:w="3617"/>
        <w:gridCol w:w="616"/>
        <w:gridCol w:w="1216"/>
      </w:tblGrid>
      <w:tr>
        <w:tblPrEx>
          <w:tblW w:w="9602" w:type="dxa"/>
          <w:jc w:val="center"/>
          <w:tblCellSpacing w:w="0" w:type="dxa"/>
          <w:tblInd w:w="138" w:type="dxa"/>
          <w:tblCellMar>
            <w:top w:w="15" w:type="dxa"/>
            <w:left w:w="15" w:type="dxa"/>
            <w:bottom w:w="15" w:type="dxa"/>
            <w:right w:w="15" w:type="dxa"/>
          </w:tblCellMar>
          <w:tblLook w:val="05E0"/>
        </w:tblPrEx>
        <w:trPr>
          <w:trHeight w:val="404"/>
          <w:tblCellSpacing w:w="0" w:type="dxa"/>
          <w:jc w:val="center"/>
        </w:trPr>
        <w:tc>
          <w:tcPr>
            <w:tcW w:w="1207" w:type="dxa"/>
            <w:tcBorders>
              <w:top w:val="single" w:sz="8" w:space="0" w:color="000000"/>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bCs/>
                <w:i w:val="0"/>
                <w:iCs w:val="0"/>
                <w:smallCaps w:val="0"/>
                <w:color w:val="000000"/>
                <w:sz w:val="20"/>
                <w:szCs w:val="20"/>
              </w:rPr>
              <w:t>序号</w:t>
            </w:r>
          </w:p>
        </w:tc>
        <w:tc>
          <w:tcPr>
            <w:tcW w:w="1853"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bCs/>
                <w:i w:val="0"/>
                <w:iCs w:val="0"/>
                <w:smallCaps w:val="0"/>
                <w:color w:val="000000"/>
                <w:sz w:val="20"/>
                <w:szCs w:val="20"/>
              </w:rPr>
              <w:t>指标种类</w:t>
            </w:r>
          </w:p>
        </w:tc>
        <w:tc>
          <w:tcPr>
            <w:tcW w:w="1827"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bCs/>
                <w:i w:val="0"/>
                <w:iCs w:val="0"/>
                <w:smallCaps w:val="0"/>
                <w:color w:val="000000"/>
                <w:sz w:val="20"/>
                <w:szCs w:val="20"/>
              </w:rPr>
              <w:t>指标名称</w:t>
            </w:r>
          </w:p>
        </w:tc>
        <w:tc>
          <w:tcPr>
            <w:tcW w:w="3492"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bCs/>
                <w:i w:val="0"/>
                <w:iCs w:val="0"/>
                <w:smallCaps w:val="0"/>
                <w:color w:val="000000"/>
                <w:sz w:val="20"/>
                <w:szCs w:val="20"/>
              </w:rPr>
              <w:t>指标内容</w:t>
            </w:r>
          </w:p>
        </w:tc>
        <w:tc>
          <w:tcPr>
            <w:tcW w:w="2070"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bCs/>
                <w:i w:val="0"/>
                <w:iCs w:val="0"/>
                <w:smallCaps w:val="0"/>
                <w:color w:val="000000"/>
                <w:sz w:val="20"/>
                <w:szCs w:val="20"/>
              </w:rPr>
              <w:t>重要性</w:t>
            </w:r>
          </w:p>
        </w:tc>
        <w:tc>
          <w:tcPr>
            <w:tcW w:w="1995"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bCs/>
                <w:i w:val="0"/>
                <w:iCs w:val="0"/>
                <w:smallCaps w:val="0"/>
                <w:color w:val="000000"/>
                <w:sz w:val="20"/>
                <w:szCs w:val="20"/>
              </w:rPr>
              <w:t>是否需要证明材料</w:t>
            </w:r>
          </w:p>
        </w:tc>
      </w:tr>
      <w:tr>
        <w:tblPrEx>
          <w:tblW w:w="9602" w:type="dxa"/>
          <w:jc w:val="center"/>
          <w:tblCellSpacing w:w="0" w:type="dxa"/>
          <w:tblInd w:w="138" w:type="dxa"/>
          <w:tblCellMar>
            <w:top w:w="15" w:type="dxa"/>
            <w:left w:w="15" w:type="dxa"/>
            <w:bottom w:w="15" w:type="dxa"/>
            <w:right w:w="15" w:type="dxa"/>
          </w:tblCellMar>
          <w:tblLook w:val="05E0"/>
        </w:tblPrEx>
        <w:trPr>
          <w:trHeight w:val="694"/>
          <w:tblCellSpacing w:w="0" w:type="dxa"/>
          <w:jc w:val="center"/>
        </w:trPr>
        <w:tc>
          <w:tcPr>
            <w:tcW w:w="120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0"/>
                <w:szCs w:val="20"/>
              </w:rPr>
              <w:t>1</w:t>
            </w:r>
          </w:p>
        </w:tc>
        <w:tc>
          <w:tcPr>
            <w:tcW w:w="18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0"/>
                <w:szCs w:val="20"/>
              </w:rPr>
              <w:t>板卡</w:t>
            </w:r>
            <w:r>
              <w:rPr>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配置</w:t>
            </w:r>
          </w:p>
        </w:tc>
        <w:tc>
          <w:tcPr>
            <w:tcW w:w="182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0"/>
                <w:szCs w:val="20"/>
              </w:rPr>
              <w:t>固定接口配置</w:t>
            </w:r>
          </w:p>
        </w:tc>
        <w:tc>
          <w:tcPr>
            <w:tcW w:w="3492" w:type="dxa"/>
            <w:tcBorders>
              <w:bottom w:val="single" w:sz="8" w:space="0" w:color="000000"/>
              <w:right w:val="single" w:sz="8" w:space="0" w:color="000000"/>
            </w:tcBorders>
            <w:noWrap w:val="0"/>
            <w:tcMar>
              <w:top w:w="0" w:type="dxa"/>
              <w:left w:w="108" w:type="dxa"/>
              <w:bottom w:w="0" w:type="dxa"/>
              <w:right w:w="128" w:type="dxa"/>
            </w:tcMar>
            <w:vAlign w:val="top"/>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48</w:t>
            </w:r>
            <w:r>
              <w:rPr>
                <w:rFonts w:ascii="SimSun" w:eastAsia="SimSun" w:hAnsi="SimSun" w:cs="SimSun"/>
                <w:b w:val="0"/>
                <w:bCs w:val="0"/>
                <w:i w:val="0"/>
                <w:iCs w:val="0"/>
                <w:smallCaps w:val="0"/>
                <w:color w:val="000000"/>
                <w:sz w:val="20"/>
                <w:szCs w:val="20"/>
              </w:rPr>
              <w:t>个</w:t>
            </w:r>
            <w:r>
              <w:rPr>
                <w:rFonts w:ascii="仿宋_GB2312" w:eastAsia="仿宋_GB2312" w:hAnsi="仿宋_GB2312" w:cs="仿宋_GB2312"/>
                <w:b w:val="0"/>
                <w:bCs w:val="0"/>
                <w:i w:val="0"/>
                <w:iCs w:val="0"/>
                <w:smallCaps w:val="0"/>
                <w:color w:val="000000"/>
                <w:sz w:val="20"/>
                <w:szCs w:val="20"/>
              </w:rPr>
              <w:t>25G</w:t>
            </w:r>
            <w:r>
              <w:rPr>
                <w:rFonts w:ascii="SimSun" w:eastAsia="SimSun" w:hAnsi="SimSun" w:cs="SimSun"/>
                <w:b w:val="0"/>
                <w:bCs w:val="0"/>
                <w:i w:val="0"/>
                <w:iCs w:val="0"/>
                <w:smallCaps w:val="0"/>
                <w:color w:val="000000"/>
                <w:sz w:val="20"/>
                <w:szCs w:val="20"/>
              </w:rPr>
              <w:t>光口板卡</w:t>
            </w:r>
          </w:p>
        </w:tc>
        <w:tc>
          <w:tcPr>
            <w:tcW w:w="207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0"/>
                <w:szCs w:val="20"/>
              </w:rPr>
              <w:t>★</w:t>
            </w:r>
          </w:p>
        </w:tc>
        <w:tc>
          <w:tcPr>
            <w:tcW w:w="199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0"/>
                <w:szCs w:val="20"/>
              </w:rPr>
              <w:t>提供承诺书</w:t>
            </w:r>
          </w:p>
        </w:tc>
      </w:tr>
      <w:tr>
        <w:tblPrEx>
          <w:tblW w:w="9602" w:type="dxa"/>
          <w:jc w:val="center"/>
          <w:tblCellSpacing w:w="0" w:type="dxa"/>
          <w:tblInd w:w="138" w:type="dxa"/>
          <w:tblCellMar>
            <w:top w:w="15" w:type="dxa"/>
            <w:left w:w="15" w:type="dxa"/>
            <w:bottom w:w="15" w:type="dxa"/>
            <w:right w:w="15" w:type="dxa"/>
          </w:tblCellMar>
          <w:tblLook w:val="05E0"/>
        </w:tblPrEx>
        <w:trPr>
          <w:trHeight w:val="489"/>
          <w:tblCellSpacing w:w="0" w:type="dxa"/>
          <w:jc w:val="center"/>
        </w:trPr>
        <w:tc>
          <w:tcPr>
            <w:tcW w:w="120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0"/>
                <w:szCs w:val="20"/>
              </w:rPr>
              <w:t>2</w:t>
            </w:r>
          </w:p>
        </w:tc>
        <w:tc>
          <w:tcPr>
            <w:tcW w:w="18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0"/>
                <w:szCs w:val="20"/>
              </w:rPr>
              <w:t>板卡</w:t>
            </w:r>
            <w:r>
              <w:rPr>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配置要求</w:t>
            </w:r>
          </w:p>
        </w:tc>
        <w:tc>
          <w:tcPr>
            <w:tcW w:w="182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0"/>
                <w:szCs w:val="20"/>
              </w:rPr>
              <w:t>配置要求</w:t>
            </w:r>
          </w:p>
        </w:tc>
        <w:tc>
          <w:tcPr>
            <w:tcW w:w="3492" w:type="dxa"/>
            <w:tcBorders>
              <w:bottom w:val="single" w:sz="8" w:space="0" w:color="000000"/>
              <w:right w:val="single" w:sz="8" w:space="0" w:color="000000"/>
            </w:tcBorders>
            <w:noWrap w:val="0"/>
            <w:tcMar>
              <w:top w:w="0" w:type="dxa"/>
              <w:left w:w="108" w:type="dxa"/>
              <w:bottom w:w="0" w:type="dxa"/>
              <w:right w:w="128" w:type="dxa"/>
            </w:tcMar>
            <w:vAlign w:val="top"/>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0"/>
                <w:szCs w:val="20"/>
              </w:rPr>
              <w:t>配置</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1</w:t>
            </w:r>
            <w:r>
              <w:rPr>
                <w:rFonts w:ascii="SimSun" w:eastAsia="SimSun" w:hAnsi="SimSun" w:cs="SimSun"/>
                <w:b w:val="0"/>
                <w:bCs w:val="0"/>
                <w:i w:val="0"/>
                <w:iCs w:val="0"/>
                <w:smallCaps w:val="0"/>
                <w:color w:val="000000"/>
                <w:sz w:val="20"/>
                <w:szCs w:val="20"/>
              </w:rPr>
              <w:t>块</w:t>
            </w:r>
            <w:r>
              <w:rPr>
                <w:rFonts w:ascii="仿宋_GB2312" w:eastAsia="仿宋_GB2312" w:hAnsi="仿宋_GB2312" w:cs="仿宋_GB2312"/>
                <w:b w:val="0"/>
                <w:bCs w:val="0"/>
                <w:i w:val="0"/>
                <w:iCs w:val="0"/>
                <w:smallCaps w:val="0"/>
                <w:color w:val="000000"/>
                <w:sz w:val="20"/>
                <w:szCs w:val="20"/>
              </w:rPr>
              <w:t>48</w:t>
            </w:r>
            <w:r>
              <w:rPr>
                <w:rFonts w:ascii="SimSun" w:eastAsia="SimSun" w:hAnsi="SimSun" w:cs="SimSun"/>
                <w:b w:val="0"/>
                <w:bCs w:val="0"/>
                <w:i w:val="0"/>
                <w:iCs w:val="0"/>
                <w:smallCaps w:val="0"/>
                <w:color w:val="000000"/>
                <w:sz w:val="20"/>
                <w:szCs w:val="20"/>
              </w:rPr>
              <w:t>个</w:t>
            </w:r>
            <w:r>
              <w:rPr>
                <w:rFonts w:ascii="仿宋_GB2312" w:eastAsia="仿宋_GB2312" w:hAnsi="仿宋_GB2312" w:cs="仿宋_GB2312"/>
                <w:b w:val="0"/>
                <w:bCs w:val="0"/>
                <w:i w:val="0"/>
                <w:iCs w:val="0"/>
                <w:smallCaps w:val="0"/>
                <w:color w:val="000000"/>
                <w:sz w:val="20"/>
                <w:szCs w:val="20"/>
              </w:rPr>
              <w:t>25G</w:t>
            </w:r>
            <w:r>
              <w:rPr>
                <w:rFonts w:ascii="SimSun" w:eastAsia="SimSun" w:hAnsi="SimSun" w:cs="SimSun"/>
                <w:b w:val="0"/>
                <w:bCs w:val="0"/>
                <w:i w:val="0"/>
                <w:iCs w:val="0"/>
                <w:smallCaps w:val="0"/>
                <w:color w:val="000000"/>
                <w:sz w:val="20"/>
                <w:szCs w:val="20"/>
              </w:rPr>
              <w:t>光口板卡，配置</w:t>
            </w:r>
            <w:r>
              <w:rPr>
                <w:rFonts w:ascii="SimSun" w:eastAsia="SimSun" w:hAnsi="SimSun" w:cs="SimSun"/>
                <w:b w:val="0"/>
                <w:bCs w:val="0"/>
                <w:i w:val="0"/>
                <w:iCs w:val="0"/>
                <w:smallCaps w:val="0"/>
                <w:color w:val="000000"/>
                <w:sz w:val="20"/>
                <w:szCs w:val="20"/>
              </w:rPr>
              <w:t>≥</w:t>
            </w:r>
            <w:r>
              <w:rPr>
                <w:rFonts w:ascii="仿宋_GB2312" w:eastAsia="仿宋_GB2312" w:hAnsi="仿宋_GB2312" w:cs="仿宋_GB2312"/>
                <w:b w:val="0"/>
                <w:bCs w:val="0"/>
                <w:i w:val="0"/>
                <w:iCs w:val="0"/>
                <w:smallCaps w:val="0"/>
                <w:color w:val="000000"/>
                <w:sz w:val="20"/>
                <w:szCs w:val="20"/>
              </w:rPr>
              <w:t>48</w:t>
            </w:r>
            <w:r>
              <w:rPr>
                <w:rFonts w:ascii="SimSun" w:eastAsia="SimSun" w:hAnsi="SimSun" w:cs="SimSun"/>
                <w:b w:val="0"/>
                <w:bCs w:val="0"/>
                <w:i w:val="0"/>
                <w:iCs w:val="0"/>
                <w:smallCaps w:val="0"/>
                <w:color w:val="000000"/>
                <w:sz w:val="20"/>
                <w:szCs w:val="20"/>
              </w:rPr>
              <w:t>个</w:t>
            </w:r>
            <w:r>
              <w:rPr>
                <w:rFonts w:ascii="仿宋_GB2312" w:eastAsia="仿宋_GB2312" w:hAnsi="仿宋_GB2312" w:cs="仿宋_GB2312"/>
                <w:b w:val="0"/>
                <w:bCs w:val="0"/>
                <w:i w:val="0"/>
                <w:iCs w:val="0"/>
                <w:smallCaps w:val="0"/>
                <w:color w:val="000000"/>
                <w:sz w:val="20"/>
                <w:szCs w:val="20"/>
              </w:rPr>
              <w:t>25G</w:t>
            </w:r>
            <w:r>
              <w:rPr>
                <w:rFonts w:ascii="SimSun" w:eastAsia="SimSun" w:hAnsi="SimSun" w:cs="SimSun"/>
                <w:b w:val="0"/>
                <w:bCs w:val="0"/>
                <w:i w:val="0"/>
                <w:iCs w:val="0"/>
                <w:smallCaps w:val="0"/>
                <w:color w:val="000000"/>
                <w:sz w:val="20"/>
                <w:szCs w:val="20"/>
              </w:rPr>
              <w:t>多模光模块</w:t>
            </w:r>
          </w:p>
        </w:tc>
        <w:tc>
          <w:tcPr>
            <w:tcW w:w="207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0"/>
                <w:szCs w:val="20"/>
              </w:rPr>
              <w:t>★</w:t>
            </w:r>
          </w:p>
        </w:tc>
        <w:tc>
          <w:tcPr>
            <w:tcW w:w="199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0"/>
                <w:szCs w:val="20"/>
              </w:rPr>
              <w:t>提供承诺书</w:t>
            </w:r>
          </w:p>
        </w:tc>
      </w:tr>
      <w:tr>
        <w:tblPrEx>
          <w:tblW w:w="9602" w:type="dxa"/>
          <w:jc w:val="center"/>
          <w:tblCellSpacing w:w="0" w:type="dxa"/>
          <w:tblInd w:w="138" w:type="dxa"/>
          <w:tblCellMar>
            <w:top w:w="15" w:type="dxa"/>
            <w:left w:w="15" w:type="dxa"/>
            <w:bottom w:w="15" w:type="dxa"/>
            <w:right w:w="15" w:type="dxa"/>
          </w:tblCellMar>
          <w:tblLook w:val="05E0"/>
        </w:tblPrEx>
        <w:trPr>
          <w:trHeight w:val="489"/>
          <w:tblCellSpacing w:w="0" w:type="dxa"/>
          <w:jc w:val="center"/>
        </w:trPr>
        <w:tc>
          <w:tcPr>
            <w:tcW w:w="1207"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0"/>
                <w:szCs w:val="20"/>
              </w:rPr>
              <w:t>3</w:t>
            </w:r>
          </w:p>
        </w:tc>
        <w:tc>
          <w:tcPr>
            <w:tcW w:w="1853"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0"/>
                <w:szCs w:val="20"/>
              </w:rPr>
              <w:t>板卡</w:t>
            </w:r>
            <w:r>
              <w:rPr>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维保服务</w:t>
            </w:r>
          </w:p>
        </w:tc>
        <w:tc>
          <w:tcPr>
            <w:tcW w:w="182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0"/>
                <w:szCs w:val="20"/>
              </w:rPr>
              <w:t>维保服务</w:t>
            </w:r>
          </w:p>
        </w:tc>
        <w:tc>
          <w:tcPr>
            <w:tcW w:w="349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0"/>
                <w:szCs w:val="20"/>
              </w:rPr>
              <w:t>需要提供原厂三年维保服务</w:t>
            </w:r>
          </w:p>
        </w:tc>
        <w:tc>
          <w:tcPr>
            <w:tcW w:w="207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0"/>
                <w:szCs w:val="20"/>
              </w:rPr>
              <w:t>★</w:t>
            </w:r>
          </w:p>
        </w:tc>
        <w:tc>
          <w:tcPr>
            <w:tcW w:w="199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5Paragraph"/>
              <w:spacing w:before="0" w:after="0" w:line="360" w:lineRule="atLeast"/>
              <w:ind w:left="0" w:right="0" w:firstLine="0"/>
              <w:jc w:val="center"/>
              <w:rPr>
                <w:rFonts w:ascii="Times New Roman" w:eastAsia="Times New Roman" w:hAnsi="Times New Roman" w:cs="Times New Roman"/>
                <w:b w:val="0"/>
                <w:bCs w:val="0"/>
                <w:i w:val="0"/>
                <w:iCs w:val="0"/>
                <w:smallCaps w:val="0"/>
                <w:color w:val="000000"/>
              </w:rPr>
            </w:pPr>
            <w:r>
              <w:rPr>
                <w:rFonts w:ascii="SimSun" w:eastAsia="SimSun" w:hAnsi="SimSun" w:cs="SimSun"/>
                <w:b w:val="0"/>
                <w:bCs w:val="0"/>
                <w:i w:val="0"/>
                <w:iCs w:val="0"/>
                <w:smallCaps w:val="0"/>
                <w:color w:val="000000"/>
                <w:sz w:val="20"/>
                <w:szCs w:val="20"/>
              </w:rPr>
              <w:t>提供承诺书</w:t>
            </w:r>
          </w:p>
        </w:tc>
      </w:tr>
    </w:tbl>
    <w:p>
      <w:pPr>
        <w:pStyle w:val="Heading20"/>
        <w:keepNext w:val="0"/>
        <w:spacing w:before="0" w:after="0" w:line="360" w:lineRule="auto"/>
        <w:rPr>
          <w:rFonts w:ascii="仿宋_GB2312" w:eastAsia="仿宋_GB2312" w:hAnsi="仿宋_GB2312" w:cs="仿宋_GB2312"/>
          <w:b/>
          <w:bCs/>
          <w:sz w:val="28"/>
          <w:szCs w:val="28"/>
        </w:rPr>
      </w:pPr>
      <w:bookmarkStart w:id="30" w:name="_Toc256000026"/>
      <w:r>
        <w:rPr>
          <w:rFonts w:ascii="仿宋_GB2312" w:eastAsia="仿宋_GB2312" w:hAnsi="仿宋_GB2312" w:cs="仿宋_GB2312"/>
          <w:i w:val="0"/>
          <w:iCs w:val="0"/>
        </w:rPr>
        <w:t>3.4服务要求</w:t>
      </w:r>
      <w:bookmarkEnd w:id="30"/>
    </w:p>
    <w:p>
      <w:pPr>
        <w:pStyle w:val="Heading30"/>
        <w:keepNext w:val="0"/>
        <w:spacing w:before="0" w:after="0" w:line="360" w:lineRule="auto"/>
        <w:rPr>
          <w:rFonts w:ascii="仿宋_GB2312" w:eastAsia="仿宋_GB2312" w:hAnsi="仿宋_GB2312" w:cs="仿宋_GB2312"/>
          <w:b/>
          <w:bCs/>
          <w:sz w:val="28"/>
          <w:szCs w:val="28"/>
        </w:rPr>
      </w:pPr>
      <w:bookmarkStart w:id="31" w:name="_Toc256000027"/>
      <w:r>
        <w:rPr>
          <w:rFonts w:ascii="仿宋_GB2312" w:eastAsia="仿宋_GB2312" w:hAnsi="仿宋_GB2312" w:cs="仿宋_GB2312"/>
          <w:sz w:val="28"/>
          <w:szCs w:val="28"/>
        </w:rPr>
        <w:t>3.4.1服务要求</w:t>
      </w:r>
      <w:bookmarkEnd w:id="31"/>
    </w:p>
    <w:p>
      <w:pPr>
        <w:pStyle w:val="MsoNormal"/>
        <w:spacing w:before="0" w:after="0" w:line="360" w:lineRule="auto"/>
        <w:ind w:left="0" w:right="0"/>
      </w:pPr>
      <w:r>
        <w:rPr>
          <w:rFonts w:ascii="仿宋_GB2312" w:eastAsia="仿宋_GB2312" w:hAnsi="仿宋_GB2312" w:cs="仿宋_GB2312"/>
          <w:sz w:val="28"/>
          <w:szCs w:val="28"/>
        </w:rPr>
        <w:t>提供质保期内</w:t>
      </w:r>
      <w:r>
        <w:rPr>
          <w:rFonts w:ascii="仿宋_GB2312" w:eastAsia="仿宋_GB2312" w:hAnsi="仿宋_GB2312" w:cs="仿宋_GB2312"/>
          <w:sz w:val="28"/>
          <w:szCs w:val="28"/>
        </w:rPr>
        <w:t>7*24小时的技术支持服务，设备出现故障,中标供应商必须按照采购人要求到达现场。为保证优质售后服务，中标供应商应具备相应资质的技术支撑团队。售后服务方式包括：提供7*24小时售后服务热线服务；电子邮件服务；远程指导服务；系统巡检服务；现场服务。</w:t>
      </w:r>
      <w:r>
        <w:rPr>
          <w:rFonts w:ascii="仿宋_GB2312" w:eastAsia="仿宋_GB2312" w:hAnsi="仿宋_GB2312" w:cs="仿宋_GB2312"/>
          <w:sz w:val="28"/>
          <w:szCs w:val="28"/>
        </w:rPr>
        <w:br/>
      </w:r>
      <w:r>
        <w:rPr>
          <w:rFonts w:ascii="仿宋_GB2312" w:eastAsia="仿宋_GB2312" w:hAnsi="仿宋_GB2312" w:cs="仿宋_GB2312"/>
          <w:sz w:val="28"/>
          <w:szCs w:val="28"/>
        </w:rPr>
        <w:t>售后及质量保障服务要求：自验收通过之日起</w:t>
      </w:r>
      <w:r>
        <w:rPr>
          <w:rFonts w:ascii="仿宋_GB2312" w:eastAsia="仿宋_GB2312" w:hAnsi="仿宋_GB2312" w:cs="仿宋_GB2312"/>
          <w:sz w:val="28"/>
          <w:szCs w:val="28"/>
        </w:rPr>
        <w:t>3年。</w:t>
      </w:r>
    </w:p>
    <w:p>
      <w:pPr>
        <w:pStyle w:val="Heading20"/>
        <w:keepNext w:val="0"/>
        <w:spacing w:before="0" w:after="0" w:line="360" w:lineRule="auto"/>
        <w:rPr>
          <w:rFonts w:ascii="仿宋_GB2312" w:eastAsia="仿宋_GB2312" w:hAnsi="仿宋_GB2312" w:cs="仿宋_GB2312"/>
          <w:b/>
          <w:bCs/>
          <w:sz w:val="28"/>
          <w:szCs w:val="28"/>
        </w:rPr>
      </w:pPr>
      <w:bookmarkStart w:id="32" w:name="_Toc256000028"/>
      <w:r>
        <w:rPr>
          <w:rFonts w:ascii="仿宋_GB2312" w:eastAsia="仿宋_GB2312" w:hAnsi="仿宋_GB2312" w:cs="仿宋_GB2312"/>
          <w:i w:val="0"/>
          <w:iCs w:val="0"/>
        </w:rPr>
        <w:t>3.5其他要求</w:t>
      </w:r>
      <w:bookmarkEnd w:id="32"/>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无。</w:t>
      </w:r>
    </w:p>
    <w:p>
      <w:pPr>
        <w:pStyle w:val="Heading10"/>
        <w:keepNext w:val="0"/>
        <w:spacing w:before="0" w:after="0" w:line="360" w:lineRule="auto"/>
        <w:jc w:val="center"/>
        <w:rPr>
          <w:rFonts w:ascii="仿宋_GB2312" w:eastAsia="仿宋_GB2312" w:hAnsi="仿宋_GB2312" w:cs="仿宋_GB2312"/>
          <w:b/>
          <w:bCs/>
          <w:sz w:val="32"/>
          <w:szCs w:val="32"/>
        </w:rPr>
      </w:pPr>
      <w:bookmarkStart w:id="33" w:name="_Toc256000029"/>
      <w:r>
        <w:rPr>
          <w:rFonts w:ascii="仿宋_GB2312" w:eastAsia="仿宋_GB2312" w:hAnsi="仿宋_GB2312" w:cs="仿宋_GB2312"/>
          <w:kern w:val="36"/>
        </w:rPr>
        <w:t>4人员要求</w:t>
      </w:r>
      <w:bookmarkEnd w:id="33"/>
    </w:p>
    <w:p>
      <w:pPr>
        <w:pStyle w:val="Heading20"/>
        <w:keepNext w:val="0"/>
        <w:spacing w:before="0" w:after="0" w:line="360" w:lineRule="auto"/>
        <w:rPr>
          <w:rFonts w:ascii="仿宋_GB2312" w:eastAsia="仿宋_GB2312" w:hAnsi="仿宋_GB2312" w:cs="仿宋_GB2312"/>
          <w:b/>
          <w:bCs/>
          <w:sz w:val="28"/>
          <w:szCs w:val="28"/>
        </w:rPr>
      </w:pPr>
      <w:bookmarkStart w:id="34" w:name="_Toc256000030"/>
      <w:r>
        <w:rPr>
          <w:rFonts w:ascii="仿宋_GB2312" w:eastAsia="仿宋_GB2312" w:hAnsi="仿宋_GB2312" w:cs="仿宋_GB2312"/>
          <w:i w:val="0"/>
          <w:iCs w:val="0"/>
        </w:rPr>
        <w:t>4.1团队要求</w:t>
      </w:r>
      <w:bookmarkEnd w:id="34"/>
    </w:p>
    <w:p>
      <w:pPr>
        <w:pStyle w:val="Heading30"/>
        <w:keepNext w:val="0"/>
        <w:spacing w:before="0" w:after="0" w:line="360" w:lineRule="auto"/>
        <w:rPr>
          <w:rFonts w:ascii="仿宋_GB2312" w:eastAsia="仿宋_GB2312" w:hAnsi="仿宋_GB2312" w:cs="仿宋_GB2312"/>
          <w:b/>
          <w:bCs/>
          <w:sz w:val="28"/>
          <w:szCs w:val="28"/>
        </w:rPr>
      </w:pPr>
      <w:bookmarkStart w:id="35" w:name="_Toc256000031"/>
      <w:r>
        <w:rPr>
          <w:rFonts w:ascii="仿宋_GB2312" w:eastAsia="仿宋_GB2312" w:hAnsi="仿宋_GB2312" w:cs="仿宋_GB2312"/>
          <w:sz w:val="28"/>
          <w:szCs w:val="28"/>
        </w:rPr>
        <w:t>4.1.1基本要求</w:t>
      </w:r>
      <w:bookmarkEnd w:id="35"/>
    </w:p>
    <w:p>
      <w:pPr>
        <w:pStyle w:val="MsoNormal"/>
        <w:spacing w:before="0" w:after="0" w:line="360" w:lineRule="auto"/>
        <w:ind w:left="0" w:right="0"/>
      </w:pPr>
      <w:r>
        <w:rPr>
          <w:rFonts w:ascii="FangSong_GB2312" w:eastAsia="FangSong_GB2312" w:hAnsi="FangSong_GB2312" w:cs="FangSong_GB2312"/>
          <w:color w:val="333333"/>
          <w:sz w:val="28"/>
          <w:szCs w:val="28"/>
          <w:shd w:val="clear" w:color="auto" w:fill="FFFFFF"/>
        </w:rPr>
        <w:t>按采购人要求在项目实施及维保期间派遣服务人员完成指定工作，服务人员所提供的服务必须满足项目实施及技术支持、维保服务的各项要求。供应商提供满足合同资质要求的现场技术服务人员名单，在合同中明确或在合同签订后交采购人需求部门登记备案（附身份证、工作证等相关材料复印件）。如供应商需进行人员变更，应提前将相关材料提交甲方需求部门审核同意后方可进行变更。如服务人员无法满足采购人服务质量要求，采购人有权要求更换服务人员或是提出服务质量改进要求，供应商应在</w:t>
      </w:r>
      <w:r>
        <w:rPr>
          <w:rFonts w:ascii="仿宋" w:eastAsia="仿宋" w:hAnsi="仿宋" w:cs="仿宋"/>
          <w:color w:val="333333"/>
          <w:sz w:val="28"/>
          <w:szCs w:val="28"/>
          <w:shd w:val="clear" w:color="auto" w:fill="FFFFFF"/>
        </w:rPr>
        <w:t>5</w:t>
      </w:r>
      <w:r>
        <w:rPr>
          <w:rFonts w:ascii="FangSong_GB2312" w:eastAsia="FangSong_GB2312" w:hAnsi="FangSong_GB2312" w:cs="FangSong_GB2312"/>
          <w:color w:val="333333"/>
          <w:sz w:val="28"/>
          <w:szCs w:val="28"/>
          <w:shd w:val="clear" w:color="auto" w:fill="FFFFFF"/>
        </w:rPr>
        <w:t>个工作日内满足采购人要求，否则，采购人视情况严重程度有权终止项目，所有损失由供应商承担。（非有特指，以下条款中服务人员均指供应商服务人员）。</w:t>
      </w:r>
    </w:p>
    <w:p>
      <w:pPr>
        <w:pStyle w:val="MsoNormal"/>
        <w:spacing w:before="0" w:after="0" w:line="360" w:lineRule="auto"/>
        <w:ind w:left="0" w:right="0"/>
      </w:pPr>
      <w:r>
        <w:rPr>
          <w:rFonts w:ascii="FangSong_GB2312" w:eastAsia="FangSong_GB2312" w:hAnsi="FangSong_GB2312" w:cs="FangSong_GB2312"/>
          <w:sz w:val="28"/>
          <w:szCs w:val="28"/>
        </w:rPr>
        <w:t>中标供应商要</w:t>
      </w:r>
      <w:r>
        <w:rPr>
          <w:rFonts w:ascii="仿宋_GB2312" w:eastAsia="仿宋_GB2312" w:hAnsi="仿宋_GB2312" w:cs="仿宋_GB2312"/>
          <w:sz w:val="28"/>
          <w:szCs w:val="28"/>
        </w:rPr>
        <w:t>及时解决可能出现的故障，需要为国家税务总局吉林省税务局提供质保期内</w:t>
      </w:r>
      <w:r>
        <w:rPr>
          <w:rFonts w:ascii="仿宋_GB2312" w:eastAsia="仿宋_GB2312" w:hAnsi="仿宋_GB2312" w:cs="仿宋_GB2312"/>
          <w:sz w:val="28"/>
          <w:szCs w:val="28"/>
        </w:rPr>
        <w:t>7*24小时的技术支持服务，设备出现故障,中标供应商必须按照采购人要求到达现场。为保证优质售后服务，中标供应商应具备相应资质的技术支撑团队。售后服务方式包括：提供7*24小时售后服务热线服务；电子邮件服务；远程指导服务；系统巡检服务；现场服务。</w:t>
      </w:r>
    </w:p>
    <w:p>
      <w:pPr>
        <w:pStyle w:val="Heading30"/>
        <w:keepNext w:val="0"/>
        <w:spacing w:before="0" w:after="0" w:line="360" w:lineRule="auto"/>
        <w:rPr>
          <w:rFonts w:ascii="仿宋_GB2312" w:eastAsia="仿宋_GB2312" w:hAnsi="仿宋_GB2312" w:cs="仿宋_GB2312"/>
          <w:b/>
          <w:bCs/>
          <w:sz w:val="28"/>
          <w:szCs w:val="28"/>
        </w:rPr>
      </w:pPr>
      <w:bookmarkStart w:id="36" w:name="_Toc256000032"/>
      <w:r>
        <w:rPr>
          <w:rFonts w:ascii="仿宋_GB2312" w:eastAsia="仿宋_GB2312" w:hAnsi="仿宋_GB2312" w:cs="仿宋_GB2312"/>
          <w:sz w:val="28"/>
          <w:szCs w:val="28"/>
        </w:rPr>
        <w:t>4.1.2优选资质/优选指标</w:t>
      </w:r>
      <w:bookmarkEnd w:id="36"/>
    </w:p>
    <w:tbl>
      <w:tblPr>
        <w:tblStyle w:val="TableNormal"/>
        <w:tblW w:w="5000" w:type="pct"/>
        <w:tblInd w:w="30" w:type="dxa"/>
        <w:tblCellMar>
          <w:top w:w="15" w:type="dxa"/>
          <w:left w:w="15" w:type="dxa"/>
          <w:bottom w:w="15" w:type="dxa"/>
          <w:right w:w="15" w:type="dxa"/>
        </w:tblCellMar>
      </w:tblPr>
      <w:tblGrid>
        <w:gridCol w:w="1008"/>
        <w:gridCol w:w="2015"/>
        <w:gridCol w:w="2015"/>
        <w:gridCol w:w="2015"/>
        <w:gridCol w:w="2017"/>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人员岗位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是否作为加分项</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信息系统项目管理师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提供资格证书</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10"/>
        <w:keepNext w:val="0"/>
        <w:spacing w:before="0" w:after="0" w:line="360" w:lineRule="auto"/>
        <w:jc w:val="center"/>
        <w:rPr>
          <w:rFonts w:ascii="仿宋_GB2312" w:eastAsia="仿宋_GB2312" w:hAnsi="仿宋_GB2312" w:cs="仿宋_GB2312"/>
          <w:b/>
          <w:bCs/>
          <w:sz w:val="32"/>
          <w:szCs w:val="32"/>
        </w:rPr>
      </w:pPr>
      <w:bookmarkStart w:id="37" w:name="_Toc256000033"/>
      <w:r>
        <w:rPr>
          <w:rFonts w:ascii="仿宋_GB2312" w:eastAsia="仿宋_GB2312" w:hAnsi="仿宋_GB2312" w:cs="仿宋_GB2312"/>
          <w:kern w:val="36"/>
        </w:rPr>
        <w:t>5管理实施要求</w:t>
      </w:r>
      <w:bookmarkEnd w:id="37"/>
    </w:p>
    <w:p>
      <w:pPr>
        <w:pStyle w:val="MsoNormal"/>
        <w:spacing w:before="0" w:after="0" w:line="360" w:lineRule="auto"/>
        <w:ind w:left="0" w:right="0"/>
      </w:pPr>
      <w:r>
        <w:rPr>
          <w:rFonts w:ascii="仿宋_GB2312" w:eastAsia="仿宋_GB2312" w:hAnsi="仿宋_GB2312" w:cs="仿宋_GB2312"/>
          <w:sz w:val="28"/>
          <w:szCs w:val="28"/>
        </w:rPr>
        <w:t>针对其提供的交换机及设备完成部署、安装与调试。并于硬件抵达安装现场后的</w:t>
      </w:r>
      <w:r>
        <w:rPr>
          <w:rFonts w:ascii="仿宋_GB2312" w:eastAsia="仿宋_GB2312" w:hAnsi="仿宋_GB2312" w:cs="仿宋_GB2312"/>
          <w:sz w:val="28"/>
          <w:szCs w:val="28"/>
        </w:rPr>
        <w:t>15天内完成设备的调试运行。</w:t>
      </w:r>
    </w:p>
    <w:p>
      <w:pPr>
        <w:pStyle w:val="MsoNormal"/>
        <w:spacing w:before="0" w:after="0" w:line="360" w:lineRule="auto"/>
        <w:ind w:left="0" w:right="0"/>
      </w:pPr>
      <w:r>
        <w:rPr>
          <w:rFonts w:ascii="仿宋_GB2312" w:eastAsia="仿宋_GB2312" w:hAnsi="仿宋_GB2312" w:cs="仿宋_GB2312"/>
          <w:sz w:val="28"/>
          <w:szCs w:val="28"/>
        </w:rPr>
        <w:t>中标供应商要根据我局情况</w:t>
      </w:r>
      <w:r>
        <w:rPr>
          <w:rFonts w:ascii="仿宋_GB2312" w:eastAsia="仿宋_GB2312" w:hAnsi="仿宋_GB2312" w:cs="仿宋_GB2312"/>
          <w:sz w:val="28"/>
          <w:szCs w:val="28"/>
        </w:rPr>
        <w:t>,提供完整管理实施方案、应急处置方案、保密方案、验收方案、售后服务方案。</w:t>
      </w:r>
    </w:p>
    <w:p>
      <w:pPr>
        <w:pStyle w:val="MsoNormal"/>
        <w:spacing w:before="0" w:after="0" w:line="360" w:lineRule="auto"/>
        <w:ind w:left="0" w:right="0"/>
      </w:pPr>
      <w:r>
        <w:rPr>
          <w:rFonts w:ascii="仿宋_GB2312" w:eastAsia="仿宋_GB2312" w:hAnsi="仿宋_GB2312" w:cs="仿宋_GB2312"/>
          <w:sz w:val="28"/>
          <w:szCs w:val="28"/>
        </w:rPr>
        <w:t>按照合同提供产品和服务，承担与我局现有设备和系统的衔接责任，承诺与本项目相关单位（在用设备和系统集成商、运维商等）进行积极配合，完成软硬件安装、调试、测试工作，完成与我局现有信息化资源的适配及融合。</w:t>
      </w:r>
    </w:p>
    <w:p>
      <w:pPr>
        <w:pStyle w:val="MsoNormal"/>
        <w:spacing w:before="0" w:after="0" w:line="360" w:lineRule="auto"/>
        <w:ind w:left="0" w:right="0"/>
      </w:pPr>
      <w:r>
        <w:rPr>
          <w:rFonts w:ascii="仿宋_GB2312" w:eastAsia="仿宋_GB2312" w:hAnsi="仿宋_GB2312" w:cs="仿宋_GB2312"/>
          <w:sz w:val="28"/>
          <w:szCs w:val="28"/>
        </w:rPr>
        <w:t>在实施过程中要求由专业的系统集成人员进行安装、检测和故障排除。中标供应商必须服从采购人的统一协调，在实施方案设计、设备供货、技术支持、运行维护等方面相互配合。投标人应充分理解本项目的意义和重要性，在投标时应提交本项目的项目管理方案和集成方案，保障本项目在相关设备到货到能顺利实施。</w:t>
      </w:r>
    </w:p>
    <w:p>
      <w:pPr>
        <w:pStyle w:val="MsoNormal"/>
        <w:spacing w:before="0" w:after="0" w:line="360" w:lineRule="auto"/>
        <w:ind w:left="0" w:right="0"/>
      </w:pPr>
      <w:r>
        <w:rPr>
          <w:rFonts w:ascii="仿宋_GB2312" w:eastAsia="仿宋_GB2312" w:hAnsi="仿宋_GB2312" w:cs="仿宋_GB2312"/>
          <w:sz w:val="28"/>
          <w:szCs w:val="28"/>
        </w:rPr>
        <w:t>投标人应根据项目制定合理的产品培训，提交本项目的培训方案，以满足对采购设备和软件的使用和日常维护需求。</w:t>
      </w:r>
    </w:p>
    <w:p>
      <w:pPr>
        <w:pStyle w:val="Heading10"/>
        <w:keepNext w:val="0"/>
        <w:spacing w:before="0" w:after="0" w:line="360" w:lineRule="auto"/>
        <w:jc w:val="center"/>
        <w:rPr>
          <w:rFonts w:ascii="仿宋_GB2312" w:eastAsia="仿宋_GB2312" w:hAnsi="仿宋_GB2312" w:cs="仿宋_GB2312"/>
          <w:b/>
          <w:bCs/>
          <w:sz w:val="32"/>
          <w:szCs w:val="32"/>
        </w:rPr>
      </w:pPr>
      <w:bookmarkStart w:id="38" w:name="_Toc256000034"/>
      <w:r>
        <w:rPr>
          <w:rFonts w:ascii="仿宋_GB2312" w:eastAsia="仿宋_GB2312" w:hAnsi="仿宋_GB2312" w:cs="仿宋_GB2312"/>
          <w:kern w:val="36"/>
        </w:rPr>
        <w:t>6风险管控要求</w:t>
      </w:r>
      <w:bookmarkEnd w:id="38"/>
    </w:p>
    <w:p>
      <w:pPr>
        <w:pStyle w:val="MsoNormal"/>
        <w:spacing w:before="0" w:after="0" w:line="360" w:lineRule="auto"/>
        <w:ind w:left="0" w:right="0"/>
      </w:pPr>
      <w:r>
        <w:rPr>
          <w:rFonts w:ascii="仿宋_GB2312" w:eastAsia="仿宋_GB2312" w:hAnsi="仿宋_GB2312" w:cs="仿宋_GB2312"/>
          <w:sz w:val="28"/>
          <w:szCs w:val="28"/>
        </w:rPr>
        <w:t>项目实施期间，投标人须做好核心交换机相关配置和数据的各项安全保障工作，对系统软硬件资源及网络资源等制定风险管控预案和防范措施。</w:t>
      </w:r>
    </w:p>
    <w:p>
      <w:pPr>
        <w:pStyle w:val="MsoNormal"/>
        <w:spacing w:before="0" w:after="0" w:line="360" w:lineRule="auto"/>
        <w:ind w:left="0" w:right="0"/>
      </w:pPr>
      <w:r>
        <w:rPr>
          <w:rFonts w:ascii="仿宋_GB2312" w:eastAsia="仿宋_GB2312" w:hAnsi="仿宋_GB2312" w:cs="仿宋_GB2312"/>
          <w:sz w:val="28"/>
          <w:szCs w:val="28"/>
        </w:rPr>
        <w:t>投标人应充分预估项目实施中存在的技术风险，包括并不限于：系统硬件稳定性、系统资源、网络环境、数据安全等方面可能存在的风险，制定可靠的技术管理保障措施。</w:t>
      </w:r>
    </w:p>
    <w:p>
      <w:pPr>
        <w:pStyle w:val="MsoNormal"/>
        <w:spacing w:before="0" w:after="0" w:line="360" w:lineRule="auto"/>
        <w:ind w:left="0" w:right="0"/>
      </w:pPr>
      <w:r>
        <w:rPr>
          <w:rFonts w:ascii="仿宋_GB2312" w:eastAsia="仿宋_GB2312" w:hAnsi="仿宋_GB2312" w:cs="仿宋_GB2312"/>
          <w:sz w:val="28"/>
          <w:szCs w:val="28"/>
        </w:rPr>
        <w:t>投标人应充分预估项目实施中人员技术服务存在的操作风险，包括并不限于：人为错误、账户权限管理不当、服务流程不规范等，制定可靠的运维服务保障措施。</w:t>
      </w:r>
    </w:p>
    <w:p>
      <w:pPr>
        <w:pStyle w:val="MsoNormal"/>
        <w:spacing w:before="0" w:after="0" w:line="360" w:lineRule="auto"/>
        <w:ind w:left="0" w:right="0"/>
      </w:pPr>
      <w:r>
        <w:rPr>
          <w:rFonts w:ascii="仿宋_GB2312" w:eastAsia="仿宋_GB2312" w:hAnsi="仿宋_GB2312" w:cs="仿宋_GB2312"/>
          <w:sz w:val="28"/>
          <w:szCs w:val="28"/>
        </w:rPr>
        <w:t>发现网络安全漏洞、缺陷、数据泄露或其他重大网络安全风险，及时向采购人进行报告，不得擅自公开或向第三方提供。</w:t>
      </w:r>
      <w:r>
        <w:rPr>
          <w:rFonts w:ascii="FangSong_GB2312" w:eastAsia="FangSong_GB2312" w:hAnsi="FangSong_GB2312" w:cs="FangSong_GB2312"/>
          <w:sz w:val="28"/>
          <w:szCs w:val="28"/>
        </w:rPr>
        <w:t>（</w:t>
      </w:r>
      <w:r>
        <w:rPr>
          <w:rFonts w:ascii="FangSong_GB2312" w:eastAsia="FangSong_GB2312" w:hAnsi="FangSong_GB2312" w:cs="FangSong_GB2312"/>
          <w:sz w:val="28"/>
          <w:szCs w:val="28"/>
        </w:rPr>
        <w:t>1）验收工作由采购人组织实施，由采购人、中标供应商共同完成。中标供应商应配合完成各阶段验收工作，必要时由中标供应商或第三方机构按照验收要求完成测试，提交项目验收方案及测试相关文档，经项目单位确认各项指标达到合同约定后进行项目验收</w:t>
      </w:r>
    </w:p>
    <w:p>
      <w:pPr>
        <w:pStyle w:val="Heading10"/>
        <w:keepNext w:val="0"/>
        <w:spacing w:before="0" w:after="0" w:line="360" w:lineRule="auto"/>
        <w:jc w:val="center"/>
        <w:rPr>
          <w:rFonts w:ascii="仿宋_GB2312" w:eastAsia="仿宋_GB2312" w:hAnsi="仿宋_GB2312" w:cs="仿宋_GB2312"/>
          <w:b/>
          <w:bCs/>
          <w:sz w:val="32"/>
          <w:szCs w:val="32"/>
        </w:rPr>
      </w:pPr>
      <w:bookmarkStart w:id="39" w:name="_Toc256000035"/>
      <w:r>
        <w:rPr>
          <w:rFonts w:ascii="仿宋_GB2312" w:eastAsia="仿宋_GB2312" w:hAnsi="仿宋_GB2312" w:cs="仿宋_GB2312"/>
          <w:kern w:val="36"/>
        </w:rPr>
        <w:t>7履约验收要求</w:t>
      </w:r>
      <w:bookmarkEnd w:id="39"/>
    </w:p>
    <w:p>
      <w:pPr>
        <w:pStyle w:val="Heading20"/>
        <w:keepNext w:val="0"/>
        <w:spacing w:before="0" w:after="0" w:line="360" w:lineRule="auto"/>
        <w:rPr>
          <w:rFonts w:ascii="仿宋_GB2312" w:eastAsia="仿宋_GB2312" w:hAnsi="仿宋_GB2312" w:cs="仿宋_GB2312"/>
          <w:b/>
          <w:bCs/>
          <w:sz w:val="28"/>
          <w:szCs w:val="28"/>
        </w:rPr>
      </w:pPr>
      <w:bookmarkStart w:id="40" w:name="_Toc256000036"/>
      <w:r>
        <w:rPr>
          <w:rFonts w:ascii="仿宋_GB2312" w:eastAsia="仿宋_GB2312" w:hAnsi="仿宋_GB2312" w:cs="仿宋_GB2312"/>
          <w:i w:val="0"/>
          <w:iCs w:val="0"/>
        </w:rPr>
        <w:t>7.1总体要求</w:t>
      </w:r>
      <w:bookmarkEnd w:id="40"/>
    </w:p>
    <w:tbl>
      <w:tblPr>
        <w:tblStyle w:val="TableNormal"/>
        <w:tblW w:w="5000" w:type="pct"/>
        <w:tblInd w:w="30" w:type="dxa"/>
        <w:tblCellMar>
          <w:top w:w="15" w:type="dxa"/>
          <w:left w:w="15" w:type="dxa"/>
          <w:bottom w:w="15" w:type="dxa"/>
          <w:right w:w="15" w:type="dxa"/>
        </w:tblCellMar>
      </w:tblPr>
      <w:tblGrid>
        <w:gridCol w:w="332"/>
        <w:gridCol w:w="8738"/>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终期验收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自合同签订之日起15天内到达吉林省税务局指定地点，货物达到后15天内完成部署上线，并保证所有设备稳定运行。完成上述工作后，中标人提出验收申请，由采购方根据税务信息化项目管理相关要求、招标文件要求、投标文件及承诺及本项目合同约定标准组织验收。</w:t>
            </w:r>
          </w:p>
        </w:tc>
      </w:tr>
    </w:tbl>
    <w:p>
      <w:pPr>
        <w:pStyle w:val="Heading20"/>
        <w:keepNext w:val="0"/>
        <w:spacing w:before="0" w:after="0" w:line="360" w:lineRule="auto"/>
        <w:rPr>
          <w:rFonts w:ascii="仿宋_GB2312" w:eastAsia="仿宋_GB2312" w:hAnsi="仿宋_GB2312" w:cs="仿宋_GB2312"/>
          <w:b/>
          <w:bCs/>
          <w:sz w:val="28"/>
          <w:szCs w:val="28"/>
        </w:rPr>
      </w:pPr>
      <w:bookmarkStart w:id="41" w:name="_Toc256000037"/>
      <w:r>
        <w:rPr>
          <w:rFonts w:ascii="仿宋_GB2312" w:eastAsia="仿宋_GB2312" w:hAnsi="仿宋_GB2312" w:cs="仿宋_GB2312"/>
          <w:i w:val="0"/>
          <w:iCs w:val="0"/>
        </w:rPr>
        <w:t>7.2具体要求</w:t>
      </w:r>
      <w:bookmarkEnd w:id="41"/>
    </w:p>
    <w:p>
      <w:pPr>
        <w:pStyle w:val="MsoNormal"/>
        <w:spacing w:before="0" w:after="0" w:line="360" w:lineRule="auto"/>
        <w:ind w:left="0" w:right="0"/>
      </w:pPr>
      <w:r>
        <w:rPr>
          <w:rFonts w:ascii="FangSong_GB2312" w:eastAsia="FangSong_GB2312" w:hAnsi="FangSong_GB2312" w:cs="FangSong_GB2312"/>
          <w:sz w:val="28"/>
          <w:szCs w:val="28"/>
        </w:rPr>
        <w:t>（</w:t>
      </w:r>
      <w:r>
        <w:rPr>
          <w:rFonts w:ascii="FangSong_GB2312" w:eastAsia="FangSong_GB2312" w:hAnsi="FangSong_GB2312" w:cs="FangSong_GB2312"/>
          <w:sz w:val="28"/>
          <w:szCs w:val="28"/>
        </w:rPr>
        <w:t>1）验收工作由采购人组织实施，由采购人、中标供应商共同完成。中标供应商应配合完成各阶段验收工作，必要时由中标供应商或第三方机构按照验收要求完成测试，提交项目验收方案及测试相关文档，经项目单位确认各项指标达到合同约定后进行项目验收。</w:t>
      </w:r>
    </w:p>
    <w:p>
      <w:pPr>
        <w:pStyle w:val="MsoNormal"/>
        <w:spacing w:before="0" w:after="0" w:line="360" w:lineRule="auto"/>
        <w:ind w:left="0" w:right="0"/>
      </w:pPr>
      <w:r>
        <w:rPr>
          <w:rFonts w:ascii="仿宋_GB2312" w:eastAsia="仿宋_GB2312" w:hAnsi="仿宋_GB2312" w:cs="仿宋_GB2312"/>
          <w:sz w:val="28"/>
          <w:szCs w:val="28"/>
        </w:rPr>
        <w:t>（</w:t>
      </w:r>
      <w:r>
        <w:rPr>
          <w:rFonts w:ascii="仿宋_GB2312" w:eastAsia="仿宋_GB2312" w:hAnsi="仿宋_GB2312" w:cs="仿宋_GB2312"/>
          <w:sz w:val="28"/>
          <w:szCs w:val="28"/>
        </w:rPr>
        <w:t>2）中标供应商应在项目验收、测试时提供相关测试环境及必要的设备和工具，使用各类支撑工具应保证采购人在测试过程合法免费使用，中标供应商承担由于知识产权等纠纷导致的所有责任。</w:t>
      </w:r>
    </w:p>
    <w:p>
      <w:pPr>
        <w:pStyle w:val="MsoNormal"/>
        <w:spacing w:before="0" w:after="0" w:line="360" w:lineRule="auto"/>
        <w:ind w:left="0" w:right="0"/>
      </w:pPr>
      <w:r>
        <w:rPr>
          <w:rFonts w:ascii="仿宋_GB2312" w:eastAsia="仿宋_GB2312" w:hAnsi="仿宋_GB2312" w:cs="仿宋_GB2312"/>
          <w:sz w:val="28"/>
          <w:szCs w:val="28"/>
        </w:rPr>
        <w:t>（</w:t>
      </w:r>
      <w:r>
        <w:rPr>
          <w:rFonts w:ascii="仿宋_GB2312" w:eastAsia="仿宋_GB2312" w:hAnsi="仿宋_GB2312" w:cs="仿宋_GB2312"/>
          <w:sz w:val="28"/>
          <w:szCs w:val="28"/>
        </w:rPr>
        <w:t>3）中标供应商提供的各类文档应内容完整、描述清晰、版本最新，各类方案要求实现目标明确、工作措施得力、可操作性强、具有前瞻性。产出物应提供电子和纸质两种介质，保持版本一致。</w:t>
      </w:r>
    </w:p>
    <w:p>
      <w:pPr>
        <w:pStyle w:val="MsoNormal"/>
        <w:spacing w:before="0" w:after="0" w:line="360" w:lineRule="auto"/>
        <w:ind w:left="0" w:right="0"/>
      </w:pPr>
      <w:r>
        <w:rPr>
          <w:rFonts w:ascii="仿宋_GB2312" w:eastAsia="仿宋_GB2312" w:hAnsi="仿宋_GB2312" w:cs="仿宋_GB2312"/>
          <w:sz w:val="28"/>
          <w:szCs w:val="28"/>
        </w:rPr>
        <w:t>（</w:t>
      </w:r>
      <w:r>
        <w:rPr>
          <w:rFonts w:ascii="仿宋_GB2312" w:eastAsia="仿宋_GB2312" w:hAnsi="仿宋_GB2312" w:cs="仿宋_GB2312"/>
          <w:sz w:val="28"/>
          <w:szCs w:val="28"/>
        </w:rPr>
        <w:t>4）对验收中发现的问题，中标供应商应提出有效解决办法和措施，经采购人确认后实施。</w:t>
      </w:r>
    </w:p>
    <w:p>
      <w:pPr>
        <w:pStyle w:val="MsoNormal"/>
        <w:spacing w:before="0" w:after="0" w:line="360" w:lineRule="auto"/>
        <w:ind w:left="0" w:right="0"/>
      </w:pPr>
      <w:r>
        <w:rPr>
          <w:rFonts w:ascii="FangSong_GB2312" w:eastAsia="FangSong_GB2312" w:hAnsi="FangSong_GB2312" w:cs="FangSong_GB2312"/>
          <w:sz w:val="28"/>
          <w:szCs w:val="28"/>
        </w:rPr>
        <w:t>（5）验收申请资料包括但不限于以下内容：项目合同及附件、项目实施工作计划、实施工作日志、实施问题记录、实施过程相关文档、设备文档调试记录。</w:t>
      </w:r>
    </w:p>
    <w:p>
      <w:pPr>
        <w:pStyle w:val="Heading10"/>
        <w:keepNext w:val="0"/>
        <w:spacing w:before="0" w:after="0" w:line="360" w:lineRule="auto"/>
        <w:jc w:val="center"/>
        <w:rPr>
          <w:rFonts w:ascii="仿宋_GB2312" w:eastAsia="仿宋_GB2312" w:hAnsi="仿宋_GB2312" w:cs="仿宋_GB2312"/>
          <w:b/>
          <w:bCs/>
          <w:sz w:val="32"/>
          <w:szCs w:val="32"/>
        </w:rPr>
      </w:pPr>
      <w:bookmarkStart w:id="42" w:name="_Toc256000038"/>
      <w:r>
        <w:rPr>
          <w:rFonts w:ascii="仿宋_GB2312" w:eastAsia="仿宋_GB2312" w:hAnsi="仿宋_GB2312" w:cs="仿宋_GB2312"/>
          <w:kern w:val="36"/>
        </w:rPr>
        <w:t>8其他要求</w:t>
      </w:r>
      <w:bookmarkEnd w:id="42"/>
    </w:p>
    <w:p>
      <w:pPr>
        <w:pStyle w:val="Heading20"/>
        <w:keepNext w:val="0"/>
        <w:spacing w:before="0" w:after="0" w:line="360" w:lineRule="auto"/>
        <w:rPr>
          <w:rFonts w:ascii="仿宋_GB2312" w:eastAsia="仿宋_GB2312" w:hAnsi="仿宋_GB2312" w:cs="仿宋_GB2312"/>
          <w:b/>
          <w:bCs/>
          <w:sz w:val="28"/>
          <w:szCs w:val="28"/>
        </w:rPr>
      </w:pPr>
      <w:bookmarkStart w:id="43" w:name="_Toc256000039"/>
      <w:r>
        <w:rPr>
          <w:rFonts w:ascii="仿宋_GB2312" w:eastAsia="仿宋_GB2312" w:hAnsi="仿宋_GB2312" w:cs="仿宋_GB2312"/>
          <w:i w:val="0"/>
          <w:iCs w:val="0"/>
        </w:rPr>
        <w:t>8.1必备要求</w:t>
      </w:r>
      <w:bookmarkEnd w:id="43"/>
    </w:p>
    <w:p>
      <w:pPr>
        <w:pStyle w:val="Heading30"/>
        <w:keepNext w:val="0"/>
        <w:spacing w:before="0" w:after="0" w:line="360" w:lineRule="auto"/>
        <w:rPr>
          <w:rFonts w:ascii="仿宋_GB2312" w:eastAsia="仿宋_GB2312" w:hAnsi="仿宋_GB2312" w:cs="仿宋_GB2312"/>
          <w:b/>
          <w:bCs/>
          <w:sz w:val="28"/>
          <w:szCs w:val="28"/>
        </w:rPr>
      </w:pPr>
      <w:bookmarkStart w:id="44" w:name="_Toc256000040"/>
      <w:r>
        <w:rPr>
          <w:rFonts w:ascii="仿宋_GB2312" w:eastAsia="仿宋_GB2312" w:hAnsi="仿宋_GB2312" w:cs="仿宋_GB2312"/>
          <w:sz w:val="28"/>
          <w:szCs w:val="28"/>
        </w:rPr>
        <w:t>8.1.1通用必备要求</w:t>
      </w:r>
      <w:bookmarkEnd w:id="44"/>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Heading30"/>
        <w:keepNext w:val="0"/>
        <w:spacing w:before="0" w:after="0" w:line="360" w:lineRule="auto"/>
        <w:rPr>
          <w:rFonts w:ascii="仿宋_GB2312" w:eastAsia="仿宋_GB2312" w:hAnsi="仿宋_GB2312" w:cs="仿宋_GB2312"/>
          <w:b/>
          <w:bCs/>
          <w:sz w:val="28"/>
          <w:szCs w:val="28"/>
        </w:rPr>
      </w:pPr>
      <w:bookmarkStart w:id="45" w:name="_Toc256000041"/>
      <w:r>
        <w:rPr>
          <w:rFonts w:ascii="仿宋_GB2312" w:eastAsia="仿宋_GB2312" w:hAnsi="仿宋_GB2312" w:cs="仿宋_GB2312"/>
          <w:sz w:val="28"/>
          <w:szCs w:val="28"/>
        </w:rPr>
        <w:t>8.1.2★税收信息化项目开发和应用管理工作要求</w:t>
      </w:r>
      <w:bookmarkEnd w:id="45"/>
    </w:p>
    <w:p>
      <w:pPr>
        <w:pStyle w:val="MsoNormal"/>
        <w:spacing w:before="0" w:after="0" w:line="360" w:lineRule="auto"/>
        <w:ind w:left="0" w:right="0"/>
      </w:pPr>
      <w:r>
        <w:rPr>
          <w:rFonts w:ascii="仿宋_GB2312" w:eastAsia="仿宋_GB2312" w:hAnsi="仿宋_GB2312" w:cs="仿宋_GB2312"/>
          <w:sz w:val="28"/>
          <w:szCs w:val="28"/>
        </w:rPr>
        <w:t>供应商在采购以及后续项目实施过程中，应严格遵守税务总局税收信息化项目开发和应用管理工作要求。对于违反合同约定的，依据合同约定及政府采购有关规定，采购人可采取要求限期改正、在应付合同金额中扣除违约金、解除合同等措施；对于存在严重违法失信行为的，由采购人按规定推送财政部纳入政府采购严重违法失信行为记录名单。</w:t>
      </w:r>
    </w:p>
    <w:p>
      <w:pPr>
        <w:pStyle w:val="Heading30"/>
        <w:keepNext w:val="0"/>
        <w:spacing w:before="0" w:after="0" w:line="360" w:lineRule="auto"/>
        <w:rPr>
          <w:rFonts w:ascii="仿宋_GB2312" w:eastAsia="仿宋_GB2312" w:hAnsi="仿宋_GB2312" w:cs="仿宋_GB2312"/>
          <w:b/>
          <w:bCs/>
          <w:sz w:val="28"/>
          <w:szCs w:val="28"/>
        </w:rPr>
      </w:pPr>
      <w:bookmarkStart w:id="46" w:name="_Toc256000042"/>
      <w:r>
        <w:rPr>
          <w:rFonts w:ascii="仿宋_GB2312" w:eastAsia="仿宋_GB2312" w:hAnsi="仿宋_GB2312" w:cs="仿宋_GB2312"/>
          <w:sz w:val="28"/>
          <w:szCs w:val="28"/>
        </w:rPr>
        <w:t>8.1.3★供应链安全管理要求</w:t>
      </w:r>
      <w:bookmarkEnd w:id="46"/>
    </w:p>
    <w:p>
      <w:pPr>
        <w:pStyle w:val="15Paragraph"/>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1、人员资格要求</w:t>
      </w:r>
    </w:p>
    <w:p>
      <w:pPr>
        <w:pStyle w:val="15Paragraph"/>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1）签订承诺书。供应商应严格落实国家税务总局网络安全和保密管理要求，承担技术支持人员的网络安全和保密管理责任，按采购人要求签订协议和承诺书。</w:t>
      </w:r>
    </w:p>
    <w:p>
      <w:pPr>
        <w:pStyle w:val="15Paragraph"/>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2）开展背景审查。供应商承担技术支持人员背景审查工作，提供其身份证明、履历、家庭成员及主要社会关系、无犯罪记录证明等材料，并提交采购人进行备案。</w:t>
      </w:r>
    </w:p>
    <w:p>
      <w:pPr>
        <w:pStyle w:val="15Paragraph"/>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3）设置网络安全负责人（由驻场运维人员兼任）。供应商为本项目配备一名网络安全负责人，该负责人具备独立决策能力并保持相对稳定，在项目实施的全过程负责网络安全工作，组织落实各项网络安全要求。</w:t>
      </w:r>
    </w:p>
    <w:p>
      <w:pPr>
        <w:pStyle w:val="15Paragraph"/>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2、日常行为规范要求</w:t>
      </w:r>
    </w:p>
    <w:p>
      <w:pPr>
        <w:pStyle w:val="15Paragraph"/>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w:t>
      </w:r>
    </w:p>
    <w:p>
      <w:pPr>
        <w:pStyle w:val="15Paragraph"/>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2）教育培训要求。供应商负责对技术支持人员进行网络和数据安全法律法规、网络安全意识、网络安全管理、网络安全技能、保密意识以及网络安全警示教育等培训，上岗前对其进行考核。</w:t>
      </w:r>
    </w:p>
    <w:p>
      <w:pPr>
        <w:pStyle w:val="15Paragraph"/>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3、违约惩戒措施</w:t>
      </w:r>
    </w:p>
    <w:p>
      <w:pPr>
        <w:pStyle w:val="15Paragraph"/>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供应商对供应链安全管理责任落实不到位，造成安全事件或产生不良影响的，采购人按照法律法规及合同约定进行处理。</w:t>
      </w:r>
    </w:p>
    <w:p>
      <w:pPr>
        <w:pStyle w:val="16Paragraph"/>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28"/>
          <w:szCs w:val="28"/>
        </w:rPr>
        <w:t>一、厂商及人员安全管理需求</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1.供应链厂商和人员要遵守国家网络安全政策法规和税务机关各项网络安全规章制度情况，供应链厂商要与税务机关签订《厂商网络安全承诺书》，向税务机关提交供应链厂商人员的《个人网络安全承诺书》及《无犯罪记录证明》。</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2.供应链厂商要配合税务机关对涉及税务机关税务信息化项目（以下简称项目）的人员做好背景审查。</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3.供应链厂商要定期对聘用离职税务人员情况进行排查，建立相关资料档案，确保人员安全可信。</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4.供应链厂商要建立网络安全负责人制度，并配备一名具备独立决策能力并保持相对稳定的负责人，在项目实施的全过程负责网络安全和数据安全工作，组织落实各项网络安全和数据安全要求。</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5.供应链厂商在项目实施前，要对参与人员开展网络和数据安全法律法规、安全技能、保密常识等方面的教育培训并考核合格；在项目开展期间，供应链厂商要定期开展相关培训、考核及警示教育，供应链厂商要通过教育培训不断提高厂商人员的网络和数据安全意识及保密意识。供应链厂商要对在项目开展期间离开涉及税务项目的人员进行离项审计。</w:t>
      </w:r>
    </w:p>
    <w:p>
      <w:pPr>
        <w:pStyle w:val="17"/>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6.供应链厂商要及时向税务机关报告可能发生影响网络安全的重大事项，包括负责人及重要工作人员变更、业务转型、合并重组、投资并购等。</w:t>
      </w:r>
    </w:p>
    <w:p>
      <w:pPr>
        <w:pStyle w:val="17"/>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7.供应链厂商要在项目启动前向税务机关提供基于项目场景的供应链《安全事件应急响应预案》，明确相关职责和应急处置流程；供应链厂商每年要向税务机关报送《供应链厂商应急演练记录》，确保快速有效处置供应链安全事件。</w:t>
      </w:r>
    </w:p>
    <w:p>
      <w:pPr>
        <w:pStyle w:val="16Paragraph"/>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8.供应链厂商及人员要严格遵守采购合同、协议、承诺书等文件中的安全相关条款。</w:t>
      </w:r>
    </w:p>
    <w:p>
      <w:pPr>
        <w:pStyle w:val="16Paragraph"/>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9.供应链厂商要对关键信息基础设施和重要信息系统进行自查，不利用提供产品和服务的便利条件非法获取数据、非法控制和操纵设备，不中断产品供应或必要的技术支持服务等。</w:t>
      </w:r>
    </w:p>
    <w:p>
      <w:pPr>
        <w:pStyle w:val="16Paragraph"/>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10.供应链厂商要加强人员违规违纪管理，对违规违纪行为按签订合同、协议、承诺书等相关条款进行处理，建立《违规违纪管理档案表》。对涉嫌违法犯罪的人员，要主动依照相应法律法规移交有关部门处理。</w:t>
      </w:r>
    </w:p>
    <w:p>
      <w:pPr>
        <w:pStyle w:val="17"/>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11.供应链厂商要严格落实风险控制、审计巡查、应急处置等方面的工作要求，确保系统安全稳定运行。供应链厂商要按着各项要求，撰写《年度供应链安全自查报告》并提交税务机关。</w:t>
      </w:r>
    </w:p>
    <w:p>
      <w:pPr>
        <w:pStyle w:val="16Paragraph"/>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28"/>
          <w:szCs w:val="28"/>
        </w:rPr>
        <w:t>二、进驻税务机关办公安全管理需求</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1.供应链厂商要加强驻场办公人员在日常工作中的行为安全管理，严格遵守运维场地管理规定及税务机关基础设施（机房）管理制度。</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2.驻场办公人员进驻运维场地期间不得携带个人电脑、个人存储介质（U盘）、未授权软件安装包等工具。</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3.驻场办公人员未经授权不允许访问、维护、维修基础设施。</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4.驻场办公人员严禁私自使用运维终端打印及刻录输出数据。</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5.驻场办公人员不得向第三方提供基础设施、场地设计图、设备部署图等有关信息。</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6.驻场办公人员使用的终端必须安装防病毒软件，定期开展终端病毒查杀，并形成病毒查杀文档。</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7.驻场办公人员不得将工作数据、工作内容、工作环境等任何与工作有关的信息传播至QQ、微信或任何与工作无关的地方。</w:t>
      </w:r>
    </w:p>
    <w:p>
      <w:pPr>
        <w:pStyle w:val="16Paragraph"/>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28"/>
          <w:szCs w:val="28"/>
        </w:rPr>
        <w:t>三、开发建设安全管理需求</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1.供应链厂商的软件研发工作场所需安全可控可信，要搭建专用的开发测试环境，配置安全可信的开发管理工具，设置可靠的权限管理策略，确保项目研发安全可控。</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2.供应链厂商在税务机关提供场所开展软件开发测试工作时，网络安全负责人要严格管理本单位人员，严禁供应链厂商人员使用自带电脑和移动存储介质，严禁私自变更办公场所和办公设备，严禁安装非必要的应用程序和组件，严禁擅自复制、使用和修改文档、数据以及其他开发测试资料。</w:t>
      </w:r>
    </w:p>
    <w:p>
      <w:pPr>
        <w:pStyle w:val="16Paragraph"/>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3.供应链厂商要加强对提供的项目所涉软、硬件产品及服务的管理，产品及服务必须满足国家认可的网络安全规范和认证要求，供应链清单内的产品要具备销售许可证，定制开发软件必须开展网络安全“三同步”测评。采用源代码安全审计、开源组件安全检测、软件安全性深度测试等技术手段，对相关产品开展安全检查和技术检测，对存在的问题进行整改，最大限度消除风险隐患，并形成《供应链产品检查清单》，提交至税务机关。</w:t>
      </w:r>
    </w:p>
    <w:p>
      <w:pPr>
        <w:pStyle w:val="17"/>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4.供应链厂商对项目使用的重要供应链产品要定期核查，形成《供应链产品清单》。</w:t>
      </w:r>
    </w:p>
    <w:p>
      <w:pPr>
        <w:pStyle w:val="17"/>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5.供应链厂商要加强对引入的第三方组件的管理，配合税务机关做好安全风险评估、漏洞扫描，做好漏洞评估、漏洞修复和版本升级工作，形成《第三方组件清单》（可以将第三方组件内容加入《供应链产品清单》）和《安全风险分析报告》，及时更新第三方组件相关信息并报送税务机关，采取有效措施保障第三方组件安全。</w:t>
      </w:r>
    </w:p>
    <w:p>
      <w:pPr>
        <w:pStyle w:val="17"/>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6.供应链厂商禁止使用存在高安全风险隐患或已停止维护的第三方组件。</w:t>
      </w:r>
    </w:p>
    <w:p>
      <w:pPr>
        <w:pStyle w:val="17"/>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7.供应链厂商在产品中如使用了开源代码，应确保其符合开源许可协议要求。供应链厂商自行开发且多项目共用的基础框架及组件，一并参照管理。</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8.供应链厂商在项目开发建设时，要配置独立的、与互联网隔离的内部代码管理平台,并开展安全审查。严禁将源代码上传第三方平台，严禁使用互联网代码托管平台。</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9.供应链厂商在项目开发建设时，要搭建具备权限管控功能的统一版本控制系统，将全部源代码纳入管理，并制定安全编码规范，严禁开发人员未经授权或越权访问和违规开发。</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10.供应链厂商要开展源代码安全自查工作，设置专用代码审计场所，采用工具与人工核查相结合的方式开展工作，形成《源代码审计报告》提交税务机关。审计过程要确保源代码不外泄，对审计中发现的问题要及时解决。</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11.供应链厂商需要税务机关提供用于测试的脱敏数据时，应明确脱敏字段需求，要规范测试数据使用权限，切断数据拷出途径，确保测试数据安全。</w:t>
      </w:r>
    </w:p>
    <w:p>
      <w:pPr>
        <w:pStyle w:val="16Paragraph"/>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28"/>
          <w:szCs w:val="28"/>
        </w:rPr>
        <w:t>12.供应链厂商要按照“三同步”工作要求，在应用系统开发上线前将《供应链产品清单》、《第三方组件使用清单》、《源代码审计报告》等相关内容，汇总至系统安全“三同步”材料一并提交税务机关审核，要从开发设计环节即全面落实安全管理要求。</w:t>
      </w:r>
    </w:p>
    <w:p>
      <w:pPr>
        <w:pStyle w:val="16Paragraph"/>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28"/>
          <w:szCs w:val="28"/>
        </w:rPr>
        <w:t>四、日常运维安全管理需求</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1.供应链厂商人员开展工作所需的各类账户，要依据税务系统税费数据查询账号权限管理要求，按照最小化授权的原则，向税务机关提前申请，获得批准后方能使用，供应链厂商不得申请超出工作所需范围的账号权限。账户要采用实名制管理，准确填写厂商、姓名等基本信息，人员与账户一一对应，严禁用他人账户进行数据维护，严禁运维账户存在“一人多户”或“一户多人”情况。</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2.供应链厂商要加强数据安全管理，规范供应链厂商人员的日常运维工作，不得擅自访问、修改或删除税费数据，严禁将生产环境的真实税费数据导入测试环境，测试系统中不能留有真实税费数据</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3.供应链厂商及人员需要导出数据时要经过审批且符合规定，严禁私自导出数据。</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4.供应链厂商及人员不得私自截留涉税相关数据，不得变更用途、用法，不得公开、转让或向第三方提供。</w:t>
      </w:r>
    </w:p>
    <w:p>
      <w:pPr>
        <w:pStyle w:val="16Paragraph"/>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28"/>
          <w:szCs w:val="28"/>
        </w:rPr>
        <w:t>5.供应链厂商要及时发现风险隐患，对发现的网络安全漏洞、缺陷、数据泄露或其他重大网络安全风险，及时向税务机关报告，不得公开或向第三方提供。</w:t>
      </w:r>
    </w:p>
    <w:p>
      <w:pPr>
        <w:pStyle w:val="15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6.供应链厂商要定期检查所使用产品及第三方组件，存在高危漏洞的应及时通过限制访问、更新补丁、版本升级、设备防护等措施进行加固处置；对于停止维护的产品及第三方组件，要评估是否存在高危漏洞，如存在无法修复的高危漏洞，要升级版本或更换产品及第三方组件。</w:t>
      </w:r>
    </w:p>
    <w:p>
      <w:pPr>
        <w:pStyle w:val="Heading30"/>
        <w:keepNext w:val="0"/>
        <w:spacing w:before="0" w:after="0" w:line="360" w:lineRule="auto"/>
        <w:rPr>
          <w:rFonts w:ascii="仿宋_GB2312" w:eastAsia="仿宋_GB2312" w:hAnsi="仿宋_GB2312" w:cs="仿宋_GB2312"/>
          <w:b/>
          <w:bCs/>
          <w:sz w:val="28"/>
          <w:szCs w:val="28"/>
        </w:rPr>
      </w:pPr>
      <w:bookmarkStart w:id="47" w:name="_Toc256000043"/>
      <w:r>
        <w:rPr>
          <w:rFonts w:ascii="仿宋_GB2312" w:eastAsia="仿宋_GB2312" w:hAnsi="仿宋_GB2312" w:cs="仿宋_GB2312"/>
          <w:sz w:val="28"/>
          <w:szCs w:val="28"/>
        </w:rPr>
        <w:t>8.1.4★信息化服务运维人员要求</w:t>
      </w:r>
      <w:bookmarkEnd w:id="47"/>
    </w:p>
    <w:p>
      <w:pPr>
        <w:pStyle w:val="15Paragraph"/>
        <w:spacing w:before="0" w:after="0" w:line="360" w:lineRule="auto"/>
        <w:ind w:left="0" w:right="0" w:firstLine="561"/>
        <w:rPr>
          <w:rFonts w:ascii="Times New Roman" w:eastAsia="Times New Roman" w:hAnsi="Times New Roman" w:cs="Times New Roman"/>
        </w:rPr>
      </w:pPr>
      <w:r>
        <w:rPr>
          <w:rFonts w:ascii="仿宋_GB2312" w:eastAsia="仿宋_GB2312" w:hAnsi="仿宋_GB2312" w:cs="仿宋_GB2312"/>
          <w:sz w:val="28"/>
          <w:szCs w:val="28"/>
        </w:rPr>
        <w:t>本项目涉及信息化服务运维人员的，运维人员应当是运维单位的正式人员，或者是与运维单位签订</w:t>
      </w:r>
      <w:r>
        <w:rPr>
          <w:rFonts w:ascii="仿宋_GB2312" w:eastAsia="仿宋_GB2312" w:hAnsi="仿宋_GB2312" w:cs="仿宋_GB2312"/>
          <w:sz w:val="28"/>
          <w:szCs w:val="28"/>
        </w:rPr>
        <w:t>1年以上劳动合同且实际工作满1年的人员，常驻运维人员应当为技术骨干。</w:t>
      </w:r>
    </w:p>
    <w:p>
      <w:pPr>
        <w:pStyle w:val="15Paragraph"/>
        <w:spacing w:before="0" w:after="0" w:line="360" w:lineRule="auto"/>
        <w:ind w:left="0" w:right="0"/>
        <w:rPr>
          <w:rFonts w:ascii="Times New Roman" w:eastAsia="Times New Roman" w:hAnsi="Times New Roman" w:cs="Times New Roman"/>
        </w:rPr>
      </w:pPr>
      <w:r>
        <w:rPr>
          <w:rFonts w:ascii="FangSong_GB2312" w:eastAsia="FangSong_GB2312" w:hAnsi="FangSong_GB2312" w:cs="FangSong_GB2312"/>
          <w:sz w:val="28"/>
          <w:szCs w:val="28"/>
        </w:rPr>
        <w:t>    驻场运维人员不得在同一服务期内为两个或以上信息化项目提供驻场运维服务。</w:t>
      </w:r>
    </w:p>
    <w:p>
      <w:pPr>
        <w:pStyle w:val="Heading30"/>
        <w:keepNext w:val="0"/>
        <w:spacing w:before="0" w:after="0" w:line="360" w:lineRule="auto"/>
        <w:rPr>
          <w:rFonts w:ascii="仿宋_GB2312" w:eastAsia="仿宋_GB2312" w:hAnsi="仿宋_GB2312" w:cs="仿宋_GB2312"/>
          <w:b/>
          <w:bCs/>
          <w:sz w:val="28"/>
          <w:szCs w:val="28"/>
        </w:rPr>
      </w:pPr>
      <w:bookmarkStart w:id="48" w:name="_Toc256000044"/>
      <w:r>
        <w:rPr>
          <w:rFonts w:ascii="仿宋_GB2312" w:eastAsia="仿宋_GB2312" w:hAnsi="仿宋_GB2312" w:cs="仿宋_GB2312"/>
          <w:sz w:val="28"/>
          <w:szCs w:val="28"/>
        </w:rPr>
        <w:t>8.1.5★税收信息化服务商廉政要求</w:t>
      </w:r>
      <w:bookmarkEnd w:id="48"/>
    </w:p>
    <w:p>
      <w:pPr>
        <w:pStyle w:val="16Paragraph"/>
        <w:spacing w:before="0" w:after="0" w:line="360" w:lineRule="auto"/>
        <w:ind w:left="0" w:right="0"/>
        <w:jc w:val="center"/>
        <w:rPr>
          <w:rFonts w:ascii="Times New Roman" w:eastAsia="Times New Roman" w:hAnsi="Times New Roman" w:cs="Times New Roman"/>
        </w:rPr>
      </w:pPr>
      <w:r>
        <w:rPr>
          <w:rFonts w:ascii="方正小标宋简体" w:eastAsia="方正小标宋简体" w:hAnsi="方正小标宋简体" w:cs="方正小标宋简体"/>
          <w:sz w:val="32"/>
          <w:szCs w:val="32"/>
        </w:rPr>
        <w:t> </w:t>
      </w:r>
      <w:r>
        <w:rPr>
          <w:rFonts w:ascii="仿宋_GB2312" w:eastAsia="仿宋_GB2312" w:hAnsi="仿宋_GB2312" w:cs="仿宋_GB2312"/>
          <w:sz w:val="28"/>
          <w:szCs w:val="28"/>
        </w:rPr>
        <w:t>（1）税务信息化服务商廉政相关要求</w:t>
      </w:r>
    </w:p>
    <w:p>
      <w:pPr>
        <w:pStyle w:val="16Paragraph"/>
        <w:spacing w:before="0" w:after="0" w:line="360" w:lineRule="auto"/>
        <w:ind w:left="0" w:right="0" w:firstLine="480"/>
        <w:textAlignment w:val="baseline"/>
        <w:rPr>
          <w:rFonts w:ascii="Times New Roman" w:eastAsia="Times New Roman" w:hAnsi="Times New Roman" w:cs="Times New Roman"/>
        </w:rPr>
      </w:pPr>
      <w:r>
        <w:rPr>
          <w:rFonts w:ascii="仿宋_GB2312" w:eastAsia="仿宋_GB2312" w:hAnsi="仿宋_GB2312" w:cs="仿宋_GB2312"/>
          <w:sz w:val="28"/>
          <w:szCs w:val="28"/>
        </w:rPr>
        <w:t> 为进一步落实全面从严治党要求，构建亲清新型政商关系，加强税务信息化项目建设过程中的党风廉政建设和反腐败工作，确保项目建设规范、廉洁推进，中标人</w:t>
      </w:r>
      <w:r>
        <w:rPr>
          <w:rFonts w:ascii="仿宋_GB2312" w:eastAsia="仿宋_GB2312" w:hAnsi="仿宋_GB2312" w:cs="仿宋_GB2312"/>
          <w:spacing w:val="0"/>
          <w:sz w:val="28"/>
          <w:szCs w:val="28"/>
        </w:rPr>
        <w:t>在参与</w:t>
      </w:r>
      <w:r>
        <w:rPr>
          <w:rFonts w:ascii="仿宋_GB2312" w:eastAsia="仿宋_GB2312" w:hAnsi="仿宋_GB2312" w:cs="仿宋_GB2312"/>
          <w:sz w:val="28"/>
          <w:szCs w:val="28"/>
        </w:rPr>
        <w:t>税务部门信息化项目工作过程中，需严格遵守法律法规、规范履行合同</w:t>
      </w:r>
      <w:r>
        <w:rPr>
          <w:rFonts w:ascii="仿宋_GB2312" w:eastAsia="仿宋_GB2312" w:hAnsi="仿宋_GB2312" w:cs="仿宋_GB2312"/>
          <w:spacing w:val="0"/>
          <w:sz w:val="28"/>
          <w:szCs w:val="28"/>
        </w:rPr>
        <w:t>，积极协助税务部门开</w:t>
      </w:r>
      <w:r>
        <w:rPr>
          <w:rFonts w:ascii="仿宋_GB2312" w:eastAsia="仿宋_GB2312" w:hAnsi="仿宋_GB2312" w:cs="仿宋_GB2312"/>
          <w:sz w:val="28"/>
          <w:szCs w:val="28"/>
        </w:rPr>
        <w:t>展廉政风险防控工作。请严格遵守并落实如下要求：</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一、积极发挥廉政风险防控正向作用。中标人有义务配合税务部门在信息化项目工作中加强廉政风险防控，执行有关措施。</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二、健全廉政风险防控机制。中标人有责任在项目管理机制中健全内部廉政防控措施，包括但不限于：对参与本项目的员工提出廉洁行为规范；指定专人对项目实施各环节进行廉政监督；在项目验收过程中提交本项目廉政情况报告等。</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三、杜绝违纪违法行为。中标人及相关项目人员必须严格遵守党纪国法，坚守职业道德，杜绝任何形式的利益输送、权力寻租等违纪违法行为，对甲方工作人员不得实施以下行为:</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（一）以各种形式和名义提供礼品、礼金、电子红包、支付凭证、商业预付卡、名贵特产、有价证券、股权、其他金融产品等财物。</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（二）以各种形式和名义提供宴请、旅游、健身、娱乐、私人会所等活动安排；代付加班餐费、打车费等。</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（三）以讲课费、咨询费等名义，提供或变相提供报酬。</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（四）借款、借房、借车，报销应由个人负担的费用。</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（五）以无偿、象征性地收取费用等方式提供家政、司机等服务劳务。</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（六）其他通过任何形式行贿或输送利益的行为。</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四、信守承诺。中标人应承诺在项目实施过程中，严格遵守国家法律法规合法、诚信经营，杜绝商业贿赂、规范经营活动、公开透明合作、严格内部管理，并签订《税务信息化项目服务商廉洁承诺书》提交甲方负责项目实施的单位。</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五、自觉接受监管。中标人有义务配合税务机关的正常业务监管以及纪检监察、外部审计、督察内审等监督机构对税务信息化项目全过程的监督检查工作，如实提供相关资料和信息，不得隐瞒、篡改或销毁与项目建设有关的文件、数据等资料。</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六、举报和反馈意见。项目执行过程中，中标人有权举报、反馈甲方索贿受贿、吃拿卡要、违反中央八项规定精神等违纪违法行为。项目验收前，应填写《税务信息化项目服务商廉政反馈书》，提交甲方税务机关网络安全和信息化领导小组办公室。</w:t>
      </w:r>
    </w:p>
    <w:p>
      <w:pPr>
        <w:pStyle w:val="16Paragraph"/>
        <w:spacing w:before="0" w:after="0" w:line="360" w:lineRule="auto"/>
        <w:ind w:left="0" w:right="0"/>
        <w:jc w:val="center"/>
        <w:rPr>
          <w:rFonts w:ascii="Times New Roman" w:eastAsia="Times New Roman" w:hAnsi="Times New Roman" w:cs="Times New Roman"/>
        </w:rPr>
      </w:pPr>
      <w:r>
        <w:rPr>
          <w:rFonts w:ascii="仿宋_GB2312" w:eastAsia="仿宋_GB2312" w:hAnsi="仿宋_GB2312" w:cs="仿宋_GB2312"/>
          <w:sz w:val="28"/>
          <w:szCs w:val="28"/>
        </w:rPr>
        <w:t>（2）税务信息化服务商廉洁承诺书</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为深入贯彻落实党中央关于全面从严治党的决策部署，进一步加强税务信息化项目合作中的廉政建设，防范廉政风险发生，确保项目公开、公平、公正推进，我司郑重承诺如下：</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一、合法合规经营。严格遵守国家法律法规及税务部门的相关规定，坚持廉洁从业、诚信经营的原则。在合作过程中不以任何形式进行利益输送，维护良好的政商关系。</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二、杜绝商业贿赂。加强内部管理，我司及我司员工均不对甲方工作人员实施以下行为：</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（一）以各种形式和名义提供礼品、礼金、电子红包、支付凭证、商业预付卡、名贵特产、有价证券、股权、其他金融产品等财物。</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（二）以各种形式和名义提供宴请、旅游、健身、娱乐、私人会所等活动安排；代付加班餐费、打车费等。</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（三）以讲课费、咨询费等名义，提供或变相提供报酬。</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（四）借款、借房、借车，报销应由个人负担的费用。</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（五）以无偿、象征性地收取费用等方式提供家政、司机等服务劳务。</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（六）其他通过任何形式行贿或输送利益的行为。</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三、规范经营活动。严格按照合同约定履行义务，保证项目质量，按时完成建设任务；在合作过程中不以任何借口拖延工期、虚报成本或谋取私利。</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四、公开透明合作。我司承诺在项目实施过程中保持公开透明，主动接受税务部门及纪检监察机构的全程监督，并积极配合任何有关廉洁从业的调查工作。</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五、严格内部管理。加强企业内部廉洁教育，确保员工知晓并遵守相关法律法规及廉洁要求；加强项目实施全过程廉洁监督；对于违反廉洁承诺的员工，将严肃处理，并承担相应责任。</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六、积极参与监督。在税务信息化项目实施过程中，如发现任何违纪违法行为，将如实反馈问题和意见。</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承诺单位（盖章）：________________________</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法定代表人或授权代表签字：_______________</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日期：XX年XX月XX日</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备注：本承诺书一式两份，一份由承诺单位留存，另一份交税务部门备案。</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项目终验前提交《税务信息化项目服务商廉政反馈书》</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w:t>
      </w:r>
    </w:p>
    <w:p>
      <w:pPr>
        <w:pStyle w:val="16Paragraph"/>
        <w:spacing w:before="0" w:after="0" w:line="360" w:lineRule="auto"/>
        <w:ind w:left="0" w:right="0"/>
        <w:jc w:val="center"/>
        <w:rPr>
          <w:rFonts w:ascii="Times New Roman" w:eastAsia="Times New Roman" w:hAnsi="Times New Roman" w:cs="Times New Roman"/>
        </w:rPr>
      </w:pPr>
      <w:r>
        <w:rPr>
          <w:rFonts w:ascii="仿宋_GB2312" w:eastAsia="仿宋_GB2312" w:hAnsi="仿宋_GB2312" w:cs="仿宋_GB2312"/>
          <w:sz w:val="28"/>
          <w:szCs w:val="28"/>
        </w:rPr>
        <w:t>（3）税务信息化廉政情况反馈书</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w:t>
      </w:r>
    </w:p>
    <w:p>
      <w:pPr>
        <w:pStyle w:val="16Paragraph"/>
        <w:spacing w:before="0" w:after="0" w:line="360" w:lineRule="auto"/>
        <w:ind w:left="0" w:right="0" w:firstLine="712"/>
        <w:jc w:val="center"/>
        <w:textAlignment w:val="baseline"/>
        <w:rPr>
          <w:rFonts w:ascii="Times New Roman" w:eastAsia="Times New Roman" w:hAnsi="Times New Roman" w:cs="Times New Roman"/>
        </w:rPr>
      </w:pPr>
      <w:r>
        <w:rPr>
          <w:rFonts w:ascii="仿宋_GB2312" w:eastAsia="仿宋_GB2312" w:hAnsi="仿宋_GB2312" w:cs="仿宋_GB2312"/>
          <w:sz w:val="28"/>
          <w:szCs w:val="28"/>
        </w:rPr>
        <w:t> </w:t>
      </w:r>
    </w:p>
    <w:tbl>
      <w:tblPr>
        <w:tblStyle w:val="MsoNormalTable"/>
        <w:tblW w:w="7956" w:type="dxa"/>
        <w:tblCellSpacing w:w="0" w:type="dxa"/>
        <w:tblInd w:w="721" w:type="dxa"/>
        <w:tblCellMar>
          <w:top w:w="15" w:type="dxa"/>
          <w:left w:w="15" w:type="dxa"/>
          <w:bottom w:w="15" w:type="dxa"/>
          <w:right w:w="15" w:type="dxa"/>
        </w:tblCellMar>
        <w:tblLook w:val="05E0"/>
      </w:tblPr>
      <w:tblGrid>
        <w:gridCol w:w="2814"/>
        <w:gridCol w:w="5827"/>
      </w:tblGrid>
      <w:tr>
        <w:tblPrEx>
          <w:tblW w:w="7956" w:type="dxa"/>
          <w:tblCellSpacing w:w="0" w:type="dxa"/>
          <w:tblInd w:w="721" w:type="dxa"/>
          <w:tblCellMar>
            <w:top w:w="15" w:type="dxa"/>
            <w:left w:w="15" w:type="dxa"/>
            <w:bottom w:w="15" w:type="dxa"/>
            <w:right w:w="15" w:type="dxa"/>
          </w:tblCellMar>
          <w:tblLook w:val="05E0"/>
        </w:tblPrEx>
        <w:trPr>
          <w:trHeight w:val="660"/>
          <w:tblCellSpacing w:w="0" w:type="dxa"/>
        </w:trPr>
        <w:tc>
          <w:tcPr>
            <w:tcW w:w="8648" w:type="dxa"/>
            <w:gridSpan w:val="2"/>
            <w:tcBorders>
              <w:top w:val="single" w:sz="8" w:space="0" w:color="000000"/>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Paragraph"/>
              <w:spacing w:before="0" w:after="0" w:line="580" w:lineRule="atLeast"/>
              <w:ind w:left="0" w:right="0" w:firstLine="63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8"/>
                <w:szCs w:val="28"/>
              </w:rPr>
              <w:t>项目基本情况</w:t>
            </w:r>
          </w:p>
        </w:tc>
      </w:tr>
      <w:tr>
        <w:tblPrEx>
          <w:tblW w:w="7956" w:type="dxa"/>
          <w:tblCellSpacing w:w="0" w:type="dxa"/>
          <w:tblInd w:w="721" w:type="dxa"/>
          <w:tblCellMar>
            <w:top w:w="15" w:type="dxa"/>
            <w:left w:w="15" w:type="dxa"/>
            <w:bottom w:w="15" w:type="dxa"/>
            <w:right w:w="15" w:type="dxa"/>
          </w:tblCellMar>
          <w:tblLook w:val="05E0"/>
        </w:tblPrEx>
        <w:trPr>
          <w:trHeight w:val="469"/>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Paragraph"/>
              <w:spacing w:before="0" w:after="0" w:line="580" w:lineRule="atLeast"/>
              <w:ind w:left="0" w:right="0"/>
              <w:jc w:val="both"/>
              <w:textAlignment w:val="center"/>
              <w:rPr>
                <w:b w:val="0"/>
                <w:bCs w:val="0"/>
                <w:i w:val="0"/>
                <w:iCs w:val="0"/>
                <w:smallCaps w:val="0"/>
                <w:color w:val="000000"/>
                <w:sz w:val="20"/>
                <w:szCs w:val="20"/>
              </w:rPr>
            </w:pPr>
            <w:r>
              <w:rPr>
                <w:rStyle w:val="16"/>
                <w:rFonts w:ascii="仿宋_GB2312" w:eastAsia="仿宋_GB2312" w:hAnsi="仿宋_GB2312" w:cs="仿宋_GB2312"/>
                <w:b/>
                <w:bCs/>
                <w:i w:val="0"/>
                <w:iCs w:val="0"/>
                <w:smallCaps w:val="0"/>
                <w:color w:val="333333"/>
                <w:sz w:val="28"/>
                <w:szCs w:val="28"/>
              </w:rPr>
              <w:t>项目名称（编号）</w:t>
            </w:r>
          </w:p>
        </w:tc>
        <w:tc>
          <w:tcPr>
            <w:tcW w:w="5748" w:type="dxa"/>
            <w:tcBorders>
              <w:top w:val="single" w:sz="8" w:space="0" w:color="000000"/>
              <w:bottom w:val="single" w:sz="8" w:space="0" w:color="000000"/>
              <w:right w:val="single" w:sz="8" w:space="0" w:color="000000"/>
            </w:tcBorders>
            <w:noWrap w:val="0"/>
            <w:tcMar>
              <w:top w:w="0" w:type="dxa"/>
              <w:left w:w="108" w:type="dxa"/>
              <w:bottom w:w="0" w:type="dxa"/>
              <w:right w:w="168" w:type="dxa"/>
            </w:tcMar>
            <w:vAlign w:val="center"/>
            <w:hideMark/>
          </w:tcPr>
          <w:p>
            <w:pPr>
              <w:pStyle w:val="16Paragraph"/>
              <w:spacing w:before="0" w:after="0" w:line="580" w:lineRule="atLeast"/>
              <w:ind w:left="0" w:right="0" w:firstLine="47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333333"/>
                <w:sz w:val="28"/>
                <w:szCs w:val="28"/>
              </w:rPr>
              <w:t>XXX税务信息化项目  项目编号</w:t>
            </w:r>
          </w:p>
        </w:tc>
      </w:tr>
      <w:tr>
        <w:tblPrEx>
          <w:tblW w:w="7956" w:type="dxa"/>
          <w:tblCellSpacing w:w="0" w:type="dxa"/>
          <w:tblInd w:w="721" w:type="dxa"/>
          <w:tblCellMar>
            <w:top w:w="15" w:type="dxa"/>
            <w:left w:w="15" w:type="dxa"/>
            <w:bottom w:w="15" w:type="dxa"/>
            <w:right w:w="15" w:type="dxa"/>
          </w:tblCellMar>
          <w:tblLook w:val="05E0"/>
        </w:tblPrEx>
        <w:trPr>
          <w:trHeight w:val="469"/>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Paragraph"/>
              <w:spacing w:before="0" w:after="0" w:line="580" w:lineRule="atLeast"/>
              <w:ind w:left="0" w:right="0"/>
              <w:jc w:val="both"/>
              <w:textAlignment w:val="center"/>
              <w:rPr>
                <w:b w:val="0"/>
                <w:bCs w:val="0"/>
                <w:i w:val="0"/>
                <w:iCs w:val="0"/>
                <w:smallCaps w:val="0"/>
                <w:color w:val="000000"/>
                <w:sz w:val="20"/>
                <w:szCs w:val="20"/>
              </w:rPr>
            </w:pPr>
            <w:r>
              <w:rPr>
                <w:rStyle w:val="16"/>
                <w:rFonts w:ascii="仿宋_GB2312" w:eastAsia="仿宋_GB2312" w:hAnsi="仿宋_GB2312" w:cs="仿宋_GB2312"/>
                <w:b/>
                <w:bCs/>
                <w:i w:val="0"/>
                <w:iCs w:val="0"/>
                <w:smallCaps w:val="0"/>
                <w:color w:val="000000"/>
                <w:sz w:val="28"/>
                <w:szCs w:val="28"/>
              </w:rPr>
              <w:t>服务商名称</w:t>
            </w:r>
          </w:p>
        </w:tc>
        <w:tc>
          <w:tcPr>
            <w:tcW w:w="5748"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Paragraph"/>
              <w:spacing w:before="0" w:after="0" w:line="580" w:lineRule="atLeast"/>
              <w:ind w:left="0" w:right="0" w:firstLine="47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8"/>
                <w:szCs w:val="28"/>
              </w:rPr>
              <w:t>XXX公司</w:t>
            </w:r>
          </w:p>
        </w:tc>
      </w:tr>
      <w:tr>
        <w:tblPrEx>
          <w:tblW w:w="7956" w:type="dxa"/>
          <w:tblCellSpacing w:w="0" w:type="dxa"/>
          <w:tblInd w:w="721" w:type="dxa"/>
          <w:tblCellMar>
            <w:top w:w="15" w:type="dxa"/>
            <w:left w:w="15" w:type="dxa"/>
            <w:bottom w:w="15" w:type="dxa"/>
            <w:right w:w="15" w:type="dxa"/>
          </w:tblCellMar>
          <w:tblLook w:val="05E0"/>
        </w:tblPrEx>
        <w:trPr>
          <w:trHeight w:val="469"/>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Paragraph"/>
              <w:spacing w:before="0" w:after="0" w:line="580" w:lineRule="atLeast"/>
              <w:ind w:left="0" w:right="0"/>
              <w:jc w:val="both"/>
              <w:textAlignment w:val="center"/>
              <w:rPr>
                <w:b w:val="0"/>
                <w:bCs w:val="0"/>
                <w:i w:val="0"/>
                <w:iCs w:val="0"/>
                <w:smallCaps w:val="0"/>
                <w:color w:val="000000"/>
                <w:sz w:val="20"/>
                <w:szCs w:val="20"/>
              </w:rPr>
            </w:pPr>
            <w:r>
              <w:rPr>
                <w:rStyle w:val="16"/>
                <w:rFonts w:ascii="仿宋_GB2312" w:eastAsia="仿宋_GB2312" w:hAnsi="仿宋_GB2312" w:cs="仿宋_GB2312"/>
                <w:b/>
                <w:bCs/>
                <w:i w:val="0"/>
                <w:iCs w:val="0"/>
                <w:smallCaps w:val="0"/>
                <w:color w:val="000000"/>
                <w:sz w:val="28"/>
                <w:szCs w:val="28"/>
              </w:rPr>
              <w:t>联系人及电话</w:t>
            </w:r>
          </w:p>
        </w:tc>
        <w:tc>
          <w:tcPr>
            <w:tcW w:w="5748"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Paragraph"/>
              <w:spacing w:before="0" w:after="0" w:line="580" w:lineRule="atLeast"/>
              <w:ind w:left="0" w:right="0" w:firstLine="47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8"/>
                <w:szCs w:val="28"/>
              </w:rPr>
              <w:t>联系人：  职务：   电话：123-4567890</w:t>
            </w:r>
          </w:p>
        </w:tc>
      </w:tr>
      <w:tr>
        <w:tblPrEx>
          <w:tblW w:w="7956" w:type="dxa"/>
          <w:tblCellSpacing w:w="0" w:type="dxa"/>
          <w:tblInd w:w="721" w:type="dxa"/>
          <w:tblCellMar>
            <w:top w:w="15" w:type="dxa"/>
            <w:left w:w="15" w:type="dxa"/>
            <w:bottom w:w="15" w:type="dxa"/>
            <w:right w:w="15" w:type="dxa"/>
          </w:tblCellMar>
          <w:tblLook w:val="05E0"/>
        </w:tblPrEx>
        <w:trPr>
          <w:trHeight w:val="469"/>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Paragraph"/>
              <w:spacing w:before="0" w:after="0" w:line="580" w:lineRule="atLeast"/>
              <w:ind w:left="0" w:right="0"/>
              <w:jc w:val="both"/>
              <w:textAlignment w:val="center"/>
              <w:rPr>
                <w:b w:val="0"/>
                <w:bCs w:val="0"/>
                <w:i w:val="0"/>
                <w:iCs w:val="0"/>
                <w:smallCaps w:val="0"/>
                <w:color w:val="000000"/>
                <w:sz w:val="20"/>
                <w:szCs w:val="20"/>
              </w:rPr>
            </w:pPr>
            <w:r>
              <w:rPr>
                <w:rStyle w:val="16"/>
                <w:rFonts w:ascii="仿宋_GB2312" w:eastAsia="仿宋_GB2312" w:hAnsi="仿宋_GB2312" w:cs="仿宋_GB2312"/>
                <w:b/>
                <w:bCs/>
                <w:i w:val="0"/>
                <w:iCs w:val="0"/>
                <w:smallCaps w:val="0"/>
                <w:color w:val="000000"/>
                <w:sz w:val="28"/>
                <w:szCs w:val="28"/>
              </w:rPr>
              <w:t>项目情况概述</w:t>
            </w:r>
          </w:p>
        </w:tc>
        <w:tc>
          <w:tcPr>
            <w:tcW w:w="5748"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Paragraph"/>
              <w:spacing w:before="0" w:after="0" w:line="580" w:lineRule="atLeast"/>
              <w:ind w:left="0" w:right="0" w:firstLine="472"/>
              <w:jc w:val="center"/>
              <w:textAlignment w:val="baseline"/>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8"/>
                <w:szCs w:val="28"/>
              </w:rPr>
              <w:t> </w:t>
            </w:r>
          </w:p>
        </w:tc>
      </w:tr>
      <w:tr>
        <w:tblPrEx>
          <w:tblW w:w="7956" w:type="dxa"/>
          <w:tblCellSpacing w:w="0" w:type="dxa"/>
          <w:tblInd w:w="721" w:type="dxa"/>
          <w:tblCellMar>
            <w:top w:w="15" w:type="dxa"/>
            <w:left w:w="15" w:type="dxa"/>
            <w:bottom w:w="15" w:type="dxa"/>
            <w:right w:w="15" w:type="dxa"/>
          </w:tblCellMar>
          <w:tblLook w:val="05E0"/>
        </w:tblPrEx>
        <w:trPr>
          <w:trHeight w:val="553"/>
          <w:tblCellSpacing w:w="0" w:type="dxa"/>
        </w:trPr>
        <w:tc>
          <w:tcPr>
            <w:tcW w:w="8648" w:type="dxa"/>
            <w:gridSpan w:val="2"/>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Paragraph"/>
              <w:spacing w:before="0" w:after="0" w:line="580" w:lineRule="atLeast"/>
              <w:ind w:left="0" w:right="0" w:firstLine="63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8"/>
                <w:szCs w:val="28"/>
              </w:rPr>
              <w:t>廉洁承诺履行情况</w:t>
            </w:r>
          </w:p>
        </w:tc>
      </w:tr>
      <w:tr>
        <w:tblPrEx>
          <w:tblW w:w="7956" w:type="dxa"/>
          <w:tblCellSpacing w:w="0" w:type="dxa"/>
          <w:tblInd w:w="721" w:type="dxa"/>
          <w:tblCellMar>
            <w:top w:w="15" w:type="dxa"/>
            <w:left w:w="15" w:type="dxa"/>
            <w:bottom w:w="15" w:type="dxa"/>
            <w:right w:w="15" w:type="dxa"/>
          </w:tblCellMar>
          <w:tblLook w:val="05E0"/>
        </w:tblPrEx>
        <w:trPr>
          <w:trHeight w:val="469"/>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Paragraph"/>
              <w:spacing w:before="0" w:after="0" w:line="580" w:lineRule="atLeast"/>
              <w:ind w:left="0" w:right="0"/>
              <w:jc w:val="both"/>
              <w:textAlignment w:val="center"/>
              <w:rPr>
                <w:b w:val="0"/>
                <w:bCs w:val="0"/>
                <w:i w:val="0"/>
                <w:iCs w:val="0"/>
                <w:smallCaps w:val="0"/>
                <w:color w:val="000000"/>
                <w:sz w:val="20"/>
                <w:szCs w:val="20"/>
              </w:rPr>
            </w:pPr>
            <w:r>
              <w:rPr>
                <w:rStyle w:val="16"/>
                <w:rFonts w:ascii="仿宋_GB2312" w:eastAsia="仿宋_GB2312" w:hAnsi="仿宋_GB2312" w:cs="仿宋_GB2312"/>
                <w:b/>
                <w:bCs/>
                <w:i w:val="0"/>
                <w:iCs w:val="0"/>
                <w:smallCaps w:val="0"/>
                <w:color w:val="333333"/>
                <w:sz w:val="28"/>
                <w:szCs w:val="28"/>
              </w:rPr>
              <w:t>反馈项</w:t>
            </w:r>
          </w:p>
        </w:tc>
        <w:tc>
          <w:tcPr>
            <w:tcW w:w="5748" w:type="dxa"/>
            <w:tcBorders>
              <w:top w:val="single" w:sz="8" w:space="0" w:color="000000"/>
              <w:bottom w:val="single" w:sz="8" w:space="0" w:color="000000"/>
              <w:right w:val="single" w:sz="8" w:space="0" w:color="000000"/>
            </w:tcBorders>
            <w:noWrap w:val="0"/>
            <w:tcMar>
              <w:top w:w="0" w:type="dxa"/>
              <w:left w:w="108" w:type="dxa"/>
              <w:bottom w:w="0" w:type="dxa"/>
              <w:right w:w="168" w:type="dxa"/>
            </w:tcMar>
            <w:vAlign w:val="center"/>
            <w:hideMark/>
          </w:tcPr>
          <w:p>
            <w:pPr>
              <w:pStyle w:val="16Paragraph"/>
              <w:spacing w:before="0" w:after="0" w:line="580" w:lineRule="atLeast"/>
              <w:ind w:left="0" w:right="0" w:firstLine="47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333333"/>
                <w:sz w:val="28"/>
                <w:szCs w:val="28"/>
              </w:rPr>
              <w:t>反馈内容</w:t>
            </w:r>
          </w:p>
        </w:tc>
      </w:tr>
      <w:tr>
        <w:tblPrEx>
          <w:tblW w:w="7956" w:type="dxa"/>
          <w:tblCellSpacing w:w="0" w:type="dxa"/>
          <w:tblInd w:w="721" w:type="dxa"/>
          <w:tblCellMar>
            <w:top w:w="15" w:type="dxa"/>
            <w:left w:w="15" w:type="dxa"/>
            <w:bottom w:w="15" w:type="dxa"/>
            <w:right w:w="15" w:type="dxa"/>
          </w:tblCellMar>
          <w:tblLook w:val="05E0"/>
        </w:tblPrEx>
        <w:trPr>
          <w:trHeight w:val="937"/>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Paragraph"/>
              <w:spacing w:before="0" w:after="0" w:line="580" w:lineRule="atLeast"/>
              <w:ind w:left="0" w:right="0"/>
              <w:jc w:val="both"/>
              <w:textAlignment w:val="center"/>
              <w:rPr>
                <w:b w:val="0"/>
                <w:bCs w:val="0"/>
                <w:i w:val="0"/>
                <w:iCs w:val="0"/>
                <w:smallCaps w:val="0"/>
                <w:color w:val="000000"/>
                <w:sz w:val="20"/>
                <w:szCs w:val="20"/>
              </w:rPr>
            </w:pPr>
            <w:r>
              <w:rPr>
                <w:rStyle w:val="16"/>
                <w:rFonts w:ascii="仿宋_GB2312" w:eastAsia="仿宋_GB2312" w:hAnsi="仿宋_GB2312" w:cs="仿宋_GB2312"/>
                <w:b/>
                <w:bCs/>
                <w:i w:val="0"/>
                <w:iCs w:val="0"/>
                <w:smallCaps w:val="0"/>
                <w:color w:val="000000"/>
                <w:sz w:val="28"/>
                <w:szCs w:val="28"/>
              </w:rPr>
              <w:t>杜绝商业贿赂</w:t>
            </w:r>
          </w:p>
        </w:tc>
        <w:tc>
          <w:tcPr>
            <w:tcW w:w="5748"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Paragraph"/>
              <w:spacing w:before="0" w:after="0" w:line="580" w:lineRule="atLeast"/>
              <w:ind w:left="0" w:right="0"/>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8"/>
                <w:szCs w:val="28"/>
              </w:rPr>
              <w:t>向税务工作人员及其家属赠送礼品、礼金或提供任何形式的宴请、娱乐活动情况。</w:t>
            </w:r>
          </w:p>
        </w:tc>
      </w:tr>
      <w:tr>
        <w:tblPrEx>
          <w:tblW w:w="7956" w:type="dxa"/>
          <w:tblCellSpacing w:w="0" w:type="dxa"/>
          <w:tblInd w:w="721" w:type="dxa"/>
          <w:tblCellMar>
            <w:top w:w="15" w:type="dxa"/>
            <w:left w:w="15" w:type="dxa"/>
            <w:bottom w:w="15" w:type="dxa"/>
            <w:right w:w="15" w:type="dxa"/>
          </w:tblCellMar>
          <w:tblLook w:val="05E0"/>
        </w:tblPrEx>
        <w:trPr>
          <w:trHeight w:val="469"/>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Paragraph"/>
              <w:spacing w:before="0" w:after="0" w:line="580" w:lineRule="atLeast"/>
              <w:ind w:left="0" w:right="0"/>
              <w:jc w:val="both"/>
              <w:textAlignment w:val="center"/>
              <w:rPr>
                <w:b w:val="0"/>
                <w:bCs w:val="0"/>
                <w:i w:val="0"/>
                <w:iCs w:val="0"/>
                <w:smallCaps w:val="0"/>
                <w:color w:val="000000"/>
                <w:sz w:val="20"/>
                <w:szCs w:val="20"/>
              </w:rPr>
            </w:pPr>
            <w:r>
              <w:rPr>
                <w:rStyle w:val="16"/>
                <w:rFonts w:ascii="仿宋_GB2312" w:eastAsia="仿宋_GB2312" w:hAnsi="仿宋_GB2312" w:cs="仿宋_GB2312"/>
                <w:b/>
                <w:bCs/>
                <w:i w:val="0"/>
                <w:iCs w:val="0"/>
                <w:smallCaps w:val="0"/>
                <w:color w:val="000000"/>
                <w:sz w:val="28"/>
                <w:szCs w:val="28"/>
              </w:rPr>
              <w:t>规范经营活动</w:t>
            </w:r>
          </w:p>
        </w:tc>
        <w:tc>
          <w:tcPr>
            <w:tcW w:w="5748"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Paragraph"/>
              <w:spacing w:before="0" w:after="0" w:line="580" w:lineRule="atLeast"/>
              <w:ind w:left="0" w:right="0"/>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8"/>
                <w:szCs w:val="28"/>
              </w:rPr>
              <w:t>按照合同要求，按时完成各阶段任务，确保项目质量和进度情况。</w:t>
            </w:r>
          </w:p>
        </w:tc>
      </w:tr>
      <w:tr>
        <w:tblPrEx>
          <w:tblW w:w="7956" w:type="dxa"/>
          <w:tblCellSpacing w:w="0" w:type="dxa"/>
          <w:tblInd w:w="721" w:type="dxa"/>
          <w:tblCellMar>
            <w:top w:w="15" w:type="dxa"/>
            <w:left w:w="15" w:type="dxa"/>
            <w:bottom w:w="15" w:type="dxa"/>
            <w:right w:w="15" w:type="dxa"/>
          </w:tblCellMar>
          <w:tblLook w:val="05E0"/>
        </w:tblPrEx>
        <w:trPr>
          <w:trHeight w:val="937"/>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Paragraph"/>
              <w:spacing w:before="0" w:after="0" w:line="580" w:lineRule="atLeast"/>
              <w:ind w:left="0" w:right="0"/>
              <w:jc w:val="both"/>
              <w:textAlignment w:val="center"/>
              <w:rPr>
                <w:b w:val="0"/>
                <w:bCs w:val="0"/>
                <w:i w:val="0"/>
                <w:iCs w:val="0"/>
                <w:smallCaps w:val="0"/>
                <w:color w:val="000000"/>
                <w:sz w:val="20"/>
                <w:szCs w:val="20"/>
              </w:rPr>
            </w:pPr>
            <w:r>
              <w:rPr>
                <w:rStyle w:val="16"/>
                <w:rFonts w:ascii="仿宋_GB2312" w:eastAsia="仿宋_GB2312" w:hAnsi="仿宋_GB2312" w:cs="仿宋_GB2312"/>
                <w:b/>
                <w:bCs/>
                <w:i w:val="0"/>
                <w:iCs w:val="0"/>
                <w:smallCaps w:val="0"/>
                <w:color w:val="000000"/>
                <w:sz w:val="28"/>
                <w:szCs w:val="28"/>
              </w:rPr>
              <w:t>公开透明合作</w:t>
            </w:r>
          </w:p>
        </w:tc>
        <w:tc>
          <w:tcPr>
            <w:tcW w:w="5748"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Paragraph"/>
              <w:spacing w:before="0" w:after="0" w:line="580" w:lineRule="atLeast"/>
              <w:ind w:left="0" w:right="0"/>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8"/>
                <w:szCs w:val="28"/>
              </w:rPr>
              <w:t>在项目实施过程中保持信息公开透明，主动接受相关部门的监督和检查情况。</w:t>
            </w:r>
          </w:p>
        </w:tc>
      </w:tr>
      <w:tr>
        <w:tblPrEx>
          <w:tblW w:w="7956" w:type="dxa"/>
          <w:tblCellSpacing w:w="0" w:type="dxa"/>
          <w:tblInd w:w="721" w:type="dxa"/>
          <w:tblCellMar>
            <w:top w:w="15" w:type="dxa"/>
            <w:left w:w="15" w:type="dxa"/>
            <w:bottom w:w="15" w:type="dxa"/>
            <w:right w:w="15" w:type="dxa"/>
          </w:tblCellMar>
          <w:tblLook w:val="05E0"/>
        </w:tblPrEx>
        <w:trPr>
          <w:trHeight w:val="469"/>
          <w:tblCellSpacing w:w="0" w:type="dxa"/>
        </w:trPr>
        <w:tc>
          <w:tcPr>
            <w:tcW w:w="8648" w:type="dxa"/>
            <w:gridSpan w:val="2"/>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Paragraph"/>
              <w:spacing w:before="0" w:after="0" w:line="580" w:lineRule="atLeast"/>
              <w:ind w:left="0" w:right="0" w:firstLine="63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8"/>
                <w:szCs w:val="28"/>
              </w:rPr>
              <w:t>税务人员履职期间廉政情况</w:t>
            </w:r>
          </w:p>
        </w:tc>
      </w:tr>
      <w:tr>
        <w:tblPrEx>
          <w:tblW w:w="7956" w:type="dxa"/>
          <w:tblCellSpacing w:w="0" w:type="dxa"/>
          <w:tblInd w:w="721" w:type="dxa"/>
          <w:tblCellMar>
            <w:top w:w="15" w:type="dxa"/>
            <w:left w:w="15" w:type="dxa"/>
            <w:bottom w:w="15" w:type="dxa"/>
            <w:right w:w="15" w:type="dxa"/>
          </w:tblCellMar>
          <w:tblLook w:val="05E0"/>
        </w:tblPrEx>
        <w:trPr>
          <w:trHeight w:val="469"/>
          <w:tblCellSpacing w:w="0" w:type="dxa"/>
        </w:trPr>
        <w:tc>
          <w:tcPr>
            <w:tcW w:w="3442" w:type="dxa"/>
            <w:vMerge w:val="restart"/>
            <w:tcBorders>
              <w:left w:val="single" w:sz="8" w:space="0" w:color="000000"/>
              <w:right w:val="single" w:sz="8" w:space="0" w:color="000000"/>
            </w:tcBorders>
            <w:noWrap w:val="0"/>
            <w:tcMar>
              <w:top w:w="0" w:type="dxa"/>
              <w:left w:w="168" w:type="dxa"/>
              <w:bottom w:w="0" w:type="dxa"/>
              <w:right w:w="168" w:type="dxa"/>
            </w:tcMar>
            <w:vAlign w:val="center"/>
            <w:hideMark/>
          </w:tcPr>
          <w:p>
            <w:pPr>
              <w:pStyle w:val="16Paragraph"/>
              <w:spacing w:before="0" w:after="0" w:line="580" w:lineRule="atLeast"/>
              <w:ind w:left="0" w:right="0"/>
              <w:jc w:val="both"/>
              <w:textAlignment w:val="center"/>
              <w:rPr>
                <w:b w:val="0"/>
                <w:bCs w:val="0"/>
                <w:i w:val="0"/>
                <w:iCs w:val="0"/>
                <w:smallCaps w:val="0"/>
                <w:color w:val="000000"/>
                <w:sz w:val="20"/>
                <w:szCs w:val="20"/>
              </w:rPr>
            </w:pPr>
            <w:r>
              <w:rPr>
                <w:rStyle w:val="16"/>
                <w:rFonts w:ascii="仿宋_GB2312" w:eastAsia="仿宋_GB2312" w:hAnsi="仿宋_GB2312" w:cs="仿宋_GB2312"/>
                <w:b/>
                <w:bCs/>
                <w:i w:val="0"/>
                <w:iCs w:val="0"/>
                <w:smallCaps w:val="0"/>
                <w:color w:val="000000"/>
                <w:sz w:val="28"/>
                <w:szCs w:val="28"/>
              </w:rPr>
              <w:t>税务人员履职过程存在违纪违规行为</w:t>
            </w:r>
          </w:p>
        </w:tc>
        <w:tc>
          <w:tcPr>
            <w:tcW w:w="5748" w:type="dxa"/>
            <w:tcBorders>
              <w:top w:val="single" w:sz="8" w:space="0" w:color="000000"/>
              <w:bottom w:val="single" w:sz="8" w:space="0" w:color="000000"/>
              <w:right w:val="single" w:sz="8" w:space="0" w:color="000000"/>
            </w:tcBorders>
            <w:noWrap w:val="0"/>
            <w:tcMar>
              <w:top w:w="0" w:type="dxa"/>
              <w:left w:w="108" w:type="dxa"/>
              <w:bottom w:w="0" w:type="dxa"/>
              <w:right w:w="168" w:type="dxa"/>
            </w:tcMar>
            <w:vAlign w:val="center"/>
            <w:hideMark/>
          </w:tcPr>
          <w:p>
            <w:pPr>
              <w:pStyle w:val="16Paragraph"/>
              <w:spacing w:before="0" w:after="0" w:line="580" w:lineRule="atLeast"/>
              <w:ind w:left="0" w:right="0" w:firstLine="47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333333"/>
                <w:sz w:val="28"/>
                <w:szCs w:val="28"/>
              </w:rPr>
              <w:t>否</w:t>
            </w:r>
          </w:p>
        </w:tc>
      </w:tr>
      <w:tr>
        <w:tblPrEx>
          <w:tblW w:w="7956" w:type="dxa"/>
          <w:tblCellSpacing w:w="0" w:type="dxa"/>
          <w:tblInd w:w="721" w:type="dxa"/>
          <w:tblCellMar>
            <w:top w:w="15" w:type="dxa"/>
            <w:left w:w="15" w:type="dxa"/>
            <w:bottom w:w="15" w:type="dxa"/>
            <w:right w:w="15" w:type="dxa"/>
          </w:tblCellMar>
          <w:tblLook w:val="05E0"/>
        </w:tblPrEx>
        <w:trPr>
          <w:trHeight w:val="480"/>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333333"/>
                <w:sz w:val="28"/>
                <w:szCs w:val="28"/>
              </w:rPr>
            </w:pPr>
          </w:p>
        </w:tc>
        <w:tc>
          <w:tcPr>
            <w:tcW w:w="5748" w:type="dxa"/>
            <w:vMerge w:val="restart"/>
            <w:tcBorders>
              <w:right w:val="single" w:sz="8" w:space="0" w:color="000000"/>
            </w:tcBorders>
            <w:noWrap w:val="0"/>
            <w:tcMar>
              <w:top w:w="0" w:type="dxa"/>
              <w:left w:w="108" w:type="dxa"/>
              <w:bottom w:w="0" w:type="dxa"/>
              <w:right w:w="168" w:type="dxa"/>
            </w:tcMar>
            <w:vAlign w:val="center"/>
            <w:hideMark/>
          </w:tcPr>
          <w:p>
            <w:pPr>
              <w:pStyle w:val="16Paragraph"/>
              <w:spacing w:before="0" w:after="0" w:line="580" w:lineRule="atLeast"/>
              <w:ind w:left="0" w:right="0" w:firstLine="47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8"/>
                <w:szCs w:val="28"/>
              </w:rPr>
              <w:t>是（说明具体情况）</w:t>
            </w:r>
          </w:p>
        </w:tc>
      </w:tr>
      <w:tr>
        <w:tblPrEx>
          <w:tblW w:w="7956" w:type="dxa"/>
          <w:tblCellSpacing w:w="0" w:type="dxa"/>
          <w:tblInd w:w="721" w:type="dxa"/>
          <w:tblCellMar>
            <w:top w:w="15" w:type="dxa"/>
            <w:left w:w="15" w:type="dxa"/>
            <w:bottom w:w="15" w:type="dxa"/>
            <w:right w:w="15" w:type="dxa"/>
          </w:tblCellMar>
          <w:tblLook w:val="05E0"/>
        </w:tblPrEx>
        <w:trPr>
          <w:trHeight w:val="2722"/>
          <w:tblCellSpacing w:w="0" w:type="dxa"/>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28"/>
                <w:szCs w:val="28"/>
              </w:rPr>
            </w:pPr>
          </w:p>
        </w:tc>
      </w:tr>
      <w:tr>
        <w:tblPrEx>
          <w:tblW w:w="7956" w:type="dxa"/>
          <w:tblCellSpacing w:w="0" w:type="dxa"/>
          <w:tblInd w:w="721" w:type="dxa"/>
          <w:tblCellMar>
            <w:top w:w="15" w:type="dxa"/>
            <w:left w:w="15" w:type="dxa"/>
            <w:bottom w:w="15" w:type="dxa"/>
            <w:right w:w="15" w:type="dxa"/>
          </w:tblCellMar>
          <w:tblLook w:val="05E0"/>
        </w:tblPrEx>
        <w:trPr>
          <w:trHeight w:val="90"/>
          <w:tblCellSpacing w:w="0" w:type="dxa"/>
        </w:trPr>
        <w:tc>
          <w:tcPr>
            <w:tcW w:w="3442" w:type="dxa"/>
            <w:tcBorders>
              <w:left w:val="single" w:sz="8" w:space="0" w:color="000000"/>
              <w:right w:val="single" w:sz="8" w:space="0" w:color="000000"/>
            </w:tcBorders>
            <w:noWrap w:val="0"/>
            <w:tcMar>
              <w:top w:w="0" w:type="dxa"/>
              <w:left w:w="168" w:type="dxa"/>
              <w:bottom w:w="0" w:type="dxa"/>
              <w:right w:w="168" w:type="dxa"/>
            </w:tcMar>
            <w:vAlign w:val="center"/>
            <w:hideMark/>
          </w:tcPr>
          <w:p>
            <w:pPr>
              <w:pStyle w:val="16Paragraph"/>
              <w:spacing w:before="0" w:after="0" w:line="580" w:lineRule="atLeast"/>
              <w:ind w:left="0" w:right="0"/>
              <w:jc w:val="both"/>
              <w:textAlignment w:val="center"/>
              <w:rPr>
                <w:b w:val="0"/>
                <w:bCs w:val="0"/>
                <w:i w:val="0"/>
                <w:iCs w:val="0"/>
                <w:smallCaps w:val="0"/>
                <w:color w:val="000000"/>
                <w:sz w:val="20"/>
                <w:szCs w:val="20"/>
              </w:rPr>
            </w:pPr>
            <w:r>
              <w:rPr>
                <w:rStyle w:val="16"/>
                <w:rFonts w:ascii="仿宋_GB2312" w:eastAsia="仿宋_GB2312" w:hAnsi="仿宋_GB2312" w:cs="仿宋_GB2312"/>
                <w:b/>
                <w:bCs/>
                <w:i w:val="0"/>
                <w:iCs w:val="0"/>
                <w:smallCaps w:val="0"/>
                <w:color w:val="000000"/>
                <w:sz w:val="28"/>
                <w:szCs w:val="28"/>
              </w:rPr>
              <w:t> </w:t>
            </w:r>
          </w:p>
        </w:tc>
        <w:tc>
          <w:tcPr>
            <w:tcW w:w="5748" w:type="dxa"/>
            <w:tcBorders>
              <w:right w:val="single" w:sz="8" w:space="0" w:color="000000"/>
            </w:tcBorders>
            <w:noWrap w:val="0"/>
            <w:tcMar>
              <w:top w:w="0" w:type="dxa"/>
              <w:left w:w="108" w:type="dxa"/>
              <w:bottom w:w="0" w:type="dxa"/>
              <w:right w:w="168" w:type="dxa"/>
            </w:tcMar>
            <w:vAlign w:val="center"/>
            <w:hideMark/>
          </w:tcPr>
          <w:p>
            <w:pPr>
              <w:pStyle w:val="16Paragraph"/>
              <w:spacing w:before="0" w:after="0" w:line="580" w:lineRule="atLeast"/>
              <w:ind w:left="0" w:right="0" w:firstLine="47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8"/>
                <w:szCs w:val="28"/>
              </w:rPr>
              <w:t> </w:t>
            </w:r>
          </w:p>
        </w:tc>
      </w:tr>
      <w:tr>
        <w:tblPrEx>
          <w:tblW w:w="7956" w:type="dxa"/>
          <w:tblCellSpacing w:w="0" w:type="dxa"/>
          <w:tblInd w:w="721" w:type="dxa"/>
          <w:tblCellMar>
            <w:top w:w="15" w:type="dxa"/>
            <w:left w:w="15" w:type="dxa"/>
            <w:bottom w:w="15" w:type="dxa"/>
            <w:right w:w="15" w:type="dxa"/>
          </w:tblCellMar>
          <w:tblLook w:val="05E0"/>
        </w:tblPrEx>
        <w:trPr>
          <w:trHeight w:val="115"/>
          <w:tblCellSpacing w:w="0" w:type="dxa"/>
        </w:trPr>
        <w:tc>
          <w:tcPr>
            <w:tcW w:w="3442" w:type="dxa"/>
            <w:tcBorders>
              <w:left w:val="single" w:sz="8" w:space="0" w:color="000000"/>
              <w:bottom w:val="single" w:sz="8" w:space="0" w:color="000000"/>
              <w:right w:val="single" w:sz="8" w:space="0" w:color="000000"/>
            </w:tcBorders>
            <w:noWrap w:val="0"/>
            <w:tcMar>
              <w:top w:w="0" w:type="dxa"/>
              <w:left w:w="168" w:type="dxa"/>
              <w:bottom w:w="0" w:type="dxa"/>
              <w:right w:w="168" w:type="dxa"/>
            </w:tcMar>
            <w:vAlign w:val="center"/>
            <w:hideMark/>
          </w:tcPr>
          <w:p>
            <w:pPr>
              <w:pStyle w:val="16Paragraph"/>
              <w:spacing w:before="0" w:after="0" w:line="580" w:lineRule="atLeast"/>
              <w:ind w:left="0" w:right="0"/>
              <w:jc w:val="both"/>
              <w:textAlignment w:val="center"/>
              <w:rPr>
                <w:b w:val="0"/>
                <w:bCs w:val="0"/>
                <w:i w:val="0"/>
                <w:iCs w:val="0"/>
                <w:smallCaps w:val="0"/>
                <w:color w:val="000000"/>
                <w:sz w:val="20"/>
                <w:szCs w:val="20"/>
              </w:rPr>
            </w:pPr>
            <w:r>
              <w:rPr>
                <w:rStyle w:val="16"/>
                <w:rFonts w:ascii="仿宋_GB2312" w:eastAsia="仿宋_GB2312" w:hAnsi="仿宋_GB2312" w:cs="仿宋_GB2312"/>
                <w:b/>
                <w:bCs/>
                <w:i w:val="0"/>
                <w:iCs w:val="0"/>
                <w:smallCaps w:val="0"/>
                <w:color w:val="000000"/>
                <w:sz w:val="28"/>
                <w:szCs w:val="28"/>
              </w:rPr>
              <w:t> </w:t>
            </w:r>
          </w:p>
        </w:tc>
        <w:tc>
          <w:tcPr>
            <w:tcW w:w="5748" w:type="dxa"/>
            <w:tcBorders>
              <w:bottom w:val="single" w:sz="8" w:space="0" w:color="000000"/>
              <w:right w:val="single" w:sz="8" w:space="0" w:color="000000"/>
            </w:tcBorders>
            <w:noWrap w:val="0"/>
            <w:tcMar>
              <w:top w:w="0" w:type="dxa"/>
              <w:left w:w="108" w:type="dxa"/>
              <w:bottom w:w="0" w:type="dxa"/>
              <w:right w:w="168" w:type="dxa"/>
            </w:tcMar>
            <w:vAlign w:val="center"/>
            <w:hideMark/>
          </w:tcPr>
          <w:p>
            <w:pPr>
              <w:pStyle w:val="16Paragraph"/>
              <w:spacing w:before="0" w:after="0" w:line="580" w:lineRule="atLeast"/>
              <w:ind w:left="0" w:right="0" w:firstLine="472"/>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8"/>
                <w:szCs w:val="28"/>
              </w:rPr>
              <w:t> </w:t>
            </w:r>
          </w:p>
        </w:tc>
      </w:tr>
    </w:tbl>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pacing w:val="0"/>
          <w:sz w:val="28"/>
          <w:szCs w:val="28"/>
          <w:shd w:val="clear" w:color="auto" w:fill="FFFFFF"/>
        </w:rPr>
        <w:t>提交单位（盖章）：XXX公司</w:t>
      </w:r>
      <w:r>
        <w:rPr>
          <w:rFonts w:ascii="仿宋_GB2312" w:eastAsia="仿宋_GB2312" w:hAnsi="仿宋_GB2312" w:cs="仿宋_GB2312"/>
          <w:spacing w:val="0"/>
          <w:sz w:val="28"/>
          <w:szCs w:val="28"/>
          <w:shd w:val="clear" w:color="auto" w:fill="FFFFFF"/>
        </w:rPr>
        <w:br/>
      </w:r>
      <w:r>
        <w:rPr>
          <w:rFonts w:ascii="仿宋_GB2312" w:eastAsia="仿宋_GB2312" w:hAnsi="仿宋_GB2312" w:cs="仿宋_GB2312"/>
          <w:spacing w:val="0"/>
          <w:sz w:val="28"/>
          <w:szCs w:val="28"/>
          <w:shd w:val="clear" w:color="auto" w:fill="FFFFFF"/>
        </w:rPr>
        <w:t>法定代表人或授权代表签字：________________________</w:t>
      </w:r>
    </w:p>
    <w:p>
      <w:pPr>
        <w:pStyle w:val="16Paragraph"/>
        <w:spacing w:before="0" w:after="0" w:line="360" w:lineRule="auto"/>
        <w:ind w:left="0" w:right="0"/>
        <w:rPr>
          <w:rFonts w:ascii="Times New Roman" w:eastAsia="Times New Roman" w:hAnsi="Times New Roman" w:cs="Times New Roman"/>
        </w:rPr>
      </w:pPr>
      <w:r>
        <w:rPr>
          <w:rFonts w:ascii="仿宋_GB2312" w:eastAsia="仿宋_GB2312" w:hAnsi="仿宋_GB2312" w:cs="仿宋_GB2312"/>
          <w:sz w:val="28"/>
          <w:szCs w:val="28"/>
        </w:rPr>
        <w:t> </w:t>
      </w:r>
      <w:r>
        <w:rPr>
          <w:rFonts w:ascii="仿宋_GB2312" w:eastAsia="仿宋_GB2312" w:hAnsi="仿宋_GB2312" w:cs="仿宋_GB2312"/>
          <w:spacing w:val="0"/>
          <w:sz w:val="28"/>
          <w:szCs w:val="28"/>
          <w:shd w:val="clear" w:color="auto" w:fill="FFFFFF"/>
        </w:rPr>
        <w:t>日期：XX年XX月XX日</w:t>
      </w:r>
    </w:p>
    <w:p>
      <w:pPr>
        <w:pStyle w:val="Heading20"/>
        <w:keepNext w:val="0"/>
        <w:spacing w:before="0" w:after="0" w:line="360" w:lineRule="auto"/>
        <w:rPr>
          <w:rFonts w:ascii="仿宋_GB2312" w:eastAsia="仿宋_GB2312" w:hAnsi="仿宋_GB2312" w:cs="仿宋_GB2312"/>
          <w:b/>
          <w:bCs/>
          <w:sz w:val="28"/>
          <w:szCs w:val="28"/>
        </w:rPr>
      </w:pPr>
      <w:bookmarkStart w:id="49" w:name="_Toc256000045"/>
      <w:r>
        <w:rPr>
          <w:rFonts w:ascii="仿宋_GB2312" w:eastAsia="仿宋_GB2312" w:hAnsi="仿宋_GB2312" w:cs="仿宋_GB2312"/>
          <w:i w:val="0"/>
          <w:iCs w:val="0"/>
        </w:rPr>
        <w:t>8.2付款安排建议</w:t>
      </w:r>
      <w:bookmarkEnd w:id="49"/>
    </w:p>
    <w:tbl>
      <w:tblPr>
        <w:tblStyle w:val="TableNormal"/>
        <w:tblW w:w="5000" w:type="pct"/>
        <w:tblInd w:w="30" w:type="dxa"/>
        <w:tblCellMar>
          <w:top w:w="15" w:type="dxa"/>
          <w:left w:w="15" w:type="dxa"/>
          <w:bottom w:w="15" w:type="dxa"/>
          <w:right w:w="15" w:type="dxa"/>
        </w:tblCellMar>
      </w:tblPr>
      <w:tblGrid>
        <w:gridCol w:w="1814"/>
        <w:gridCol w:w="5442"/>
        <w:gridCol w:w="1814"/>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项目经验收合格由中标供应商出具等额发票后，10个工作日内支付合同款</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100.0</w:t>
            </w:r>
          </w:p>
        </w:tc>
      </w:tr>
    </w:tbl>
    <w:p>
      <w:pPr>
        <w:pStyle w:val="Heading20"/>
        <w:keepNext w:val="0"/>
        <w:spacing w:before="0" w:after="0" w:line="360" w:lineRule="auto"/>
        <w:rPr>
          <w:rFonts w:ascii="仿宋_GB2312" w:eastAsia="仿宋_GB2312" w:hAnsi="仿宋_GB2312" w:cs="仿宋_GB2312"/>
          <w:b/>
          <w:bCs/>
          <w:sz w:val="28"/>
          <w:szCs w:val="28"/>
        </w:rPr>
      </w:pPr>
      <w:bookmarkStart w:id="50" w:name="_Toc256000046"/>
      <w:r>
        <w:rPr>
          <w:rFonts w:ascii="仿宋_GB2312" w:eastAsia="仿宋_GB2312" w:hAnsi="仿宋_GB2312" w:cs="仿宋_GB2312"/>
          <w:i w:val="0"/>
          <w:iCs w:val="0"/>
        </w:rPr>
        <w:t>8.3其他要求</w:t>
      </w:r>
      <w:bookmarkEnd w:id="50"/>
    </w:p>
    <w:p>
      <w:pPr>
        <w:pStyle w:val="Heading30"/>
        <w:keepNext w:val="0"/>
        <w:spacing w:before="0" w:after="0" w:line="360" w:lineRule="auto"/>
        <w:rPr>
          <w:rFonts w:ascii="仿宋_GB2312" w:eastAsia="仿宋_GB2312" w:hAnsi="仿宋_GB2312" w:cs="仿宋_GB2312"/>
          <w:b/>
          <w:bCs/>
          <w:sz w:val="28"/>
          <w:szCs w:val="28"/>
        </w:rPr>
      </w:pPr>
      <w:bookmarkStart w:id="51" w:name="_Toc256000047"/>
      <w:r>
        <w:rPr>
          <w:rFonts w:ascii="仿宋_GB2312" w:eastAsia="仿宋_GB2312" w:hAnsi="仿宋_GB2312" w:cs="仿宋_GB2312"/>
          <w:sz w:val="28"/>
          <w:szCs w:val="28"/>
        </w:rPr>
        <w:t>8.3.1保密要求</w:t>
      </w:r>
      <w:bookmarkEnd w:id="51"/>
    </w:p>
    <w:p>
      <w:pPr>
        <w:pStyle w:val="MsoNormal"/>
        <w:spacing w:before="0" w:after="0" w:line="360" w:lineRule="auto"/>
        <w:ind w:left="0" w:right="0"/>
      </w:pPr>
      <w:r>
        <w:rPr>
          <w:rFonts w:ascii="仿宋_GB2312" w:eastAsia="仿宋_GB2312" w:hAnsi="仿宋_GB2312" w:cs="仿宋_GB2312"/>
          <w:sz w:val="28"/>
          <w:szCs w:val="28"/>
        </w:rPr>
        <w:t>投标人对项目实施过程中所获得数据及文档等保密信息，承担以下保密义务：</w:t>
      </w:r>
    </w:p>
    <w:p>
      <w:pPr>
        <w:pStyle w:val="MsoNormal"/>
        <w:spacing w:before="0" w:after="0" w:line="360" w:lineRule="auto"/>
        <w:ind w:left="0" w:right="0"/>
      </w:pPr>
      <w:r>
        <w:rPr>
          <w:rFonts w:ascii="仿宋_GB2312" w:eastAsia="仿宋_GB2312" w:hAnsi="仿宋_GB2312" w:cs="仿宋_GB2312"/>
          <w:sz w:val="28"/>
          <w:szCs w:val="28"/>
        </w:rPr>
        <w:t>（1）投标人应对在合同签订或履行过程中所接触的对方信息，包括但不限于知识产权、技术资料、技术诀窍、内部管理及其他相关信息，负有保密义务，防止不承担同等保密义务的任何第三者知悉及使用。 </w:t>
      </w:r>
    </w:p>
    <w:p>
      <w:pPr>
        <w:pStyle w:val="MsoNormal"/>
        <w:spacing w:before="0" w:after="0" w:line="360" w:lineRule="auto"/>
        <w:ind w:left="0" w:right="0"/>
      </w:pPr>
      <w:r>
        <w:rPr>
          <w:rFonts w:ascii="仿宋_GB2312" w:eastAsia="仿宋_GB2312" w:hAnsi="仿宋_GB2312" w:cs="仿宋_GB2312"/>
          <w:sz w:val="28"/>
          <w:szCs w:val="28"/>
        </w:rPr>
        <w:t>（2）投标人在使用用户方为其提供的数据、程序、用户名、口令、资料及相关的业务和技术文档，包括方案设计细节、程序文件、数据结构，以及相关业务系统的硬软件、文档、测试和测试产生的数据时，应遵循以下约定：</w:t>
      </w:r>
    </w:p>
    <w:p>
      <w:pPr>
        <w:pStyle w:val="MsoNormal"/>
        <w:spacing w:before="0" w:after="0" w:line="360" w:lineRule="auto"/>
        <w:ind w:left="0" w:right="0"/>
      </w:pPr>
      <w:r>
        <w:rPr>
          <w:rFonts w:ascii="仿宋_GB2312" w:eastAsia="仿宋_GB2312" w:hAnsi="仿宋_GB2312" w:cs="仿宋_GB2312"/>
          <w:sz w:val="28"/>
          <w:szCs w:val="28"/>
        </w:rPr>
        <w:t>应以审慎态度避免泄露、公开或传播用户方的信息;未经用户方书面许可，不得对有关信息进行修改、补充、复制;未经用户方书面许可，不得将信息以任何方式(如 E-mail)携带出项目服务场所;未经用户方书面许可，不得将信息透露给任何其他人;用户方以书面形式提出的其他保密措施。</w:t>
      </w:r>
    </w:p>
    <w:p>
      <w:pPr>
        <w:pStyle w:val="MsoNormal"/>
        <w:spacing w:before="0" w:after="0" w:line="360" w:lineRule="auto"/>
        <w:ind w:left="0" w:right="0"/>
      </w:pPr>
      <w:r>
        <w:rPr>
          <w:rFonts w:ascii="仿宋_GB2312" w:eastAsia="仿宋_GB2312" w:hAnsi="仿宋_GB2312" w:cs="仿宋_GB2312"/>
          <w:sz w:val="28"/>
          <w:szCs w:val="28"/>
        </w:rPr>
        <w:t>（3）保密期限不受合同有效期的限制，在合同有效期结束后，信息接受方仍应承担保密义务，直至该等信息成为公开信息。</w:t>
      </w:r>
    </w:p>
    <w:p>
      <w:pPr>
        <w:pStyle w:val="MsoNormal"/>
        <w:spacing w:before="0" w:after="0" w:line="360" w:lineRule="auto"/>
        <w:ind w:left="0" w:right="0"/>
      </w:pPr>
      <w:r>
        <w:rPr>
          <w:rFonts w:ascii="仿宋_GB2312" w:eastAsia="仿宋_GB2312" w:hAnsi="仿宋_GB2312" w:cs="仿宋_GB2312"/>
          <w:sz w:val="28"/>
          <w:szCs w:val="28"/>
        </w:rPr>
        <w:t>（4）投标人应按要求与委托方签署保密协议，服务人员签订保密承诺书及网络安全承诺书。</w:t>
      </w:r>
    </w:p>
    <w:p>
      <w:pPr>
        <w:pStyle w:val="MsoNormal"/>
        <w:spacing w:before="0" w:after="0" w:line="360" w:lineRule="auto"/>
        <w:ind w:left="0" w:right="0"/>
      </w:pPr>
      <w:r>
        <w:rPr>
          <w:rFonts w:ascii="仿宋_GB2312" w:eastAsia="仿宋_GB2312" w:hAnsi="仿宋_GB2312" w:cs="仿宋_GB2312"/>
          <w:sz w:val="28"/>
          <w:szCs w:val="28"/>
        </w:rPr>
        <w:t>（5）投标人如出现泄密行为，泄密方应承担相关的法律责任并承担由此给采购方造成的经济损失</w:t>
      </w:r>
    </w:p>
    <w:p>
      <w:pPr>
        <w:pStyle w:val="Heading30"/>
        <w:keepNext w:val="0"/>
        <w:spacing w:before="0" w:after="0" w:line="360" w:lineRule="auto"/>
        <w:rPr>
          <w:rFonts w:ascii="仿宋_GB2312" w:eastAsia="仿宋_GB2312" w:hAnsi="仿宋_GB2312" w:cs="仿宋_GB2312"/>
          <w:b/>
          <w:bCs/>
          <w:sz w:val="28"/>
          <w:szCs w:val="28"/>
        </w:rPr>
      </w:pPr>
      <w:bookmarkStart w:id="52" w:name="_Toc256000048"/>
      <w:r>
        <w:rPr>
          <w:rFonts w:ascii="仿宋_GB2312" w:eastAsia="仿宋_GB2312" w:hAnsi="仿宋_GB2312" w:cs="仿宋_GB2312"/>
          <w:sz w:val="28"/>
          <w:szCs w:val="28"/>
        </w:rPr>
        <w:t>8.3.2知识产权要求</w:t>
      </w:r>
      <w:bookmarkEnd w:id="52"/>
    </w:p>
    <w:p>
      <w:pPr>
        <w:pStyle w:val="MsoNormal"/>
        <w:spacing w:before="0" w:after="0" w:line="360" w:lineRule="auto"/>
        <w:ind w:left="0" w:right="0"/>
      </w:pPr>
      <w:r>
        <w:rPr>
          <w:rFonts w:ascii="仿宋_GB2312" w:eastAsia="仿宋_GB2312" w:hAnsi="仿宋_GB2312" w:cs="仿宋_GB2312"/>
          <w:sz w:val="28"/>
          <w:szCs w:val="28"/>
        </w:rPr>
        <w:t>采购人对项目实施过程中所产生的所有成果（包括二次开发、发明、发现、可运行系统、源代码及相关技术资料、文档等）享有所有权（永久使用权、复制权和修改权等）。除本项目工作所须外，未经采购人书面同意，中标供应商不得擅自使用、复制采购人的商标、标志、数据信息、文档及其他资料。</w:t>
      </w:r>
    </w:p>
    <w:p>
      <w:pPr>
        <w:pStyle w:val="MsoNormal"/>
        <w:spacing w:before="0" w:after="0" w:line="360" w:lineRule="auto"/>
        <w:ind w:left="0" w:right="0"/>
      </w:pPr>
      <w:r>
        <w:rPr>
          <w:rFonts w:ascii="仿宋_GB2312" w:eastAsia="仿宋_GB2312" w:hAnsi="仿宋_GB2312" w:cs="仿宋_GB2312"/>
          <w:sz w:val="28"/>
          <w:szCs w:val="28"/>
        </w:rPr>
        <w:t>投标人需保证在本项目中所有预装和为本项目安装的软件为在中国境内具有合法版权或使用权的正版软件且无质量瑕疵。</w:t>
      </w:r>
    </w:p>
    <w:p>
      <w:pPr>
        <w:pStyle w:val="MsoNormal"/>
        <w:spacing w:before="0" w:after="0" w:line="360" w:lineRule="auto"/>
        <w:ind w:left="0" w:right="0"/>
      </w:pPr>
      <w:r>
        <w:rPr>
          <w:rFonts w:ascii="仿宋_GB2312" w:eastAsia="仿宋_GB2312" w:hAnsi="仿宋_GB2312" w:cs="仿宋_GB2312"/>
          <w:sz w:val="28"/>
          <w:szCs w:val="28"/>
        </w:rPr>
        <w:t>投标人需保证所提供的服务不侵犯第三方的知识产权（专利权、商标权、版权等），因侵害第三方知识产权而产生的法律责任，全部由投标人承担</w:t>
      </w:r>
    </w:p>
    <w:p>
      <w:pPr>
        <w:pStyle w:val="Heading30"/>
        <w:keepNext w:val="0"/>
        <w:spacing w:before="0" w:after="0" w:line="360" w:lineRule="auto"/>
        <w:rPr>
          <w:rFonts w:ascii="仿宋_GB2312" w:eastAsia="仿宋_GB2312" w:hAnsi="仿宋_GB2312" w:cs="仿宋_GB2312"/>
          <w:b/>
          <w:bCs/>
          <w:sz w:val="28"/>
          <w:szCs w:val="28"/>
        </w:rPr>
      </w:pPr>
      <w:bookmarkStart w:id="53" w:name="_Toc256000049"/>
      <w:r>
        <w:rPr>
          <w:rFonts w:ascii="仿宋_GB2312" w:eastAsia="仿宋_GB2312" w:hAnsi="仿宋_GB2312" w:cs="仿宋_GB2312"/>
          <w:sz w:val="28"/>
          <w:szCs w:val="28"/>
        </w:rPr>
        <w:t>8.3.3其它</w:t>
      </w:r>
      <w:bookmarkEnd w:id="53"/>
    </w:p>
    <w:p>
      <w:pPr>
        <w:pStyle w:val="MsoNormal"/>
        <w:spacing w:before="0" w:after="0" w:line="360" w:lineRule="auto"/>
        <w:ind w:left="0" w:right="0"/>
      </w:pPr>
      <w:r>
        <w:rPr>
          <w:rFonts w:ascii="方正小标宋_GBK" w:eastAsia="方正小标宋_GBK" w:hAnsi="方正小标宋_GBK" w:cs="方正小标宋_GBK"/>
          <w:sz w:val="32"/>
          <w:szCs w:val="32"/>
        </w:rPr>
        <w:t>“满足指标要求情况”内容</w:t>
      </w:r>
    </w:p>
    <w:p>
      <w:pPr>
        <w:pStyle w:val="Normal0"/>
        <w:spacing w:before="0" w:after="0" w:line="360" w:lineRule="auto"/>
        <w:jc w:val="center"/>
        <w:rPr>
          <w:rFonts w:ascii="Times New Roman" w:eastAsia="Times New Roman" w:hAnsi="Times New Roman" w:cs="Times New Roman"/>
        </w:rPr>
      </w:pPr>
      <w:r>
        <w:rPr>
          <w:rFonts w:ascii="Times New Roman" w:eastAsia="Times New Roman" w:hAnsi="Times New Roman" w:cs="Times New Roman"/>
        </w:rPr>
        <w:t> </w:t>
      </w:r>
    </w:p>
    <w:p>
      <w:pPr>
        <w:pStyle w:val="Normal0"/>
        <w:spacing w:before="0" w:after="0" w:line="360" w:lineRule="auto"/>
        <w:jc w:val="center"/>
        <w:rPr>
          <w:rFonts w:ascii="Times New Roman" w:eastAsia="Times New Roman" w:hAnsi="Times New Roman" w:cs="Times New Roman"/>
        </w:rPr>
      </w:pPr>
      <w:r>
        <w:rPr>
          <w:rFonts w:ascii="Times New Roman" w:eastAsia="Times New Roman" w:hAnsi="Times New Roman" w:cs="Times New Roman"/>
        </w:rPr>
        <w:t> </w:t>
      </w:r>
    </w:p>
    <w:tbl>
      <w:tblPr>
        <w:tblStyle w:val="MsoNormalTable"/>
        <w:tblW w:w="9280" w:type="dxa"/>
        <w:jc w:val="center"/>
        <w:tblCellSpacing w:w="0" w:type="dxa"/>
        <w:tblInd w:w="138" w:type="dxa"/>
        <w:tblCellMar>
          <w:top w:w="15" w:type="dxa"/>
          <w:left w:w="15" w:type="dxa"/>
          <w:bottom w:w="15" w:type="dxa"/>
          <w:right w:w="15" w:type="dxa"/>
        </w:tblCellMar>
        <w:tblLook w:val="05E0"/>
      </w:tblPr>
      <w:tblGrid>
        <w:gridCol w:w="550"/>
        <w:gridCol w:w="1336"/>
        <w:gridCol w:w="736"/>
        <w:gridCol w:w="1336"/>
        <w:gridCol w:w="9248"/>
        <w:gridCol w:w="4163"/>
      </w:tblGrid>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top w:val="single" w:sz="8" w:space="0" w:color="000000"/>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bCs/>
                <w:i w:val="0"/>
                <w:iCs w:val="0"/>
                <w:smallCaps w:val="0"/>
                <w:color w:val="000000"/>
                <w:sz w:val="20"/>
                <w:szCs w:val="20"/>
              </w:rPr>
              <w:t>序号</w:t>
            </w:r>
          </w:p>
        </w:tc>
        <w:tc>
          <w:tcPr>
            <w:tcW w:w="1460"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bCs/>
                <w:i w:val="0"/>
                <w:iCs w:val="0"/>
                <w:smallCaps w:val="0"/>
                <w:color w:val="000000"/>
                <w:sz w:val="20"/>
                <w:szCs w:val="20"/>
              </w:rPr>
              <w:t>产品名称</w:t>
            </w:r>
          </w:p>
        </w:tc>
        <w:tc>
          <w:tcPr>
            <w:tcW w:w="777"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bCs/>
                <w:i w:val="0"/>
                <w:iCs w:val="0"/>
                <w:smallCaps w:val="0"/>
                <w:color w:val="000000"/>
                <w:sz w:val="20"/>
                <w:szCs w:val="20"/>
              </w:rPr>
              <w:t>指标种类</w:t>
            </w:r>
          </w:p>
        </w:tc>
        <w:tc>
          <w:tcPr>
            <w:tcW w:w="1260"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bCs/>
                <w:i w:val="0"/>
                <w:iCs w:val="0"/>
                <w:smallCaps w:val="0"/>
                <w:color w:val="000000"/>
                <w:sz w:val="20"/>
                <w:szCs w:val="20"/>
              </w:rPr>
              <w:t>指标名称</w:t>
            </w:r>
          </w:p>
        </w:tc>
        <w:tc>
          <w:tcPr>
            <w:tcW w:w="3685"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bCs/>
                <w:i w:val="0"/>
                <w:iCs w:val="0"/>
                <w:smallCaps w:val="0"/>
                <w:color w:val="000000"/>
                <w:sz w:val="20"/>
                <w:szCs w:val="20"/>
              </w:rPr>
              <w:t>指标内容</w:t>
            </w:r>
          </w:p>
        </w:tc>
        <w:tc>
          <w:tcPr>
            <w:tcW w:w="1452"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Style w:val="16"/>
                <w:rFonts w:ascii="SimSun" w:eastAsia="SimSun" w:hAnsi="SimSun" w:cs="SimSun"/>
                <w:b w:val="0"/>
                <w:bCs w:val="0"/>
                <w:i w:val="0"/>
                <w:iCs w:val="0"/>
                <w:smallCaps w:val="0"/>
                <w:color w:val="000000"/>
                <w:sz w:val="21"/>
                <w:szCs w:val="21"/>
              </w:rPr>
              <w:t>证明材料要求（官网截图或产品说明书或白皮书或承诺书等证明材料）</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交换容量</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交换容量</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交换容量</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1800Tbps</w:t>
            </w:r>
            <w:r>
              <w:rPr>
                <w:rFonts w:ascii="SimSun" w:eastAsia="SimSun" w:hAnsi="SimSun" w:cs="SimSun"/>
                <w:b w:val="0"/>
                <w:bCs w:val="0"/>
                <w:i w:val="0"/>
                <w:iCs w:val="0"/>
                <w:smallCaps w:val="0"/>
                <w:color w:val="000000"/>
                <w:sz w:val="20"/>
                <w:szCs w:val="20"/>
              </w:rPr>
              <w:t>，以官网最小参数为准；</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转发性能</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转发性能</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转发性能</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460800Mpps</w:t>
            </w:r>
            <w:r>
              <w:rPr>
                <w:rFonts w:ascii="SimSun" w:eastAsia="SimSun" w:hAnsi="SimSun" w:cs="SimSun"/>
                <w:b w:val="0"/>
                <w:bCs w:val="0"/>
                <w:i w:val="0"/>
                <w:iCs w:val="0"/>
                <w:smallCaps w:val="0"/>
                <w:color w:val="000000"/>
                <w:sz w:val="20"/>
                <w:szCs w:val="20"/>
              </w:rPr>
              <w:t>，以官网最小参数为准；</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3</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-CPU</w:t>
            </w:r>
            <w:r>
              <w:rPr>
                <w:rFonts w:ascii="SimSun" w:eastAsia="SimSun" w:hAnsi="SimSun" w:cs="SimSun"/>
                <w:b w:val="0"/>
                <w:bCs w:val="0"/>
                <w:i w:val="0"/>
                <w:iCs w:val="0"/>
                <w:smallCaps w:val="0"/>
                <w:color w:val="000000"/>
                <w:sz w:val="20"/>
                <w:szCs w:val="20"/>
              </w:rPr>
              <w:t>要求</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CPU</w:t>
            </w:r>
            <w:r>
              <w:rPr>
                <w:rFonts w:ascii="SimSun" w:eastAsia="SimSun" w:hAnsi="SimSun" w:cs="SimSun"/>
                <w:b w:val="0"/>
                <w:bCs w:val="0"/>
                <w:i w:val="0"/>
                <w:iCs w:val="0"/>
                <w:smallCaps w:val="0"/>
                <w:color w:val="000000"/>
                <w:sz w:val="20"/>
                <w:szCs w:val="20"/>
              </w:rPr>
              <w:t>要求</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 xml:space="preserve">CPU </w:t>
            </w:r>
            <w:r>
              <w:rPr>
                <w:rFonts w:ascii="SimSun" w:eastAsia="SimSun" w:hAnsi="SimSun" w:cs="SimSun"/>
                <w:b w:val="0"/>
                <w:bCs w:val="0"/>
                <w:i w:val="0"/>
                <w:iCs w:val="0"/>
                <w:smallCaps w:val="0"/>
                <w:color w:val="000000"/>
                <w:sz w:val="20"/>
                <w:szCs w:val="20"/>
              </w:rPr>
              <w:t>通过中国信息安全测评中心的安全可靠测评：</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4</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设备架构</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设备架构</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采用正交</w:t>
            </w:r>
            <w:r>
              <w:rPr>
                <w:rStyle w:val="16"/>
                <w:rFonts w:ascii="仿宋_GB2312" w:eastAsia="仿宋_GB2312" w:hAnsi="仿宋_GB2312" w:cs="仿宋_GB2312"/>
                <w:b w:val="0"/>
                <w:bCs w:val="0"/>
                <w:i w:val="0"/>
                <w:iCs w:val="0"/>
                <w:smallCaps w:val="0"/>
                <w:color w:val="000000"/>
                <w:sz w:val="20"/>
                <w:szCs w:val="20"/>
              </w:rPr>
              <w:t>CLOS</w:t>
            </w:r>
            <w:r>
              <w:rPr>
                <w:rFonts w:ascii="SimSun" w:eastAsia="SimSun" w:hAnsi="SimSun" w:cs="SimSun"/>
                <w:b w:val="0"/>
                <w:bCs w:val="0"/>
                <w:i w:val="0"/>
                <w:iCs w:val="0"/>
                <w:smallCaps w:val="0"/>
                <w:color w:val="000000"/>
                <w:sz w:val="20"/>
                <w:szCs w:val="20"/>
              </w:rPr>
              <w:t>无中板架构设计，业务板卡与交换网板采用正交设计</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5</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硬件规格</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硬件规格</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主控板槽位数</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2</w:t>
            </w:r>
            <w:r>
              <w:rPr>
                <w:rFonts w:ascii="SimSun" w:eastAsia="SimSun" w:hAnsi="SimSun" w:cs="SimSun"/>
                <w:b w:val="0"/>
                <w:bCs w:val="0"/>
                <w:i w:val="0"/>
                <w:iCs w:val="0"/>
                <w:smallCaps w:val="0"/>
                <w:color w:val="000000"/>
                <w:sz w:val="20"/>
                <w:szCs w:val="20"/>
              </w:rPr>
              <w:t>，独立交换网板数</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6</w:t>
            </w:r>
            <w:r>
              <w:rPr>
                <w:rFonts w:ascii="SimSun" w:eastAsia="SimSun" w:hAnsi="SimSun" w:cs="SimSun"/>
                <w:b w:val="0"/>
                <w:bCs w:val="0"/>
                <w:i w:val="0"/>
                <w:iCs w:val="0"/>
                <w:smallCaps w:val="0"/>
                <w:color w:val="000000"/>
                <w:sz w:val="20"/>
                <w:szCs w:val="20"/>
              </w:rPr>
              <w:t>，业务板槽位数</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8</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否</w:t>
            </w:r>
          </w:p>
        </w:tc>
      </w:tr>
      <w:tr>
        <w:tblPrEx>
          <w:tblW w:w="9280" w:type="dxa"/>
          <w:jc w:val="center"/>
          <w:tblCellSpacing w:w="0" w:type="dxa"/>
          <w:tblInd w:w="138" w:type="dxa"/>
          <w:tblCellMar>
            <w:top w:w="15" w:type="dxa"/>
            <w:left w:w="15" w:type="dxa"/>
            <w:bottom w:w="15" w:type="dxa"/>
            <w:right w:w="15" w:type="dxa"/>
          </w:tblCellMar>
          <w:tblLook w:val="05E0"/>
        </w:tblPrEx>
        <w:trPr>
          <w:trHeight w:val="73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6</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-VLAN</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VLAN</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支持基于端口、基于协议、基于</w:t>
            </w:r>
            <w:r>
              <w:rPr>
                <w:rStyle w:val="16"/>
                <w:rFonts w:ascii="仿宋_GB2312" w:eastAsia="仿宋_GB2312" w:hAnsi="仿宋_GB2312" w:cs="仿宋_GB2312"/>
                <w:b w:val="0"/>
                <w:bCs w:val="0"/>
                <w:i w:val="0"/>
                <w:iCs w:val="0"/>
                <w:smallCaps w:val="0"/>
                <w:color w:val="000000"/>
                <w:sz w:val="20"/>
                <w:szCs w:val="20"/>
              </w:rPr>
              <w:t>MAC</w:t>
            </w:r>
            <w:r>
              <w:rPr>
                <w:rFonts w:ascii="SimSun" w:eastAsia="SimSun" w:hAnsi="SimSun" w:cs="SimSun"/>
                <w:b w:val="0"/>
                <w:bCs w:val="0"/>
                <w:i w:val="0"/>
                <w:iCs w:val="0"/>
                <w:smallCaps w:val="0"/>
                <w:color w:val="000000"/>
                <w:sz w:val="20"/>
                <w:szCs w:val="20"/>
              </w:rPr>
              <w:t>的</w:t>
            </w:r>
            <w:r>
              <w:rPr>
                <w:rStyle w:val="16"/>
                <w:rFonts w:ascii="仿宋_GB2312" w:eastAsia="仿宋_GB2312" w:hAnsi="仿宋_GB2312" w:cs="仿宋_GB2312"/>
                <w:b w:val="0"/>
                <w:bCs w:val="0"/>
                <w:i w:val="0"/>
                <w:iCs w:val="0"/>
                <w:smallCaps w:val="0"/>
                <w:color w:val="000000"/>
                <w:sz w:val="20"/>
                <w:szCs w:val="20"/>
              </w:rPr>
              <w:t>VLAN</w:t>
            </w:r>
            <w:r>
              <w:rPr>
                <w:rFonts w:ascii="SimSun" w:eastAsia="SimSun" w:hAnsi="SimSun" w:cs="SimSun"/>
                <w:b w:val="0"/>
                <w:bCs w:val="0"/>
                <w:i w:val="0"/>
                <w:iCs w:val="0"/>
                <w:smallCaps w:val="0"/>
                <w:color w:val="000000"/>
                <w:sz w:val="20"/>
                <w:szCs w:val="20"/>
              </w:rPr>
              <w:t>；支持</w:t>
            </w:r>
            <w:r>
              <w:rPr>
                <w:rStyle w:val="16"/>
                <w:rFonts w:ascii="仿宋_GB2312" w:eastAsia="仿宋_GB2312" w:hAnsi="仿宋_GB2312" w:cs="仿宋_GB2312"/>
                <w:b w:val="0"/>
                <w:bCs w:val="0"/>
                <w:i w:val="0"/>
                <w:iCs w:val="0"/>
                <w:smallCaps w:val="0"/>
                <w:color w:val="000000"/>
                <w:sz w:val="20"/>
                <w:szCs w:val="20"/>
              </w:rPr>
              <w:t>QinQ</w:t>
            </w:r>
            <w:r>
              <w:rPr>
                <w:rFonts w:ascii="SimSun" w:eastAsia="SimSun" w:hAnsi="SimSun" w:cs="SimSun"/>
                <w:b w:val="0"/>
                <w:bCs w:val="0"/>
                <w:i w:val="0"/>
                <w:iCs w:val="0"/>
                <w:smallCaps w:val="0"/>
                <w:color w:val="000000"/>
                <w:sz w:val="20"/>
                <w:szCs w:val="20"/>
              </w:rPr>
              <w:t>；支持</w:t>
            </w:r>
            <w:r>
              <w:rPr>
                <w:rStyle w:val="16"/>
                <w:rFonts w:ascii="仿宋_GB2312" w:eastAsia="仿宋_GB2312" w:hAnsi="仿宋_GB2312" w:cs="仿宋_GB2312"/>
                <w:b w:val="0"/>
                <w:bCs w:val="0"/>
                <w:i w:val="0"/>
                <w:iCs w:val="0"/>
                <w:smallCaps w:val="0"/>
                <w:color w:val="000000"/>
                <w:sz w:val="20"/>
                <w:szCs w:val="20"/>
              </w:rPr>
              <w:t>DLDP</w:t>
            </w:r>
            <w:r>
              <w:rPr>
                <w:rFonts w:ascii="SimSun" w:eastAsia="SimSun" w:hAnsi="SimSun" w:cs="SimSun"/>
                <w:b w:val="0"/>
                <w:bCs w:val="0"/>
                <w:i w:val="0"/>
                <w:iCs w:val="0"/>
                <w:smallCaps w:val="0"/>
                <w:color w:val="000000"/>
                <w:sz w:val="20"/>
                <w:szCs w:val="20"/>
              </w:rPr>
              <w:t>；支持动态</w:t>
            </w:r>
            <w:r>
              <w:rPr>
                <w:rStyle w:val="16"/>
                <w:rFonts w:ascii="仿宋_GB2312" w:eastAsia="仿宋_GB2312" w:hAnsi="仿宋_GB2312" w:cs="仿宋_GB2312"/>
                <w:b w:val="0"/>
                <w:bCs w:val="0"/>
                <w:i w:val="0"/>
                <w:iCs w:val="0"/>
                <w:smallCaps w:val="0"/>
                <w:color w:val="000000"/>
                <w:sz w:val="20"/>
                <w:szCs w:val="20"/>
              </w:rPr>
              <w:t>MAC</w:t>
            </w:r>
            <w:r>
              <w:rPr>
                <w:rFonts w:ascii="SimSun" w:eastAsia="SimSun" w:hAnsi="SimSun" w:cs="SimSun"/>
                <w:b w:val="0"/>
                <w:bCs w:val="0"/>
                <w:i w:val="0"/>
                <w:iCs w:val="0"/>
                <w:smallCaps w:val="0"/>
                <w:color w:val="000000"/>
                <w:sz w:val="20"/>
                <w:szCs w:val="20"/>
              </w:rPr>
              <w:t>、静态</w:t>
            </w:r>
            <w:r>
              <w:rPr>
                <w:rStyle w:val="16"/>
                <w:rFonts w:ascii="仿宋_GB2312" w:eastAsia="仿宋_GB2312" w:hAnsi="仿宋_GB2312" w:cs="仿宋_GB2312"/>
                <w:b w:val="0"/>
                <w:bCs w:val="0"/>
                <w:i w:val="0"/>
                <w:iCs w:val="0"/>
                <w:smallCaps w:val="0"/>
                <w:color w:val="000000"/>
                <w:sz w:val="20"/>
                <w:szCs w:val="20"/>
              </w:rPr>
              <w:t>MAC</w:t>
            </w:r>
            <w:r>
              <w:rPr>
                <w:rFonts w:ascii="SimSun" w:eastAsia="SimSun" w:hAnsi="SimSun" w:cs="SimSun"/>
                <w:b w:val="0"/>
                <w:bCs w:val="0"/>
                <w:i w:val="0"/>
                <w:iCs w:val="0"/>
                <w:smallCaps w:val="0"/>
                <w:color w:val="000000"/>
                <w:sz w:val="20"/>
                <w:szCs w:val="20"/>
              </w:rPr>
              <w:t>和黑洞</w:t>
            </w:r>
            <w:r>
              <w:rPr>
                <w:rStyle w:val="16"/>
                <w:rFonts w:ascii="仿宋_GB2312" w:eastAsia="仿宋_GB2312" w:hAnsi="仿宋_GB2312" w:cs="仿宋_GB2312"/>
                <w:b w:val="0"/>
                <w:bCs w:val="0"/>
                <w:i w:val="0"/>
                <w:iCs w:val="0"/>
                <w:smallCaps w:val="0"/>
                <w:color w:val="000000"/>
                <w:sz w:val="20"/>
                <w:szCs w:val="20"/>
              </w:rPr>
              <w:t>MAC</w:t>
            </w:r>
            <w:r>
              <w:rPr>
                <w:rFonts w:ascii="SimSun" w:eastAsia="SimSun" w:hAnsi="SimSun" w:cs="SimSun"/>
                <w:b w:val="0"/>
                <w:bCs w:val="0"/>
                <w:i w:val="0"/>
                <w:iCs w:val="0"/>
                <w:smallCaps w:val="0"/>
                <w:color w:val="000000"/>
                <w:sz w:val="20"/>
                <w:szCs w:val="20"/>
              </w:rPr>
              <w:t>表项；</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否</w:t>
            </w:r>
          </w:p>
        </w:tc>
      </w:tr>
      <w:tr>
        <w:tblPrEx>
          <w:tblW w:w="9280" w:type="dxa"/>
          <w:jc w:val="center"/>
          <w:tblCellSpacing w:w="0" w:type="dxa"/>
          <w:tblInd w:w="138" w:type="dxa"/>
          <w:tblCellMar>
            <w:top w:w="15" w:type="dxa"/>
            <w:left w:w="15" w:type="dxa"/>
            <w:bottom w:w="15" w:type="dxa"/>
            <w:right w:w="15" w:type="dxa"/>
          </w:tblCellMar>
          <w:tblLook w:val="05E0"/>
        </w:tblPrEx>
        <w:trPr>
          <w:trHeight w:val="121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7</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-IP</w:t>
            </w:r>
            <w:r>
              <w:rPr>
                <w:rFonts w:ascii="SimSun" w:eastAsia="SimSun" w:hAnsi="SimSun" w:cs="SimSun"/>
                <w:b w:val="0"/>
                <w:bCs w:val="0"/>
                <w:i w:val="0"/>
                <w:iCs w:val="0"/>
                <w:smallCaps w:val="0"/>
                <w:color w:val="000000"/>
                <w:sz w:val="20"/>
                <w:szCs w:val="20"/>
              </w:rPr>
              <w:t>路由</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IP</w:t>
            </w:r>
            <w:r>
              <w:rPr>
                <w:rFonts w:ascii="SimSun" w:eastAsia="SimSun" w:hAnsi="SimSun" w:cs="SimSun"/>
                <w:b w:val="0"/>
                <w:bCs w:val="0"/>
                <w:i w:val="0"/>
                <w:iCs w:val="0"/>
                <w:smallCaps w:val="0"/>
                <w:color w:val="000000"/>
                <w:sz w:val="20"/>
                <w:szCs w:val="20"/>
              </w:rPr>
              <w:t>路由</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w:t>
            </w:r>
            <w:r>
              <w:rPr>
                <w:rStyle w:val="16"/>
                <w:rFonts w:ascii="仿宋_GB2312" w:eastAsia="仿宋_GB2312" w:hAnsi="仿宋_GB2312" w:cs="仿宋_GB2312"/>
                <w:b w:val="0"/>
                <w:bCs w:val="0"/>
                <w:i w:val="0"/>
                <w:iCs w:val="0"/>
                <w:smallCaps w:val="0"/>
                <w:color w:val="000000"/>
                <w:sz w:val="20"/>
                <w:szCs w:val="20"/>
              </w:rPr>
              <w:t>RIP</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OSPF</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ISIS</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BGP</w:t>
            </w:r>
            <w:r>
              <w:rPr>
                <w:rFonts w:ascii="SimSun" w:eastAsia="SimSun" w:hAnsi="SimSun" w:cs="SimSun"/>
                <w:b w:val="0"/>
                <w:bCs w:val="0"/>
                <w:i w:val="0"/>
                <w:iCs w:val="0"/>
                <w:smallCaps w:val="0"/>
                <w:color w:val="000000"/>
                <w:sz w:val="20"/>
                <w:szCs w:val="20"/>
              </w:rPr>
              <w:t>等</w:t>
            </w:r>
            <w:r>
              <w:rPr>
                <w:rStyle w:val="16"/>
                <w:rFonts w:ascii="仿宋_GB2312" w:eastAsia="仿宋_GB2312" w:hAnsi="仿宋_GB2312" w:cs="仿宋_GB2312"/>
                <w:b w:val="0"/>
                <w:bCs w:val="0"/>
                <w:i w:val="0"/>
                <w:iCs w:val="0"/>
                <w:smallCaps w:val="0"/>
                <w:color w:val="000000"/>
                <w:sz w:val="20"/>
                <w:szCs w:val="20"/>
              </w:rPr>
              <w:t>IPv4</w:t>
            </w:r>
            <w:r>
              <w:rPr>
                <w:rFonts w:ascii="SimSun" w:eastAsia="SimSun" w:hAnsi="SimSun" w:cs="SimSun"/>
                <w:b w:val="0"/>
                <w:bCs w:val="0"/>
                <w:i w:val="0"/>
                <w:iCs w:val="0"/>
                <w:smallCaps w:val="0"/>
                <w:color w:val="000000"/>
                <w:sz w:val="20"/>
                <w:szCs w:val="20"/>
              </w:rPr>
              <w:t>动态路由协议，支持</w:t>
            </w:r>
            <w:r>
              <w:rPr>
                <w:rStyle w:val="16"/>
                <w:rFonts w:ascii="仿宋_GB2312" w:eastAsia="仿宋_GB2312" w:hAnsi="仿宋_GB2312" w:cs="仿宋_GB2312"/>
                <w:b w:val="0"/>
                <w:bCs w:val="0"/>
                <w:i w:val="0"/>
                <w:iCs w:val="0"/>
                <w:smallCaps w:val="0"/>
                <w:color w:val="000000"/>
                <w:sz w:val="20"/>
                <w:szCs w:val="20"/>
              </w:rPr>
              <w:t>RIPng</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OSPFv3</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ISISv6</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BGP4+</w:t>
            </w:r>
            <w:r>
              <w:rPr>
                <w:rFonts w:ascii="SimSun" w:eastAsia="SimSun" w:hAnsi="SimSun" w:cs="SimSun"/>
                <w:b w:val="0"/>
                <w:bCs w:val="0"/>
                <w:i w:val="0"/>
                <w:iCs w:val="0"/>
                <w:smallCaps w:val="0"/>
                <w:color w:val="000000"/>
                <w:sz w:val="20"/>
                <w:szCs w:val="20"/>
              </w:rPr>
              <w:t>等</w:t>
            </w:r>
            <w:r>
              <w:rPr>
                <w:rStyle w:val="16"/>
                <w:rFonts w:ascii="仿宋_GB2312" w:eastAsia="仿宋_GB2312" w:hAnsi="仿宋_GB2312" w:cs="仿宋_GB2312"/>
                <w:b w:val="0"/>
                <w:bCs w:val="0"/>
                <w:i w:val="0"/>
                <w:iCs w:val="0"/>
                <w:smallCaps w:val="0"/>
                <w:color w:val="000000"/>
                <w:sz w:val="20"/>
                <w:szCs w:val="20"/>
              </w:rPr>
              <w:t>IPv6</w:t>
            </w:r>
            <w:r>
              <w:rPr>
                <w:rFonts w:ascii="SimSun" w:eastAsia="SimSun" w:hAnsi="SimSun" w:cs="SimSun"/>
                <w:b w:val="0"/>
                <w:bCs w:val="0"/>
                <w:i w:val="0"/>
                <w:iCs w:val="0"/>
                <w:smallCaps w:val="0"/>
                <w:color w:val="000000"/>
                <w:sz w:val="20"/>
                <w:szCs w:val="20"/>
              </w:rPr>
              <w:t>动态路由协议，支持</w:t>
            </w:r>
            <w:r>
              <w:rPr>
                <w:rStyle w:val="16"/>
                <w:rFonts w:ascii="仿宋_GB2312" w:eastAsia="仿宋_GB2312" w:hAnsi="仿宋_GB2312" w:cs="仿宋_GB2312"/>
                <w:b w:val="0"/>
                <w:bCs w:val="0"/>
                <w:i w:val="0"/>
                <w:iCs w:val="0"/>
                <w:smallCaps w:val="0"/>
                <w:color w:val="000000"/>
                <w:sz w:val="20"/>
                <w:szCs w:val="20"/>
              </w:rPr>
              <w:t>IPv6 ND</w:t>
            </w:r>
            <w:r>
              <w:rPr>
                <w:rFonts w:ascii="SimSun" w:eastAsia="SimSun" w:hAnsi="SimSun" w:cs="SimSun"/>
                <w:b w:val="0"/>
                <w:bCs w:val="0"/>
                <w:i w:val="0"/>
                <w:iCs w:val="0"/>
                <w:smallCaps w:val="0"/>
                <w:color w:val="000000"/>
                <w:sz w:val="20"/>
                <w:szCs w:val="20"/>
              </w:rPr>
              <w:t>、支持路径</w:t>
            </w:r>
            <w:r>
              <w:rPr>
                <w:rStyle w:val="16"/>
                <w:rFonts w:ascii="仿宋_GB2312" w:eastAsia="仿宋_GB2312" w:hAnsi="仿宋_GB2312" w:cs="仿宋_GB2312"/>
                <w:b w:val="0"/>
                <w:bCs w:val="0"/>
                <w:i w:val="0"/>
                <w:iCs w:val="0"/>
                <w:smallCaps w:val="0"/>
                <w:color w:val="000000"/>
                <w:sz w:val="20"/>
                <w:szCs w:val="20"/>
              </w:rPr>
              <w:t>MTU</w:t>
            </w:r>
            <w:r>
              <w:rPr>
                <w:rFonts w:ascii="SimSun" w:eastAsia="SimSun" w:hAnsi="SimSun" w:cs="SimSun"/>
                <w:b w:val="0"/>
                <w:bCs w:val="0"/>
                <w:i w:val="0"/>
                <w:iCs w:val="0"/>
                <w:smallCaps w:val="0"/>
                <w:color w:val="000000"/>
                <w:sz w:val="20"/>
                <w:szCs w:val="20"/>
              </w:rPr>
              <w:t>发现，支持</w:t>
            </w:r>
            <w:r>
              <w:rPr>
                <w:rStyle w:val="16"/>
                <w:rFonts w:ascii="仿宋_GB2312" w:eastAsia="仿宋_GB2312" w:hAnsi="仿宋_GB2312" w:cs="仿宋_GB2312"/>
                <w:b w:val="0"/>
                <w:bCs w:val="0"/>
                <w:i w:val="0"/>
                <w:iCs w:val="0"/>
                <w:smallCaps w:val="0"/>
                <w:color w:val="000000"/>
                <w:sz w:val="20"/>
                <w:szCs w:val="20"/>
              </w:rPr>
              <w:t>GRE</w:t>
            </w:r>
            <w:r>
              <w:rPr>
                <w:rFonts w:ascii="SimSun" w:eastAsia="SimSun" w:hAnsi="SimSun" w:cs="SimSun"/>
                <w:b w:val="0"/>
                <w:bCs w:val="0"/>
                <w:i w:val="0"/>
                <w:iCs w:val="0"/>
                <w:smallCaps w:val="0"/>
                <w:color w:val="000000"/>
                <w:sz w:val="20"/>
                <w:szCs w:val="20"/>
              </w:rPr>
              <w:t>隧道；</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否</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8</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-QoS</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QoS</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w:t>
            </w:r>
            <w:r>
              <w:rPr>
                <w:rStyle w:val="16"/>
                <w:rFonts w:ascii="仿宋_GB2312" w:eastAsia="仿宋_GB2312" w:hAnsi="仿宋_GB2312" w:cs="仿宋_GB2312"/>
                <w:b w:val="0"/>
                <w:bCs w:val="0"/>
                <w:i w:val="0"/>
                <w:iCs w:val="0"/>
                <w:smallCaps w:val="0"/>
                <w:color w:val="000000"/>
                <w:sz w:val="20"/>
                <w:szCs w:val="20"/>
              </w:rPr>
              <w:t>SP, WRR,WFQ, SP+WRR, SP+WFQ</w:t>
            </w:r>
            <w:r>
              <w:rPr>
                <w:rFonts w:ascii="SimSun" w:eastAsia="SimSun" w:hAnsi="SimSun" w:cs="SimSun"/>
                <w:b w:val="0"/>
                <w:bCs w:val="0"/>
                <w:i w:val="0"/>
                <w:iCs w:val="0"/>
                <w:smallCaps w:val="0"/>
                <w:color w:val="000000"/>
                <w:sz w:val="20"/>
                <w:szCs w:val="20"/>
              </w:rPr>
              <w:t>调度方式</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否</w:t>
            </w:r>
          </w:p>
        </w:tc>
      </w:tr>
      <w:tr>
        <w:tblPrEx>
          <w:tblW w:w="9280" w:type="dxa"/>
          <w:jc w:val="center"/>
          <w:tblCellSpacing w:w="0" w:type="dxa"/>
          <w:tblInd w:w="138" w:type="dxa"/>
          <w:tblCellMar>
            <w:top w:w="15" w:type="dxa"/>
            <w:left w:w="15" w:type="dxa"/>
            <w:bottom w:w="15" w:type="dxa"/>
            <w:right w:w="15" w:type="dxa"/>
          </w:tblCellMar>
          <w:tblLook w:val="05E0"/>
        </w:tblPrEx>
        <w:trPr>
          <w:trHeight w:val="73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9</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-VXLAN</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VXLAN</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w:t>
            </w:r>
            <w:r>
              <w:rPr>
                <w:rStyle w:val="16"/>
                <w:rFonts w:ascii="仿宋_GB2312" w:eastAsia="仿宋_GB2312" w:hAnsi="仿宋_GB2312" w:cs="仿宋_GB2312"/>
                <w:b w:val="0"/>
                <w:bCs w:val="0"/>
                <w:i w:val="0"/>
                <w:iCs w:val="0"/>
                <w:smallCaps w:val="0"/>
                <w:color w:val="000000"/>
                <w:sz w:val="20"/>
                <w:szCs w:val="20"/>
              </w:rPr>
              <w:t xml:space="preserve">VxLAN </w:t>
            </w:r>
            <w:r>
              <w:rPr>
                <w:rFonts w:ascii="SimSun" w:eastAsia="SimSun" w:hAnsi="SimSun" w:cs="SimSun"/>
                <w:b w:val="0"/>
                <w:bCs w:val="0"/>
                <w:i w:val="0"/>
                <w:iCs w:val="0"/>
                <w:smallCaps w:val="0"/>
                <w:color w:val="000000"/>
                <w:sz w:val="20"/>
                <w:szCs w:val="20"/>
              </w:rPr>
              <w:t>网关，支持基于</w:t>
            </w:r>
            <w:r>
              <w:rPr>
                <w:rStyle w:val="16"/>
                <w:rFonts w:ascii="仿宋_GB2312" w:eastAsia="仿宋_GB2312" w:hAnsi="仿宋_GB2312" w:cs="仿宋_GB2312"/>
                <w:b w:val="0"/>
                <w:bCs w:val="0"/>
                <w:i w:val="0"/>
                <w:iCs w:val="0"/>
                <w:smallCaps w:val="0"/>
                <w:color w:val="000000"/>
                <w:sz w:val="20"/>
                <w:szCs w:val="20"/>
              </w:rPr>
              <w:t>IPv4/IPv6</w:t>
            </w:r>
            <w:r>
              <w:rPr>
                <w:rFonts w:ascii="SimSun" w:eastAsia="SimSun" w:hAnsi="SimSun" w:cs="SimSun"/>
                <w:b w:val="0"/>
                <w:bCs w:val="0"/>
                <w:i w:val="0"/>
                <w:iCs w:val="0"/>
                <w:smallCaps w:val="0"/>
                <w:color w:val="000000"/>
                <w:sz w:val="20"/>
                <w:szCs w:val="20"/>
              </w:rPr>
              <w:t>的</w:t>
            </w:r>
            <w:r>
              <w:rPr>
                <w:rStyle w:val="16"/>
                <w:rFonts w:ascii="仿宋_GB2312" w:eastAsia="仿宋_GB2312" w:hAnsi="仿宋_GB2312" w:cs="仿宋_GB2312"/>
                <w:b w:val="0"/>
                <w:bCs w:val="0"/>
                <w:i w:val="0"/>
                <w:iCs w:val="0"/>
                <w:smallCaps w:val="0"/>
                <w:color w:val="000000"/>
                <w:sz w:val="20"/>
                <w:szCs w:val="20"/>
              </w:rPr>
              <w:t>VxLAN</w:t>
            </w:r>
            <w:r>
              <w:rPr>
                <w:rFonts w:ascii="SimSun" w:eastAsia="SimSun" w:hAnsi="SimSun" w:cs="SimSun"/>
                <w:b w:val="0"/>
                <w:bCs w:val="0"/>
                <w:i w:val="0"/>
                <w:iCs w:val="0"/>
                <w:smallCaps w:val="0"/>
                <w:color w:val="000000"/>
                <w:sz w:val="20"/>
                <w:szCs w:val="20"/>
              </w:rPr>
              <w:t>二三层互通，实配</w:t>
            </w:r>
            <w:r>
              <w:rPr>
                <w:rStyle w:val="16"/>
                <w:rFonts w:ascii="仿宋_GB2312" w:eastAsia="仿宋_GB2312" w:hAnsi="仿宋_GB2312" w:cs="仿宋_GB2312"/>
                <w:b w:val="0"/>
                <w:bCs w:val="0"/>
                <w:i w:val="0"/>
                <w:iCs w:val="0"/>
                <w:smallCaps w:val="0"/>
                <w:color w:val="000000"/>
                <w:sz w:val="20"/>
                <w:szCs w:val="20"/>
              </w:rPr>
              <w:t>VxLAN</w:t>
            </w:r>
            <w:r>
              <w:rPr>
                <w:rFonts w:ascii="SimSun" w:eastAsia="SimSun" w:hAnsi="SimSun" w:cs="SimSun"/>
                <w:b w:val="0"/>
                <w:bCs w:val="0"/>
                <w:i w:val="0"/>
                <w:iCs w:val="0"/>
                <w:smallCaps w:val="0"/>
                <w:color w:val="000000"/>
                <w:sz w:val="20"/>
                <w:szCs w:val="20"/>
              </w:rPr>
              <w:t>功能</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否</w:t>
            </w:r>
          </w:p>
        </w:tc>
      </w:tr>
      <w:tr>
        <w:tblPrEx>
          <w:tblW w:w="9280" w:type="dxa"/>
          <w:jc w:val="center"/>
          <w:tblCellSpacing w:w="0" w:type="dxa"/>
          <w:tblInd w:w="138" w:type="dxa"/>
          <w:tblCellMar>
            <w:top w:w="15" w:type="dxa"/>
            <w:left w:w="15" w:type="dxa"/>
            <w:bottom w:w="15" w:type="dxa"/>
            <w:right w:w="15" w:type="dxa"/>
          </w:tblCellMar>
          <w:tblLook w:val="05E0"/>
        </w:tblPrEx>
        <w:trPr>
          <w:trHeight w:val="145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10</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配置要求</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配置要求</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满配主控、交换网板、风扇、电源模块，配置</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96</w:t>
            </w:r>
            <w:r>
              <w:rPr>
                <w:rFonts w:ascii="SimSun" w:eastAsia="SimSun" w:hAnsi="SimSun" w:cs="SimSun"/>
                <w:b w:val="0"/>
                <w:bCs w:val="0"/>
                <w:i w:val="0"/>
                <w:iCs w:val="0"/>
                <w:smallCaps w:val="0"/>
                <w:color w:val="000000"/>
                <w:sz w:val="20"/>
                <w:szCs w:val="20"/>
              </w:rPr>
              <w:t>个万兆光口</w:t>
            </w:r>
            <w:r>
              <w:rPr>
                <w:rStyle w:val="16"/>
                <w:rFonts w:ascii="仿宋_GB2312" w:eastAsia="仿宋_GB2312" w:hAnsi="仿宋_GB2312" w:cs="仿宋_GB2312"/>
                <w:b w:val="0"/>
                <w:bCs w:val="0"/>
                <w:i w:val="0"/>
                <w:iCs w:val="0"/>
                <w:smallCaps w:val="0"/>
                <w:color w:val="000000"/>
                <w:sz w:val="20"/>
                <w:szCs w:val="20"/>
              </w:rPr>
              <w:t>+48</w:t>
            </w:r>
            <w:r>
              <w:rPr>
                <w:rFonts w:ascii="SimSun" w:eastAsia="SimSun" w:hAnsi="SimSun" w:cs="SimSun"/>
                <w:b w:val="0"/>
                <w:bCs w:val="0"/>
                <w:i w:val="0"/>
                <w:iCs w:val="0"/>
                <w:smallCaps w:val="0"/>
                <w:color w:val="000000"/>
                <w:sz w:val="20"/>
                <w:szCs w:val="20"/>
              </w:rPr>
              <w:t>个</w:t>
            </w:r>
            <w:r>
              <w:rPr>
                <w:rStyle w:val="16"/>
                <w:rFonts w:ascii="仿宋_GB2312" w:eastAsia="仿宋_GB2312" w:hAnsi="仿宋_GB2312" w:cs="仿宋_GB2312"/>
                <w:b w:val="0"/>
                <w:bCs w:val="0"/>
                <w:i w:val="0"/>
                <w:iCs w:val="0"/>
                <w:smallCaps w:val="0"/>
                <w:color w:val="000000"/>
                <w:sz w:val="20"/>
                <w:szCs w:val="20"/>
              </w:rPr>
              <w:t>25G</w:t>
            </w:r>
            <w:r>
              <w:rPr>
                <w:rFonts w:ascii="SimSun" w:eastAsia="SimSun" w:hAnsi="SimSun" w:cs="SimSun"/>
                <w:b w:val="0"/>
                <w:bCs w:val="0"/>
                <w:i w:val="0"/>
                <w:iCs w:val="0"/>
                <w:smallCaps w:val="0"/>
                <w:color w:val="000000"/>
                <w:sz w:val="20"/>
                <w:szCs w:val="20"/>
              </w:rPr>
              <w:t>光口</w:t>
            </w:r>
            <w:r>
              <w:rPr>
                <w:rStyle w:val="16"/>
                <w:rFonts w:ascii="仿宋_GB2312" w:eastAsia="仿宋_GB2312" w:hAnsi="仿宋_GB2312" w:cs="仿宋_GB2312"/>
                <w:b w:val="0"/>
                <w:bCs w:val="0"/>
                <w:i w:val="0"/>
                <w:iCs w:val="0"/>
                <w:smallCaps w:val="0"/>
                <w:color w:val="000000"/>
                <w:sz w:val="20"/>
                <w:szCs w:val="20"/>
              </w:rPr>
              <w:t>+36</w:t>
            </w:r>
            <w:r>
              <w:rPr>
                <w:rFonts w:ascii="SimSun" w:eastAsia="SimSun" w:hAnsi="SimSun" w:cs="SimSun"/>
                <w:b w:val="0"/>
                <w:bCs w:val="0"/>
                <w:i w:val="0"/>
                <w:iCs w:val="0"/>
                <w:smallCaps w:val="0"/>
                <w:color w:val="000000"/>
                <w:sz w:val="20"/>
                <w:szCs w:val="20"/>
              </w:rPr>
              <w:t>个</w:t>
            </w:r>
            <w:r>
              <w:rPr>
                <w:rStyle w:val="16"/>
                <w:rFonts w:ascii="仿宋_GB2312" w:eastAsia="仿宋_GB2312" w:hAnsi="仿宋_GB2312" w:cs="仿宋_GB2312"/>
                <w:b w:val="0"/>
                <w:bCs w:val="0"/>
                <w:i w:val="0"/>
                <w:iCs w:val="0"/>
                <w:smallCaps w:val="0"/>
                <w:color w:val="000000"/>
                <w:sz w:val="20"/>
                <w:szCs w:val="20"/>
              </w:rPr>
              <w:t>40G</w:t>
            </w:r>
            <w:r>
              <w:rPr>
                <w:rFonts w:ascii="SimSun" w:eastAsia="SimSun" w:hAnsi="SimSun" w:cs="SimSun"/>
                <w:b w:val="0"/>
                <w:bCs w:val="0"/>
                <w:i w:val="0"/>
                <w:iCs w:val="0"/>
                <w:smallCaps w:val="0"/>
                <w:color w:val="000000"/>
                <w:sz w:val="20"/>
                <w:szCs w:val="20"/>
              </w:rPr>
              <w:t>光口</w:t>
            </w:r>
            <w:r>
              <w:rPr>
                <w:rStyle w:val="16"/>
                <w:rFonts w:ascii="仿宋_GB2312" w:eastAsia="仿宋_GB2312" w:hAnsi="仿宋_GB2312" w:cs="仿宋_GB2312"/>
                <w:b w:val="0"/>
                <w:bCs w:val="0"/>
                <w:i w:val="0"/>
                <w:iCs w:val="0"/>
                <w:smallCaps w:val="0"/>
                <w:color w:val="000000"/>
                <w:sz w:val="20"/>
                <w:szCs w:val="20"/>
              </w:rPr>
              <w:t>+36</w:t>
            </w:r>
            <w:r>
              <w:rPr>
                <w:rFonts w:ascii="SimSun" w:eastAsia="SimSun" w:hAnsi="SimSun" w:cs="SimSun"/>
                <w:b w:val="0"/>
                <w:bCs w:val="0"/>
                <w:i w:val="0"/>
                <w:iCs w:val="0"/>
                <w:smallCaps w:val="0"/>
                <w:color w:val="000000"/>
                <w:sz w:val="20"/>
                <w:szCs w:val="20"/>
              </w:rPr>
              <w:t>个</w:t>
            </w:r>
            <w:r>
              <w:rPr>
                <w:rStyle w:val="16"/>
                <w:rFonts w:ascii="仿宋_GB2312" w:eastAsia="仿宋_GB2312" w:hAnsi="仿宋_GB2312" w:cs="仿宋_GB2312"/>
                <w:b w:val="0"/>
                <w:bCs w:val="0"/>
                <w:i w:val="0"/>
                <w:iCs w:val="0"/>
                <w:smallCaps w:val="0"/>
                <w:color w:val="000000"/>
                <w:sz w:val="20"/>
                <w:szCs w:val="20"/>
              </w:rPr>
              <w:t>100G</w:t>
            </w:r>
            <w:r>
              <w:rPr>
                <w:rFonts w:ascii="SimSun" w:eastAsia="SimSun" w:hAnsi="SimSun" w:cs="SimSun"/>
                <w:b w:val="0"/>
                <w:bCs w:val="0"/>
                <w:i w:val="0"/>
                <w:iCs w:val="0"/>
                <w:smallCaps w:val="0"/>
                <w:color w:val="000000"/>
                <w:sz w:val="20"/>
                <w:szCs w:val="20"/>
              </w:rPr>
              <w:t>光口，配置</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96</w:t>
            </w:r>
            <w:r>
              <w:rPr>
                <w:rFonts w:ascii="SimSun" w:eastAsia="SimSun" w:hAnsi="SimSun" w:cs="SimSun"/>
                <w:b w:val="0"/>
                <w:bCs w:val="0"/>
                <w:i w:val="0"/>
                <w:iCs w:val="0"/>
                <w:smallCaps w:val="0"/>
                <w:color w:val="000000"/>
                <w:sz w:val="20"/>
                <w:szCs w:val="20"/>
              </w:rPr>
              <w:t>个万兆多模光模块</w:t>
            </w:r>
            <w:r>
              <w:rPr>
                <w:rStyle w:val="16"/>
                <w:rFonts w:ascii="仿宋_GB2312" w:eastAsia="仿宋_GB2312" w:hAnsi="仿宋_GB2312" w:cs="仿宋_GB2312"/>
                <w:b w:val="0"/>
                <w:bCs w:val="0"/>
                <w:i w:val="0"/>
                <w:iCs w:val="0"/>
                <w:smallCaps w:val="0"/>
                <w:color w:val="000000"/>
                <w:sz w:val="20"/>
                <w:szCs w:val="20"/>
              </w:rPr>
              <w:t>+48</w:t>
            </w:r>
            <w:r>
              <w:rPr>
                <w:rFonts w:ascii="SimSun" w:eastAsia="SimSun" w:hAnsi="SimSun" w:cs="SimSun"/>
                <w:b w:val="0"/>
                <w:bCs w:val="0"/>
                <w:i w:val="0"/>
                <w:iCs w:val="0"/>
                <w:smallCaps w:val="0"/>
                <w:color w:val="000000"/>
                <w:sz w:val="20"/>
                <w:szCs w:val="20"/>
              </w:rPr>
              <w:t>个</w:t>
            </w:r>
            <w:r>
              <w:rPr>
                <w:rStyle w:val="16"/>
                <w:rFonts w:ascii="仿宋_GB2312" w:eastAsia="仿宋_GB2312" w:hAnsi="仿宋_GB2312" w:cs="仿宋_GB2312"/>
                <w:b w:val="0"/>
                <w:bCs w:val="0"/>
                <w:i w:val="0"/>
                <w:iCs w:val="0"/>
                <w:smallCaps w:val="0"/>
                <w:color w:val="000000"/>
                <w:sz w:val="20"/>
                <w:szCs w:val="20"/>
              </w:rPr>
              <w:t>25G</w:t>
            </w:r>
            <w:r>
              <w:rPr>
                <w:rFonts w:ascii="SimSun" w:eastAsia="SimSun" w:hAnsi="SimSun" w:cs="SimSun"/>
                <w:b w:val="0"/>
                <w:bCs w:val="0"/>
                <w:i w:val="0"/>
                <w:iCs w:val="0"/>
                <w:smallCaps w:val="0"/>
                <w:color w:val="000000"/>
                <w:sz w:val="20"/>
                <w:szCs w:val="20"/>
              </w:rPr>
              <w:t>多模光模块</w:t>
            </w:r>
            <w:r>
              <w:rPr>
                <w:rStyle w:val="16"/>
                <w:rFonts w:ascii="仿宋_GB2312" w:eastAsia="仿宋_GB2312" w:hAnsi="仿宋_GB2312" w:cs="仿宋_GB2312"/>
                <w:b w:val="0"/>
                <w:bCs w:val="0"/>
                <w:i w:val="0"/>
                <w:iCs w:val="0"/>
                <w:smallCaps w:val="0"/>
                <w:color w:val="000000"/>
                <w:sz w:val="20"/>
                <w:szCs w:val="20"/>
              </w:rPr>
              <w:t>+36</w:t>
            </w:r>
            <w:r>
              <w:rPr>
                <w:rFonts w:ascii="SimSun" w:eastAsia="SimSun" w:hAnsi="SimSun" w:cs="SimSun"/>
                <w:b w:val="0"/>
                <w:bCs w:val="0"/>
                <w:i w:val="0"/>
                <w:iCs w:val="0"/>
                <w:smallCaps w:val="0"/>
                <w:color w:val="000000"/>
                <w:sz w:val="20"/>
                <w:szCs w:val="20"/>
              </w:rPr>
              <w:t>个</w:t>
            </w:r>
            <w:r>
              <w:rPr>
                <w:rStyle w:val="16"/>
                <w:rFonts w:ascii="仿宋_GB2312" w:eastAsia="仿宋_GB2312" w:hAnsi="仿宋_GB2312" w:cs="仿宋_GB2312"/>
                <w:b w:val="0"/>
                <w:bCs w:val="0"/>
                <w:i w:val="0"/>
                <w:iCs w:val="0"/>
                <w:smallCaps w:val="0"/>
                <w:color w:val="000000"/>
                <w:sz w:val="20"/>
                <w:szCs w:val="20"/>
              </w:rPr>
              <w:t>40G</w:t>
            </w:r>
            <w:r>
              <w:rPr>
                <w:rFonts w:ascii="SimSun" w:eastAsia="SimSun" w:hAnsi="SimSun" w:cs="SimSun"/>
                <w:b w:val="0"/>
                <w:bCs w:val="0"/>
                <w:i w:val="0"/>
                <w:iCs w:val="0"/>
                <w:smallCaps w:val="0"/>
                <w:color w:val="000000"/>
                <w:sz w:val="20"/>
                <w:szCs w:val="20"/>
              </w:rPr>
              <w:t>多模光模块</w:t>
            </w:r>
            <w:r>
              <w:rPr>
                <w:rStyle w:val="16"/>
                <w:rFonts w:ascii="仿宋_GB2312" w:eastAsia="仿宋_GB2312" w:hAnsi="仿宋_GB2312" w:cs="仿宋_GB2312"/>
                <w:b w:val="0"/>
                <w:bCs w:val="0"/>
                <w:i w:val="0"/>
                <w:iCs w:val="0"/>
                <w:smallCaps w:val="0"/>
                <w:color w:val="000000"/>
                <w:sz w:val="20"/>
                <w:szCs w:val="20"/>
              </w:rPr>
              <w:t>+36</w:t>
            </w:r>
            <w:r>
              <w:rPr>
                <w:rFonts w:ascii="SimSun" w:eastAsia="SimSun" w:hAnsi="SimSun" w:cs="SimSun"/>
                <w:b w:val="0"/>
                <w:bCs w:val="0"/>
                <w:i w:val="0"/>
                <w:iCs w:val="0"/>
                <w:smallCaps w:val="0"/>
                <w:color w:val="000000"/>
                <w:sz w:val="20"/>
                <w:szCs w:val="20"/>
              </w:rPr>
              <w:t>个</w:t>
            </w:r>
            <w:r>
              <w:rPr>
                <w:rStyle w:val="16"/>
                <w:rFonts w:ascii="仿宋_GB2312" w:eastAsia="仿宋_GB2312" w:hAnsi="仿宋_GB2312" w:cs="仿宋_GB2312"/>
                <w:b w:val="0"/>
                <w:bCs w:val="0"/>
                <w:i w:val="0"/>
                <w:iCs w:val="0"/>
                <w:smallCaps w:val="0"/>
                <w:color w:val="000000"/>
                <w:sz w:val="20"/>
                <w:szCs w:val="20"/>
              </w:rPr>
              <w:t>100G</w:t>
            </w:r>
            <w:r>
              <w:rPr>
                <w:rFonts w:ascii="SimSun" w:eastAsia="SimSun" w:hAnsi="SimSun" w:cs="SimSun"/>
                <w:b w:val="0"/>
                <w:bCs w:val="0"/>
                <w:i w:val="0"/>
                <w:iCs w:val="0"/>
                <w:smallCaps w:val="0"/>
                <w:color w:val="000000"/>
                <w:sz w:val="20"/>
                <w:szCs w:val="20"/>
              </w:rPr>
              <w:t>多模光模块</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否</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11</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维保服务</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维保服务</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需要提供原厂三年维保服务</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12</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设备高度</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设备高度</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为节约机柜空间，要求设备高度</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13U</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13</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-MACSEC</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MACSEC</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支持并实配全端口</w:t>
            </w:r>
            <w:r>
              <w:rPr>
                <w:rStyle w:val="16"/>
                <w:rFonts w:ascii="仿宋_GB2312" w:eastAsia="仿宋_GB2312" w:hAnsi="仿宋_GB2312" w:cs="仿宋_GB2312"/>
                <w:b w:val="0"/>
                <w:bCs w:val="0"/>
                <w:i w:val="0"/>
                <w:iCs w:val="0"/>
                <w:smallCaps w:val="0"/>
                <w:color w:val="000000"/>
                <w:sz w:val="20"/>
                <w:szCs w:val="20"/>
              </w:rPr>
              <w:t>MACSEC 256bits</w:t>
            </w:r>
            <w:r>
              <w:rPr>
                <w:rFonts w:ascii="SimSun" w:eastAsia="SimSun" w:hAnsi="SimSun" w:cs="SimSun"/>
                <w:b w:val="0"/>
                <w:bCs w:val="0"/>
                <w:i w:val="0"/>
                <w:iCs w:val="0"/>
                <w:smallCaps w:val="0"/>
                <w:color w:val="000000"/>
                <w:sz w:val="20"/>
                <w:szCs w:val="20"/>
              </w:rPr>
              <w:t>加密功能</w:t>
            </w:r>
          </w:p>
        </w:tc>
        <w:tc>
          <w:tcPr>
            <w:tcW w:w="1452" w:type="dxa"/>
            <w:tcBorders>
              <w:bottom w:val="single" w:sz="8" w:space="0" w:color="000000"/>
              <w:right w:val="single" w:sz="8" w:space="0" w:color="000000"/>
            </w:tcBorders>
            <w:noWrap w:val="0"/>
            <w:tcMar>
              <w:top w:w="0" w:type="dxa"/>
              <w:left w:w="108" w:type="dxa"/>
              <w:bottom w:w="0" w:type="dxa"/>
              <w:right w:w="128" w:type="dxa"/>
            </w:tcMar>
            <w:vAlign w:val="top"/>
            <w:hideMark/>
          </w:tcPr>
          <w:p>
            <w:pPr>
              <w:pStyle w:val="17"/>
              <w:spacing w:before="0" w:after="0"/>
              <w:ind w:left="0" w:right="0"/>
              <w:jc w:val="center"/>
              <w:textAlignment w:val="top"/>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14</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both"/>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时延要求</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both"/>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时延要求</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10G/25G/40G/100G/400G</w:t>
            </w:r>
            <w:r>
              <w:rPr>
                <w:rFonts w:ascii="SimSun" w:eastAsia="SimSun" w:hAnsi="SimSun" w:cs="SimSun"/>
                <w:b w:val="0"/>
                <w:bCs w:val="0"/>
                <w:i w:val="0"/>
                <w:iCs w:val="0"/>
                <w:smallCaps w:val="0"/>
                <w:color w:val="000000"/>
                <w:sz w:val="20"/>
                <w:szCs w:val="20"/>
              </w:rPr>
              <w:t>端口时延</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1.2us</w:t>
            </w:r>
          </w:p>
        </w:tc>
        <w:tc>
          <w:tcPr>
            <w:tcW w:w="1452" w:type="dxa"/>
            <w:tcBorders>
              <w:bottom w:val="single" w:sz="8" w:space="0" w:color="000000"/>
              <w:right w:val="single" w:sz="8" w:space="0" w:color="000000"/>
            </w:tcBorders>
            <w:noWrap w:val="0"/>
            <w:tcMar>
              <w:top w:w="0" w:type="dxa"/>
              <w:left w:w="108" w:type="dxa"/>
              <w:bottom w:w="0" w:type="dxa"/>
              <w:right w:w="128" w:type="dxa"/>
            </w:tcMar>
            <w:vAlign w:val="top"/>
            <w:hideMark/>
          </w:tcPr>
          <w:p>
            <w:pPr>
              <w:pStyle w:val="17"/>
              <w:spacing w:before="0" w:after="0"/>
              <w:ind w:left="0" w:right="0"/>
              <w:jc w:val="center"/>
              <w:textAlignment w:val="top"/>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280" w:type="dxa"/>
          <w:jc w:val="center"/>
          <w:tblCellSpacing w:w="0" w:type="dxa"/>
          <w:tblInd w:w="138" w:type="dxa"/>
          <w:tblCellMar>
            <w:top w:w="15" w:type="dxa"/>
            <w:left w:w="15" w:type="dxa"/>
            <w:bottom w:w="15" w:type="dxa"/>
            <w:right w:w="15" w:type="dxa"/>
          </w:tblCellMar>
          <w:tblLook w:val="05E0"/>
        </w:tblPrEx>
        <w:trPr>
          <w:trHeight w:val="73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15</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高性能</w:t>
            </w:r>
            <w:r>
              <w:rPr>
                <w:rStyle w:val="16"/>
                <w:rFonts w:ascii="仿宋_GB2312" w:eastAsia="仿宋_GB2312" w:hAnsi="仿宋_GB2312" w:cs="仿宋_GB2312"/>
                <w:b w:val="0"/>
                <w:bCs w:val="0"/>
                <w:i w:val="0"/>
                <w:iCs w:val="0"/>
                <w:smallCaps w:val="0"/>
                <w:color w:val="000000"/>
                <w:sz w:val="20"/>
                <w:szCs w:val="20"/>
              </w:rPr>
              <w:t>AI</w:t>
            </w:r>
            <w:r>
              <w:rPr>
                <w:rFonts w:ascii="SimSun" w:eastAsia="SimSun" w:hAnsi="SimSun" w:cs="SimSun"/>
                <w:b w:val="0"/>
                <w:bCs w:val="0"/>
                <w:i w:val="0"/>
                <w:iCs w:val="0"/>
                <w:smallCaps w:val="0"/>
                <w:color w:val="000000"/>
                <w:sz w:val="20"/>
                <w:szCs w:val="20"/>
              </w:rPr>
              <w:t>计算模块</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高性能</w:t>
            </w:r>
            <w:r>
              <w:rPr>
                <w:rStyle w:val="16"/>
                <w:rFonts w:ascii="仿宋_GB2312" w:eastAsia="仿宋_GB2312" w:hAnsi="仿宋_GB2312" w:cs="仿宋_GB2312"/>
                <w:b w:val="0"/>
                <w:bCs w:val="0"/>
                <w:i w:val="0"/>
                <w:iCs w:val="0"/>
                <w:smallCaps w:val="0"/>
                <w:color w:val="000000"/>
                <w:sz w:val="20"/>
                <w:szCs w:val="20"/>
              </w:rPr>
              <w:t>AI</w:t>
            </w:r>
            <w:r>
              <w:rPr>
                <w:rFonts w:ascii="SimSun" w:eastAsia="SimSun" w:hAnsi="SimSun" w:cs="SimSun"/>
                <w:b w:val="0"/>
                <w:bCs w:val="0"/>
                <w:i w:val="0"/>
                <w:iCs w:val="0"/>
                <w:smallCaps w:val="0"/>
                <w:color w:val="000000"/>
                <w:sz w:val="20"/>
                <w:szCs w:val="20"/>
              </w:rPr>
              <w:t>计算模块</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支持高性能</w:t>
            </w:r>
            <w:r>
              <w:rPr>
                <w:rStyle w:val="16"/>
                <w:rFonts w:ascii="仿宋_GB2312" w:eastAsia="仿宋_GB2312" w:hAnsi="仿宋_GB2312" w:cs="仿宋_GB2312"/>
                <w:b w:val="0"/>
                <w:bCs w:val="0"/>
                <w:i w:val="0"/>
                <w:iCs w:val="0"/>
                <w:smallCaps w:val="0"/>
                <w:color w:val="000000"/>
                <w:sz w:val="20"/>
                <w:szCs w:val="20"/>
              </w:rPr>
              <w:t>AI</w:t>
            </w:r>
            <w:r>
              <w:rPr>
                <w:rFonts w:ascii="SimSun" w:eastAsia="SimSun" w:hAnsi="SimSun" w:cs="SimSun"/>
                <w:b w:val="0"/>
                <w:bCs w:val="0"/>
                <w:i w:val="0"/>
                <w:iCs w:val="0"/>
                <w:smallCaps w:val="0"/>
                <w:color w:val="000000"/>
                <w:sz w:val="20"/>
                <w:szCs w:val="20"/>
              </w:rPr>
              <w:t>计算模块，可以为网络和业务提供强大算力，可实现浮点运算能力</w:t>
            </w:r>
            <w:r>
              <w:rPr>
                <w:rStyle w:val="16"/>
                <w:rFonts w:ascii="仿宋_GB2312" w:eastAsia="仿宋_GB2312" w:hAnsi="仿宋_GB2312" w:cs="仿宋_GB2312"/>
                <w:b w:val="0"/>
                <w:bCs w:val="0"/>
                <w:i w:val="0"/>
                <w:iCs w:val="0"/>
                <w:smallCaps w:val="0"/>
                <w:color w:val="000000"/>
                <w:sz w:val="20"/>
                <w:szCs w:val="20"/>
              </w:rPr>
              <w:t>≥100TFlops</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提供官网截图</w:t>
            </w:r>
          </w:p>
        </w:tc>
      </w:tr>
      <w:tr>
        <w:tblPrEx>
          <w:tblW w:w="9280" w:type="dxa"/>
          <w:jc w:val="center"/>
          <w:tblCellSpacing w:w="0" w:type="dxa"/>
          <w:tblInd w:w="138" w:type="dxa"/>
          <w:tblCellMar>
            <w:top w:w="15" w:type="dxa"/>
            <w:left w:w="15" w:type="dxa"/>
            <w:bottom w:w="15" w:type="dxa"/>
            <w:right w:w="15" w:type="dxa"/>
          </w:tblCellMar>
          <w:tblLook w:val="05E0"/>
        </w:tblPrEx>
        <w:trPr>
          <w:trHeight w:val="121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16</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-TAP</w:t>
            </w:r>
            <w:r>
              <w:rPr>
                <w:rFonts w:ascii="SimSun" w:eastAsia="SimSun" w:hAnsi="SimSun" w:cs="SimSun"/>
                <w:b w:val="0"/>
                <w:bCs w:val="0"/>
                <w:i w:val="0"/>
                <w:iCs w:val="0"/>
                <w:smallCaps w:val="0"/>
                <w:color w:val="000000"/>
                <w:sz w:val="20"/>
                <w:szCs w:val="20"/>
              </w:rPr>
              <w:t>功能</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TAP</w:t>
            </w:r>
            <w:r>
              <w:rPr>
                <w:rFonts w:ascii="SimSun" w:eastAsia="SimSun" w:hAnsi="SimSun" w:cs="SimSun"/>
                <w:b w:val="0"/>
                <w:bCs w:val="0"/>
                <w:i w:val="0"/>
                <w:iCs w:val="0"/>
                <w:smallCaps w:val="0"/>
                <w:color w:val="000000"/>
                <w:sz w:val="20"/>
                <w:szCs w:val="20"/>
              </w:rPr>
              <w:t>功能</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w:t>
            </w:r>
            <w:r>
              <w:rPr>
                <w:rStyle w:val="16"/>
                <w:rFonts w:ascii="仿宋_GB2312" w:eastAsia="仿宋_GB2312" w:hAnsi="仿宋_GB2312" w:cs="仿宋_GB2312"/>
                <w:b w:val="0"/>
                <w:bCs w:val="0"/>
                <w:i w:val="0"/>
                <w:iCs w:val="0"/>
                <w:smallCaps w:val="0"/>
                <w:color w:val="000000"/>
                <w:sz w:val="20"/>
                <w:szCs w:val="20"/>
              </w:rPr>
              <w:t>TAP</w:t>
            </w:r>
            <w:r>
              <w:rPr>
                <w:rFonts w:ascii="SimSun" w:eastAsia="SimSun" w:hAnsi="SimSun" w:cs="SimSun"/>
                <w:b w:val="0"/>
                <w:bCs w:val="0"/>
                <w:i w:val="0"/>
                <w:iCs w:val="0"/>
                <w:smallCaps w:val="0"/>
                <w:color w:val="000000"/>
                <w:sz w:val="20"/>
                <w:szCs w:val="20"/>
              </w:rPr>
              <w:t>能力，可支持</w:t>
            </w:r>
            <w:r>
              <w:rPr>
                <w:rStyle w:val="16"/>
                <w:rFonts w:ascii="仿宋_GB2312" w:eastAsia="仿宋_GB2312" w:hAnsi="仿宋_GB2312" w:cs="仿宋_GB2312"/>
                <w:b w:val="0"/>
                <w:bCs w:val="0"/>
                <w:i w:val="0"/>
                <w:iCs w:val="0"/>
                <w:smallCaps w:val="0"/>
                <w:color w:val="000000"/>
                <w:sz w:val="20"/>
                <w:szCs w:val="20"/>
              </w:rPr>
              <w:t xml:space="preserve">TAP </w:t>
            </w:r>
            <w:r>
              <w:rPr>
                <w:rFonts w:ascii="SimSun" w:eastAsia="SimSun" w:hAnsi="SimSun" w:cs="SimSun"/>
                <w:b w:val="0"/>
                <w:bCs w:val="0"/>
                <w:i w:val="0"/>
                <w:iCs w:val="0"/>
                <w:smallCaps w:val="0"/>
                <w:color w:val="000000"/>
                <w:sz w:val="20"/>
                <w:szCs w:val="20"/>
              </w:rPr>
              <w:t>同源同宿功能，报文截断功能，源端口标识功能，支持</w:t>
            </w:r>
            <w:r>
              <w:rPr>
                <w:rFonts w:ascii="SimSun" w:eastAsia="SimSun" w:hAnsi="SimSun" w:cs="SimSun"/>
                <w:b w:val="0"/>
                <w:bCs w:val="0"/>
                <w:i w:val="0"/>
                <w:iCs w:val="0"/>
                <w:smallCaps w:val="0"/>
                <w:color w:val="000000"/>
                <w:sz w:val="20"/>
                <w:szCs w:val="20"/>
              </w:rPr>
              <w:t xml:space="preserve"> </w:t>
            </w:r>
            <w:r>
              <w:rPr>
                <w:rStyle w:val="16"/>
                <w:rFonts w:ascii="仿宋_GB2312" w:eastAsia="仿宋_GB2312" w:hAnsi="仿宋_GB2312" w:cs="仿宋_GB2312"/>
                <w:b w:val="0"/>
                <w:bCs w:val="0"/>
                <w:i w:val="0"/>
                <w:iCs w:val="0"/>
                <w:smallCaps w:val="0"/>
                <w:color w:val="000000"/>
                <w:sz w:val="20"/>
                <w:szCs w:val="20"/>
              </w:rPr>
              <w:t xml:space="preserve">TAP </w:t>
            </w:r>
            <w:r>
              <w:rPr>
                <w:rFonts w:ascii="SimSun" w:eastAsia="SimSun" w:hAnsi="SimSun" w:cs="SimSun"/>
                <w:b w:val="0"/>
                <w:bCs w:val="0"/>
                <w:i w:val="0"/>
                <w:iCs w:val="0"/>
                <w:smallCaps w:val="0"/>
                <w:color w:val="000000"/>
                <w:sz w:val="20"/>
                <w:szCs w:val="20"/>
              </w:rPr>
              <w:t>基于端口的</w:t>
            </w:r>
            <w:r>
              <w:rPr>
                <w:rFonts w:ascii="SimSun" w:eastAsia="SimSun" w:hAnsi="SimSun" w:cs="SimSun"/>
                <w:b w:val="0"/>
                <w:bCs w:val="0"/>
                <w:i w:val="0"/>
                <w:iCs w:val="0"/>
                <w:smallCaps w:val="0"/>
                <w:color w:val="000000"/>
                <w:sz w:val="20"/>
                <w:szCs w:val="20"/>
              </w:rPr>
              <w:t xml:space="preserve"> </w:t>
            </w:r>
            <w:r>
              <w:rPr>
                <w:rStyle w:val="16"/>
                <w:rFonts w:ascii="仿宋_GB2312" w:eastAsia="仿宋_GB2312" w:hAnsi="仿宋_GB2312" w:cs="仿宋_GB2312"/>
                <w:b w:val="0"/>
                <w:bCs w:val="0"/>
                <w:i w:val="0"/>
                <w:iCs w:val="0"/>
                <w:smallCaps w:val="0"/>
                <w:color w:val="000000"/>
                <w:sz w:val="20"/>
                <w:szCs w:val="20"/>
              </w:rPr>
              <w:t xml:space="preserve">M:N </w:t>
            </w:r>
            <w:r>
              <w:rPr>
                <w:rFonts w:ascii="SimSun" w:eastAsia="SimSun" w:hAnsi="SimSun" w:cs="SimSun"/>
                <w:b w:val="0"/>
                <w:bCs w:val="0"/>
                <w:i w:val="0"/>
                <w:iCs w:val="0"/>
                <w:smallCaps w:val="0"/>
                <w:color w:val="000000"/>
                <w:sz w:val="20"/>
                <w:szCs w:val="20"/>
              </w:rPr>
              <w:t>模型功能，</w:t>
            </w:r>
            <w:r>
              <w:rPr>
                <w:rStyle w:val="16"/>
                <w:rFonts w:ascii="仿宋_GB2312" w:eastAsia="仿宋_GB2312" w:hAnsi="仿宋_GB2312" w:cs="仿宋_GB2312"/>
                <w:b w:val="0"/>
                <w:bCs w:val="0"/>
                <w:i w:val="0"/>
                <w:iCs w:val="0"/>
                <w:smallCaps w:val="0"/>
                <w:color w:val="000000"/>
                <w:sz w:val="20"/>
                <w:szCs w:val="20"/>
              </w:rPr>
              <w:t xml:space="preserve">M:N </w:t>
            </w:r>
            <w:r>
              <w:rPr>
                <w:rFonts w:ascii="SimSun" w:eastAsia="SimSun" w:hAnsi="SimSun" w:cs="SimSun"/>
                <w:b w:val="0"/>
                <w:bCs w:val="0"/>
                <w:i w:val="0"/>
                <w:iCs w:val="0"/>
                <w:smallCaps w:val="0"/>
                <w:color w:val="000000"/>
                <w:sz w:val="20"/>
                <w:szCs w:val="20"/>
              </w:rPr>
              <w:t>模型下最大</w:t>
            </w:r>
            <w:r>
              <w:rPr>
                <w:rFonts w:ascii="SimSun" w:eastAsia="SimSun" w:hAnsi="SimSun" w:cs="SimSun"/>
                <w:b w:val="0"/>
                <w:bCs w:val="0"/>
                <w:i w:val="0"/>
                <w:iCs w:val="0"/>
                <w:smallCaps w:val="0"/>
                <w:color w:val="000000"/>
                <w:sz w:val="20"/>
                <w:szCs w:val="20"/>
              </w:rPr>
              <w:t xml:space="preserve"> </w:t>
            </w:r>
            <w:r>
              <w:rPr>
                <w:rStyle w:val="16"/>
                <w:rFonts w:ascii="仿宋_GB2312" w:eastAsia="仿宋_GB2312" w:hAnsi="仿宋_GB2312" w:cs="仿宋_GB2312"/>
                <w:b w:val="0"/>
                <w:bCs w:val="0"/>
                <w:i w:val="0"/>
                <w:iCs w:val="0"/>
                <w:smallCaps w:val="0"/>
                <w:color w:val="000000"/>
                <w:sz w:val="20"/>
                <w:szCs w:val="20"/>
              </w:rPr>
              <w:t xml:space="preserve">M </w:t>
            </w:r>
            <w:r>
              <w:rPr>
                <w:rFonts w:ascii="SimSun" w:eastAsia="SimSun" w:hAnsi="SimSun" w:cs="SimSun"/>
                <w:b w:val="0"/>
                <w:bCs w:val="0"/>
                <w:i w:val="0"/>
                <w:iCs w:val="0"/>
                <w:smallCaps w:val="0"/>
                <w:color w:val="000000"/>
                <w:sz w:val="20"/>
                <w:szCs w:val="20"/>
              </w:rPr>
              <w:t>口规格为</w:t>
            </w:r>
            <w:r>
              <w:rPr>
                <w:rFonts w:ascii="SimSun" w:eastAsia="SimSun" w:hAnsi="SimSun" w:cs="SimSun"/>
                <w:b w:val="0"/>
                <w:bCs w:val="0"/>
                <w:i w:val="0"/>
                <w:iCs w:val="0"/>
                <w:smallCaps w:val="0"/>
                <w:color w:val="000000"/>
                <w:sz w:val="20"/>
                <w:szCs w:val="20"/>
              </w:rPr>
              <w:t xml:space="preserve"> </w:t>
            </w:r>
            <w:r>
              <w:rPr>
                <w:rStyle w:val="16"/>
                <w:rFonts w:ascii="仿宋_GB2312" w:eastAsia="仿宋_GB2312" w:hAnsi="仿宋_GB2312" w:cs="仿宋_GB2312"/>
                <w:b w:val="0"/>
                <w:bCs w:val="0"/>
                <w:i w:val="0"/>
                <w:iCs w:val="0"/>
                <w:smallCaps w:val="0"/>
                <w:color w:val="000000"/>
                <w:sz w:val="20"/>
                <w:szCs w:val="20"/>
              </w:rPr>
              <w:t>575, N</w:t>
            </w:r>
            <w:r>
              <w:rPr>
                <w:rFonts w:ascii="SimSun" w:eastAsia="SimSun" w:hAnsi="SimSun" w:cs="SimSun"/>
                <w:b w:val="0"/>
                <w:bCs w:val="0"/>
                <w:i w:val="0"/>
                <w:iCs w:val="0"/>
                <w:smallCaps w:val="0"/>
                <w:color w:val="000000"/>
                <w:sz w:val="20"/>
                <w:szCs w:val="20"/>
              </w:rPr>
              <w:t>口规格为</w:t>
            </w:r>
            <w:r>
              <w:rPr>
                <w:rStyle w:val="16"/>
                <w:rFonts w:ascii="仿宋_GB2312" w:eastAsia="仿宋_GB2312" w:hAnsi="仿宋_GB2312" w:cs="仿宋_GB2312"/>
                <w:b w:val="0"/>
                <w:bCs w:val="0"/>
                <w:i w:val="0"/>
                <w:iCs w:val="0"/>
                <w:smallCaps w:val="0"/>
                <w:color w:val="000000"/>
                <w:sz w:val="20"/>
                <w:szCs w:val="20"/>
              </w:rPr>
              <w:t>575;</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280" w:type="dxa"/>
          <w:jc w:val="center"/>
          <w:tblCellSpacing w:w="0" w:type="dxa"/>
          <w:tblInd w:w="138" w:type="dxa"/>
          <w:tblCellMar>
            <w:top w:w="15" w:type="dxa"/>
            <w:left w:w="15" w:type="dxa"/>
            <w:bottom w:w="15" w:type="dxa"/>
            <w:right w:w="15" w:type="dxa"/>
          </w:tblCellMar>
          <w:tblLook w:val="05E0"/>
        </w:tblPrEx>
        <w:trPr>
          <w:trHeight w:val="300"/>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17</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-MPLS</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MPLS</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w:t>
            </w:r>
            <w:r>
              <w:rPr>
                <w:rStyle w:val="16"/>
                <w:rFonts w:ascii="仿宋_GB2312" w:eastAsia="仿宋_GB2312" w:hAnsi="仿宋_GB2312" w:cs="仿宋_GB2312"/>
                <w:b w:val="0"/>
                <w:bCs w:val="0"/>
                <w:i w:val="0"/>
                <w:iCs w:val="0"/>
                <w:smallCaps w:val="0"/>
                <w:color w:val="000000"/>
                <w:sz w:val="20"/>
                <w:szCs w:val="20"/>
              </w:rPr>
              <w:t>MPLS VPN</w:t>
            </w:r>
            <w:r>
              <w:rPr>
                <w:rFonts w:ascii="SimSun" w:eastAsia="SimSun" w:hAnsi="SimSun" w:cs="SimSun"/>
                <w:b w:val="0"/>
                <w:bCs w:val="0"/>
                <w:i w:val="0"/>
                <w:iCs w:val="0"/>
                <w:smallCaps w:val="0"/>
                <w:color w:val="000000"/>
                <w:sz w:val="20"/>
                <w:szCs w:val="20"/>
              </w:rPr>
              <w:t>；</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18</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智能无损可视化特性</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智能无损可视化特性</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支持会话可视、路径可视、丢包可视功能</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19</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跨设备链路聚合</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跨设备链路聚合</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支持跨设备链路聚合及升级功能，保证业务不中断</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280" w:type="dxa"/>
          <w:jc w:val="center"/>
          <w:tblCellSpacing w:w="0" w:type="dxa"/>
          <w:tblInd w:w="138" w:type="dxa"/>
          <w:tblCellMar>
            <w:top w:w="15" w:type="dxa"/>
            <w:left w:w="15" w:type="dxa"/>
            <w:bottom w:w="15" w:type="dxa"/>
            <w:right w:w="15" w:type="dxa"/>
          </w:tblCellMar>
          <w:tblLook w:val="05E0"/>
        </w:tblPrEx>
        <w:trPr>
          <w:trHeight w:val="73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20</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智能网管</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智能网管</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支持内置图形化管理功能，实现纵向虚拟化，对于下联设备具备统一管理的功能</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21</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核心交换机</w:t>
            </w:r>
            <w:r>
              <w:rPr>
                <w:rStyle w:val="16"/>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时钟同步</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时钟同步</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支持硬件时钟同步功能，支持</w:t>
            </w:r>
            <w:r>
              <w:rPr>
                <w:rStyle w:val="16"/>
                <w:rFonts w:ascii="仿宋_GB2312" w:eastAsia="仿宋_GB2312" w:hAnsi="仿宋_GB2312" w:cs="仿宋_GB2312"/>
                <w:b w:val="0"/>
                <w:bCs w:val="0"/>
                <w:i w:val="0"/>
                <w:iCs w:val="0"/>
                <w:smallCaps w:val="0"/>
                <w:color w:val="000000"/>
                <w:sz w:val="20"/>
                <w:szCs w:val="20"/>
              </w:rPr>
              <w:t xml:space="preserve"> PTP </w:t>
            </w:r>
            <w:r>
              <w:rPr>
                <w:rFonts w:ascii="SimSun" w:eastAsia="SimSun" w:hAnsi="SimSun" w:cs="SimSun"/>
                <w:b w:val="0"/>
                <w:bCs w:val="0"/>
                <w:i w:val="0"/>
                <w:iCs w:val="0"/>
                <w:smallCaps w:val="0"/>
                <w:color w:val="000000"/>
                <w:sz w:val="20"/>
                <w:szCs w:val="20"/>
              </w:rPr>
              <w:t>和</w:t>
            </w:r>
            <w:r>
              <w:rPr>
                <w:rFonts w:ascii="SimSun" w:eastAsia="SimSun" w:hAnsi="SimSun" w:cs="SimSun"/>
                <w:b w:val="0"/>
                <w:bCs w:val="0"/>
                <w:i w:val="0"/>
                <w:iCs w:val="0"/>
                <w:smallCaps w:val="0"/>
                <w:color w:val="000000"/>
                <w:sz w:val="20"/>
                <w:szCs w:val="20"/>
              </w:rPr>
              <w:t xml:space="preserve"> </w:t>
            </w:r>
            <w:r>
              <w:rPr>
                <w:rStyle w:val="16"/>
                <w:rFonts w:ascii="仿宋_GB2312" w:eastAsia="仿宋_GB2312" w:hAnsi="仿宋_GB2312" w:cs="仿宋_GB2312"/>
                <w:b w:val="0"/>
                <w:bCs w:val="0"/>
                <w:i w:val="0"/>
                <w:iCs w:val="0"/>
                <w:smallCaps w:val="0"/>
                <w:color w:val="000000"/>
                <w:sz w:val="20"/>
                <w:szCs w:val="20"/>
              </w:rPr>
              <w:t xml:space="preserve">SyncE </w:t>
            </w:r>
            <w:r>
              <w:rPr>
                <w:rFonts w:ascii="SimSun" w:eastAsia="SimSun" w:hAnsi="SimSun" w:cs="SimSun"/>
                <w:b w:val="0"/>
                <w:bCs w:val="0"/>
                <w:i w:val="0"/>
                <w:iCs w:val="0"/>
                <w:smallCaps w:val="0"/>
                <w:color w:val="000000"/>
                <w:sz w:val="20"/>
                <w:szCs w:val="20"/>
              </w:rPr>
              <w:t>功能，</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22</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25G交换机-交换容量</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交换容量</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交换容量</w:t>
            </w:r>
            <w:r>
              <w:rPr>
                <w:rFonts w:ascii="仿宋" w:eastAsia="仿宋" w:hAnsi="仿宋" w:cs="仿宋"/>
                <w:b w:val="0"/>
                <w:bCs w:val="0"/>
                <w:i w:val="0"/>
                <w:iCs w:val="0"/>
                <w:smallCaps w:val="0"/>
                <w:color w:val="000000"/>
                <w:sz w:val="20"/>
                <w:szCs w:val="20"/>
              </w:rPr>
              <w:t>≥8Tbps；以最小参数为准；</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提供官网截图</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23</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25G交换机-转发性能</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转发性能</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转发性能</w:t>
            </w:r>
            <w:r>
              <w:rPr>
                <w:rFonts w:ascii="仿宋" w:eastAsia="仿宋" w:hAnsi="仿宋" w:cs="仿宋"/>
                <w:b w:val="0"/>
                <w:bCs w:val="0"/>
                <w:i w:val="0"/>
                <w:iCs w:val="0"/>
                <w:smallCaps w:val="0"/>
                <w:color w:val="000000"/>
                <w:sz w:val="20"/>
                <w:szCs w:val="20"/>
              </w:rPr>
              <w:t>≥2400Mpps；以最小参数为准；</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提供官网截图</w:t>
            </w:r>
          </w:p>
        </w:tc>
      </w:tr>
      <w:tr>
        <w:tblPrEx>
          <w:tblW w:w="9280" w:type="dxa"/>
          <w:jc w:val="center"/>
          <w:tblCellSpacing w:w="0" w:type="dxa"/>
          <w:tblInd w:w="138" w:type="dxa"/>
          <w:tblCellMar>
            <w:top w:w="15" w:type="dxa"/>
            <w:left w:w="15" w:type="dxa"/>
            <w:bottom w:w="15" w:type="dxa"/>
            <w:right w:w="15" w:type="dxa"/>
          </w:tblCellMar>
          <w:tblLook w:val="05E0"/>
        </w:tblPrEx>
        <w:trPr>
          <w:trHeight w:val="121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24</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25G交换机-硬件配置</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硬件配置</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实配</w:t>
            </w:r>
            <w:r>
              <w:rPr>
                <w:rFonts w:ascii="仿宋" w:eastAsia="仿宋" w:hAnsi="仿宋" w:cs="仿宋"/>
                <w:b w:val="0"/>
                <w:bCs w:val="0"/>
                <w:i w:val="0"/>
                <w:iCs w:val="0"/>
                <w:smallCaps w:val="0"/>
                <w:color w:val="000000"/>
                <w:sz w:val="20"/>
                <w:szCs w:val="20"/>
              </w:rPr>
              <w:t>25G光口端口数量≥48个（含48个原厂25G多模模块），实配100G光接口≥8个（含4个原厂100G多模模块），含双模块化电源，双模块化风扇；</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否</w:t>
            </w:r>
          </w:p>
        </w:tc>
      </w:tr>
      <w:tr>
        <w:tblPrEx>
          <w:tblW w:w="9280" w:type="dxa"/>
          <w:jc w:val="center"/>
          <w:tblCellSpacing w:w="0" w:type="dxa"/>
          <w:tblInd w:w="138" w:type="dxa"/>
          <w:tblCellMar>
            <w:top w:w="15" w:type="dxa"/>
            <w:left w:w="15" w:type="dxa"/>
            <w:bottom w:w="15" w:type="dxa"/>
            <w:right w:w="15" w:type="dxa"/>
          </w:tblCellMar>
          <w:tblLook w:val="05E0"/>
        </w:tblPrEx>
        <w:trPr>
          <w:trHeight w:val="28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25</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25G交换机-维保服务</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维保服务</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需要提供原厂三年维保服务</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提供承诺书</w:t>
            </w:r>
          </w:p>
        </w:tc>
      </w:tr>
      <w:tr>
        <w:tblPrEx>
          <w:tblW w:w="9280" w:type="dxa"/>
          <w:jc w:val="center"/>
          <w:tblCellSpacing w:w="0" w:type="dxa"/>
          <w:tblInd w:w="138" w:type="dxa"/>
          <w:tblCellMar>
            <w:top w:w="15" w:type="dxa"/>
            <w:left w:w="15" w:type="dxa"/>
            <w:bottom w:w="15" w:type="dxa"/>
            <w:right w:w="15" w:type="dxa"/>
          </w:tblCellMar>
          <w:tblLook w:val="05E0"/>
        </w:tblPrEx>
        <w:trPr>
          <w:trHeight w:val="73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26</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25G交换机-地址表</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地址表</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整机最大路由地址表</w:t>
            </w:r>
            <w:r>
              <w:rPr>
                <w:rFonts w:ascii="仿宋" w:eastAsia="仿宋" w:hAnsi="仿宋" w:cs="仿宋"/>
                <w:b w:val="0"/>
                <w:bCs w:val="0"/>
                <w:i w:val="0"/>
                <w:iCs w:val="0"/>
                <w:smallCaps w:val="0"/>
                <w:color w:val="000000"/>
                <w:sz w:val="20"/>
                <w:szCs w:val="20"/>
              </w:rPr>
              <w:t>≥320K，整机最大ARP地址表≥270K，整机最大MAC地址表≥280K；</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提供官网截图</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27</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25G交换机-最大功耗</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最大功耗</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满足节能供电要求，整机最大功耗</w:t>
            </w:r>
            <w:r>
              <w:rPr>
                <w:rFonts w:ascii="仿宋" w:eastAsia="仿宋" w:hAnsi="仿宋" w:cs="仿宋"/>
                <w:b w:val="0"/>
                <w:bCs w:val="0"/>
                <w:i w:val="0"/>
                <w:iCs w:val="0"/>
                <w:smallCaps w:val="0"/>
                <w:color w:val="000000"/>
                <w:sz w:val="20"/>
                <w:szCs w:val="20"/>
              </w:rPr>
              <w:t>≤210W；</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提供官网截图</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28</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25G交换机-风扇模块</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风扇模块</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both"/>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保障设备散热效果，风扇模块数量</w:t>
            </w:r>
            <w:r>
              <w:rPr>
                <w:rFonts w:ascii="仿宋" w:eastAsia="仿宋" w:hAnsi="仿宋" w:cs="仿宋"/>
                <w:b w:val="0"/>
                <w:bCs w:val="0"/>
                <w:i w:val="0"/>
                <w:iCs w:val="0"/>
                <w:smallCaps w:val="0"/>
                <w:color w:val="000000"/>
                <w:sz w:val="20"/>
                <w:szCs w:val="20"/>
              </w:rPr>
              <w:t>≥5；</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提供官网截图</w:t>
            </w:r>
          </w:p>
        </w:tc>
      </w:tr>
      <w:tr>
        <w:tblPrEx>
          <w:tblW w:w="9280" w:type="dxa"/>
          <w:jc w:val="center"/>
          <w:tblCellSpacing w:w="0" w:type="dxa"/>
          <w:tblInd w:w="138" w:type="dxa"/>
          <w:tblCellMar>
            <w:top w:w="15" w:type="dxa"/>
            <w:left w:w="15" w:type="dxa"/>
            <w:bottom w:w="15" w:type="dxa"/>
            <w:right w:w="15" w:type="dxa"/>
          </w:tblCellMar>
          <w:tblLook w:val="05E0"/>
        </w:tblPrEx>
        <w:trPr>
          <w:trHeight w:val="28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29</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25G交换机-整机缓存</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整机缓存</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整机缓存</w:t>
            </w:r>
            <w:r>
              <w:rPr>
                <w:rFonts w:ascii="Arial" w:eastAsia="Arial" w:hAnsi="Arial" w:cs="Arial"/>
                <w:b w:val="0"/>
                <w:bCs w:val="0"/>
                <w:i w:val="0"/>
                <w:iCs w:val="0"/>
                <w:smallCaps w:val="0"/>
                <w:color w:val="000000"/>
                <w:sz w:val="20"/>
                <w:szCs w:val="20"/>
              </w:rPr>
              <w:t>≧</w:t>
            </w:r>
            <w:r>
              <w:rPr>
                <w:rFonts w:ascii="仿宋" w:eastAsia="仿宋" w:hAnsi="仿宋" w:cs="仿宋"/>
                <w:b w:val="0"/>
                <w:bCs w:val="0"/>
                <w:i w:val="0"/>
                <w:iCs w:val="0"/>
                <w:smallCaps w:val="0"/>
                <w:color w:val="000000"/>
                <w:sz w:val="20"/>
                <w:szCs w:val="20"/>
              </w:rPr>
              <w:t>36MB</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提供官网截图</w:t>
            </w:r>
          </w:p>
        </w:tc>
      </w:tr>
      <w:tr>
        <w:tblPrEx>
          <w:tblW w:w="9280" w:type="dxa"/>
          <w:jc w:val="center"/>
          <w:tblCellSpacing w:w="0" w:type="dxa"/>
          <w:tblInd w:w="138" w:type="dxa"/>
          <w:tblCellMar>
            <w:top w:w="15" w:type="dxa"/>
            <w:left w:w="15" w:type="dxa"/>
            <w:bottom w:w="15" w:type="dxa"/>
            <w:right w:w="15" w:type="dxa"/>
          </w:tblCellMar>
          <w:tblLook w:val="05E0"/>
        </w:tblPrEx>
        <w:trPr>
          <w:trHeight w:val="28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30</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25G交换机-转发时延</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转发时延</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端口转发时延</w:t>
            </w:r>
            <w:r>
              <w:rPr>
                <w:rFonts w:ascii="Arial" w:eastAsia="Arial" w:hAnsi="Arial" w:cs="Arial"/>
                <w:b w:val="0"/>
                <w:bCs w:val="0"/>
                <w:i w:val="0"/>
                <w:iCs w:val="0"/>
                <w:smallCaps w:val="0"/>
                <w:color w:val="000000"/>
                <w:sz w:val="20"/>
                <w:szCs w:val="20"/>
              </w:rPr>
              <w:t>≤</w:t>
            </w:r>
            <w:r>
              <w:rPr>
                <w:rFonts w:ascii="仿宋" w:eastAsia="仿宋" w:hAnsi="仿宋" w:cs="仿宋"/>
                <w:b w:val="0"/>
                <w:bCs w:val="0"/>
                <w:i w:val="0"/>
                <w:iCs w:val="0"/>
                <w:smallCaps w:val="0"/>
                <w:color w:val="000000"/>
                <w:sz w:val="20"/>
                <w:szCs w:val="20"/>
              </w:rPr>
              <w:t>800ms</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提供官网截图</w:t>
            </w:r>
          </w:p>
        </w:tc>
      </w:tr>
      <w:tr>
        <w:tblPrEx>
          <w:tblW w:w="9280" w:type="dxa"/>
          <w:jc w:val="center"/>
          <w:tblCellSpacing w:w="0" w:type="dxa"/>
          <w:tblInd w:w="138" w:type="dxa"/>
          <w:tblCellMar>
            <w:top w:w="15" w:type="dxa"/>
            <w:left w:w="15" w:type="dxa"/>
            <w:bottom w:w="15" w:type="dxa"/>
            <w:right w:w="15" w:type="dxa"/>
          </w:tblCellMar>
          <w:tblLook w:val="05E0"/>
        </w:tblPrEx>
        <w:trPr>
          <w:trHeight w:val="73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31</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25G交换机-Telemetry Srteam</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Telemetry Srteam</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支持</w:t>
            </w:r>
            <w:r>
              <w:rPr>
                <w:rFonts w:ascii="仿宋" w:eastAsia="仿宋" w:hAnsi="仿宋" w:cs="仿宋"/>
                <w:b w:val="0"/>
                <w:bCs w:val="0"/>
                <w:i w:val="0"/>
                <w:iCs w:val="0"/>
                <w:smallCaps w:val="0"/>
                <w:color w:val="000000"/>
                <w:sz w:val="20"/>
                <w:szCs w:val="20"/>
              </w:rPr>
              <w:t>Telemetry Srteam功能，支持全硬件采集上送，解放CPU资源并且可以支持最大全流量1：1采样；</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both"/>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32</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25G交换机-VXLAN</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VXLAN</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实配支持二层、三层</w:t>
            </w:r>
            <w:r>
              <w:rPr>
                <w:rFonts w:ascii="仿宋" w:eastAsia="仿宋" w:hAnsi="仿宋" w:cs="仿宋"/>
                <w:b w:val="0"/>
                <w:bCs w:val="0"/>
                <w:i w:val="0"/>
                <w:iCs w:val="0"/>
                <w:smallCaps w:val="0"/>
                <w:color w:val="000000"/>
                <w:sz w:val="20"/>
                <w:szCs w:val="20"/>
              </w:rPr>
              <w:t>Vxlan网关和BGP EVPN特性</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提供官网截图</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33</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25G交换机-配置和维护</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配置和维护</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支持</w:t>
            </w:r>
            <w:r>
              <w:rPr>
                <w:rFonts w:ascii="仿宋" w:eastAsia="仿宋" w:hAnsi="仿宋" w:cs="仿宋"/>
                <w:b w:val="0"/>
                <w:bCs w:val="0"/>
                <w:i w:val="0"/>
                <w:iCs w:val="0"/>
                <w:smallCaps w:val="0"/>
                <w:color w:val="000000"/>
                <w:sz w:val="20"/>
                <w:szCs w:val="20"/>
              </w:rPr>
              <w:t>SNMP、Telnet、RMON、SSH</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提供官网截图</w:t>
            </w:r>
          </w:p>
        </w:tc>
      </w:tr>
      <w:tr>
        <w:tblPrEx>
          <w:tblW w:w="9280" w:type="dxa"/>
          <w:jc w:val="center"/>
          <w:tblCellSpacing w:w="0" w:type="dxa"/>
          <w:tblInd w:w="138" w:type="dxa"/>
          <w:tblCellMar>
            <w:top w:w="15" w:type="dxa"/>
            <w:left w:w="15" w:type="dxa"/>
            <w:bottom w:w="15" w:type="dxa"/>
            <w:right w:w="15" w:type="dxa"/>
          </w:tblCellMar>
          <w:tblLook w:val="05E0"/>
        </w:tblPrEx>
        <w:trPr>
          <w:trHeight w:val="28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34</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25G交换机-MOD</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MOD</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支持</w:t>
            </w:r>
            <w:r>
              <w:rPr>
                <w:rFonts w:ascii="仿宋" w:eastAsia="仿宋" w:hAnsi="仿宋" w:cs="仿宋"/>
                <w:b w:val="0"/>
                <w:bCs w:val="0"/>
                <w:i w:val="0"/>
                <w:iCs w:val="0"/>
                <w:smallCaps w:val="0"/>
                <w:color w:val="000000"/>
                <w:sz w:val="20"/>
                <w:szCs w:val="20"/>
              </w:rPr>
              <w:t>MOD功能，不占用路由资源</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280" w:type="dxa"/>
          <w:jc w:val="center"/>
          <w:tblCellSpacing w:w="0" w:type="dxa"/>
          <w:tblInd w:w="138" w:type="dxa"/>
          <w:tblCellMar>
            <w:top w:w="15" w:type="dxa"/>
            <w:left w:w="15" w:type="dxa"/>
            <w:bottom w:w="15" w:type="dxa"/>
            <w:right w:w="15" w:type="dxa"/>
          </w:tblCellMar>
          <w:tblLook w:val="05E0"/>
        </w:tblPrEx>
        <w:trPr>
          <w:trHeight w:val="73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35</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25G交换机-无损网络</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 </w:t>
            </w: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无损网络</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支持无损网络</w:t>
            </w:r>
            <w:r>
              <w:rPr>
                <w:rFonts w:ascii="仿宋" w:eastAsia="仿宋" w:hAnsi="仿宋" w:cs="仿宋"/>
                <w:b w:val="0"/>
                <w:bCs w:val="0"/>
                <w:i w:val="0"/>
                <w:iCs w:val="0"/>
                <w:smallCaps w:val="0"/>
                <w:color w:val="000000"/>
                <w:sz w:val="20"/>
                <w:szCs w:val="20"/>
              </w:rPr>
              <w:t>RoCE（RoCEv1/RoCEv2功能）/RDMA，支持PFC、ECN、ETS、DCB</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 w:eastAsia="仿宋" w:hAnsi="仿宋" w:cs="仿宋"/>
                <w:b w:val="0"/>
                <w:bCs w:val="0"/>
                <w:i w:val="0"/>
                <w:iCs w:val="0"/>
                <w:smallCaps w:val="0"/>
                <w:color w:val="000000"/>
                <w:sz w:val="20"/>
                <w:szCs w:val="20"/>
              </w:rPr>
              <w:t>提供官网截图</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36</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板卡</w:t>
            </w:r>
            <w:r>
              <w:rPr>
                <w:rStyle w:val="16"/>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配置</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固定接口配置</w:t>
            </w:r>
          </w:p>
        </w:tc>
        <w:tc>
          <w:tcPr>
            <w:tcW w:w="3685" w:type="dxa"/>
            <w:tcBorders>
              <w:bottom w:val="single" w:sz="8" w:space="0" w:color="000000"/>
              <w:right w:val="single" w:sz="8" w:space="0" w:color="000000"/>
            </w:tcBorders>
            <w:noWrap w:val="0"/>
            <w:tcMar>
              <w:top w:w="0" w:type="dxa"/>
              <w:left w:w="108" w:type="dxa"/>
              <w:bottom w:w="0" w:type="dxa"/>
              <w:right w:w="128" w:type="dxa"/>
            </w:tcMar>
            <w:vAlign w:val="top"/>
            <w:hideMark/>
          </w:tcPr>
          <w:p>
            <w:pPr>
              <w:pStyle w:val="17"/>
              <w:spacing w:before="0" w:after="0"/>
              <w:ind w:left="0" w:right="0"/>
              <w:jc w:val="center"/>
              <w:textAlignment w:val="top"/>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48</w:t>
            </w:r>
            <w:r>
              <w:rPr>
                <w:rFonts w:ascii="SimSun" w:eastAsia="SimSun" w:hAnsi="SimSun" w:cs="SimSun"/>
                <w:b w:val="0"/>
                <w:bCs w:val="0"/>
                <w:i w:val="0"/>
                <w:iCs w:val="0"/>
                <w:smallCaps w:val="0"/>
                <w:color w:val="000000"/>
                <w:sz w:val="20"/>
                <w:szCs w:val="20"/>
              </w:rPr>
              <w:t>个</w:t>
            </w:r>
            <w:r>
              <w:rPr>
                <w:rStyle w:val="16"/>
                <w:rFonts w:ascii="仿宋_GB2312" w:eastAsia="仿宋_GB2312" w:hAnsi="仿宋_GB2312" w:cs="仿宋_GB2312"/>
                <w:b w:val="0"/>
                <w:bCs w:val="0"/>
                <w:i w:val="0"/>
                <w:iCs w:val="0"/>
                <w:smallCaps w:val="0"/>
                <w:color w:val="000000"/>
                <w:sz w:val="20"/>
                <w:szCs w:val="20"/>
              </w:rPr>
              <w:t>25G</w:t>
            </w:r>
            <w:r>
              <w:rPr>
                <w:rFonts w:ascii="SimSun" w:eastAsia="SimSun" w:hAnsi="SimSun" w:cs="SimSun"/>
                <w:b w:val="0"/>
                <w:bCs w:val="0"/>
                <w:i w:val="0"/>
                <w:iCs w:val="0"/>
                <w:smallCaps w:val="0"/>
                <w:color w:val="000000"/>
                <w:sz w:val="20"/>
                <w:szCs w:val="20"/>
              </w:rPr>
              <w:t>光口板卡</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280" w:type="dxa"/>
          <w:jc w:val="center"/>
          <w:tblCellSpacing w:w="0" w:type="dxa"/>
          <w:tblInd w:w="138" w:type="dxa"/>
          <w:tblCellMar>
            <w:top w:w="15" w:type="dxa"/>
            <w:left w:w="15" w:type="dxa"/>
            <w:bottom w:w="15" w:type="dxa"/>
            <w:right w:w="15" w:type="dxa"/>
          </w:tblCellMar>
          <w:tblLook w:val="05E0"/>
        </w:tblPrEx>
        <w:trPr>
          <w:trHeight w:val="49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37</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板卡</w:t>
            </w:r>
            <w:r>
              <w:rPr>
                <w:rStyle w:val="16"/>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配置要求</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配置要求</w:t>
            </w:r>
          </w:p>
        </w:tc>
        <w:tc>
          <w:tcPr>
            <w:tcW w:w="3685" w:type="dxa"/>
            <w:tcBorders>
              <w:bottom w:val="single" w:sz="8" w:space="0" w:color="000000"/>
              <w:right w:val="single" w:sz="8" w:space="0" w:color="000000"/>
            </w:tcBorders>
            <w:noWrap w:val="0"/>
            <w:tcMar>
              <w:top w:w="0" w:type="dxa"/>
              <w:left w:w="108" w:type="dxa"/>
              <w:bottom w:w="0" w:type="dxa"/>
              <w:right w:w="128" w:type="dxa"/>
            </w:tcMar>
            <w:vAlign w:val="top"/>
            <w:hideMark/>
          </w:tcPr>
          <w:p>
            <w:pPr>
              <w:pStyle w:val="17"/>
              <w:spacing w:before="0" w:after="0"/>
              <w:ind w:left="0" w:right="0"/>
              <w:jc w:val="center"/>
              <w:textAlignment w:val="top"/>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配置</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1</w:t>
            </w:r>
            <w:r>
              <w:rPr>
                <w:rFonts w:ascii="SimSun" w:eastAsia="SimSun" w:hAnsi="SimSun" w:cs="SimSun"/>
                <w:b w:val="0"/>
                <w:bCs w:val="0"/>
                <w:i w:val="0"/>
                <w:iCs w:val="0"/>
                <w:smallCaps w:val="0"/>
                <w:color w:val="000000"/>
                <w:sz w:val="20"/>
                <w:szCs w:val="20"/>
              </w:rPr>
              <w:t>块</w:t>
            </w:r>
            <w:r>
              <w:rPr>
                <w:rStyle w:val="16"/>
                <w:rFonts w:ascii="仿宋_GB2312" w:eastAsia="仿宋_GB2312" w:hAnsi="仿宋_GB2312" w:cs="仿宋_GB2312"/>
                <w:b w:val="0"/>
                <w:bCs w:val="0"/>
                <w:i w:val="0"/>
                <w:iCs w:val="0"/>
                <w:smallCaps w:val="0"/>
                <w:color w:val="000000"/>
                <w:sz w:val="20"/>
                <w:szCs w:val="20"/>
              </w:rPr>
              <w:t>48</w:t>
            </w:r>
            <w:r>
              <w:rPr>
                <w:rFonts w:ascii="SimSun" w:eastAsia="SimSun" w:hAnsi="SimSun" w:cs="SimSun"/>
                <w:b w:val="0"/>
                <w:bCs w:val="0"/>
                <w:i w:val="0"/>
                <w:iCs w:val="0"/>
                <w:smallCaps w:val="0"/>
                <w:color w:val="000000"/>
                <w:sz w:val="20"/>
                <w:szCs w:val="20"/>
              </w:rPr>
              <w:t>个</w:t>
            </w:r>
            <w:r>
              <w:rPr>
                <w:rStyle w:val="16"/>
                <w:rFonts w:ascii="仿宋_GB2312" w:eastAsia="仿宋_GB2312" w:hAnsi="仿宋_GB2312" w:cs="仿宋_GB2312"/>
                <w:b w:val="0"/>
                <w:bCs w:val="0"/>
                <w:i w:val="0"/>
                <w:iCs w:val="0"/>
                <w:smallCaps w:val="0"/>
                <w:color w:val="000000"/>
                <w:sz w:val="20"/>
                <w:szCs w:val="20"/>
              </w:rPr>
              <w:t>25G</w:t>
            </w:r>
            <w:r>
              <w:rPr>
                <w:rFonts w:ascii="SimSun" w:eastAsia="SimSun" w:hAnsi="SimSun" w:cs="SimSun"/>
                <w:b w:val="0"/>
                <w:bCs w:val="0"/>
                <w:i w:val="0"/>
                <w:iCs w:val="0"/>
                <w:smallCaps w:val="0"/>
                <w:color w:val="000000"/>
                <w:sz w:val="20"/>
                <w:szCs w:val="20"/>
              </w:rPr>
              <w:t>光口板卡，配置</w:t>
            </w:r>
            <w:r>
              <w:rPr>
                <w:rFonts w:ascii="SimSun" w:eastAsia="SimSun" w:hAnsi="SimSun" w:cs="SimSun"/>
                <w:b w:val="0"/>
                <w:bCs w:val="0"/>
                <w:i w:val="0"/>
                <w:iCs w:val="0"/>
                <w:smallCaps w:val="0"/>
                <w:color w:val="000000"/>
                <w:sz w:val="20"/>
                <w:szCs w:val="20"/>
              </w:rPr>
              <w:t>≥</w:t>
            </w:r>
            <w:r>
              <w:rPr>
                <w:rStyle w:val="16"/>
                <w:rFonts w:ascii="仿宋_GB2312" w:eastAsia="仿宋_GB2312" w:hAnsi="仿宋_GB2312" w:cs="仿宋_GB2312"/>
                <w:b w:val="0"/>
                <w:bCs w:val="0"/>
                <w:i w:val="0"/>
                <w:iCs w:val="0"/>
                <w:smallCaps w:val="0"/>
                <w:color w:val="000000"/>
                <w:sz w:val="20"/>
                <w:szCs w:val="20"/>
              </w:rPr>
              <w:t>48</w:t>
            </w:r>
            <w:r>
              <w:rPr>
                <w:rFonts w:ascii="SimSun" w:eastAsia="SimSun" w:hAnsi="SimSun" w:cs="SimSun"/>
                <w:b w:val="0"/>
                <w:bCs w:val="0"/>
                <w:i w:val="0"/>
                <w:iCs w:val="0"/>
                <w:smallCaps w:val="0"/>
                <w:color w:val="000000"/>
                <w:sz w:val="20"/>
                <w:szCs w:val="20"/>
              </w:rPr>
              <w:t>个</w:t>
            </w:r>
            <w:r>
              <w:rPr>
                <w:rStyle w:val="16"/>
                <w:rFonts w:ascii="仿宋_GB2312" w:eastAsia="仿宋_GB2312" w:hAnsi="仿宋_GB2312" w:cs="仿宋_GB2312"/>
                <w:b w:val="0"/>
                <w:bCs w:val="0"/>
                <w:i w:val="0"/>
                <w:iCs w:val="0"/>
                <w:smallCaps w:val="0"/>
                <w:color w:val="000000"/>
                <w:sz w:val="20"/>
                <w:szCs w:val="20"/>
              </w:rPr>
              <w:t>25G</w:t>
            </w:r>
            <w:r>
              <w:rPr>
                <w:rFonts w:ascii="SimSun" w:eastAsia="SimSun" w:hAnsi="SimSun" w:cs="SimSun"/>
                <w:b w:val="0"/>
                <w:bCs w:val="0"/>
                <w:i w:val="0"/>
                <w:iCs w:val="0"/>
                <w:smallCaps w:val="0"/>
                <w:color w:val="000000"/>
                <w:sz w:val="20"/>
                <w:szCs w:val="20"/>
              </w:rPr>
              <w:t>多模光模块</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r>
        <w:tblPrEx>
          <w:tblW w:w="9280" w:type="dxa"/>
          <w:jc w:val="center"/>
          <w:tblCellSpacing w:w="0" w:type="dxa"/>
          <w:tblInd w:w="138" w:type="dxa"/>
          <w:tblCellMar>
            <w:top w:w="15" w:type="dxa"/>
            <w:left w:w="15" w:type="dxa"/>
            <w:bottom w:w="15" w:type="dxa"/>
            <w:right w:w="15" w:type="dxa"/>
          </w:tblCellMar>
          <w:tblLook w:val="05E0"/>
        </w:tblPrEx>
        <w:trPr>
          <w:trHeight w:val="285"/>
          <w:tblCellSpacing w:w="0" w:type="dxa"/>
          <w:jc w:val="center"/>
        </w:trPr>
        <w:tc>
          <w:tcPr>
            <w:tcW w:w="620"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仿宋_GB2312" w:eastAsia="仿宋_GB2312" w:hAnsi="仿宋_GB2312" w:cs="仿宋_GB2312"/>
                <w:b w:val="0"/>
                <w:bCs w:val="0"/>
                <w:i w:val="0"/>
                <w:iCs w:val="0"/>
                <w:smallCaps w:val="0"/>
                <w:color w:val="000000"/>
                <w:sz w:val="20"/>
                <w:szCs w:val="20"/>
              </w:rPr>
              <w:t>38</w:t>
            </w:r>
          </w:p>
        </w:tc>
        <w:tc>
          <w:tcPr>
            <w:tcW w:w="14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板卡</w:t>
            </w:r>
            <w:r>
              <w:rPr>
                <w:rStyle w:val="16"/>
                <w:rFonts w:ascii="仿宋_GB2312" w:eastAsia="仿宋_GB2312" w:hAnsi="仿宋_GB2312" w:cs="仿宋_GB2312"/>
                <w:b w:val="0"/>
                <w:bCs w:val="0"/>
                <w:i w:val="0"/>
                <w:iCs w:val="0"/>
                <w:smallCaps w:val="0"/>
                <w:color w:val="000000"/>
                <w:sz w:val="20"/>
                <w:szCs w:val="20"/>
              </w:rPr>
              <w:t>-</w:t>
            </w:r>
            <w:r>
              <w:rPr>
                <w:rFonts w:ascii="SimSun" w:eastAsia="SimSun" w:hAnsi="SimSun" w:cs="SimSun"/>
                <w:b w:val="0"/>
                <w:bCs w:val="0"/>
                <w:i w:val="0"/>
                <w:iCs w:val="0"/>
                <w:smallCaps w:val="0"/>
                <w:color w:val="000000"/>
                <w:sz w:val="20"/>
                <w:szCs w:val="20"/>
              </w:rPr>
              <w:t>维保服务</w:t>
            </w:r>
          </w:p>
        </w:tc>
        <w:tc>
          <w:tcPr>
            <w:tcW w:w="777"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w:t>
            </w:r>
          </w:p>
        </w:tc>
        <w:tc>
          <w:tcPr>
            <w:tcW w:w="1260"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维保服务</w:t>
            </w:r>
          </w:p>
        </w:tc>
        <w:tc>
          <w:tcPr>
            <w:tcW w:w="3685"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需要提供原厂三年维保服务</w:t>
            </w:r>
          </w:p>
        </w:tc>
        <w:tc>
          <w:tcPr>
            <w:tcW w:w="1452"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17"/>
              <w:spacing w:before="0" w:after="0"/>
              <w:ind w:left="0" w:right="0"/>
              <w:jc w:val="center"/>
              <w:textAlignment w:val="center"/>
              <w:rPr>
                <w:b w:val="0"/>
                <w:bCs w:val="0"/>
                <w:i w:val="0"/>
                <w:iCs w:val="0"/>
                <w:smallCaps w:val="0"/>
                <w:color w:val="000000"/>
                <w:sz w:val="20"/>
                <w:szCs w:val="20"/>
              </w:rPr>
            </w:pPr>
            <w:r>
              <w:rPr>
                <w:rFonts w:ascii="SimSun" w:eastAsia="SimSun" w:hAnsi="SimSun" w:cs="SimSun"/>
                <w:b w:val="0"/>
                <w:bCs w:val="0"/>
                <w:i w:val="0"/>
                <w:iCs w:val="0"/>
                <w:smallCaps w:val="0"/>
                <w:color w:val="000000"/>
                <w:sz w:val="20"/>
                <w:szCs w:val="20"/>
              </w:rPr>
              <w:t>提供承诺书</w:t>
            </w:r>
          </w:p>
        </w:tc>
      </w:tr>
    </w:tbl>
    <w:p>
      <w:pPr>
        <w:pStyle w:val="Normal0"/>
        <w:spacing w:before="0" w:after="0" w:line="360" w:lineRule="auto"/>
        <w:jc w:val="left"/>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B0604020202020204"/>
    <w:charset w:val="00"/>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Microsoft YaHei">
    <w:altName w:val="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pStyle w:val="Normal0"/>
      <w:spacing w:before="0" w:after="0" w:line="360" w:lineRule="auto"/>
      <w:jc w:val="center"/>
    </w:pPr>
    <w:r>
      <w:fldChar w:fldCharType="begin"/>
    </w:r>
    <w:r>
      <w:instrText xml:space="preserve"> PAGE </w:instrText>
    </w:r>
    <w:r>
      <w:fldChar w:fldCharType="separate"/>
    </w:r>
    <w:r>
      <w:t>21</w:t>
    </w:r>
    <w:r>
      <w:fldChar w:fldCharType="end"/>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1">
    <w:nsid w:val="00000002"/>
    <w:multiLevelType w:val="multilevel"/>
    <w:tmpl w:val="00000002"/>
    <w:lvl w:ilvl="0">
      <w:start w:val="1"/>
      <w:numFmt w:val="decimal"/>
      <w:pStyle w:val="10"/>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ocId w14:val="73E2B2E4"/>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Normal">
    <w:name w:val="Normal"/>
    <w:next w:val="BodyText"/>
    <w:qFormat/>
    <w:pPr>
      <w:widowControl w:val="0"/>
      <w:spacing w:after="160" w:line="259" w:lineRule="auto"/>
      <w:jc w:val="both"/>
    </w:pPr>
    <w:rPr>
      <w:kern w:val="2"/>
      <w:sz w:val="21"/>
      <w:szCs w:val="24"/>
      <w:lang w:val="en-US"/>
    </w:rPr>
  </w:style>
  <w:style w:type="paragraph" w:styleId="Heading1">
    <w:name w:val="heading 1"/>
    <w:basedOn w:val="Normal"/>
    <w:next w:val="Normal"/>
    <w:link w:val="Heading1Char"/>
    <w:qFormat/>
    <w:pPr>
      <w:keepNext/>
      <w:keepLines/>
      <w:spacing w:before="340" w:after="330" w:line="576" w:lineRule="auto"/>
      <w:outlineLvl w:val="0"/>
    </w:pPr>
    <w:rPr>
      <w:b/>
      <w:bCs/>
      <w:kern w:val="44"/>
      <w:sz w:val="44"/>
      <w:szCs w:val="44"/>
    </w:rPr>
  </w:style>
  <w:style w:type="paragraph" w:styleId="Heading2">
    <w:name w:val="heading 2"/>
    <w:basedOn w:val="Heading1"/>
    <w:next w:val="Heading3"/>
    <w:qFormat/>
    <w:pPr>
      <w:numPr>
        <w:ilvl w:val="1"/>
        <w:numId w:val="1"/>
      </w:numPr>
      <w:tabs>
        <w:tab w:val="left" w:pos="2400"/>
      </w:tabs>
      <w:spacing w:before="260" w:afterLines="50" w:line="416" w:lineRule="auto"/>
      <w:outlineLvl w:val="1"/>
    </w:pPr>
    <w:rPr>
      <w:rFonts w:ascii="Arial" w:eastAsia="SimHei" w:hAnsi="Arial" w:cs="Calibri"/>
      <w:sz w:val="32"/>
      <w:szCs w:val="32"/>
    </w:rPr>
  </w:style>
  <w:style w:type="paragraph" w:styleId="Heading3">
    <w:name w:val="heading 3"/>
    <w:basedOn w:val="Normal"/>
    <w:next w:val="Normal"/>
    <w:link w:val="Heading3Char"/>
    <w:qFormat/>
    <w:pPr>
      <w:keepNext/>
      <w:keepLines/>
      <w:tabs>
        <w:tab w:val="left" w:pos="0"/>
      </w:tabs>
      <w:spacing w:before="260" w:after="260" w:line="415" w:lineRule="auto"/>
      <w:outlineLvl w:val="2"/>
    </w:pPr>
    <w:rPr>
      <w:b/>
      <w:sz w:val="32"/>
      <w:szCs w:val="32"/>
    </w:rPr>
  </w:style>
  <w:style w:type="paragraph" w:styleId="Heading4">
    <w:name w:val="heading 4"/>
    <w:basedOn w:val="Normal"/>
    <w:next w:val="Normal"/>
    <w:link w:val="Heading4Char"/>
    <w:qFormat/>
    <w:pPr>
      <w:keepNext/>
      <w:autoSpaceDE w:val="0"/>
      <w:autoSpaceDN w:val="0"/>
      <w:adjustRightInd w:val="0"/>
      <w:jc w:val="left"/>
      <w:outlineLvl w:val="3"/>
    </w:pPr>
    <w:rPr>
      <w:rFonts w:ascii="SimSun" w:hAnsi="SimSun"/>
      <w:color w:val="0000FF"/>
      <w:kern w:val="0"/>
      <w:sz w:val="28"/>
      <w:szCs w:val="20"/>
    </w:rPr>
  </w:style>
  <w:style w:type="paragraph" w:styleId="Heading5">
    <w:name w:val="heading 5"/>
    <w:basedOn w:val="Normal"/>
    <w:next w:val="Normal"/>
    <w:link w:val="Heading5Char"/>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Heading6">
    <w:name w:val="heading 6"/>
    <w:basedOn w:val="Normal"/>
    <w:next w:val="Normal"/>
    <w:link w:val="Heading6Char"/>
    <w:qFormat/>
    <w:pPr>
      <w:keepNext/>
      <w:keepLines/>
      <w:tabs>
        <w:tab w:val="left" w:pos="1152"/>
      </w:tabs>
      <w:spacing w:before="240" w:after="64" w:line="319" w:lineRule="auto"/>
      <w:ind w:left="1152" w:hanging="1152"/>
      <w:outlineLvl w:val="5"/>
    </w:pPr>
    <w:rPr>
      <w:rFonts w:ascii="Arial" w:eastAsia="SimHei" w:hAnsi="Arial"/>
      <w:b/>
      <w:bCs/>
      <w:sz w:val="24"/>
    </w:rPr>
  </w:style>
  <w:style w:type="paragraph" w:styleId="Heading7">
    <w:name w:val="heading 7"/>
    <w:basedOn w:val="Normal"/>
    <w:next w:val="Normal"/>
    <w:link w:val="Heading7Char"/>
    <w:qFormat/>
    <w:pPr>
      <w:keepNext/>
      <w:keepLines/>
      <w:tabs>
        <w:tab w:val="left" w:pos="1296"/>
      </w:tabs>
      <w:spacing w:before="240" w:after="64" w:line="319" w:lineRule="auto"/>
      <w:ind w:left="1296" w:hanging="1296"/>
      <w:outlineLvl w:val="6"/>
    </w:pPr>
    <w:rPr>
      <w:b/>
      <w:bCs/>
      <w:sz w:val="24"/>
    </w:rPr>
  </w:style>
  <w:style w:type="paragraph" w:styleId="Heading8">
    <w:name w:val="heading 8"/>
    <w:basedOn w:val="Normal"/>
    <w:next w:val="Normal"/>
    <w:link w:val="Heading8Char"/>
    <w:qFormat/>
    <w:pPr>
      <w:keepNext/>
      <w:keepLines/>
      <w:tabs>
        <w:tab w:val="left" w:pos="1440"/>
      </w:tabs>
      <w:spacing w:before="240" w:after="64" w:line="319" w:lineRule="auto"/>
      <w:ind w:left="1440" w:hanging="1440"/>
      <w:outlineLvl w:val="7"/>
    </w:pPr>
    <w:rPr>
      <w:rFonts w:ascii="Arial" w:eastAsia="SimHei" w:hAnsi="Arial"/>
      <w:sz w:val="24"/>
    </w:rPr>
  </w:style>
  <w:style w:type="paragraph" w:styleId="Heading9">
    <w:name w:val="heading 9"/>
    <w:basedOn w:val="Normal"/>
    <w:next w:val="Normal"/>
    <w:link w:val="Heading9Char"/>
    <w:qFormat/>
    <w:pPr>
      <w:keepNext/>
      <w:keepLines/>
      <w:tabs>
        <w:tab w:val="left" w:pos="1584"/>
      </w:tabs>
      <w:spacing w:before="240" w:after="64" w:line="319" w:lineRule="auto"/>
      <w:ind w:left="1584" w:hanging="1584"/>
      <w:outlineLvl w:val="8"/>
    </w:pPr>
    <w:rPr>
      <w:rFonts w:ascii="Arial" w:eastAsia="SimHei" w:hAnsi="Arial"/>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after="120"/>
    </w:pPr>
  </w:style>
  <w:style w:type="paragraph" w:styleId="BalloonText">
    <w:name w:val="Balloon Text"/>
    <w:basedOn w:val="Normal"/>
    <w:link w:val="BalloonTextChar"/>
    <w:qFormat/>
    <w:rPr>
      <w:kern w:val="0"/>
      <w:sz w:val="18"/>
      <w:szCs w:val="18"/>
    </w:rPr>
  </w:style>
  <w:style w:type="paragraph" w:styleId="BodyText2">
    <w:name w:val="Body Text 2"/>
    <w:basedOn w:val="Normal"/>
    <w:link w:val="BodyText2Char"/>
    <w:qFormat/>
    <w:rPr>
      <w:rFonts w:ascii="FangSong_GB2312" w:eastAsia="FangSong_GB2312"/>
      <w:kern w:val="0"/>
      <w:sz w:val="28"/>
      <w:szCs w:val="20"/>
    </w:rPr>
  </w:style>
  <w:style w:type="paragraph" w:styleId="BodyText3">
    <w:name w:val="Body Text 3"/>
    <w:basedOn w:val="Normal"/>
    <w:uiPriority w:val="99"/>
    <w:unhideWhenUsed/>
    <w:qFormat/>
    <w:pPr>
      <w:widowControl/>
      <w:kinsoku w:val="0"/>
      <w:autoSpaceDE w:val="0"/>
      <w:autoSpaceDN w:val="0"/>
      <w:adjustRightInd w:val="0"/>
      <w:snapToGrid w:val="0"/>
      <w:spacing w:after="120"/>
      <w:jc w:val="left"/>
      <w:textAlignment w:val="baseline"/>
    </w:pPr>
    <w:rPr>
      <w:rFonts w:ascii="Cambria" w:eastAsia="Microsoft YaHei" w:hAnsi="Cambria" w:cs="Arial"/>
      <w:snapToGrid w:val="0"/>
      <w:color w:val="595959"/>
      <w:kern w:val="20"/>
      <w:sz w:val="16"/>
      <w:szCs w:val="20"/>
      <w:lang w:val="zh-CN" w:eastAsia="en-US"/>
    </w:rPr>
  </w:style>
  <w:style w:type="paragraph" w:styleId="BodyTextFirstIndent">
    <w:name w:val="Body Text First Indent"/>
    <w:basedOn w:val="BodyText"/>
    <w:link w:val="BodyTextFirstIndentChar"/>
    <w:qFormat/>
    <w:pPr>
      <w:ind w:firstLine="420" w:firstLineChars="100"/>
    </w:pPr>
    <w:rPr>
      <w:kern w:val="0"/>
      <w:sz w:val="20"/>
    </w:rPr>
  </w:style>
  <w:style w:type="paragraph" w:styleId="BodyTextIndent">
    <w:name w:val="Body Text Indent"/>
    <w:basedOn w:val="Normal"/>
    <w:link w:val="BodyTextIndentChar"/>
    <w:qFormat/>
    <w:pPr>
      <w:ind w:firstLine="360"/>
    </w:pPr>
    <w:rPr>
      <w:kern w:val="0"/>
      <w:sz w:val="20"/>
      <w:szCs w:val="20"/>
    </w:rPr>
  </w:style>
  <w:style w:type="paragraph" w:styleId="BodyTextIndent2">
    <w:name w:val="Body Text Indent 2"/>
    <w:basedOn w:val="Normal"/>
    <w:link w:val="BodyTextIndent2Char"/>
    <w:qFormat/>
    <w:pPr>
      <w:ind w:firstLine="630"/>
    </w:pPr>
    <w:rPr>
      <w:rFonts w:ascii="SimSun"/>
      <w:kern w:val="0"/>
      <w:sz w:val="28"/>
      <w:szCs w:val="20"/>
    </w:rPr>
  </w:style>
  <w:style w:type="paragraph" w:styleId="BodyTextIndent3">
    <w:name w:val="Body Text Indent 3"/>
    <w:basedOn w:val="Normal"/>
    <w:link w:val="BodyTextIndent3Char"/>
    <w:qFormat/>
    <w:pPr>
      <w:spacing w:line="360" w:lineRule="auto"/>
      <w:ind w:firstLine="480" w:firstLineChars="200"/>
      <w:jc w:val="left"/>
    </w:pPr>
    <w:rPr>
      <w:kern w:val="0"/>
      <w:sz w:val="24"/>
      <w:szCs w:val="20"/>
    </w:rPr>
  </w:style>
  <w:style w:type="paragraph" w:styleId="CommentText">
    <w:name w:val="annotation text"/>
    <w:basedOn w:val="Normal"/>
    <w:qFormat/>
    <w:pPr>
      <w:jc w:val="left"/>
    </w:pPr>
  </w:style>
  <w:style w:type="paragraph" w:styleId="Date">
    <w:name w:val="Date"/>
    <w:basedOn w:val="Normal"/>
    <w:next w:val="Normal"/>
    <w:link w:val="DateChar"/>
    <w:qFormat/>
    <w:pPr>
      <w:ind w:left="100" w:leftChars="2500"/>
    </w:pPr>
    <w:rPr>
      <w:kern w:val="0"/>
      <w:sz w:val="20"/>
    </w:rPr>
  </w:style>
  <w:style w:type="paragraph" w:styleId="DocumentMap">
    <w:name w:val="Document Map"/>
    <w:basedOn w:val="Normal"/>
    <w:link w:val="DocumentMapChar"/>
    <w:qFormat/>
    <w:pPr>
      <w:shd w:val="clear" w:color="auto" w:fill="000080"/>
    </w:pPr>
    <w:rPr>
      <w:kern w:val="0"/>
      <w:sz w:val="20"/>
      <w:shd w:val="clear" w:color="auto" w:fill="000080"/>
    </w:rPr>
  </w:style>
  <w:style w:type="character" w:styleId="FollowedHyperlink">
    <w:name w:val="FollowedHyperlink"/>
    <w:qFormat/>
    <w:rPr>
      <w:rFonts w:ascii="Microsoft YaHei" w:eastAsia="Microsoft YaHei" w:hAnsi="Microsoft YaHei" w:cs="Microsoft YaHei" w:hint="eastAsia"/>
      <w:color w:val="02396F"/>
      <w:u w:val="single"/>
    </w:rPr>
  </w:style>
  <w:style w:type="paragraph" w:styleId="Footer">
    <w:name w:val="footer"/>
    <w:basedOn w:val="Normal"/>
    <w:link w:val="FooterChar"/>
    <w:qFormat/>
    <w:pPr>
      <w:tabs>
        <w:tab w:val="center" w:pos="4140"/>
        <w:tab w:val="right" w:pos="8300"/>
      </w:tabs>
      <w:snapToGrid w:val="0"/>
      <w:spacing w:after="0"/>
      <w:jc w:val="left"/>
    </w:pPr>
    <w:rPr>
      <w:kern w:val="0"/>
      <w:sz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kern w:val="0"/>
      <w:sz w:val="18"/>
      <w:szCs w:val="18"/>
    </w:rPr>
  </w:style>
  <w:style w:type="character" w:styleId="Hyperlink">
    <w:name w:val="Hyperlink"/>
    <w:qFormat/>
    <w:rPr>
      <w:rFonts w:ascii="Times New Roman" w:eastAsia="SimSun" w:hAnsi="Times New Roman" w:cs="Times New Roman"/>
      <w:color w:val="0000FF"/>
      <w:u w:val="single"/>
    </w:rPr>
  </w:style>
  <w:style w:type="paragraph" w:styleId="ListNumber2">
    <w:name w:val="List Number 2"/>
    <w:basedOn w:val="Normal"/>
    <w:qFormat/>
    <w:pPr>
      <w:numPr>
        <w:numId w:val="2"/>
      </w:numPr>
    </w:pPr>
  </w:style>
  <w:style w:type="paragraph" w:styleId="NormalWeb">
    <w:name w:val="Normal (Web)"/>
    <w:basedOn w:val="Normal"/>
    <w:qFormat/>
    <w:pPr>
      <w:spacing w:before="100" w:beforeAutospacing="1" w:after="100" w:afterAutospacing="1"/>
      <w:jc w:val="left"/>
    </w:pPr>
    <w:rPr>
      <w:kern w:val="0"/>
      <w:sz w:val="24"/>
    </w:rPr>
  </w:style>
  <w:style w:type="character" w:styleId="PageNumber">
    <w:name w:val="page number"/>
    <w:qFormat/>
    <w:rPr>
      <w:rFonts w:ascii="Times New Roman" w:eastAsia="SimSun" w:hAnsi="Times New Roman" w:cs="Times New Roman"/>
    </w:rPr>
  </w:style>
  <w:style w:type="paragraph" w:styleId="PlainText">
    <w:name w:val="Plain Text"/>
    <w:basedOn w:val="Normal"/>
    <w:link w:val="PlainTextChar"/>
    <w:qFormat/>
    <w:pPr>
      <w:spacing w:after="0"/>
    </w:pPr>
    <w:rPr>
      <w:rFonts w:ascii="SimSun" w:hAnsi="Courier New"/>
      <w:kern w:val="0"/>
      <w:sz w:val="20"/>
      <w:szCs w:val="21"/>
    </w:rPr>
  </w:style>
  <w:style w:type="character" w:styleId="Strong">
    <w:name w:val="Strong"/>
    <w:qFormat/>
    <w:rPr>
      <w:rFonts w:ascii="Times New Roman" w:eastAsia="SimSun" w:hAnsi="Times New Roman" w:cs="Times New Roman"/>
      <w:b/>
    </w:rPr>
  </w:style>
  <w:style w:type="paragraph" w:styleId="Title">
    <w:name w:val="Title"/>
    <w:basedOn w:val="Normal"/>
    <w:link w:val="TitleChar"/>
    <w:qFormat/>
    <w:pPr>
      <w:spacing w:before="240" w:after="60"/>
      <w:jc w:val="center"/>
      <w:outlineLvl w:val="0"/>
    </w:pPr>
    <w:rPr>
      <w:rFonts w:ascii="Cambria" w:hAnsi="Cambria"/>
      <w:b/>
      <w:bCs/>
      <w:kern w:val="0"/>
      <w:sz w:val="32"/>
      <w:szCs w:val="32"/>
    </w:rPr>
  </w:style>
  <w:style w:type="paragraph" w:styleId="TOC1">
    <w:name w:val="toc 1"/>
    <w:basedOn w:val="Normal"/>
    <w:next w:val="Normal"/>
    <w:qFormat/>
    <w:pPr>
      <w:spacing w:before="120" w:after="120"/>
      <w:jc w:val="left"/>
    </w:pPr>
    <w:rPr>
      <w:rFonts w:ascii="仿宋_GB2312" w:eastAsia="仿宋_GB2312" w:hAnsi="仿宋_GB2312" w:cs="仿宋_GB2312"/>
      <w:b w:val="0"/>
      <w:bCs/>
      <w:caps/>
      <w:color w:val="000000"/>
      <w:sz w:val="24"/>
      <w:szCs w:val="20"/>
    </w:rPr>
  </w:style>
  <w:style w:type="character" w:customStyle="1" w:styleId="BodyTextChar">
    <w:name w:val="Body Text Char"/>
    <w:link w:val="BodyText"/>
    <w:qFormat/>
    <w:rPr>
      <w:rFonts w:ascii="Times New Roman" w:eastAsia="SimSun" w:hAnsi="Times New Roman" w:cs="Times New Roman"/>
      <w:kern w:val="2"/>
      <w:sz w:val="21"/>
      <w:szCs w:val="24"/>
      <w:lang w:val="en-US" w:eastAsia="zh-CN" w:bidi="ar-SA"/>
    </w:rPr>
  </w:style>
  <w:style w:type="character" w:customStyle="1" w:styleId="Heading1Char">
    <w:name w:val="Heading 1 Char"/>
    <w:link w:val="Heading1"/>
    <w:qFormat/>
    <w:rPr>
      <w:rFonts w:ascii="Times New Roman" w:eastAsia="SimSun" w:hAnsi="Times New Roman" w:cs="Times New Roman"/>
      <w:b/>
      <w:bCs/>
      <w:kern w:val="44"/>
      <w:sz w:val="44"/>
      <w:szCs w:val="44"/>
      <w:lang w:val="en-US" w:eastAsia="zh-CN" w:bidi="ar-SA"/>
    </w:rPr>
  </w:style>
  <w:style w:type="character" w:customStyle="1" w:styleId="Heading3Char">
    <w:name w:val="Heading 3 Char"/>
    <w:link w:val="Heading3"/>
    <w:qFormat/>
    <w:rPr>
      <w:rFonts w:ascii="Times New Roman" w:eastAsia="SimSun" w:hAnsi="Times New Roman" w:cs="Times New Roman"/>
      <w:b/>
      <w:bCs/>
      <w:kern w:val="2"/>
      <w:sz w:val="32"/>
      <w:szCs w:val="32"/>
      <w:lang w:val="en-US" w:eastAsia="zh-CN" w:bidi="ar-SA"/>
    </w:rPr>
  </w:style>
  <w:style w:type="character" w:customStyle="1" w:styleId="Heading4Char">
    <w:name w:val="Heading 4 Char"/>
    <w:link w:val="Heading4"/>
    <w:qFormat/>
    <w:rPr>
      <w:rFonts w:ascii="SimSun" w:eastAsia="SimSun" w:hAnsi="SimSun" w:cs="Times New Roman"/>
      <w:color w:val="0000FF"/>
      <w:sz w:val="28"/>
      <w:lang w:val="en-US" w:eastAsia="zh-CN" w:bidi="ar-SA"/>
    </w:rPr>
  </w:style>
  <w:style w:type="character" w:customStyle="1" w:styleId="Heading5Char">
    <w:name w:val="Heading 5 Char"/>
    <w:link w:val="Heading5"/>
    <w:qFormat/>
    <w:rPr>
      <w:rFonts w:ascii="Verdana" w:eastAsia="SimSun" w:hAnsi="Verdana" w:cs="Times New Roman"/>
      <w:b/>
      <w:bCs/>
      <w:kern w:val="2"/>
      <w:sz w:val="28"/>
      <w:szCs w:val="28"/>
      <w:lang w:val="en-US" w:eastAsia="zh-CN" w:bidi="ar-SA"/>
    </w:rPr>
  </w:style>
  <w:style w:type="character" w:customStyle="1" w:styleId="Heading6Char">
    <w:name w:val="Heading 6 Char"/>
    <w:link w:val="Heading6"/>
    <w:qFormat/>
    <w:rPr>
      <w:rFonts w:ascii="Arial" w:eastAsia="SimHei" w:hAnsi="Arial" w:cs="Times New Roman"/>
      <w:b/>
      <w:bCs/>
      <w:kern w:val="2"/>
      <w:sz w:val="24"/>
      <w:szCs w:val="24"/>
      <w:lang w:val="en-US" w:eastAsia="zh-CN" w:bidi="ar-SA"/>
    </w:rPr>
  </w:style>
  <w:style w:type="character" w:customStyle="1" w:styleId="Heading7Char">
    <w:name w:val="Heading 7 Char"/>
    <w:link w:val="Heading7"/>
    <w:qFormat/>
    <w:rPr>
      <w:rFonts w:ascii="Times New Roman" w:eastAsia="SimSun" w:hAnsi="Times New Roman" w:cs="Times New Roman"/>
      <w:b/>
      <w:bCs/>
      <w:kern w:val="2"/>
      <w:sz w:val="24"/>
      <w:szCs w:val="24"/>
      <w:lang w:val="en-US" w:eastAsia="zh-CN" w:bidi="ar-SA"/>
    </w:rPr>
  </w:style>
  <w:style w:type="character" w:customStyle="1" w:styleId="Heading8Char">
    <w:name w:val="Heading 8 Char"/>
    <w:link w:val="Heading8"/>
    <w:qFormat/>
    <w:rPr>
      <w:rFonts w:ascii="Arial" w:eastAsia="SimHei" w:hAnsi="Arial" w:cs="Times New Roman"/>
      <w:kern w:val="2"/>
      <w:sz w:val="24"/>
      <w:szCs w:val="24"/>
      <w:lang w:val="en-US" w:eastAsia="zh-CN" w:bidi="ar-SA"/>
    </w:rPr>
  </w:style>
  <w:style w:type="character" w:customStyle="1" w:styleId="Heading9Char">
    <w:name w:val="Heading 9 Char"/>
    <w:link w:val="Heading9"/>
    <w:qFormat/>
    <w:rPr>
      <w:rFonts w:ascii="Arial" w:eastAsia="SimHei" w:hAnsi="Arial" w:cs="Times New Roman"/>
      <w:kern w:val="2"/>
      <w:sz w:val="21"/>
      <w:szCs w:val="21"/>
      <w:lang w:val="en-US" w:eastAsia="zh-CN" w:bidi="ar-SA"/>
    </w:rPr>
  </w:style>
  <w:style w:type="character" w:customStyle="1" w:styleId="DocumentMapChar">
    <w:name w:val="Document Map Char"/>
    <w:link w:val="DocumentMap"/>
    <w:qFormat/>
    <w:rPr>
      <w:rFonts w:ascii="Times New Roman" w:eastAsia="SimSun" w:hAnsi="Times New Roman" w:cs="Times New Roman"/>
      <w:szCs w:val="24"/>
      <w:shd w:val="clear" w:color="auto" w:fill="000080"/>
      <w:lang w:bidi="ar-SA"/>
    </w:rPr>
  </w:style>
  <w:style w:type="character" w:customStyle="1" w:styleId="BodyTextIndentChar">
    <w:name w:val="Body Text Indent Char"/>
    <w:link w:val="BodyTextIndent"/>
    <w:qFormat/>
    <w:rPr>
      <w:rFonts w:ascii="Times New Roman" w:eastAsia="SimSun" w:hAnsi="Times New Roman" w:cs="Times New Roman"/>
      <w:lang w:bidi="ar-SA"/>
    </w:rPr>
  </w:style>
  <w:style w:type="character" w:customStyle="1" w:styleId="PlainTextChar">
    <w:name w:val="Plain Text Char"/>
    <w:link w:val="PlainText"/>
    <w:qFormat/>
    <w:rPr>
      <w:rFonts w:ascii="SimSun" w:eastAsia="SimSun" w:hAnsi="Courier New" w:cs="Times New Roman"/>
      <w:szCs w:val="21"/>
      <w:lang w:bidi="ar-SA"/>
    </w:rPr>
  </w:style>
  <w:style w:type="character" w:customStyle="1" w:styleId="DateChar">
    <w:name w:val="Date Char"/>
    <w:link w:val="Date"/>
    <w:qFormat/>
    <w:rPr>
      <w:rFonts w:ascii="Times New Roman" w:eastAsia="SimSun" w:hAnsi="Times New Roman" w:cs="Times New Roman"/>
      <w:szCs w:val="24"/>
      <w:lang w:bidi="ar-SA"/>
    </w:rPr>
  </w:style>
  <w:style w:type="character" w:customStyle="1" w:styleId="BodyTextIndent2Char">
    <w:name w:val="Body Text Indent 2 Char"/>
    <w:link w:val="BodyTextIndent2"/>
    <w:qFormat/>
    <w:rPr>
      <w:rFonts w:ascii="SimSun" w:eastAsia="SimSun" w:hAnsi="Times New Roman" w:cs="Times New Roman"/>
      <w:sz w:val="28"/>
      <w:lang w:bidi="ar-SA"/>
    </w:rPr>
  </w:style>
  <w:style w:type="character" w:customStyle="1" w:styleId="BalloonTextChar">
    <w:name w:val="Balloon Text Char"/>
    <w:link w:val="BalloonText"/>
    <w:qFormat/>
    <w:rPr>
      <w:rFonts w:ascii="Times New Roman" w:eastAsia="SimSun" w:hAnsi="Times New Roman" w:cs="Times New Roman"/>
      <w:sz w:val="18"/>
      <w:szCs w:val="18"/>
      <w:lang w:bidi="ar-SA"/>
    </w:rPr>
  </w:style>
  <w:style w:type="character" w:customStyle="1" w:styleId="FooterChar">
    <w:name w:val="Footer Char"/>
    <w:link w:val="Footer"/>
    <w:qFormat/>
    <w:rPr>
      <w:rFonts w:ascii="Times New Roman" w:eastAsia="SimSun" w:hAnsi="Times New Roman" w:cs="Times New Roman"/>
      <w:sz w:val="18"/>
      <w:szCs w:val="24"/>
      <w:lang w:bidi="ar-SA"/>
    </w:rPr>
  </w:style>
  <w:style w:type="character" w:customStyle="1" w:styleId="HeaderChar">
    <w:name w:val="Header Char"/>
    <w:link w:val="Header"/>
    <w:qFormat/>
    <w:rPr>
      <w:rFonts w:ascii="Times New Roman" w:eastAsia="SimSun" w:hAnsi="Times New Roman" w:cs="Times New Roman"/>
      <w:sz w:val="18"/>
      <w:szCs w:val="18"/>
      <w:lang w:bidi="ar-SA"/>
    </w:rPr>
  </w:style>
  <w:style w:type="character" w:customStyle="1" w:styleId="BodyTextIndent3Char">
    <w:name w:val="Body Text Indent 3 Char"/>
    <w:link w:val="BodyTextIndent3"/>
    <w:qFormat/>
    <w:rPr>
      <w:rFonts w:ascii="Times New Roman" w:eastAsia="SimSun" w:hAnsi="Times New Roman" w:cs="Times New Roman"/>
      <w:sz w:val="24"/>
      <w:lang w:bidi="ar-SA"/>
    </w:rPr>
  </w:style>
  <w:style w:type="character" w:customStyle="1" w:styleId="BodyText2Char">
    <w:name w:val="Body Text 2 Char"/>
    <w:link w:val="BodyText2"/>
    <w:qFormat/>
    <w:rPr>
      <w:rFonts w:ascii="FangSong_GB2312" w:eastAsia="FangSong_GB2312" w:hAnsi="Times New Roman" w:cs="Times New Roman"/>
      <w:sz w:val="28"/>
      <w:lang w:bidi="ar-SA"/>
    </w:rPr>
  </w:style>
  <w:style w:type="character" w:customStyle="1" w:styleId="TitleChar">
    <w:name w:val="Title Char"/>
    <w:link w:val="Title"/>
    <w:qFormat/>
    <w:rPr>
      <w:rFonts w:ascii="Cambria" w:eastAsia="SimSun" w:hAnsi="Cambria" w:cs="Times New Roman"/>
      <w:b/>
      <w:bCs/>
      <w:sz w:val="32"/>
      <w:szCs w:val="32"/>
      <w:lang w:bidi="ar-SA"/>
    </w:rPr>
  </w:style>
  <w:style w:type="character" w:customStyle="1" w:styleId="BodyTextFirstIndentChar">
    <w:name w:val="Body Text First Indent Char"/>
    <w:link w:val="BodyTextFirstIndent"/>
    <w:qFormat/>
    <w:rPr>
      <w:rFonts w:ascii="Times New Roman" w:eastAsia="SimSun" w:hAnsi="Times New Roman" w:cs="Times New Roman"/>
      <w:szCs w:val="24"/>
      <w:lang w:bidi="ar-SA"/>
    </w:rPr>
  </w:style>
  <w:style w:type="character" w:customStyle="1" w:styleId="gjfg">
    <w:name w:val="gjfg"/>
    <w:basedOn w:val="DefaultParagraphFont"/>
    <w:qFormat/>
  </w:style>
  <w:style w:type="character" w:customStyle="1" w:styleId="cfdate">
    <w:name w:val="cfdate"/>
    <w:qFormat/>
    <w:rPr>
      <w:rFonts w:ascii="Times New Roman" w:eastAsia="SimSun" w:hAnsi="Times New Roman" w:cs="Times New Roman"/>
      <w:color w:val="333333"/>
      <w:sz w:val="12"/>
      <w:szCs w:val="12"/>
    </w:rPr>
  </w:style>
  <w:style w:type="character" w:customStyle="1" w:styleId="Char1">
    <w:name w:val="正文文本 Char1"/>
    <w:qFormat/>
    <w:rPr>
      <w:rFonts w:ascii="Times New Roman" w:eastAsia="SimSun" w:hAnsi="Times New Roman" w:cs="Times New Roman"/>
      <w:szCs w:val="24"/>
    </w:rPr>
  </w:style>
  <w:style w:type="character" w:customStyle="1" w:styleId="redfilenumber">
    <w:name w:val="redfilenumber"/>
    <w:qFormat/>
    <w:rPr>
      <w:rFonts w:ascii="Times New Roman" w:eastAsia="SimSun" w:hAnsi="Times New Roman" w:cs="Times New Roman"/>
      <w:color w:val="BA2636"/>
      <w:sz w:val="12"/>
      <w:szCs w:val="12"/>
    </w:rPr>
  </w:style>
  <w:style w:type="character" w:customStyle="1" w:styleId="ll2CharChar">
    <w:name w:val="ll2 Char Char"/>
    <w:link w:val="ll2"/>
    <w:qFormat/>
    <w:rPr>
      <w:rFonts w:ascii="SimSun" w:eastAsia="Times New Roman" w:hAnsi="SimSun"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SimSun" w:eastAsia="Times New Roman" w:hAnsi="SimSun"/>
      <w:bCs/>
      <w:color w:val="000000"/>
      <w:sz w:val="24"/>
      <w:szCs w:val="32"/>
      <w:lang w:val="en-US"/>
    </w:rPr>
  </w:style>
  <w:style w:type="character" w:customStyle="1" w:styleId="StyleBlackChar">
    <w:name w:val="Style .. + 宋体 五号 Black Char"/>
    <w:link w:val="StyleBlack"/>
    <w:qFormat/>
    <w:rPr>
      <w:rFonts w:ascii="SimSun" w:eastAsia="SimSun" w:hAnsi="SimSun" w:cs="Times New Roman"/>
      <w:color w:val="000000"/>
      <w:sz w:val="24"/>
      <w:lang w:bidi="ar-SA"/>
    </w:rPr>
  </w:style>
  <w:style w:type="paragraph" w:customStyle="1" w:styleId="StyleBlack">
    <w:name w:val="Style .. + 宋体 五号 Black"/>
    <w:basedOn w:val="Normal"/>
    <w:link w:val="StyleBlackChar"/>
    <w:qFormat/>
    <w:pPr>
      <w:autoSpaceDE w:val="0"/>
      <w:autoSpaceDN w:val="0"/>
      <w:adjustRightInd w:val="0"/>
      <w:spacing w:line="360" w:lineRule="auto"/>
      <w:jc w:val="left"/>
    </w:pPr>
    <w:rPr>
      <w:rFonts w:ascii="SimSun" w:hAnsi="SimSun"/>
      <w:color w:val="000000"/>
      <w:kern w:val="0"/>
      <w:sz w:val="24"/>
      <w:szCs w:val="20"/>
    </w:rPr>
  </w:style>
  <w:style w:type="character" w:customStyle="1" w:styleId="15">
    <w:name w:val="15"/>
    <w:basedOn w:val="DefaultParagraphFont"/>
    <w:qFormat/>
    <w:rPr>
      <w:rFonts w:ascii="Times New Roman" w:eastAsia="SimSun" w:hAnsi="Times New Roman" w:cs="Times New Roman" w:hint="default"/>
    </w:rPr>
  </w:style>
  <w:style w:type="character" w:customStyle="1" w:styleId="Char">
    <w:name w:val="正文文字 Char"/>
    <w:link w:val="a"/>
    <w:qFormat/>
    <w:rPr>
      <w:rFonts w:ascii="Times New Roman" w:eastAsia="SimSun" w:hAnsi="Times New Roman" w:cs="Times New Roman"/>
      <w:sz w:val="24"/>
      <w:szCs w:val="24"/>
      <w:lang w:bidi="ar-SA"/>
    </w:rPr>
  </w:style>
  <w:style w:type="paragraph" w:customStyle="1" w:styleId="a">
    <w:name w:val="正文文字"/>
    <w:basedOn w:val="Normal"/>
    <w:link w:val="Char"/>
    <w:qFormat/>
    <w:pPr>
      <w:spacing w:before="60" w:after="60" w:line="360" w:lineRule="auto"/>
      <w:ind w:firstLine="200" w:firstLineChars="200"/>
      <w:jc w:val="left"/>
    </w:pPr>
    <w:rPr>
      <w:kern w:val="0"/>
      <w:sz w:val="24"/>
    </w:rPr>
  </w:style>
  <w:style w:type="character" w:customStyle="1" w:styleId="Char0">
    <w:name w:val="文档正文 Char"/>
    <w:link w:val="a0"/>
    <w:qFormat/>
    <w:rPr>
      <w:rFonts w:ascii="长城仿宋" w:eastAsia="SimSun" w:hAnsi="Times New Roman" w:cs="Times New Roman"/>
      <w:sz w:val="24"/>
      <w:lang w:bidi="ar-SA"/>
    </w:rPr>
  </w:style>
  <w:style w:type="paragraph" w:customStyle="1" w:styleId="a0">
    <w:name w:val="文档正文"/>
    <w:basedOn w:val="Normal"/>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SimSun" w:hAnsi="Times New Roman" w:cs="Times New Roman"/>
      <w:color w:val="FFFFFF"/>
      <w:shd w:val="clear" w:color="auto" w:fill="A00000"/>
    </w:rPr>
  </w:style>
  <w:style w:type="character" w:customStyle="1" w:styleId="redfilefwwh">
    <w:name w:val="redfilefwwh"/>
    <w:qFormat/>
    <w:rPr>
      <w:rFonts w:ascii="Times New Roman" w:eastAsia="SimSun" w:hAnsi="Times New Roman" w:cs="Times New Roman"/>
      <w:color w:val="BA2636"/>
      <w:sz w:val="12"/>
      <w:szCs w:val="12"/>
    </w:rPr>
  </w:style>
  <w:style w:type="character" w:customStyle="1" w:styleId="qxdate">
    <w:name w:val="qxdate"/>
    <w:qFormat/>
    <w:rPr>
      <w:rFonts w:ascii="Times New Roman" w:eastAsia="SimSun" w:hAnsi="Times New Roman" w:cs="Times New Roman"/>
      <w:color w:val="333333"/>
      <w:sz w:val="12"/>
      <w:szCs w:val="12"/>
    </w:rPr>
  </w:style>
  <w:style w:type="paragraph" w:customStyle="1" w:styleId="Style3">
    <w:name w:val="_Style 3"/>
    <w:basedOn w:val="Heading1"/>
    <w:next w:val="Normal"/>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1">
    <w:name w:val="正文（绿盟科技）"/>
    <w:qFormat/>
    <w:pPr>
      <w:spacing w:after="160" w:line="300" w:lineRule="auto"/>
    </w:pPr>
    <w:rPr>
      <w:rFonts w:ascii="Arial" w:hAnsi="Arial" w:cs="SimHei"/>
      <w:sz w:val="21"/>
      <w:szCs w:val="21"/>
      <w:lang w:val="en-US"/>
    </w:rPr>
  </w:style>
  <w:style w:type="paragraph" w:customStyle="1" w:styleId="5">
    <w:name w:val="标题 5（有编号）（绿盟科技）"/>
    <w:basedOn w:val="Normal"/>
    <w:next w:val="a1"/>
    <w:qFormat/>
    <w:pPr>
      <w:keepNext/>
      <w:keepLines/>
      <w:numPr>
        <w:ilvl w:val="4"/>
        <w:numId w:val="4"/>
      </w:numPr>
      <w:spacing w:before="280" w:after="156" w:line="377" w:lineRule="auto"/>
      <w:jc w:val="left"/>
      <w:outlineLvl w:val="4"/>
    </w:pPr>
    <w:rPr>
      <w:rFonts w:ascii="Arial" w:eastAsia="SimHei" w:hAnsi="Arial" w:cs="SimHei"/>
      <w:b/>
      <w:kern w:val="0"/>
      <w:sz w:val="24"/>
      <w:szCs w:val="28"/>
    </w:rPr>
  </w:style>
  <w:style w:type="paragraph" w:customStyle="1" w:styleId="Char2">
    <w:name w:val="Char"/>
    <w:basedOn w:val="Normal"/>
    <w:qFormat/>
    <w:rPr>
      <w:rFonts w:ascii="Tahoma" w:hAnsi="Tahoma"/>
      <w:sz w:val="24"/>
      <w:szCs w:val="20"/>
    </w:rPr>
  </w:style>
  <w:style w:type="paragraph" w:styleId="ListParagraph">
    <w:name w:val="List Paragraph"/>
    <w:basedOn w:val="Normal"/>
    <w:uiPriority w:val="34"/>
    <w:qFormat/>
    <w:pPr>
      <w:ind w:firstLine="420"/>
    </w:pPr>
    <w:rPr>
      <w:kern w:val="0"/>
      <w:szCs w:val="21"/>
    </w:rPr>
  </w:style>
  <w:style w:type="paragraph" w:customStyle="1" w:styleId="a2">
    <w:name w:val="正常"/>
    <w:basedOn w:val="a3"/>
    <w:qFormat/>
    <w:rPr>
      <w:sz w:val="24"/>
    </w:rPr>
  </w:style>
  <w:style w:type="paragraph" w:customStyle="1" w:styleId="a3">
    <w:name w:val="小正常"/>
    <w:basedOn w:val="Normal"/>
    <w:qFormat/>
    <w:rPr>
      <w:sz w:val="20"/>
      <w:szCs w:val="20"/>
    </w:rPr>
  </w:style>
  <w:style w:type="paragraph" w:customStyle="1" w:styleId="26012">
    <w:name w:val="样式 样式 样式 标题 2 + 宋体 五号 非加粗 黑色 + 段前: 6 磅 段后: 0 磅 行距: 单倍行距 + 段前: 12..."/>
    <w:basedOn w:val="Normal"/>
    <w:qFormat/>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1">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10">
    <w:name w:val="样式1"/>
    <w:basedOn w:val="Normal"/>
    <w:qFormat/>
    <w:pPr>
      <w:numPr>
        <w:numId w:val="5"/>
      </w:numPr>
      <w:adjustRightInd w:val="0"/>
    </w:pPr>
    <w:rPr>
      <w:rFonts w:ascii="SimSun" w:hAnsi="SimSun"/>
      <w:kern w:val="0"/>
      <w:szCs w:val="20"/>
    </w:rPr>
  </w:style>
  <w:style w:type="paragraph" w:customStyle="1" w:styleId="CharCharChar">
    <w:name w:val="Char Char Char"/>
    <w:basedOn w:val="Normal"/>
    <w:qFormat/>
    <w:rPr>
      <w:rFonts w:ascii="Tahoma" w:hAnsi="Tahoma"/>
      <w:sz w:val="24"/>
      <w:szCs w:val="20"/>
    </w:rPr>
  </w:style>
  <w:style w:type="paragraph" w:customStyle="1" w:styleId="NormalIndent1">
    <w:name w:val="Normal Indent1"/>
    <w:qFormat/>
    <w:pPr>
      <w:spacing w:after="160" w:afterLines="50" w:line="360" w:lineRule="auto"/>
      <w:ind w:firstLine="420" w:firstLineChars="200"/>
    </w:pPr>
    <w:rPr>
      <w:lang w:val="en-US"/>
    </w:r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val="en-US" w:eastAsia="en-US"/>
    </w:rPr>
  </w:style>
  <w:style w:type="character" w:customStyle="1" w:styleId="Hyperlink0">
    <w:name w:val="Hyperlink_0"/>
    <w:basedOn w:val="DefaultParagraphFont"/>
    <w:rsid w:val="00EF7B96"/>
    <w:rPr>
      <w:color w:val="0000FF"/>
      <w:u w:val="single"/>
    </w:rPr>
  </w:style>
  <w:style w:type="paragraph" w:customStyle="1" w:styleId="TOC10">
    <w:name w:val="TOC 1_0"/>
    <w:basedOn w:val="Normal"/>
    <w:next w:val="Normal0"/>
    <w:autoRedefine/>
    <w:rsid w:val="00805BCE"/>
    <w:pPr>
      <w:widowControl/>
      <w:spacing w:after="0" w:line="240" w:lineRule="auto"/>
      <w:jc w:val="left"/>
    </w:pPr>
    <w:rPr>
      <w:rFonts w:eastAsia="Times New Roman"/>
      <w:kern w:val="0"/>
      <w:sz w:val="24"/>
      <w:lang w:eastAsia="en-US"/>
    </w:rPr>
  </w:style>
  <w:style w:type="paragraph" w:styleId="TOC2">
    <w:name w:val="toc 2"/>
    <w:basedOn w:val="Normal"/>
    <w:next w:val="Normal0"/>
    <w:autoRedefine/>
    <w:rsid w:val="00805BCE"/>
    <w:pPr>
      <w:widowControl/>
      <w:spacing w:after="0" w:line="240" w:lineRule="auto"/>
      <w:ind w:left="240"/>
      <w:jc w:val="left"/>
    </w:pPr>
    <w:rPr>
      <w:rFonts w:ascii="仿宋_GB2312" w:eastAsia="仿宋_GB2312" w:hAnsi="仿宋_GB2312" w:cs="仿宋_GB2312"/>
      <w:b w:val="0"/>
      <w:color w:val="000000"/>
      <w:kern w:val="0"/>
      <w:sz w:val="24"/>
      <w:lang w:eastAsia="en-US"/>
    </w:rPr>
  </w:style>
  <w:style w:type="paragraph" w:styleId="TOC3">
    <w:name w:val="toc 3"/>
    <w:basedOn w:val="Normal"/>
    <w:next w:val="Normal0"/>
    <w:autoRedefine/>
    <w:rsid w:val="00805BCE"/>
    <w:pPr>
      <w:widowControl/>
      <w:spacing w:after="0" w:line="240" w:lineRule="auto"/>
      <w:ind w:left="480"/>
      <w:jc w:val="left"/>
    </w:pPr>
    <w:rPr>
      <w:rFonts w:ascii="仿宋_GB2312" w:eastAsia="仿宋_GB2312" w:hAnsi="仿宋_GB2312" w:cs="仿宋_GB2312"/>
      <w:b w:val="0"/>
      <w:color w:val="000000"/>
      <w:kern w:val="0"/>
      <w:sz w:val="24"/>
      <w:lang w:eastAsia="en-US"/>
    </w:rPr>
  </w:style>
  <w:style w:type="paragraph" w:customStyle="1" w:styleId="Heading10">
    <w:name w:val="Heading 1_0"/>
    <w:basedOn w:val="Normal"/>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Normal"/>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Normal"/>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MsoNormal">
    <w:name w:val="MsoNormal"/>
    <w:basedOn w:val="Normal"/>
    <w:pPr>
      <w:widowControl/>
      <w:spacing w:after="0" w:line="240" w:lineRule="auto"/>
      <w:jc w:val="left"/>
    </w:pPr>
    <w:rPr>
      <w:rFonts w:eastAsia="Times New Roman"/>
      <w:kern w:val="0"/>
      <w:sz w:val="24"/>
      <w:lang w:eastAsia="en-US"/>
    </w:rPr>
  </w:style>
  <w:style w:type="paragraph" w:customStyle="1" w:styleId="Heading40">
    <w:name w:val="Heading 4_0"/>
    <w:basedOn w:val="Normal"/>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character" w:customStyle="1" w:styleId="16">
    <w:name w:val="16"/>
    <w:basedOn w:val="DefaultParagraphFont"/>
  </w:style>
  <w:style w:type="paragraph" w:customStyle="1" w:styleId="15Paragraph">
    <w:name w:val="15 Paragraph"/>
    <w:basedOn w:val="Normal"/>
    <w:pPr>
      <w:widowControl/>
      <w:spacing w:after="0" w:line="240" w:lineRule="auto"/>
      <w:jc w:val="left"/>
    </w:pPr>
    <w:rPr>
      <w:rFonts w:eastAsia="Times New Roman"/>
      <w:kern w:val="0"/>
      <w:sz w:val="24"/>
      <w:lang w:eastAsia="en-US"/>
    </w:rPr>
  </w:style>
  <w:style w:type="table" w:customStyle="1" w:styleId="16Table">
    <w:name w:val="16 Table"/>
    <w:basedOn w:val="TableNormal"/>
    <w:rPr>
      <w:rFonts w:eastAsia="Times New Roman"/>
      <w:lang w:val="en-US" w:eastAsia="en-US"/>
    </w:rPr>
    <w:tblPr/>
  </w:style>
  <w:style w:type="paragraph" w:customStyle="1" w:styleId="16Paragraph">
    <w:name w:val="16 Paragraph"/>
    <w:basedOn w:val="Normal"/>
    <w:pPr>
      <w:widowControl/>
      <w:spacing w:after="0" w:line="240" w:lineRule="auto"/>
      <w:jc w:val="left"/>
    </w:pPr>
    <w:rPr>
      <w:rFonts w:eastAsia="Times New Roman"/>
      <w:kern w:val="0"/>
      <w:sz w:val="24"/>
      <w:lang w:eastAsia="en-US"/>
    </w:rPr>
  </w:style>
  <w:style w:type="paragraph" w:customStyle="1" w:styleId="17">
    <w:name w:val="17"/>
    <w:basedOn w:val="Normal"/>
    <w:pPr>
      <w:widowControl/>
      <w:spacing w:after="0" w:line="240" w:lineRule="auto"/>
      <w:jc w:val="left"/>
    </w:pPr>
    <w:rPr>
      <w:rFonts w:eastAsia="Times New Roman"/>
      <w:kern w:val="0"/>
      <w:sz w:val="24"/>
      <w:lang w:eastAsia="en-US"/>
    </w:rPr>
  </w:style>
  <w:style w:type="table" w:customStyle="1" w:styleId="MsoNormalTable">
    <w:name w:val="MsoNormalTable"/>
    <w:basedOn w:val="TableNormal"/>
    <w:rPr>
      <w:rFonts w:eastAsia="Times New Roman"/>
      <w:lang w:val="en-US" w:eastAsia="en-US"/>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21</Pages>
  <Words>9</Words>
  <Characters>53</Characters>
  <Application>Microsoft Office Word</Application>
  <DocSecurity>0</DocSecurity>
  <Lines>1</Lines>
  <Paragraphs>1</Paragraphs>
  <ScaleCrop>false</ScaleCrop>
  <Company>China</Company>
  <LinksUpToDate>false</LinksUpToDate>
  <CharactersWithSpaces>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Chaoran Chen</cp:lastModifiedBy>
  <cp:revision>2</cp:revision>
  <cp:lastPrinted>2023-10-01T11:04:00Z</cp:lastPrinted>
  <dcterms:created xsi:type="dcterms:W3CDTF">2020-05-09T07:26:00Z</dcterms:created>
  <dcterms:modified xsi:type="dcterms:W3CDTF">2024-11-05T08:28:00Z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