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1.6.0 -->
  <w:body>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bookmarkStart w:id="0" w:name="_GoBack"/>
      <w:bookmarkEnd w:id="0"/>
    </w:p>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r>
        <w:rPr>
          <w:rFonts w:ascii="宋体" w:eastAsia="宋体" w:hAnsi="宋体" w:cs="宋体" w:hint="eastAsia"/>
          <w:b/>
          <w:sz w:val="96"/>
          <w:szCs w:val="96"/>
          <w:lang w:eastAsia="zh-CN"/>
        </w:rPr>
        <w:t>采 购 需 求</w:t>
      </w: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30"/>
          <w:szCs w:val="30"/>
          <w:lang w:eastAsia="zh-CN"/>
        </w:rPr>
      </w:pPr>
      <w:r>
        <w:rPr>
          <w:rFonts w:ascii="宋体" w:eastAsia="宋体" w:hAnsi="宋体" w:cs="宋体" w:hint="eastAsia"/>
          <w:b/>
          <w:sz w:val="30"/>
          <w:szCs w:val="30"/>
          <w:lang w:eastAsia="zh-CN"/>
        </w:rPr>
        <w:t>项目名称：</w:t>
      </w:r>
      <w:bookmarkStart w:id="1" w:name="项目名称_projectName"/>
      <w:r>
        <w:rPr>
          <w:rFonts w:ascii="宋体" w:eastAsia="宋体" w:hAnsi="宋体" w:cs="宋体" w:hint="eastAsia"/>
          <w:b/>
          <w:sz w:val="30"/>
          <w:szCs w:val="30"/>
          <w:lang w:eastAsia="zh-CN"/>
        </w:rPr>
        <w:t>国家税务总局吉林市税务局2026年食材采购项目</w:t>
      </w:r>
      <w:bookmarkEnd w:id="1"/>
    </w:p>
    <w:p>
      <w:pPr>
        <w:widowControl w:val="0"/>
        <w:spacing w:before="0" w:after="0" w:line="360" w:lineRule="auto"/>
        <w:jc w:val="both"/>
        <w:rPr>
          <w:rFonts w:ascii="宋体" w:eastAsia="宋体" w:hAnsi="宋体" w:cs="宋体" w:hint="eastAsia"/>
          <w:kern w:val="2"/>
          <w:sz w:val="32"/>
          <w:szCs w:val="32"/>
          <w:lang w:eastAsia="zh-CN"/>
        </w:rPr>
      </w:pPr>
    </w:p>
    <w:p>
      <w:pPr>
        <w:widowControl w:val="0"/>
        <w:spacing w:before="0" w:after="0" w:line="360" w:lineRule="auto"/>
        <w:jc w:val="both"/>
        <w:rPr>
          <w:rFonts w:ascii="宋体" w:eastAsia="宋体" w:hAnsi="宋体" w:cs="宋体"/>
          <w:kern w:val="2"/>
          <w:sz w:val="32"/>
          <w:szCs w:val="32"/>
          <w:lang w:eastAsia="zh-CN"/>
        </w:rPr>
      </w:pPr>
    </w:p>
    <w:p>
      <w:pPr>
        <w:widowControl w:val="0"/>
        <w:spacing w:before="0" w:after="0" w:line="360" w:lineRule="auto"/>
        <w:jc w:val="both"/>
        <w:rPr>
          <w:rFonts w:ascii="宋体" w:eastAsia="宋体" w:hAnsi="宋体" w:cs="宋体" w:hint="eastAsia"/>
          <w:kern w:val="2"/>
          <w:sz w:val="32"/>
          <w:szCs w:val="32"/>
          <w:lang w:eastAsia="zh-CN"/>
        </w:rPr>
      </w:pPr>
    </w:p>
    <w:p>
      <w:pPr>
        <w:widowControl w:val="0"/>
        <w:topLinePunct/>
        <w:autoSpaceDE w:val="0"/>
        <w:autoSpaceDN w:val="0"/>
        <w:spacing w:before="0" w:after="0" w:line="360" w:lineRule="auto"/>
        <w:jc w:val="both"/>
        <w:rPr>
          <w:rFonts w:ascii="宋体" w:eastAsia="宋体" w:hAnsi="宋体" w:cs="宋体" w:hint="eastAsia"/>
          <w:sz w:val="32"/>
          <w:szCs w:val="32"/>
          <w:lang w:eastAsia="zh-CN"/>
        </w:rPr>
      </w:pPr>
    </w:p>
    <w:p>
      <w:pPr>
        <w:spacing w:before="0" w:after="0" w:line="360" w:lineRule="auto"/>
        <w:jc w:val="center"/>
        <w:rPr>
          <w:rFonts w:eastAsia="宋体"/>
        </w:rPr>
      </w:pPr>
      <w:bookmarkStart w:id="2" w:name="生成日期_currentDateTime_ym"/>
      <w:r>
        <w:rPr>
          <w:rFonts w:ascii="宋体" w:eastAsia="宋体" w:hAnsi="宋体" w:cs="宋体" w:hint="eastAsia"/>
          <w:sz w:val="36"/>
          <w:szCs w:val="36"/>
          <w:lang w:eastAsia="zh-CN"/>
        </w:rPr>
        <w:t>2025年12月</w:t>
      </w:r>
      <w:bookmarkEnd w:id="2"/>
    </w:p>
    <w:p w:rsidR="00A77B3E">
      <w:pPr>
        <w:spacing w:before="0" w:after="0" w:line="360" w:lineRule="auto"/>
        <w:jc w:val="center"/>
        <w:rPr>
          <w:rFonts w:ascii="SimSun" w:eastAsia="SimSun" w:hAnsi="SimSun" w:cs="SimSun"/>
          <w:sz w:val="32"/>
        </w:rPr>
      </w:pPr>
      <w:r>
        <w:br w:type="page"/>
      </w: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1.3其他要求</w:t>
        </w:r>
        <w:r>
          <w:tab/>
        </w:r>
        <w:r>
          <w:fldChar w:fldCharType="begin"/>
        </w:r>
        <w:r>
          <w:instrText xml:space="preserve"> PAGEREF _Toc256000006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1.3.1采购标的需执行的相关标准规范</w:t>
        </w:r>
        <w:r>
          <w:tab/>
        </w:r>
        <w:r>
          <w:fldChar w:fldCharType="begin"/>
        </w:r>
        <w:r>
          <w:instrText xml:space="preserve"> PAGEREF _Toc256000007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kern w:val="36"/>
          </w:rPr>
          <w:t>2投标/响应要求</w:t>
        </w:r>
        <w:r>
          <w:tab/>
        </w:r>
        <w:r>
          <w:fldChar w:fldCharType="begin"/>
        </w:r>
        <w:r>
          <w:instrText xml:space="preserve"> PAGEREF _Toc256000008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2.1对供应商的要求</w:t>
        </w:r>
        <w:r>
          <w:tab/>
        </w:r>
        <w:r>
          <w:fldChar w:fldCharType="begin"/>
        </w:r>
        <w:r>
          <w:instrText xml:space="preserve"> PAGEREF _Toc256000009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2.1.1必备资质</w:t>
        </w:r>
        <w:r>
          <w:tab/>
        </w:r>
        <w:r>
          <w:fldChar w:fldCharType="begin"/>
        </w:r>
        <w:r>
          <w:instrText xml:space="preserve"> PAGEREF _Toc256000010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2.1.2优选资质/优选指标</w:t>
        </w:r>
        <w:r>
          <w:tab/>
        </w:r>
        <w:r>
          <w:fldChar w:fldCharType="begin"/>
        </w:r>
        <w:r>
          <w:instrText xml:space="preserve"> PAGEREF _Toc256000011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2.1.3是否允许联合体</w:t>
        </w:r>
        <w:r>
          <w:tab/>
        </w:r>
        <w:r>
          <w:fldChar w:fldCharType="begin"/>
        </w:r>
        <w:r>
          <w:instrText xml:space="preserve"> PAGEREF _Toc256000012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2.1.4是否专门面向中小企业</w:t>
        </w:r>
        <w:r>
          <w:tab/>
        </w:r>
        <w:r>
          <w:fldChar w:fldCharType="begin"/>
        </w:r>
        <w:r>
          <w:instrText xml:space="preserve"> PAGEREF _Toc256000013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2.1.5其他要求</w:t>
        </w:r>
        <w:r>
          <w:tab/>
        </w:r>
        <w:r>
          <w:fldChar w:fldCharType="begin"/>
        </w:r>
        <w:r>
          <w:instrText xml:space="preserve"> PAGEREF _Toc256000014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2.2技术部分投标/响应内容</w:t>
        </w:r>
        <w:r>
          <w:tab/>
        </w:r>
        <w:r>
          <w:fldChar w:fldCharType="begin"/>
        </w:r>
        <w:r>
          <w:instrText xml:space="preserve"> PAGEREF _Toc256000015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2.2.1技术投标/响应总要求</w:t>
        </w:r>
        <w:r>
          <w:tab/>
        </w:r>
        <w:r>
          <w:fldChar w:fldCharType="begin"/>
        </w:r>
        <w:r>
          <w:instrText xml:space="preserve"> PAGEREF _Toc256000016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2.2.2投标/响应方案要求</w:t>
        </w:r>
        <w:r>
          <w:tab/>
        </w:r>
        <w:r>
          <w:fldChar w:fldCharType="begin"/>
        </w:r>
        <w:r>
          <w:instrText xml:space="preserve"> PAGEREF _Toc256000017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kern w:val="36"/>
          </w:rPr>
          <w:t>3项目需求</w:t>
        </w:r>
        <w:r>
          <w:tab/>
        </w:r>
        <w:r>
          <w:fldChar w:fldCharType="begin"/>
        </w:r>
        <w:r>
          <w:instrText xml:space="preserve"> PAGEREF _Toc256000018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3.1总体要求</w:t>
        </w:r>
        <w:r>
          <w:tab/>
        </w:r>
        <w:r>
          <w:fldChar w:fldCharType="begin"/>
        </w:r>
        <w:r>
          <w:instrText xml:space="preserve"> PAGEREF _Toc256000019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3.2服务内容和要求</w:t>
        </w:r>
        <w:r>
          <w:tab/>
        </w:r>
        <w:r>
          <w:fldChar w:fldCharType="begin"/>
        </w:r>
        <w:r>
          <w:instrText xml:space="preserve"> PAGEREF _Toc256000020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3.2.1具体采购食材清单</w:t>
        </w:r>
        <w:r>
          <w:tab/>
        </w:r>
        <w:r>
          <w:fldChar w:fldCharType="begin"/>
        </w:r>
        <w:r>
          <w:instrText xml:space="preserve"> PAGEREF _Toc256000021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3.2.2技术和服务客观指标</w:t>
        </w:r>
        <w:r>
          <w:tab/>
        </w:r>
        <w:r>
          <w:fldChar w:fldCharType="begin"/>
        </w:r>
        <w:r>
          <w:instrText xml:space="preserve"> PAGEREF _Toc256000022 \h </w:instrText>
        </w:r>
        <w:r>
          <w:fldChar w:fldCharType="separate"/>
        </w:r>
        <w:r>
          <w:t>12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3.2.3技术和服务其他要求</w:t>
        </w:r>
        <w:r>
          <w:tab/>
        </w:r>
        <w:r>
          <w:fldChar w:fldCharType="begin"/>
        </w:r>
        <w:r>
          <w:instrText xml:space="preserve"> PAGEREF _Toc256000023 \h </w:instrText>
        </w:r>
        <w:r>
          <w:fldChar w:fldCharType="separate"/>
        </w:r>
        <w:r>
          <w:t>15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kern w:val="36"/>
          </w:rPr>
          <w:t>4人员要求</w:t>
        </w:r>
        <w:r>
          <w:tab/>
        </w:r>
        <w:r>
          <w:fldChar w:fldCharType="begin"/>
        </w:r>
        <w:r>
          <w:instrText xml:space="preserve"> PAGEREF _Toc256000024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4.1总体要求</w:t>
        </w:r>
        <w:r>
          <w:tab/>
        </w:r>
        <w:r>
          <w:fldChar w:fldCharType="begin"/>
        </w:r>
        <w:r>
          <w:instrText xml:space="preserve"> PAGEREF _Toc256000025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4.2管理团队</w:t>
        </w:r>
        <w:r>
          <w:tab/>
        </w:r>
        <w:r>
          <w:fldChar w:fldCharType="begin"/>
        </w:r>
        <w:r>
          <w:instrText xml:space="preserve"> PAGEREF _Toc256000026 \h </w:instrText>
        </w:r>
        <w:r>
          <w:fldChar w:fldCharType="separate"/>
        </w:r>
        <w:r>
          <w:t>16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4.3技术团队</w:t>
        </w:r>
        <w:r>
          <w:tab/>
        </w:r>
        <w:r>
          <w:fldChar w:fldCharType="begin"/>
        </w:r>
        <w:r>
          <w:instrText xml:space="preserve"> PAGEREF _Toc256000027 \h </w:instrText>
        </w:r>
        <w:r>
          <w:fldChar w:fldCharType="separate"/>
        </w:r>
        <w:r>
          <w:t>16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4.4优选资质/优选指标</w:t>
        </w:r>
        <w:r>
          <w:tab/>
        </w:r>
        <w:r>
          <w:fldChar w:fldCharType="begin"/>
        </w:r>
        <w:r>
          <w:instrText xml:space="preserve"> PAGEREF _Toc256000028 \h </w:instrText>
        </w:r>
        <w:r>
          <w:fldChar w:fldCharType="separate"/>
        </w:r>
        <w:r>
          <w:t>16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4.4.1优选指标</w:t>
        </w:r>
        <w:r>
          <w:tab/>
        </w:r>
        <w:r>
          <w:fldChar w:fldCharType="begin"/>
        </w:r>
        <w:r>
          <w:instrText xml:space="preserve"> PAGEREF _Toc256000029 \h </w:instrText>
        </w:r>
        <w:r>
          <w:fldChar w:fldCharType="separate"/>
        </w:r>
        <w:r>
          <w:t>16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5管理实施要求</w:t>
        </w:r>
        <w:r>
          <w:tab/>
        </w:r>
        <w:r>
          <w:fldChar w:fldCharType="begin"/>
        </w:r>
        <w:r>
          <w:instrText xml:space="preserve"> PAGEREF _Toc256000030 \h </w:instrText>
        </w:r>
        <w:r>
          <w:fldChar w:fldCharType="separate"/>
        </w:r>
        <w:r>
          <w:t>16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kern w:val="36"/>
          </w:rPr>
          <w:t>6风险管控要求</w:t>
        </w:r>
        <w:r>
          <w:tab/>
        </w:r>
        <w:r>
          <w:fldChar w:fldCharType="begin"/>
        </w:r>
        <w:r>
          <w:instrText xml:space="preserve"> PAGEREF _Toc256000031 \h </w:instrText>
        </w:r>
        <w:r>
          <w:fldChar w:fldCharType="separate"/>
        </w:r>
        <w:r>
          <w:t>16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7履约验收要求</w:t>
        </w:r>
        <w:r>
          <w:tab/>
        </w:r>
        <w:r>
          <w:fldChar w:fldCharType="begin"/>
        </w:r>
        <w:r>
          <w:instrText xml:space="preserve"> PAGEREF _Toc256000032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7.1总体要求</w:t>
        </w:r>
        <w:r>
          <w:tab/>
        </w:r>
        <w:r>
          <w:fldChar w:fldCharType="begin"/>
        </w:r>
        <w:r>
          <w:instrText xml:space="preserve"> PAGEREF _Toc256000033 \h </w:instrText>
        </w:r>
        <w:r>
          <w:fldChar w:fldCharType="separate"/>
        </w:r>
        <w:r>
          <w:t>18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7.2具体要求</w:t>
        </w:r>
        <w:r>
          <w:tab/>
        </w:r>
        <w:r>
          <w:fldChar w:fldCharType="begin"/>
        </w:r>
        <w:r>
          <w:instrText xml:space="preserve"> PAGEREF _Toc256000034 \h </w:instrText>
        </w:r>
        <w:r>
          <w:fldChar w:fldCharType="separate"/>
        </w:r>
        <w:r>
          <w:t>18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kern w:val="36"/>
          </w:rPr>
          <w:t>8其他要求</w:t>
        </w:r>
        <w:r>
          <w:tab/>
        </w:r>
        <w:r>
          <w:fldChar w:fldCharType="begin"/>
        </w:r>
        <w:r>
          <w:instrText xml:space="preserve"> PAGEREF _Toc256000035 \h </w:instrText>
        </w:r>
        <w:r>
          <w:fldChar w:fldCharType="separate"/>
        </w:r>
        <w:r>
          <w:t>19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8.1必备要求</w:t>
        </w:r>
        <w:r>
          <w:tab/>
        </w:r>
        <w:r>
          <w:fldChar w:fldCharType="begin"/>
        </w:r>
        <w:r>
          <w:instrText xml:space="preserve"> PAGEREF _Toc256000036 \h </w:instrText>
        </w:r>
        <w:r>
          <w:fldChar w:fldCharType="separate"/>
        </w:r>
        <w:r>
          <w:t>19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8.1.1通用必备要求</w:t>
        </w:r>
        <w:r>
          <w:tab/>
        </w:r>
        <w:r>
          <w:fldChar w:fldCharType="begin"/>
        </w:r>
        <w:r>
          <w:instrText xml:space="preserve"> PAGEREF _Toc256000037 \h </w:instrText>
        </w:r>
        <w:r>
          <w:fldChar w:fldCharType="separate"/>
        </w:r>
        <w:r>
          <w:t>19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8.2付款安排建议</w:t>
        </w:r>
        <w:r>
          <w:tab/>
        </w:r>
        <w:r>
          <w:fldChar w:fldCharType="begin"/>
        </w:r>
        <w:r>
          <w:instrText xml:space="preserve"> PAGEREF _Toc256000038 \h </w:instrText>
        </w:r>
        <w:r>
          <w:fldChar w:fldCharType="separate"/>
        </w:r>
        <w:r>
          <w:t>20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8.3其他要求</w:t>
        </w:r>
        <w:r>
          <w:tab/>
        </w:r>
        <w:r>
          <w:fldChar w:fldCharType="begin"/>
        </w:r>
        <w:r>
          <w:instrText xml:space="preserve"> PAGEREF _Toc256000039 \h </w:instrText>
        </w:r>
        <w:r>
          <w:fldChar w:fldCharType="separate"/>
        </w:r>
        <w:r>
          <w:t>20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8.3.1保密要求</w:t>
        </w:r>
        <w:r>
          <w:tab/>
        </w:r>
        <w:r>
          <w:fldChar w:fldCharType="begin"/>
        </w:r>
        <w:r>
          <w:instrText xml:space="preserve"> PAGEREF _Toc256000040 \h </w:instrText>
        </w:r>
        <w:r>
          <w:fldChar w:fldCharType="separate"/>
        </w:r>
        <w:r>
          <w:t>20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8.3.2知识转移要求</w:t>
        </w:r>
        <w:r>
          <w:tab/>
        </w:r>
        <w:r>
          <w:fldChar w:fldCharType="begin"/>
        </w:r>
        <w:r>
          <w:instrText xml:space="preserve"> PAGEREF _Toc256000041 \h </w:instrText>
        </w:r>
        <w:r>
          <w:fldChar w:fldCharType="separate"/>
        </w:r>
        <w:r>
          <w:t>20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8.3.3知识产权要求</w:t>
        </w:r>
        <w:r>
          <w:tab/>
        </w:r>
        <w:r>
          <w:fldChar w:fldCharType="begin"/>
        </w:r>
        <w:r>
          <w:instrText xml:space="preserve"> PAGEREF _Toc256000042 \h </w:instrText>
        </w:r>
        <w:r>
          <w:fldChar w:fldCharType="separate"/>
        </w:r>
        <w:r>
          <w:t>20</w:t>
        </w:r>
        <w:r>
          <w:fldChar w:fldCharType="end"/>
        </w:r>
      </w:hyperlink>
    </w:p>
    <w:p>
      <w:pPr>
        <w:spacing w:before="0" w:after="0" w:line="360" w:lineRule="auto"/>
        <w:jc w:val="left"/>
      </w:pPr>
      <w:r w:rsidR="00A77B3E">
        <w:rPr>
          <w:rFonts w:ascii="SimSun" w:eastAsia="SimSun" w:hAnsi="SimSun" w:cs="SimSun"/>
          <w:sz w:val="32"/>
        </w:rPr>
        <w:fldChar w:fldCharType="end"/>
      </w:r>
      <w:r>
        <w:br w:type="page"/>
      </w:r>
    </w:p>
    <w:p>
      <w:pPr>
        <w:pStyle w:val="Heading1"/>
        <w:keepNext w:val="0"/>
        <w:spacing w:before="0" w:after="0" w:line="360" w:lineRule="auto"/>
        <w:jc w:val="center"/>
        <w:rPr>
          <w:rFonts w:ascii="仿宋_GB2312" w:eastAsia="仿宋_GB2312" w:hAnsi="仿宋_GB2312" w:cs="仿宋_GB2312"/>
          <w:b/>
          <w:bCs/>
          <w:sz w:val="32"/>
          <w:szCs w:val="32"/>
        </w:rPr>
      </w:pPr>
      <w:bookmarkStart w:id="3" w:name="_Toc256000000"/>
      <w:r>
        <w:rPr>
          <w:rFonts w:ascii="仿宋_GB2312" w:eastAsia="仿宋_GB2312" w:hAnsi="仿宋_GB2312" w:cs="仿宋_GB2312"/>
          <w:kern w:val="36"/>
        </w:rPr>
        <w:t>1项目概述</w:t>
      </w:r>
      <w:bookmarkEnd w:id="3"/>
    </w:p>
    <w:p>
      <w:pPr>
        <w:pStyle w:val="Heading2"/>
        <w:keepNext w:val="0"/>
        <w:spacing w:before="0" w:after="0" w:line="360" w:lineRule="auto"/>
        <w:rPr>
          <w:rFonts w:ascii="仿宋_GB2312" w:eastAsia="仿宋_GB2312" w:hAnsi="仿宋_GB2312" w:cs="仿宋_GB2312"/>
          <w:b/>
          <w:bCs/>
          <w:sz w:val="28"/>
          <w:szCs w:val="28"/>
        </w:rPr>
      </w:pPr>
      <w:bookmarkStart w:id="4" w:name="_Toc256000001"/>
      <w:r>
        <w:rPr>
          <w:rFonts w:ascii="仿宋_GB2312" w:eastAsia="仿宋_GB2312" w:hAnsi="仿宋_GB2312" w:cs="仿宋_GB2312"/>
          <w:i w:val="0"/>
          <w:iCs w:val="0"/>
        </w:rPr>
        <w:t>1.1项目背景</w:t>
      </w:r>
      <w:bookmarkEnd w:id="4"/>
    </w:p>
    <w:p>
      <w:pPr>
        <w:pStyle w:val="Heading3"/>
        <w:keepNext w:val="0"/>
        <w:spacing w:before="0" w:after="0" w:line="360" w:lineRule="auto"/>
        <w:rPr>
          <w:rFonts w:ascii="仿宋_GB2312" w:eastAsia="仿宋_GB2312" w:hAnsi="仿宋_GB2312" w:cs="仿宋_GB2312"/>
          <w:b/>
          <w:bCs/>
          <w:sz w:val="28"/>
          <w:szCs w:val="28"/>
        </w:rPr>
      </w:pPr>
      <w:bookmarkStart w:id="5" w:name="_Toc256000002"/>
      <w:r>
        <w:rPr>
          <w:rFonts w:ascii="仿宋_GB2312" w:eastAsia="仿宋_GB2312" w:hAnsi="仿宋_GB2312" w:cs="仿宋_GB2312"/>
          <w:sz w:val="28"/>
          <w:szCs w:val="28"/>
        </w:rPr>
        <w:t>1.1.1项目目的、意义及背景</w:t>
      </w:r>
      <w:bookmarkEnd w:id="5"/>
    </w:p>
    <w:p>
      <w:pPr>
        <w:pStyle w:val="MsoNormal"/>
        <w:spacing w:before="0" w:after="0" w:line="360" w:lineRule="auto"/>
        <w:ind w:firstLine="560"/>
        <w:jc w:val="both"/>
        <w:rPr>
          <w:sz w:val="21"/>
          <w:szCs w:val="21"/>
        </w:rPr>
      </w:pPr>
      <w:r>
        <w:rPr>
          <w:rFonts w:ascii="仿宋_GB2312" w:eastAsia="仿宋_GB2312" w:hAnsi="仿宋_GB2312" w:cs="仿宋_GB2312"/>
          <w:sz w:val="28"/>
          <w:szCs w:val="28"/>
        </w:rPr>
        <w:t>按照上级相关要求，为将全体干部职工餐饮工作做到安全卫生、营养健康，吉林市税务局机关及一二三稽查局将对食堂食材进行采购。</w:t>
      </w:r>
    </w:p>
    <w:p>
      <w:pPr>
        <w:pStyle w:val="Heading2"/>
        <w:keepNext w:val="0"/>
        <w:spacing w:before="0" w:after="0" w:line="360" w:lineRule="auto"/>
        <w:rPr>
          <w:rFonts w:ascii="仿宋_GB2312" w:eastAsia="仿宋_GB2312" w:hAnsi="仿宋_GB2312" w:cs="仿宋_GB2312"/>
          <w:b/>
          <w:bCs/>
          <w:sz w:val="28"/>
          <w:szCs w:val="28"/>
        </w:rPr>
      </w:pPr>
      <w:bookmarkStart w:id="6" w:name="_Toc256000003"/>
      <w:r>
        <w:rPr>
          <w:rFonts w:ascii="仿宋_GB2312" w:eastAsia="仿宋_GB2312" w:hAnsi="仿宋_GB2312" w:cs="仿宋_GB2312"/>
          <w:i w:val="0"/>
          <w:iCs w:val="0"/>
        </w:rPr>
        <w:t>1.2项目内容</w:t>
      </w:r>
      <w:bookmarkEnd w:id="6"/>
    </w:p>
    <w:p>
      <w:pPr>
        <w:pStyle w:val="Heading3"/>
        <w:keepNext w:val="0"/>
        <w:spacing w:before="0" w:after="0" w:line="360" w:lineRule="auto"/>
        <w:rPr>
          <w:rFonts w:ascii="仿宋_GB2312" w:eastAsia="仿宋_GB2312" w:hAnsi="仿宋_GB2312" w:cs="仿宋_GB2312"/>
          <w:b/>
          <w:bCs/>
          <w:sz w:val="28"/>
          <w:szCs w:val="28"/>
        </w:rPr>
      </w:pPr>
      <w:bookmarkStart w:id="7" w:name="_Toc256000004"/>
      <w:r>
        <w:rPr>
          <w:rFonts w:ascii="仿宋_GB2312" w:eastAsia="仿宋_GB2312" w:hAnsi="仿宋_GB2312" w:cs="仿宋_GB2312"/>
          <w:sz w:val="28"/>
          <w:szCs w:val="28"/>
        </w:rPr>
        <w:t>1.2.1采购内容</w:t>
      </w:r>
      <w:bookmarkEnd w:id="7"/>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本项目采购国家税务总局</w:t>
      </w:r>
      <w:r>
        <w:rPr>
          <w:rFonts w:ascii="仿宋_GB2312" w:eastAsia="仿宋_GB2312" w:hAnsi="仿宋_GB2312" w:cs="仿宋_GB2312"/>
          <w:sz w:val="28"/>
          <w:szCs w:val="28"/>
        </w:rPr>
        <w:t>吉林</w:t>
      </w:r>
      <w:r>
        <w:rPr>
          <w:rFonts w:ascii="仿宋_GB2312" w:eastAsia="仿宋_GB2312" w:hAnsi="仿宋_GB2312" w:cs="仿宋_GB2312"/>
          <w:sz w:val="28"/>
          <w:szCs w:val="28"/>
        </w:rPr>
        <w:t>市税务局</w:t>
      </w:r>
      <w:r>
        <w:rPr>
          <w:rFonts w:ascii="仿宋_GB2312" w:eastAsia="仿宋_GB2312" w:hAnsi="仿宋_GB2312" w:cs="仿宋_GB2312"/>
          <w:sz w:val="28"/>
          <w:szCs w:val="28"/>
        </w:rPr>
        <w:t>机关及一二三稽查局</w:t>
      </w:r>
      <w:r>
        <w:rPr>
          <w:rFonts w:ascii="仿宋_GB2312" w:eastAsia="仿宋_GB2312" w:hAnsi="仿宋_GB2312" w:cs="仿宋_GB2312"/>
          <w:sz w:val="28"/>
          <w:szCs w:val="28"/>
        </w:rPr>
        <w:t>食堂所需食材，含相应配送服务，项目预算金额为</w:t>
      </w:r>
      <w:r>
        <w:rPr>
          <w:rFonts w:ascii="仿宋_GB2312" w:eastAsia="仿宋_GB2312" w:hAnsi="仿宋_GB2312" w:cs="仿宋_GB2312"/>
          <w:sz w:val="28"/>
          <w:szCs w:val="28"/>
        </w:rPr>
        <w:t>286.176</w:t>
      </w:r>
      <w:r>
        <w:rPr>
          <w:rFonts w:ascii="仿宋_GB2312" w:eastAsia="仿宋_GB2312" w:hAnsi="仿宋_GB2312" w:cs="仿宋_GB2312"/>
          <w:sz w:val="28"/>
          <w:szCs w:val="28"/>
        </w:rPr>
        <w:t>万元</w:t>
      </w:r>
      <w:r>
        <w:rPr>
          <w:rFonts w:ascii="仿宋_GB2312" w:eastAsia="仿宋_GB2312" w:hAnsi="仿宋_GB2312" w:cs="仿宋_GB2312"/>
          <w:sz w:val="28"/>
          <w:szCs w:val="28"/>
        </w:rPr>
        <w:t>。</w:t>
      </w:r>
      <w:r>
        <w:rPr>
          <w:rFonts w:ascii="仿宋_GB2312" w:eastAsia="仿宋_GB2312" w:hAnsi="仿宋_GB2312" w:cs="仿宋_GB2312"/>
          <w:spacing w:val="0"/>
          <w:sz w:val="28"/>
          <w:szCs w:val="28"/>
        </w:rPr>
        <w:t>本项目分为</w:t>
      </w:r>
      <w:r>
        <w:rPr>
          <w:rFonts w:ascii="仿宋_GB2312" w:eastAsia="仿宋_GB2312" w:hAnsi="仿宋_GB2312" w:cs="仿宋_GB2312"/>
          <w:spacing w:val="0"/>
          <w:sz w:val="28"/>
          <w:szCs w:val="28"/>
        </w:rPr>
        <w:t>2个包采购，其中，第一包提供国家税务总局吉林市税务局</w:t>
      </w:r>
      <w:r>
        <w:rPr>
          <w:rFonts w:ascii="仿宋_GB2312" w:eastAsia="仿宋_GB2312" w:hAnsi="仿宋_GB2312" w:cs="仿宋_GB2312"/>
          <w:sz w:val="28"/>
          <w:szCs w:val="28"/>
        </w:rPr>
        <w:t>机关食堂食材</w:t>
      </w:r>
      <w:r>
        <w:rPr>
          <w:rFonts w:ascii="仿宋_GB2312" w:eastAsia="仿宋_GB2312" w:hAnsi="仿宋_GB2312" w:cs="仿宋_GB2312"/>
          <w:sz w:val="28"/>
          <w:szCs w:val="28"/>
        </w:rPr>
        <w:t>，预算</w:t>
      </w:r>
      <w:r>
        <w:rPr>
          <w:rFonts w:ascii="仿宋_GB2312" w:eastAsia="仿宋_GB2312" w:hAnsi="仿宋_GB2312" w:cs="仿宋_GB2312"/>
          <w:sz w:val="28"/>
          <w:szCs w:val="28"/>
        </w:rPr>
        <w:t>162.8万元</w:t>
      </w:r>
      <w:r>
        <w:rPr>
          <w:rFonts w:ascii="仿宋_GB2312" w:eastAsia="仿宋_GB2312" w:hAnsi="仿宋_GB2312" w:cs="仿宋_GB2312"/>
          <w:spacing w:val="0"/>
          <w:sz w:val="28"/>
          <w:szCs w:val="28"/>
        </w:rPr>
        <w:t>。第二包提供国家税务总局吉林市税务局第一稽查局、国家税务总局吉林市税务局第二稽查局、国家税务总局吉林市税务局第三稽查局的</w:t>
      </w:r>
      <w:r>
        <w:rPr>
          <w:rFonts w:ascii="仿宋_GB2312" w:eastAsia="仿宋_GB2312" w:hAnsi="仿宋_GB2312" w:cs="仿宋_GB2312"/>
          <w:sz w:val="28"/>
          <w:szCs w:val="28"/>
        </w:rPr>
        <w:t>食堂食材</w:t>
      </w:r>
      <w:r>
        <w:rPr>
          <w:rFonts w:ascii="仿宋_GB2312" w:eastAsia="仿宋_GB2312" w:hAnsi="仿宋_GB2312" w:cs="仿宋_GB2312"/>
          <w:sz w:val="28"/>
          <w:szCs w:val="28"/>
        </w:rPr>
        <w:t>，预算</w:t>
      </w:r>
      <w:r>
        <w:rPr>
          <w:rFonts w:ascii="仿宋_GB2312" w:eastAsia="仿宋_GB2312" w:hAnsi="仿宋_GB2312" w:cs="仿宋_GB2312"/>
          <w:sz w:val="28"/>
          <w:szCs w:val="28"/>
        </w:rPr>
        <w:t>123.376万元</w:t>
      </w:r>
      <w:r>
        <w:rPr>
          <w:rFonts w:ascii="仿宋_GB2312" w:eastAsia="仿宋_GB2312" w:hAnsi="仿宋_GB2312" w:cs="仿宋_GB2312"/>
          <w:sz w:val="28"/>
          <w:szCs w:val="28"/>
        </w:rPr>
        <w:t>。投标价格不作为最终合同金额，采购食材按实际采购量进行结算，总结算金额不超过采购预算。</w:t>
      </w:r>
    </w:p>
    <w:p>
      <w:pPr>
        <w:pStyle w:val="Heading3"/>
        <w:keepNext w:val="0"/>
        <w:spacing w:before="0" w:after="0" w:line="360" w:lineRule="auto"/>
        <w:rPr>
          <w:rFonts w:ascii="仿宋_GB2312" w:eastAsia="仿宋_GB2312" w:hAnsi="仿宋_GB2312" w:cs="仿宋_GB2312"/>
          <w:b/>
          <w:bCs/>
          <w:sz w:val="28"/>
          <w:szCs w:val="28"/>
        </w:rPr>
      </w:pPr>
      <w:bookmarkStart w:id="8" w:name="_Toc256000005"/>
      <w:r>
        <w:rPr>
          <w:rFonts w:ascii="仿宋_GB2312" w:eastAsia="仿宋_GB2312" w:hAnsi="仿宋_GB2312" w:cs="仿宋_GB2312"/>
          <w:sz w:val="28"/>
          <w:szCs w:val="28"/>
        </w:rPr>
        <w:t>1.2.2项目实施要求</w:t>
      </w:r>
      <w:bookmarkEnd w:id="8"/>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依据采购项目内容相关需求进行配送。</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服务期为自项目开始实施之日起</w:t>
      </w:r>
      <w:r>
        <w:rPr>
          <w:rFonts w:ascii="仿宋_GB2312" w:eastAsia="仿宋_GB2312" w:hAnsi="仿宋_GB2312" w:cs="仿宋_GB2312"/>
          <w:sz w:val="28"/>
          <w:szCs w:val="28"/>
        </w:rPr>
        <w:t>二</w:t>
      </w:r>
      <w:r>
        <w:rPr>
          <w:rFonts w:ascii="仿宋_GB2312" w:eastAsia="仿宋_GB2312" w:hAnsi="仿宋_GB2312" w:cs="仿宋_GB2312"/>
          <w:sz w:val="28"/>
          <w:szCs w:val="28"/>
        </w:rPr>
        <w:t>年</w:t>
      </w:r>
      <w:r>
        <w:rPr>
          <w:rFonts w:ascii="仿宋_GB2312" w:eastAsia="仿宋_GB2312" w:hAnsi="仿宋_GB2312" w:cs="仿宋_GB2312"/>
          <w:sz w:val="28"/>
          <w:szCs w:val="28"/>
        </w:rPr>
        <w:t>（合同一年一签）</w:t>
      </w:r>
      <w:r>
        <w:rPr>
          <w:rFonts w:ascii="仿宋_GB2312" w:eastAsia="仿宋_GB2312" w:hAnsi="仿宋_GB2312" w:cs="仿宋_GB2312"/>
          <w:sz w:val="28"/>
          <w:szCs w:val="28"/>
        </w:rPr>
        <w:t>。</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16"/>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rPr>
        <w:t> </w:t>
      </w:r>
    </w:p>
    <w:p>
      <w:pPr>
        <w:pStyle w:val="16"/>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rPr>
        <w:t> </w:t>
      </w:r>
    </w:p>
    <w:p>
      <w:pPr>
        <w:pStyle w:val="Heading5"/>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sz w:val="28"/>
          <w:szCs w:val="28"/>
        </w:rPr>
        <w:t>1.2.2.3.1包件一</w:t>
      </w:r>
    </w:p>
    <w:p>
      <w:pPr>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国家税务总局</w:t>
      </w:r>
      <w:r>
        <w:rPr>
          <w:rFonts w:ascii="仿宋_GB2312" w:eastAsia="仿宋_GB2312" w:hAnsi="仿宋_GB2312" w:cs="仿宋_GB2312"/>
          <w:sz w:val="28"/>
          <w:szCs w:val="28"/>
        </w:rPr>
        <w:t>吉林</w:t>
      </w:r>
      <w:r>
        <w:rPr>
          <w:rFonts w:ascii="仿宋_GB2312" w:eastAsia="仿宋_GB2312" w:hAnsi="仿宋_GB2312" w:cs="仿宋_GB2312"/>
          <w:sz w:val="28"/>
          <w:szCs w:val="28"/>
        </w:rPr>
        <w:t>市税务局（</w:t>
      </w:r>
      <w:r>
        <w:rPr>
          <w:rFonts w:ascii="仿宋_GB2312" w:eastAsia="仿宋_GB2312" w:hAnsi="仿宋_GB2312" w:cs="仿宋_GB2312"/>
          <w:sz w:val="28"/>
          <w:szCs w:val="28"/>
        </w:rPr>
        <w:t>吉林</w:t>
      </w:r>
      <w:r>
        <w:rPr>
          <w:rFonts w:ascii="仿宋_GB2312" w:eastAsia="仿宋_GB2312" w:hAnsi="仿宋_GB2312" w:cs="仿宋_GB2312"/>
          <w:sz w:val="28"/>
          <w:szCs w:val="28"/>
        </w:rPr>
        <w:t>市</w:t>
      </w:r>
      <w:r>
        <w:rPr>
          <w:rFonts w:ascii="仿宋_GB2312" w:eastAsia="仿宋_GB2312" w:hAnsi="仿宋_GB2312" w:cs="仿宋_GB2312"/>
          <w:sz w:val="28"/>
          <w:szCs w:val="28"/>
        </w:rPr>
        <w:t>丰满区三亚路</w:t>
      </w:r>
      <w:r>
        <w:rPr>
          <w:rFonts w:ascii="仿宋_GB2312" w:eastAsia="仿宋_GB2312" w:hAnsi="仿宋_GB2312" w:cs="仿宋_GB2312"/>
          <w:sz w:val="28"/>
          <w:szCs w:val="28"/>
        </w:rPr>
        <w:t>33</w:t>
      </w:r>
      <w:r>
        <w:rPr>
          <w:rFonts w:ascii="仿宋_GB2312" w:eastAsia="仿宋_GB2312" w:hAnsi="仿宋_GB2312" w:cs="仿宋_GB2312"/>
          <w:sz w:val="28"/>
          <w:szCs w:val="28"/>
        </w:rPr>
        <w:t>号）</w:t>
      </w:r>
    </w:p>
    <w:p>
      <w:pPr>
        <w:pStyle w:val="Heading5"/>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sz w:val="28"/>
          <w:szCs w:val="28"/>
        </w:rPr>
        <w:t>1.2.2.3.2包件二</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pacing w:val="0"/>
          <w:sz w:val="28"/>
          <w:szCs w:val="28"/>
        </w:rPr>
        <w:t>国家税务总局吉林市税务局第一稽查局（</w:t>
      </w:r>
      <w:r>
        <w:rPr>
          <w:rFonts w:ascii="仿宋_GB2312" w:eastAsia="仿宋_GB2312" w:hAnsi="仿宋_GB2312" w:cs="仿宋_GB2312"/>
          <w:spacing w:val="0"/>
          <w:sz w:val="28"/>
          <w:szCs w:val="28"/>
        </w:rPr>
        <w:t>吉林市</w:t>
      </w:r>
      <w:r>
        <w:rPr>
          <w:rFonts w:ascii="仿宋_GB2312" w:eastAsia="仿宋_GB2312" w:hAnsi="仿宋_GB2312" w:cs="仿宋_GB2312"/>
          <w:spacing w:val="0"/>
          <w:sz w:val="28"/>
          <w:szCs w:val="28"/>
        </w:rPr>
        <w:t>吉林大街</w:t>
      </w:r>
      <w:r>
        <w:rPr>
          <w:rFonts w:ascii="仿宋_GB2312" w:eastAsia="仿宋_GB2312" w:hAnsi="仿宋_GB2312" w:cs="仿宋_GB2312"/>
          <w:spacing w:val="0"/>
          <w:sz w:val="28"/>
          <w:szCs w:val="28"/>
        </w:rPr>
        <w:t>73号）</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pacing w:val="0"/>
          <w:sz w:val="28"/>
          <w:szCs w:val="28"/>
        </w:rPr>
        <w:t>国家税务总局吉林市税务局第二稽查局（</w:t>
      </w:r>
      <w:r>
        <w:rPr>
          <w:rFonts w:ascii="仿宋_GB2312" w:eastAsia="仿宋_GB2312" w:hAnsi="仿宋_GB2312" w:cs="仿宋_GB2312"/>
          <w:spacing w:val="0"/>
          <w:sz w:val="28"/>
          <w:szCs w:val="28"/>
        </w:rPr>
        <w:t>吉林市</w:t>
      </w:r>
      <w:r>
        <w:rPr>
          <w:rFonts w:ascii="仿宋_GB2312" w:eastAsia="仿宋_GB2312" w:hAnsi="仿宋_GB2312" w:cs="仿宋_GB2312"/>
          <w:spacing w:val="0"/>
          <w:sz w:val="28"/>
          <w:szCs w:val="28"/>
        </w:rPr>
        <w:t>吉林大街</w:t>
      </w:r>
      <w:r>
        <w:rPr>
          <w:rFonts w:ascii="仿宋_GB2312" w:eastAsia="仿宋_GB2312" w:hAnsi="仿宋_GB2312" w:cs="仿宋_GB2312"/>
          <w:spacing w:val="0"/>
          <w:sz w:val="28"/>
          <w:szCs w:val="28"/>
        </w:rPr>
        <w:t>73号）</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pacing w:val="0"/>
          <w:sz w:val="28"/>
          <w:szCs w:val="28"/>
        </w:rPr>
        <w:t>国</w:t>
      </w:r>
      <w:r>
        <w:rPr>
          <w:rFonts w:ascii="仿宋_GB2312" w:eastAsia="仿宋_GB2312" w:hAnsi="仿宋_GB2312" w:cs="仿宋_GB2312"/>
          <w:spacing w:val="0"/>
          <w:sz w:val="28"/>
          <w:szCs w:val="28"/>
        </w:rPr>
        <w:t>家税务总局吉林市税务局第三稽查局（</w:t>
      </w:r>
      <w:r>
        <w:rPr>
          <w:rFonts w:ascii="仿宋_GB2312" w:eastAsia="仿宋_GB2312" w:hAnsi="仿宋_GB2312" w:cs="仿宋_GB2312"/>
          <w:spacing w:val="0"/>
          <w:sz w:val="28"/>
          <w:szCs w:val="28"/>
        </w:rPr>
        <w:t>吉林市</w:t>
      </w:r>
      <w:r>
        <w:rPr>
          <w:rFonts w:ascii="仿宋_GB2312" w:eastAsia="仿宋_GB2312" w:hAnsi="仿宋_GB2312" w:cs="仿宋_GB2312"/>
          <w:spacing w:val="0"/>
          <w:sz w:val="28"/>
          <w:szCs w:val="28"/>
        </w:rPr>
        <w:t>徐州路</w:t>
      </w:r>
      <w:r>
        <w:rPr>
          <w:rFonts w:ascii="仿宋_GB2312" w:eastAsia="仿宋_GB2312" w:hAnsi="仿宋_GB2312" w:cs="仿宋_GB2312"/>
          <w:spacing w:val="0"/>
          <w:sz w:val="28"/>
          <w:szCs w:val="28"/>
        </w:rPr>
        <w:t>9号）</w:t>
      </w:r>
    </w:p>
    <w:p>
      <w:pPr>
        <w:pStyle w:val="Heading2"/>
        <w:keepNext w:val="0"/>
        <w:spacing w:before="0" w:after="0" w:line="360" w:lineRule="auto"/>
        <w:rPr>
          <w:rFonts w:ascii="仿宋_GB2312" w:eastAsia="仿宋_GB2312" w:hAnsi="仿宋_GB2312" w:cs="仿宋_GB2312"/>
          <w:b/>
          <w:bCs/>
          <w:sz w:val="28"/>
          <w:szCs w:val="28"/>
        </w:rPr>
      </w:pPr>
      <w:bookmarkStart w:id="9" w:name="_Toc256000006"/>
      <w:r>
        <w:rPr>
          <w:rFonts w:ascii="仿宋_GB2312" w:eastAsia="仿宋_GB2312" w:hAnsi="仿宋_GB2312" w:cs="仿宋_GB2312"/>
          <w:i w:val="0"/>
          <w:iCs w:val="0"/>
        </w:rPr>
        <w:t>1.3其他要求</w:t>
      </w:r>
      <w:bookmarkEnd w:id="9"/>
    </w:p>
    <w:p>
      <w:pPr>
        <w:pStyle w:val="Heading3"/>
        <w:keepNext w:val="0"/>
        <w:spacing w:before="0" w:after="0" w:line="360" w:lineRule="auto"/>
        <w:rPr>
          <w:rFonts w:ascii="仿宋_GB2312" w:eastAsia="仿宋_GB2312" w:hAnsi="仿宋_GB2312" w:cs="仿宋_GB2312"/>
          <w:b/>
          <w:bCs/>
          <w:sz w:val="28"/>
          <w:szCs w:val="28"/>
        </w:rPr>
      </w:pPr>
      <w:bookmarkStart w:id="10" w:name="_Toc256000007"/>
      <w:r>
        <w:rPr>
          <w:rFonts w:ascii="仿宋_GB2312" w:eastAsia="仿宋_GB2312" w:hAnsi="仿宋_GB2312" w:cs="仿宋_GB2312"/>
          <w:sz w:val="28"/>
          <w:szCs w:val="28"/>
        </w:rPr>
        <w:t>1.3.1采购标的需执行的相关标准规范</w:t>
      </w:r>
      <w:bookmarkEnd w:id="10"/>
    </w:p>
    <w:p>
      <w:pPr>
        <w:pStyle w:val="Heading1"/>
        <w:keepNext w:val="0"/>
        <w:spacing w:before="0" w:after="0" w:line="360" w:lineRule="auto"/>
        <w:jc w:val="center"/>
        <w:rPr>
          <w:rFonts w:ascii="仿宋_GB2312" w:eastAsia="仿宋_GB2312" w:hAnsi="仿宋_GB2312" w:cs="仿宋_GB2312"/>
          <w:b/>
          <w:bCs/>
          <w:sz w:val="32"/>
          <w:szCs w:val="32"/>
        </w:rPr>
      </w:pPr>
      <w:bookmarkStart w:id="11" w:name="_Toc256000008"/>
      <w:r>
        <w:rPr>
          <w:rFonts w:ascii="仿宋_GB2312" w:eastAsia="仿宋_GB2312" w:hAnsi="仿宋_GB2312" w:cs="仿宋_GB2312"/>
          <w:kern w:val="36"/>
        </w:rPr>
        <w:t>2投标/响应要求</w:t>
      </w:r>
      <w:bookmarkEnd w:id="11"/>
    </w:p>
    <w:p>
      <w:pPr>
        <w:pStyle w:val="Heading2"/>
        <w:keepNext w:val="0"/>
        <w:spacing w:before="0" w:after="0" w:line="360" w:lineRule="auto"/>
        <w:rPr>
          <w:rFonts w:ascii="仿宋_GB2312" w:eastAsia="仿宋_GB2312" w:hAnsi="仿宋_GB2312" w:cs="仿宋_GB2312"/>
          <w:b/>
          <w:bCs/>
          <w:sz w:val="28"/>
          <w:szCs w:val="28"/>
        </w:rPr>
      </w:pPr>
      <w:bookmarkStart w:id="12" w:name="_Toc256000009"/>
      <w:r>
        <w:rPr>
          <w:rFonts w:ascii="仿宋_GB2312" w:eastAsia="仿宋_GB2312" w:hAnsi="仿宋_GB2312" w:cs="仿宋_GB2312"/>
          <w:i w:val="0"/>
          <w:iCs w:val="0"/>
        </w:rPr>
        <w:t>2.1对供应商的要求</w:t>
      </w:r>
      <w:bookmarkEnd w:id="12"/>
    </w:p>
    <w:p>
      <w:pPr>
        <w:pStyle w:val="Heading3"/>
        <w:keepNext w:val="0"/>
        <w:spacing w:before="0" w:after="0" w:line="360" w:lineRule="auto"/>
        <w:rPr>
          <w:rFonts w:ascii="仿宋_GB2312" w:eastAsia="仿宋_GB2312" w:hAnsi="仿宋_GB2312" w:cs="仿宋_GB2312"/>
          <w:b/>
          <w:bCs/>
          <w:sz w:val="28"/>
          <w:szCs w:val="28"/>
        </w:rPr>
      </w:pPr>
      <w:bookmarkStart w:id="13" w:name="_Toc256000010"/>
      <w:r>
        <w:rPr>
          <w:rFonts w:ascii="仿宋_GB2312" w:eastAsia="仿宋_GB2312" w:hAnsi="仿宋_GB2312" w:cs="仿宋_GB2312"/>
          <w:sz w:val="28"/>
          <w:szCs w:val="28"/>
        </w:rPr>
        <w:t>2.1.1必备资质</w:t>
      </w:r>
      <w:bookmarkEnd w:id="13"/>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MsoNormal"/>
        <w:spacing w:before="0" w:after="0" w:line="360" w:lineRule="auto"/>
        <w:ind w:left="0" w:right="0"/>
        <w:jc w:val="both"/>
        <w:rPr>
          <w:sz w:val="21"/>
          <w:szCs w:val="21"/>
        </w:rPr>
      </w:pPr>
      <w:r>
        <w:rPr>
          <w:rFonts w:ascii="FangSong_GB2312" w:eastAsia="FangSong_GB2312" w:hAnsi="FangSong_GB2312" w:cs="FangSong_GB2312"/>
          <w:sz w:val="28"/>
          <w:szCs w:val="28"/>
        </w:rPr>
        <w:t>供应商具有《食品经营许可证》或《食品生产许可证》。仅提供《食品生产许可证》的，许可范围应包括本包中除食用农产品外的全部供应品类。</w:t>
      </w:r>
    </w:p>
    <w:p>
      <w:pPr>
        <w:pStyle w:val="Heading3"/>
        <w:keepNext w:val="0"/>
        <w:spacing w:before="0" w:after="0" w:line="360" w:lineRule="auto"/>
        <w:rPr>
          <w:rFonts w:ascii="仿宋_GB2312" w:eastAsia="仿宋_GB2312" w:hAnsi="仿宋_GB2312" w:cs="仿宋_GB2312"/>
          <w:b/>
          <w:bCs/>
          <w:sz w:val="28"/>
          <w:szCs w:val="28"/>
        </w:rPr>
      </w:pPr>
      <w:bookmarkStart w:id="14" w:name="_Toc256000011"/>
      <w:r>
        <w:rPr>
          <w:rFonts w:ascii="仿宋_GB2312" w:eastAsia="仿宋_GB2312" w:hAnsi="仿宋_GB2312" w:cs="仿宋_GB2312"/>
          <w:sz w:val="28"/>
          <w:szCs w:val="28"/>
        </w:rPr>
        <w:t>2.1.2优选资质/优选指标</w:t>
      </w:r>
      <w:bookmarkEnd w:id="14"/>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W w:w="5000" w:type="pct"/>
        <w:tblInd w:w="30" w:type="dxa"/>
        <w:tblCellMar>
          <w:top w:w="15" w:type="dxa"/>
          <w:left w:w="15" w:type="dxa"/>
          <w:bottom w:w="15" w:type="dxa"/>
          <w:right w:w="15" w:type="dxa"/>
        </w:tblCellMar>
      </w:tblPr>
      <w:tblGrid>
        <w:gridCol w:w="925"/>
        <w:gridCol w:w="4274"/>
        <w:gridCol w:w="4131"/>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225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225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质量管理体系认证证书（IS09001）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职业健康安全管理体系认证证书（ISO45001）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r>
    </w:tbl>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有效案例为</w:t>
      </w:r>
      <w:r>
        <w:rPr>
          <w:rFonts w:ascii="仿宋_GB2312" w:eastAsia="仿宋_GB2312" w:hAnsi="仿宋_GB2312" w:cs="仿宋_GB2312"/>
          <w:sz w:val="28"/>
          <w:szCs w:val="28"/>
        </w:rPr>
        <w:t>2022年1月1日以来（以合同签订日期为准），供应商独立承担的肉类、蔬菜类、主副食类等食材供应项目案例，予以加分考虑。</w:t>
      </w:r>
    </w:p>
    <w:p>
      <w:pPr>
        <w:pStyle w:val="Heading3"/>
        <w:keepNext w:val="0"/>
        <w:spacing w:before="0" w:after="0" w:line="360" w:lineRule="auto"/>
        <w:rPr>
          <w:rFonts w:ascii="仿宋_GB2312" w:eastAsia="仿宋_GB2312" w:hAnsi="仿宋_GB2312" w:cs="仿宋_GB2312"/>
          <w:b/>
          <w:bCs/>
          <w:sz w:val="28"/>
          <w:szCs w:val="28"/>
        </w:rPr>
      </w:pPr>
      <w:bookmarkStart w:id="15" w:name="_Toc256000012"/>
      <w:r>
        <w:rPr>
          <w:rFonts w:ascii="仿宋_GB2312" w:eastAsia="仿宋_GB2312" w:hAnsi="仿宋_GB2312" w:cs="仿宋_GB2312"/>
          <w:sz w:val="28"/>
          <w:szCs w:val="28"/>
        </w:rPr>
        <w:t>2.1.3是否允许联合体</w:t>
      </w:r>
      <w:bookmarkEnd w:id="15"/>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
        <w:keepNext w:val="0"/>
        <w:spacing w:before="0" w:after="0" w:line="360" w:lineRule="auto"/>
        <w:rPr>
          <w:rFonts w:ascii="仿宋_GB2312" w:eastAsia="仿宋_GB2312" w:hAnsi="仿宋_GB2312" w:cs="仿宋_GB2312"/>
          <w:b/>
          <w:bCs/>
          <w:sz w:val="28"/>
          <w:szCs w:val="28"/>
        </w:rPr>
      </w:pPr>
      <w:bookmarkStart w:id="16" w:name="_Toc256000013"/>
      <w:r>
        <w:rPr>
          <w:rFonts w:ascii="仿宋_GB2312" w:eastAsia="仿宋_GB2312" w:hAnsi="仿宋_GB2312" w:cs="仿宋_GB2312"/>
          <w:sz w:val="28"/>
          <w:szCs w:val="28"/>
        </w:rPr>
        <w:t>2.1.4是否专门面向中小企业</w:t>
      </w:r>
      <w:bookmarkEnd w:id="16"/>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3"/>
        <w:keepNext w:val="0"/>
        <w:spacing w:before="0" w:after="0" w:line="360" w:lineRule="auto"/>
        <w:rPr>
          <w:rFonts w:ascii="仿宋_GB2312" w:eastAsia="仿宋_GB2312" w:hAnsi="仿宋_GB2312" w:cs="仿宋_GB2312"/>
          <w:b/>
          <w:bCs/>
          <w:sz w:val="28"/>
          <w:szCs w:val="28"/>
        </w:rPr>
      </w:pPr>
      <w:bookmarkStart w:id="17" w:name="_Toc256000014"/>
      <w:r>
        <w:rPr>
          <w:rFonts w:ascii="仿宋_GB2312" w:eastAsia="仿宋_GB2312" w:hAnsi="仿宋_GB2312" w:cs="仿宋_GB2312"/>
          <w:sz w:val="28"/>
          <w:szCs w:val="28"/>
        </w:rPr>
        <w:t>2.1.5其他要求</w:t>
      </w:r>
      <w:bookmarkEnd w:id="17"/>
    </w:p>
    <w:p>
      <w:pPr>
        <w:pStyle w:val="Heading2"/>
        <w:keepNext w:val="0"/>
        <w:spacing w:before="0" w:after="0" w:line="360" w:lineRule="auto"/>
        <w:rPr>
          <w:rFonts w:ascii="仿宋_GB2312" w:eastAsia="仿宋_GB2312" w:hAnsi="仿宋_GB2312" w:cs="仿宋_GB2312"/>
          <w:b/>
          <w:bCs/>
          <w:sz w:val="28"/>
          <w:szCs w:val="28"/>
        </w:rPr>
      </w:pPr>
      <w:bookmarkStart w:id="18" w:name="_Toc256000015"/>
      <w:r>
        <w:rPr>
          <w:rFonts w:ascii="仿宋_GB2312" w:eastAsia="仿宋_GB2312" w:hAnsi="仿宋_GB2312" w:cs="仿宋_GB2312"/>
          <w:i w:val="0"/>
          <w:iCs w:val="0"/>
        </w:rPr>
        <w:t>2.2技术部分投标/响应内容</w:t>
      </w:r>
      <w:bookmarkEnd w:id="18"/>
    </w:p>
    <w:p>
      <w:pPr>
        <w:pStyle w:val="Heading3"/>
        <w:keepNext w:val="0"/>
        <w:spacing w:before="0" w:after="0" w:line="360" w:lineRule="auto"/>
        <w:rPr>
          <w:rFonts w:ascii="仿宋_GB2312" w:eastAsia="仿宋_GB2312" w:hAnsi="仿宋_GB2312" w:cs="仿宋_GB2312"/>
          <w:b/>
          <w:bCs/>
          <w:sz w:val="28"/>
          <w:szCs w:val="28"/>
        </w:rPr>
      </w:pPr>
      <w:bookmarkStart w:id="19" w:name="_Toc256000016"/>
      <w:r>
        <w:rPr>
          <w:rFonts w:ascii="仿宋_GB2312" w:eastAsia="仿宋_GB2312" w:hAnsi="仿宋_GB2312" w:cs="仿宋_GB2312"/>
          <w:sz w:val="28"/>
          <w:szCs w:val="28"/>
        </w:rPr>
        <w:t>2.2.1技术投标/响应总要求</w:t>
      </w:r>
      <w:bookmarkEnd w:id="19"/>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投标人必须针对技术部分中的需求逐个或分块作出实质性响应，其响应与采购文件内容采用同样的顺序。对每个需求的响应必须遵循如下规则：</w:t>
      </w:r>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w:t>
      </w:r>
      <w:r>
        <w:rPr>
          <w:sz w:val="28"/>
          <w:szCs w:val="28"/>
        </w:rPr>
        <w:t>1）重复该需求。</w:t>
      </w:r>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w:t>
      </w:r>
      <w:r>
        <w:rPr>
          <w:sz w:val="28"/>
          <w:szCs w:val="28"/>
        </w:rPr>
        <w:t>2）用“是/否”响应来表明该需求是否被满足。</w:t>
      </w:r>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w:t>
      </w:r>
      <w:r>
        <w:rPr>
          <w:sz w:val="28"/>
          <w:szCs w:val="28"/>
        </w:rPr>
        <w:t>3）简要描述投标文件如何满足该需求，如果该响应在投标文件其他部分有详述，可在该处简单应答，但必须给出确切的位置索引。</w:t>
      </w:r>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w:t>
      </w:r>
      <w:r>
        <w:rPr>
          <w:sz w:val="28"/>
          <w:szCs w:val="28"/>
        </w:rPr>
        <w:t>4）解释投标文件与用户需求之间的偏差，用数量来表示的需求，必须用确切的数字、单位来响应。</w:t>
      </w:r>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w:t>
      </w:r>
      <w:r>
        <w:rPr>
          <w:sz w:val="28"/>
          <w:szCs w:val="28"/>
        </w:rPr>
        <w:t>5）对采购文件（技术部分）的应答应至少包含采购文件技术部分中的全部内容。投标人应提供实质性确切响应，并有详细的文字描述和说明，任何仅采用“符合”、“满足”或非确定性数值（如“&gt;=”或“&lt;=”）的响应均将被视为没有对采购文件的实质性响应，从而可能导致严重后果直至投标被拒绝。</w:t>
      </w:r>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w:t>
      </w:r>
      <w:r>
        <w:rPr>
          <w:sz w:val="28"/>
          <w:szCs w:val="28"/>
        </w:rPr>
        <w:t>6）投标人认为对整个项目建设特别重要的建议，需单独说明（此项单列为可选性需求）。</w:t>
      </w:r>
    </w:p>
    <w:p>
      <w:pPr>
        <w:pStyle w:val="Heading3"/>
        <w:keepNext w:val="0"/>
        <w:spacing w:before="0" w:after="0" w:line="360" w:lineRule="auto"/>
        <w:rPr>
          <w:rFonts w:ascii="仿宋_GB2312" w:eastAsia="仿宋_GB2312" w:hAnsi="仿宋_GB2312" w:cs="仿宋_GB2312"/>
          <w:b/>
          <w:bCs/>
          <w:sz w:val="28"/>
          <w:szCs w:val="28"/>
        </w:rPr>
      </w:pPr>
      <w:bookmarkStart w:id="20" w:name="_Toc256000017"/>
      <w:r>
        <w:rPr>
          <w:rFonts w:ascii="仿宋_GB2312" w:eastAsia="仿宋_GB2312" w:hAnsi="仿宋_GB2312" w:cs="仿宋_GB2312"/>
          <w:sz w:val="28"/>
          <w:szCs w:val="28"/>
        </w:rPr>
        <w:t>2.2.2投标/响应方案要求</w:t>
      </w:r>
      <w:bookmarkEnd w:id="20"/>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以下相关方案，若作为评审因素，则投标人应在满足★必备指标项要求的前提下，根据项目特点和采购需求，制定更为完整、详细、可操作性强的方案。</w:t>
      </w:r>
    </w:p>
    <w:p>
      <w:pPr>
        <w:pStyle w:val="15"/>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以下相关方案，若作为评审因素，则投标人应在满足</w:t>
      </w:r>
      <w:r>
        <w:rPr>
          <w:rFonts w:ascii="仿宋_GB2312" w:eastAsia="仿宋_GB2312" w:hAnsi="仿宋_GB2312" w:cs="仿宋_GB2312"/>
          <w:sz w:val="28"/>
          <w:szCs w:val="28"/>
        </w:rPr>
        <w:t>★关键指标项要求的前提下，根据项目特点和采购需求，制定更为完整、详细、可操作性强的方案。</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以下相关方案，若作为评审因素，则投标人应在满足</w:t>
      </w:r>
      <w:r>
        <w:rPr>
          <w:rFonts w:ascii="仿宋_GB2312" w:eastAsia="仿宋_GB2312" w:hAnsi="仿宋_GB2312" w:cs="仿宋_GB2312"/>
          <w:sz w:val="28"/>
          <w:szCs w:val="28"/>
        </w:rPr>
        <w:t>★关键指标项要求的前提下，根据项目特点和采购需求，制定更为完整、详细、可操作性强的方案。</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对本项目技术需求书的完全响应，具体包括：项目需求理解、供应方案、质量安全把控方案、应急保障方案和货物验收方案。</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1）项目需求理解</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投标人应详细阐述对本包整体技术业务需求内容的理解，深入分析并提供详细的需求分析说明。</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2）供应方案和质量安全把控方案的具体要求见“5、管理实施要求和6、风险管控要求”</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3）应急保障方案的具体要求见“6、风险管控要求”。</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4）货物验收方案的具体要求见“7、履约验收要求”。</w:t>
      </w:r>
    </w:p>
    <w:p>
      <w:pPr>
        <w:pStyle w:val="Heading1"/>
        <w:keepNext w:val="0"/>
        <w:spacing w:before="0" w:after="0" w:line="360" w:lineRule="auto"/>
        <w:jc w:val="center"/>
        <w:rPr>
          <w:rFonts w:ascii="仿宋_GB2312" w:eastAsia="仿宋_GB2312" w:hAnsi="仿宋_GB2312" w:cs="仿宋_GB2312"/>
          <w:b/>
          <w:bCs/>
          <w:sz w:val="32"/>
          <w:szCs w:val="32"/>
        </w:rPr>
      </w:pPr>
      <w:bookmarkStart w:id="21" w:name="_Toc256000018"/>
      <w:r>
        <w:rPr>
          <w:rFonts w:ascii="仿宋_GB2312" w:eastAsia="仿宋_GB2312" w:hAnsi="仿宋_GB2312" w:cs="仿宋_GB2312"/>
          <w:kern w:val="36"/>
        </w:rPr>
        <w:t>3项目需求</w:t>
      </w:r>
      <w:bookmarkEnd w:id="21"/>
    </w:p>
    <w:p>
      <w:pPr>
        <w:pStyle w:val="Heading2"/>
        <w:keepNext w:val="0"/>
        <w:spacing w:before="0" w:after="0" w:line="360" w:lineRule="auto"/>
        <w:rPr>
          <w:rFonts w:ascii="仿宋_GB2312" w:eastAsia="仿宋_GB2312" w:hAnsi="仿宋_GB2312" w:cs="仿宋_GB2312"/>
          <w:b/>
          <w:bCs/>
          <w:sz w:val="28"/>
          <w:szCs w:val="28"/>
        </w:rPr>
      </w:pPr>
      <w:bookmarkStart w:id="22" w:name="_Toc256000019"/>
      <w:r>
        <w:rPr>
          <w:rFonts w:ascii="仿宋_GB2312" w:eastAsia="仿宋_GB2312" w:hAnsi="仿宋_GB2312" w:cs="仿宋_GB2312"/>
          <w:i w:val="0"/>
          <w:iCs w:val="0"/>
        </w:rPr>
        <w:t>3.1总体要求</w:t>
      </w:r>
      <w:bookmarkEnd w:id="22"/>
    </w:p>
    <w:p>
      <w:pPr>
        <w:pStyle w:val="16"/>
        <w:spacing w:before="0" w:after="0" w:line="360" w:lineRule="auto"/>
        <w:ind w:left="0" w:firstLine="480"/>
        <w:jc w:val="both"/>
        <w:rPr>
          <w:rFonts w:ascii="Times New Roman" w:eastAsia="Times New Roman" w:hAnsi="Times New Roman" w:cs="Times New Roman"/>
        </w:rPr>
      </w:pPr>
      <w:r>
        <w:rPr>
          <w:rFonts w:ascii="FangSong_GB2312" w:eastAsia="FangSong_GB2312" w:hAnsi="FangSong_GB2312" w:cs="FangSong_GB2312"/>
          <w:sz w:val="28"/>
          <w:szCs w:val="28"/>
        </w:rPr>
        <w:t>投标人应严格遵守《食品安全法》和《动物检疫法》等相关规定，严格保证食品质量符合国家相关产品质量标准，符合国家各级强制性规范的要求。在中标后如出现因食用其提供的食品导致食物中毒事故发生，投标人应对此承担一切法律责任。</w:t>
      </w:r>
    </w:p>
    <w:p>
      <w:pPr>
        <w:pStyle w:val="Heading2"/>
        <w:keepNext w:val="0"/>
        <w:spacing w:before="0" w:after="0" w:line="360" w:lineRule="auto"/>
        <w:rPr>
          <w:rFonts w:ascii="仿宋_GB2312" w:eastAsia="仿宋_GB2312" w:hAnsi="仿宋_GB2312" w:cs="仿宋_GB2312"/>
          <w:b/>
          <w:bCs/>
          <w:sz w:val="28"/>
          <w:szCs w:val="28"/>
        </w:rPr>
      </w:pPr>
      <w:bookmarkStart w:id="23" w:name="_Toc256000020"/>
      <w:r>
        <w:rPr>
          <w:rFonts w:ascii="仿宋_GB2312" w:eastAsia="仿宋_GB2312" w:hAnsi="仿宋_GB2312" w:cs="仿宋_GB2312"/>
          <w:i w:val="0"/>
          <w:iCs w:val="0"/>
        </w:rPr>
        <w:t>3.2服务内容和要求</w:t>
      </w:r>
      <w:bookmarkEnd w:id="23"/>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采购文件（技术部分）中有标注★号的，为必备要求，必须满足，如未作出响应，将导致响应无效；#为重要内容、△为一般内容。</w:t>
      </w:r>
    </w:p>
    <w:p>
      <w:pPr>
        <w:pStyle w:val="Heading3"/>
        <w:keepNext w:val="0"/>
        <w:spacing w:before="0" w:after="0" w:line="360" w:lineRule="auto"/>
        <w:rPr>
          <w:rFonts w:ascii="仿宋_GB2312" w:eastAsia="仿宋_GB2312" w:hAnsi="仿宋_GB2312" w:cs="仿宋_GB2312"/>
          <w:b/>
          <w:bCs/>
          <w:sz w:val="28"/>
          <w:szCs w:val="28"/>
        </w:rPr>
      </w:pPr>
      <w:bookmarkStart w:id="24" w:name="_Toc256000021"/>
      <w:r>
        <w:rPr>
          <w:rFonts w:ascii="仿宋_GB2312" w:eastAsia="仿宋_GB2312" w:hAnsi="仿宋_GB2312" w:cs="仿宋_GB2312"/>
          <w:sz w:val="28"/>
          <w:szCs w:val="28"/>
        </w:rPr>
        <w:t>3.2.1具体采购食材清单</w:t>
      </w:r>
      <w:bookmarkEnd w:id="24"/>
    </w:p>
    <w:p>
      <w:pPr>
        <w:pStyle w:val="17"/>
        <w:spacing w:before="0" w:after="0" w:line="360" w:lineRule="auto"/>
        <w:jc w:val="center"/>
        <w:rPr>
          <w:rFonts w:ascii="Times New Roman" w:eastAsia="Times New Roman" w:hAnsi="Times New Roman" w:cs="Times New Roman"/>
        </w:rPr>
      </w:pPr>
      <w:r>
        <w:t> </w:t>
      </w:r>
    </w:p>
    <w:tbl>
      <w:tblPr>
        <w:tblStyle w:val="18"/>
        <w:tblW w:w="8324" w:type="dxa"/>
        <w:jc w:val="center"/>
        <w:tblCellSpacing w:w="0" w:type="dxa"/>
        <w:tblInd w:w="108" w:type="dxa"/>
        <w:tblCellMar>
          <w:top w:w="15" w:type="dxa"/>
          <w:left w:w="15" w:type="dxa"/>
          <w:bottom w:w="15" w:type="dxa"/>
          <w:right w:w="15" w:type="dxa"/>
        </w:tblCellMar>
        <w:tblLook w:val="05E0"/>
      </w:tblPr>
      <w:tblGrid>
        <w:gridCol w:w="1953"/>
        <w:gridCol w:w="3996"/>
        <w:gridCol w:w="2375"/>
      </w:tblGrid>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37" w:type="dxa"/>
            <w:tcBorders>
              <w:top w:val="single" w:sz="8" w:space="0" w:color="000000"/>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序号</w:t>
            </w:r>
          </w:p>
        </w:tc>
        <w:tc>
          <w:tcPr>
            <w:tcW w:w="5226" w:type="dxa"/>
            <w:tcBorders>
              <w:top w:val="single" w:sz="8" w:space="0" w:color="000000"/>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分类</w:t>
            </w:r>
          </w:p>
        </w:tc>
        <w:tc>
          <w:tcPr>
            <w:tcW w:w="2967" w:type="dxa"/>
            <w:tcBorders>
              <w:top w:val="single" w:sz="8" w:space="0" w:color="000000"/>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品种名称</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猪肉、脏器及副产品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猪前尖</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猪肉、脏器及副产品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猪后尖</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猪肉、脏器及副产品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猪通脊</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猪肉、脏器及副产品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猪后腿骨</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猪肉、脏器及副产品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猪鲜肉馅</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猪肉、脏器及副产品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猪五花</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猪肝</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猪带跟耳朵</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猪前肘</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猪脏器及副产品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带筋猪蹄</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牛腩</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牛肉馅</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外脊</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牛肋排块</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牛后腿肉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牛肉及各部件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原切牛肉片</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羊肉及各部件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羊肉卷</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羊肉及各部件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羊肋排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羊肉及各部件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羊杂</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禽肉及各部件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鸡肉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禽肉及各部件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鸡胗</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禽肉及各部件</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鸭肉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肉制品</w:t>
            </w:r>
            <w:r>
              <w:rPr>
                <w:rFonts w:ascii="仿宋_GB2312" w:eastAsia="仿宋_GB2312" w:hAnsi="仿宋_GB2312" w:cs="仿宋_GB2312"/>
                <w:b w:val="0"/>
                <w:bCs w:val="0"/>
                <w:i w:val="0"/>
                <w:iCs w:val="0"/>
                <w:smallCaps w:val="0"/>
                <w:color w:val="000000"/>
                <w:sz w:val="32"/>
                <w:szCs w:val="32"/>
              </w:rPr>
              <w:t>/半成品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梅花肉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肉制品</w:t>
            </w:r>
            <w:r>
              <w:rPr>
                <w:rFonts w:ascii="仿宋_GB2312" w:eastAsia="仿宋_GB2312" w:hAnsi="仿宋_GB2312" w:cs="仿宋_GB2312"/>
                <w:b w:val="0"/>
                <w:bCs w:val="0"/>
                <w:i w:val="0"/>
                <w:iCs w:val="0"/>
                <w:smallCaps w:val="0"/>
                <w:color w:val="000000"/>
                <w:sz w:val="32"/>
                <w:szCs w:val="32"/>
              </w:rPr>
              <w:t>/半成品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烤肠</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鲤鱼</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小黄花鱼</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刀鱼</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草鱼</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29. 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鲅鱼</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胖头鱼</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青虾</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河虾</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虾仁</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面粉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大米</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花生</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绿豆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黄豆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39. 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红豆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玉米</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粮食类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薏米</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食用油</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大豆油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食用油</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花生油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食用油</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葵花籽油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食用油</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色拉油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食用油</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玉米油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油豆角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大白菜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49. 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包菜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油菜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菠菜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香菜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蒜苗</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芥菜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小白菜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菜心</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油麦菜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生菜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59. 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香葱</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西红柿</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茄子</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冬瓜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黄瓜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南瓜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青椒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红椒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青豆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荷兰豆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69. 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豇豆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芹菜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绿豆芽</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黄豆芽</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洋葱</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土豆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红薯</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胡萝卜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青萝卜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白萝卜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79. 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山药</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红葱头</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西兰花</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大葱</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小葱</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杏鲍菇</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蔬菜类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金针菇</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柑类</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89. 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桔类</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橙类</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苹果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梨</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香蕉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桃</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李子</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西瓜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水果类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top"/>
            <w:hideMark/>
          </w:tcPr>
          <w:p>
            <w:pPr>
              <w:pStyle w:val="16"/>
              <w:spacing w:line="600" w:lineRule="atLeast"/>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香瓜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豆蛋乳制品类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干豆腐</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99. 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豆蛋乳制品类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大豆腐</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豆蛋乳制品类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蛋类</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豆蛋乳制品类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纯牛奶</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豆蛋乳制品类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酸牛奶</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速冻食品</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速冻汤圆</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花椒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八角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桂皮</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丁香</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小茴香</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109. 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草果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黑胡椒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白胡椒</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辣椒干</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白芝麻</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黑芝麻</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香油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酵母</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生粉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米粉</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119. 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粉丝</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黑木耳</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银耳</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紫菜</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水产干货</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124. 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食盐</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125. 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白糖</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126. 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红糖</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127. 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冰糖</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128. 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酱油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129. 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食醋</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130. 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味精</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131. 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酱料</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132. 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蚝油</w:t>
            </w:r>
          </w:p>
        </w:tc>
      </w:tr>
      <w:tr>
        <w:tblPrEx>
          <w:tblW w:w="8324" w:type="dxa"/>
          <w:jc w:val="center"/>
          <w:tblCellSpacing w:w="0" w:type="dxa"/>
          <w:tblInd w:w="108" w:type="dxa"/>
          <w:tblCellMar>
            <w:top w:w="15" w:type="dxa"/>
            <w:left w:w="15" w:type="dxa"/>
            <w:bottom w:w="15" w:type="dxa"/>
            <w:right w:w="15" w:type="dxa"/>
          </w:tblCellMar>
          <w:tblLook w:val="05E0"/>
        </w:tblPrEx>
        <w:trPr>
          <w:trHeight w:val="600"/>
          <w:tblCellSpacing w:w="0" w:type="dxa"/>
          <w:jc w:val="center"/>
        </w:trPr>
        <w:tc>
          <w:tcPr>
            <w:tcW w:w="1867" w:type="dxa"/>
            <w:tcBorders>
              <w:left w:val="single" w:sz="8" w:space="0" w:color="000000"/>
              <w:bottom w:val="single" w:sz="8" w:space="0" w:color="000000"/>
              <w:right w:val="single" w:sz="8" w:space="0" w:color="000000"/>
            </w:tcBorders>
            <w:noWrap w:val="0"/>
            <w:tcMar>
              <w:top w:w="0" w:type="dxa"/>
              <w:left w:w="128" w:type="dxa"/>
              <w:bottom w:w="0" w:type="dxa"/>
              <w:right w:w="178" w:type="dxa"/>
            </w:tcMar>
            <w:vAlign w:val="center"/>
            <w:hideMark/>
          </w:tcPr>
          <w:p>
            <w:pPr>
              <w:pStyle w:val="16"/>
              <w:spacing w:line="600" w:lineRule="atLeast"/>
              <w:ind w:left="425" w:hanging="425"/>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133. </w:t>
            </w:r>
          </w:p>
        </w:tc>
        <w:tc>
          <w:tcPr>
            <w:tcW w:w="5226"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干货调料类</w:t>
            </w:r>
          </w:p>
        </w:tc>
        <w:tc>
          <w:tcPr>
            <w:tcW w:w="2967" w:type="dxa"/>
            <w:tcBorders>
              <w:bottom w:val="single" w:sz="8" w:space="0" w:color="000000"/>
              <w:right w:val="single" w:sz="8" w:space="0" w:color="000000"/>
            </w:tcBorders>
            <w:noWrap w:val="0"/>
            <w:tcMar>
              <w:top w:w="0" w:type="dxa"/>
              <w:left w:w="108" w:type="dxa"/>
              <w:bottom w:w="0" w:type="dxa"/>
              <w:right w:w="178" w:type="dxa"/>
            </w:tcMar>
            <w:vAlign w:val="center"/>
            <w:hideMark/>
          </w:tcPr>
          <w:p>
            <w:pPr>
              <w:pStyle w:val="16"/>
              <w:spacing w:line="600"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32"/>
                <w:szCs w:val="32"/>
              </w:rPr>
              <w:t>奶粉</w:t>
            </w:r>
          </w:p>
        </w:tc>
      </w:tr>
    </w:tbl>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备注：本表仅列举国家税务总局</w:t>
      </w:r>
      <w:r>
        <w:rPr>
          <w:rFonts w:ascii="仿宋_GB2312" w:eastAsia="仿宋_GB2312" w:hAnsi="仿宋_GB2312" w:cs="仿宋_GB2312"/>
          <w:sz w:val="28"/>
          <w:szCs w:val="28"/>
        </w:rPr>
        <w:t>吉林</w:t>
      </w:r>
      <w:r>
        <w:rPr>
          <w:rFonts w:ascii="仿宋_GB2312" w:eastAsia="仿宋_GB2312" w:hAnsi="仿宋_GB2312" w:cs="仿宋_GB2312"/>
          <w:sz w:val="28"/>
          <w:szCs w:val="28"/>
        </w:rPr>
        <w:t>市税务局</w:t>
      </w:r>
      <w:r>
        <w:rPr>
          <w:rFonts w:ascii="仿宋_GB2312" w:eastAsia="仿宋_GB2312" w:hAnsi="仿宋_GB2312" w:cs="仿宋_GB2312"/>
          <w:sz w:val="28"/>
          <w:szCs w:val="28"/>
        </w:rPr>
        <w:t>需求</w:t>
      </w:r>
      <w:r>
        <w:rPr>
          <w:rFonts w:ascii="仿宋_GB2312" w:eastAsia="仿宋_GB2312" w:hAnsi="仿宋_GB2312" w:cs="仿宋_GB2312"/>
          <w:sz w:val="28"/>
          <w:szCs w:val="28"/>
        </w:rPr>
        <w:t>，项目实际采购的品种和数量不限于表内，根据实际采购需求确定。</w:t>
      </w:r>
    </w:p>
    <w:p>
      <w:pPr>
        <w:pStyle w:val="Heading3"/>
        <w:keepNext w:val="0"/>
        <w:spacing w:before="0" w:after="0" w:line="360" w:lineRule="auto"/>
        <w:rPr>
          <w:rFonts w:ascii="仿宋_GB2312" w:eastAsia="仿宋_GB2312" w:hAnsi="仿宋_GB2312" w:cs="仿宋_GB2312"/>
          <w:b/>
          <w:bCs/>
          <w:sz w:val="28"/>
          <w:szCs w:val="28"/>
        </w:rPr>
      </w:pPr>
      <w:bookmarkStart w:id="25" w:name="_Toc256000022"/>
      <w:r>
        <w:rPr>
          <w:rFonts w:ascii="仿宋_GB2312" w:eastAsia="仿宋_GB2312" w:hAnsi="仿宋_GB2312" w:cs="仿宋_GB2312"/>
          <w:sz w:val="28"/>
          <w:szCs w:val="28"/>
        </w:rPr>
        <w:t>3.2.2技术和服务客观指标</w:t>
      </w:r>
      <w:bookmarkEnd w:id="25"/>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3.2.2.1最关键指标项清单</w:t>
      </w:r>
    </w:p>
    <w:tbl>
      <w:tblPr>
        <w:tblStyle w:val="20"/>
        <w:tblW w:w="11395" w:type="dxa"/>
        <w:jc w:val="center"/>
        <w:tblCellSpacing w:w="0" w:type="dxa"/>
        <w:tblInd w:w="102" w:type="dxa"/>
        <w:tblCellMar>
          <w:top w:w="15" w:type="dxa"/>
          <w:left w:w="15" w:type="dxa"/>
          <w:bottom w:w="15" w:type="dxa"/>
          <w:right w:w="15" w:type="dxa"/>
        </w:tblCellMar>
        <w:tblLook w:val="05E0"/>
      </w:tblPr>
      <w:tblGrid>
        <w:gridCol w:w="431"/>
        <w:gridCol w:w="1216"/>
        <w:gridCol w:w="1216"/>
        <w:gridCol w:w="7256"/>
        <w:gridCol w:w="13859"/>
        <w:gridCol w:w="547"/>
        <w:gridCol w:w="4019"/>
        <w:gridCol w:w="511"/>
        <w:gridCol w:w="2625"/>
      </w:tblGrid>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top w:val="single" w:sz="8" w:space="0" w:color="000000"/>
              <w:left w:val="single" w:sz="8" w:space="0" w:color="000000"/>
              <w:bottom w:val="single" w:sz="8" w:space="0" w:color="000000"/>
              <w:right w:val="single" w:sz="8" w:space="0" w:color="000000"/>
            </w:tcBorders>
            <w:shd w:val="clear" w:color="auto" w:fill="D3D3D3"/>
            <w:noWrap w:val="0"/>
            <w:tcMar>
              <w:top w:w="9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2318" w:type="dxa"/>
            <w:tcBorders>
              <w:top w:val="single" w:sz="8" w:space="0" w:color="000000"/>
              <w:bottom w:val="single" w:sz="8" w:space="0" w:color="000000"/>
              <w:right w:val="single" w:sz="8" w:space="0" w:color="000000"/>
            </w:tcBorders>
            <w:shd w:val="clear" w:color="auto" w:fill="D3D3D3"/>
            <w:noWrap w:val="0"/>
            <w:tcMar>
              <w:top w:w="92" w:type="dxa"/>
              <w:left w:w="2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2402" w:type="dxa"/>
            <w:gridSpan w:val="2"/>
            <w:tcBorders>
              <w:top w:val="single" w:sz="8" w:space="0" w:color="000000"/>
              <w:bottom w:val="single" w:sz="8" w:space="0" w:color="000000"/>
              <w:right w:val="single" w:sz="8" w:space="0" w:color="000000"/>
            </w:tcBorders>
            <w:shd w:val="clear" w:color="auto" w:fill="D3D3D3"/>
            <w:noWrap w:val="0"/>
            <w:tcMar>
              <w:top w:w="92" w:type="dxa"/>
              <w:left w:w="2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1999" w:type="dxa"/>
            <w:gridSpan w:val="3"/>
            <w:tcBorders>
              <w:top w:val="single" w:sz="8" w:space="0" w:color="000000"/>
              <w:bottom w:val="single" w:sz="8" w:space="0" w:color="000000"/>
              <w:right w:val="single" w:sz="8" w:space="0" w:color="000000"/>
            </w:tcBorders>
            <w:shd w:val="clear" w:color="auto" w:fill="D3D3D3"/>
            <w:noWrap w:val="0"/>
            <w:tcMar>
              <w:top w:w="92" w:type="dxa"/>
              <w:left w:w="2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2318" w:type="dxa"/>
            <w:tcBorders>
              <w:top w:val="single" w:sz="8" w:space="0" w:color="000000"/>
              <w:bottom w:val="single" w:sz="8" w:space="0" w:color="000000"/>
              <w:right w:val="single" w:sz="8" w:space="0" w:color="000000"/>
            </w:tcBorders>
            <w:shd w:val="clear" w:color="auto" w:fill="D3D3D3"/>
            <w:noWrap w:val="0"/>
            <w:tcMar>
              <w:top w:w="92" w:type="dxa"/>
              <w:left w:w="2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重要性</w:t>
            </w:r>
          </w:p>
        </w:tc>
        <w:tc>
          <w:tcPr>
            <w:tcW w:w="2829" w:type="dxa"/>
            <w:tcBorders>
              <w:top w:val="single" w:sz="8" w:space="0" w:color="000000"/>
              <w:bottom w:val="single" w:sz="8" w:space="0" w:color="000000"/>
              <w:right w:val="single" w:sz="8" w:space="0" w:color="000000"/>
            </w:tcBorders>
            <w:shd w:val="clear" w:color="auto" w:fill="D3D3D3"/>
            <w:noWrap w:val="0"/>
            <w:tcMar>
              <w:top w:w="92" w:type="dxa"/>
              <w:left w:w="2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是否需要证明材料</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肉类的理化指标及卫生标准符合国家或采购人所在地区最新标准执行。</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对于没有国家标准的应符合行业标准或企业标准，其中国家有强制性技术标准要求的产品，还应符合国家强制性技术标准，确保配送的货物安全、卫生。</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肉类供应商供应的动物类食品必须经过检验检疫，供货时一并提交出厂合格证复印件，必要时应按采购人要求提供生产厂家的卫生许可证。</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所供生鲜肉确保为出厂后</w:t>
            </w:r>
            <w:r>
              <w:rPr>
                <w:rFonts w:ascii="仿宋_GB2312" w:eastAsia="仿宋_GB2312" w:hAnsi="仿宋_GB2312" w:cs="仿宋_GB2312"/>
                <w:b w:val="0"/>
                <w:bCs w:val="0"/>
                <w:i w:val="0"/>
                <w:iCs w:val="0"/>
                <w:smallCaps w:val="0"/>
                <w:color w:val="000000"/>
                <w:sz w:val="21"/>
                <w:szCs w:val="21"/>
              </w:rPr>
              <w:t>48小时内；冻肉确保为出厂后3个月内。</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通用质量要求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通用质量要求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冻品外包装需密封、完整，无破损，商品合格证齐全。冻品在解冻后，发现质量问题承诺退货。</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食品必须符合国家饮食卫生标准，同时保证食品新鲜，不得出现腐烂、变质，以次充好等情况。</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食品的质量与包装应符合国家相关法律法规的规定，符合行业主管部门发布的规定、标准、规范。</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按规定必须经由法定食品检验机构检测的食品，投标人应在交货时向采购人提供同批次食品检验报告或合格证（复印件加盖公章）。</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蔬菜和水果化学药物不超标，保持较好的色泽及新鲜度，无黄叶、泥沙；包装食品标注生产厂家，生产日期，并在保质期范围内，保持较好的外观；水产品品质新鲜质量安全。</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配送食材送达时不超过食材生产日期至保质期限日的</w:t>
            </w:r>
            <w:r>
              <w:rPr>
                <w:rFonts w:ascii="仿宋_GB2312" w:eastAsia="仿宋_GB2312" w:hAnsi="仿宋_GB2312" w:cs="仿宋_GB2312"/>
                <w:b w:val="0"/>
                <w:bCs w:val="0"/>
                <w:i w:val="0"/>
                <w:iCs w:val="0"/>
                <w:smallCaps w:val="0"/>
                <w:color w:val="000000"/>
                <w:sz w:val="21"/>
                <w:szCs w:val="21"/>
              </w:rPr>
              <w:t xml:space="preserve"> 1/3（例如：食材保质期限为 10 天以内的，送达时间不能超过3天；食材保质期为6个月以内的，送达时间不能超过2个月，其他同理以此类推）。</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685"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9"/>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402"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特殊准入认证要求</w:t>
            </w:r>
          </w:p>
        </w:tc>
        <w:tc>
          <w:tcPr>
            <w:tcW w:w="1999"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对实行食品质量（</w:t>
            </w:r>
            <w:r>
              <w:rPr>
                <w:rFonts w:ascii="仿宋_GB2312" w:eastAsia="仿宋_GB2312" w:hAnsi="仿宋_GB2312" w:cs="仿宋_GB2312"/>
                <w:b w:val="0"/>
                <w:bCs w:val="0"/>
                <w:i w:val="0"/>
                <w:iCs w:val="0"/>
                <w:smallCaps w:val="0"/>
                <w:color w:val="000000"/>
                <w:sz w:val="21"/>
                <w:szCs w:val="21"/>
              </w:rPr>
              <w:t>SC）安全市场准入制的食品，须在验收时提供 SC 认证的相关证明资料。</w:t>
            </w:r>
          </w:p>
        </w:tc>
        <w:tc>
          <w:tcPr>
            <w:tcW w:w="2318"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2829"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9"/>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是，提供承诺函，格式自拟并加盖公章。</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706" w:type="dxa"/>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13</w:t>
            </w:r>
          </w:p>
        </w:tc>
        <w:tc>
          <w:tcPr>
            <w:tcW w:w="235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403"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运输卫生要求</w:t>
            </w:r>
          </w:p>
        </w:tc>
        <w:tc>
          <w:tcPr>
            <w:tcW w:w="1798" w:type="dxa"/>
            <w:gridSpan w:val="2"/>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冷冻制品、冷冻家禽、鲜猪肉、等冷链食品必须使用符合规范标准的冷藏车进行运输。</w:t>
            </w:r>
          </w:p>
        </w:tc>
        <w:tc>
          <w:tcPr>
            <w:tcW w:w="259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66"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706" w:type="dxa"/>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14</w:t>
            </w:r>
          </w:p>
        </w:tc>
        <w:tc>
          <w:tcPr>
            <w:tcW w:w="235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403"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运输工具管理要求</w:t>
            </w:r>
          </w:p>
        </w:tc>
        <w:tc>
          <w:tcPr>
            <w:tcW w:w="1798" w:type="dxa"/>
            <w:gridSpan w:val="2"/>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投标人运输工具进入采购人管理范围，必须接受采购人统一管理，发生任何人员与设施损伤，均由投标人承担责任。</w:t>
            </w:r>
          </w:p>
        </w:tc>
        <w:tc>
          <w:tcPr>
            <w:tcW w:w="259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66"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706" w:type="dxa"/>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15</w:t>
            </w:r>
          </w:p>
        </w:tc>
        <w:tc>
          <w:tcPr>
            <w:tcW w:w="235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403"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安全完整包装要求</w:t>
            </w:r>
          </w:p>
        </w:tc>
        <w:tc>
          <w:tcPr>
            <w:tcW w:w="1798" w:type="dxa"/>
            <w:gridSpan w:val="2"/>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包装产品交付时，必须保证原包装完好无损，不得使用有色、有毒塑料制品包装食材，否则采购人有权拒收。</w:t>
            </w:r>
          </w:p>
        </w:tc>
        <w:tc>
          <w:tcPr>
            <w:tcW w:w="259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66"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02" w:type="dxa"/>
          <w:tblCellMar>
            <w:top w:w="15" w:type="dxa"/>
            <w:left w:w="15" w:type="dxa"/>
            <w:bottom w:w="15" w:type="dxa"/>
            <w:right w:w="15" w:type="dxa"/>
          </w:tblCellMar>
          <w:tblLook w:val="05E0"/>
        </w:tblPrEx>
        <w:trPr>
          <w:tblCellSpacing w:w="0" w:type="dxa"/>
          <w:jc w:val="center"/>
        </w:trPr>
        <w:tc>
          <w:tcPr>
            <w:tcW w:w="1706" w:type="dxa"/>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6"/>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16</w:t>
            </w:r>
          </w:p>
        </w:tc>
        <w:tc>
          <w:tcPr>
            <w:tcW w:w="235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403"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一般配送要求</w:t>
            </w:r>
          </w:p>
        </w:tc>
        <w:tc>
          <w:tcPr>
            <w:tcW w:w="1798" w:type="dxa"/>
            <w:gridSpan w:val="2"/>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采购人按期日向投标人发布采购内容，投标人应在送货前一个工作日与采购人核对确认采购内容无误后，在次日</w:t>
            </w:r>
            <w:r>
              <w:rPr>
                <w:rFonts w:ascii="仿宋_GB2312" w:eastAsia="仿宋_GB2312" w:hAnsi="仿宋_GB2312" w:cs="仿宋_GB2312"/>
                <w:b w:val="0"/>
                <w:bCs w:val="0"/>
                <w:i w:val="0"/>
                <w:iCs w:val="0"/>
                <w:smallCaps w:val="0"/>
                <w:color w:val="000000"/>
                <w:sz w:val="21"/>
                <w:szCs w:val="21"/>
              </w:rPr>
              <w:t>6点前配送至采购人指定验收地点。</w:t>
            </w:r>
          </w:p>
        </w:tc>
        <w:tc>
          <w:tcPr>
            <w:tcW w:w="2597"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66"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bl>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3.2.2.2重要指标项和一般指标项清单</w:t>
      </w:r>
    </w:p>
    <w:tbl>
      <w:tblPr>
        <w:tblStyle w:val="21"/>
        <w:tblW w:w="11395" w:type="dxa"/>
        <w:jc w:val="center"/>
        <w:tblCellSpacing w:w="0" w:type="dxa"/>
        <w:tblInd w:w="112" w:type="dxa"/>
        <w:tblCellMar>
          <w:top w:w="15" w:type="dxa"/>
          <w:left w:w="15" w:type="dxa"/>
          <w:bottom w:w="15" w:type="dxa"/>
          <w:right w:w="15" w:type="dxa"/>
        </w:tblCellMar>
        <w:tblLook w:val="05E0"/>
      </w:tblPr>
      <w:tblGrid>
        <w:gridCol w:w="471"/>
        <w:gridCol w:w="242"/>
        <w:gridCol w:w="361"/>
        <w:gridCol w:w="1371"/>
        <w:gridCol w:w="11"/>
        <w:gridCol w:w="280"/>
        <w:gridCol w:w="1842"/>
        <w:gridCol w:w="18301"/>
        <w:gridCol w:w="59"/>
        <w:gridCol w:w="126"/>
        <w:gridCol w:w="554"/>
        <w:gridCol w:w="10"/>
        <w:gridCol w:w="12"/>
        <w:gridCol w:w="8040"/>
      </w:tblGrid>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2" w:type="dxa"/>
            <w:gridSpan w:val="3"/>
            <w:tcBorders>
              <w:top w:val="single" w:sz="8" w:space="0" w:color="000000"/>
              <w:left w:val="single" w:sz="8" w:space="0" w:color="000000"/>
              <w:bottom w:val="single" w:sz="8" w:space="0" w:color="000000"/>
              <w:right w:val="single" w:sz="8" w:space="0" w:color="000000"/>
            </w:tcBorders>
            <w:shd w:val="clear" w:color="auto" w:fill="D3D3D3"/>
            <w:noWrap w:val="0"/>
            <w:tcMar>
              <w:top w:w="102" w:type="dxa"/>
              <w:left w:w="102" w:type="dxa"/>
              <w:bottom w:w="102" w:type="dxa"/>
              <w:right w:w="102" w:type="dxa"/>
            </w:tcMar>
            <w:vAlign w:val="center"/>
            <w:hideMark/>
          </w:tcPr>
          <w:p>
            <w:pPr>
              <w:pStyle w:val="20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2358" w:type="dxa"/>
            <w:gridSpan w:val="3"/>
            <w:tcBorders>
              <w:top w:val="single" w:sz="8" w:space="0" w:color="000000"/>
              <w:bottom w:val="single" w:sz="8" w:space="0" w:color="000000"/>
              <w:right w:val="single" w:sz="8" w:space="0" w:color="000000"/>
            </w:tcBorders>
            <w:shd w:val="clear" w:color="auto" w:fill="D3D3D3"/>
            <w:noWrap w:val="0"/>
            <w:tcMar>
              <w:top w:w="102" w:type="dxa"/>
              <w:left w:w="22" w:type="dxa"/>
              <w:bottom w:w="102" w:type="dxa"/>
              <w:right w:w="102" w:type="dxa"/>
            </w:tcMar>
            <w:vAlign w:val="center"/>
            <w:hideMark/>
          </w:tcPr>
          <w:p>
            <w:pPr>
              <w:pStyle w:val="20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2358" w:type="dxa"/>
            <w:tcBorders>
              <w:top w:val="single" w:sz="8" w:space="0" w:color="000000"/>
              <w:bottom w:val="single" w:sz="8" w:space="0" w:color="000000"/>
              <w:right w:val="single" w:sz="8" w:space="0" w:color="000000"/>
            </w:tcBorders>
            <w:shd w:val="clear" w:color="auto" w:fill="D3D3D3"/>
            <w:noWrap w:val="0"/>
            <w:tcMar>
              <w:top w:w="102" w:type="dxa"/>
              <w:left w:w="22" w:type="dxa"/>
              <w:bottom w:w="102" w:type="dxa"/>
              <w:right w:w="102" w:type="dxa"/>
            </w:tcMar>
            <w:vAlign w:val="center"/>
            <w:hideMark/>
          </w:tcPr>
          <w:p>
            <w:pPr>
              <w:pStyle w:val="20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2523" w:type="dxa"/>
            <w:gridSpan w:val="3"/>
            <w:tcBorders>
              <w:top w:val="single" w:sz="8" w:space="0" w:color="000000"/>
              <w:bottom w:val="single" w:sz="8" w:space="0" w:color="000000"/>
              <w:right w:val="single" w:sz="8" w:space="0" w:color="000000"/>
            </w:tcBorders>
            <w:shd w:val="clear" w:color="auto" w:fill="D3D3D3"/>
            <w:noWrap w:val="0"/>
            <w:tcMar>
              <w:top w:w="102" w:type="dxa"/>
              <w:left w:w="22" w:type="dxa"/>
              <w:bottom w:w="102" w:type="dxa"/>
              <w:right w:w="102" w:type="dxa"/>
            </w:tcMar>
            <w:vAlign w:val="center"/>
            <w:hideMark/>
          </w:tcPr>
          <w:p>
            <w:pPr>
              <w:pStyle w:val="20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2358" w:type="dxa"/>
            <w:gridSpan w:val="3"/>
            <w:tcBorders>
              <w:top w:val="single" w:sz="8" w:space="0" w:color="000000"/>
              <w:bottom w:val="single" w:sz="8" w:space="0" w:color="000000"/>
              <w:right w:val="single" w:sz="8" w:space="0" w:color="000000"/>
            </w:tcBorders>
            <w:shd w:val="clear" w:color="auto" w:fill="D3D3D3"/>
            <w:noWrap w:val="0"/>
            <w:tcMar>
              <w:top w:w="102" w:type="dxa"/>
              <w:left w:w="22" w:type="dxa"/>
              <w:bottom w:w="102" w:type="dxa"/>
              <w:right w:w="102" w:type="dxa"/>
            </w:tcMar>
            <w:vAlign w:val="center"/>
            <w:hideMark/>
          </w:tcPr>
          <w:p>
            <w:pPr>
              <w:pStyle w:val="20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重要性</w:t>
            </w:r>
          </w:p>
        </w:tc>
        <w:tc>
          <w:tcPr>
            <w:tcW w:w="1554" w:type="dxa"/>
            <w:tcBorders>
              <w:top w:val="single" w:sz="8" w:space="0" w:color="000000"/>
              <w:bottom w:val="single" w:sz="8" w:space="0" w:color="000000"/>
              <w:right w:val="single" w:sz="8" w:space="0" w:color="000000"/>
            </w:tcBorders>
            <w:shd w:val="clear" w:color="auto" w:fill="D3D3D3"/>
            <w:noWrap w:val="0"/>
            <w:tcMar>
              <w:top w:w="102" w:type="dxa"/>
              <w:left w:w="22" w:type="dxa"/>
              <w:bottom w:w="102" w:type="dxa"/>
              <w:right w:w="102" w:type="dxa"/>
            </w:tcMar>
            <w:vAlign w:val="center"/>
            <w:hideMark/>
          </w:tcPr>
          <w:p>
            <w:pPr>
              <w:pStyle w:val="20Paragraph"/>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是否需要证明材料</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6"/>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保证所供肉类渠道来源正规可溯，参考正规市场品质及来源。</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是，提供承诺函，格式自拟并加盖公章。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6"/>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鲜冻鱼质量要求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6"/>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总体质量要求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所有食材的来源清晰，蔬菜来源于受到地方政府部门监管的自有基地、商品菜基地或蔬菜专业流通市场，不供应散户溯源不清的蔬菜。</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是，提供承诺函，格式自拟并加盖公章。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6"/>
              <w:spacing w:before="0" w:after="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鸡蛋质量要求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鸡蛋蛋壳清洁完整，呈规则卵圆形，具有蛋壳固有的色泽，表面无肉眼可见污物，鸡蛋新鲜，蛋白浓稠、蛋黄圆润，单个鸡蛋重量</w:t>
            </w:r>
            <w:r>
              <w:rPr>
                <w:rFonts w:ascii="仿宋_GB2312" w:eastAsia="仿宋_GB2312" w:hAnsi="仿宋_GB2312" w:cs="仿宋_GB2312"/>
                <w:b w:val="0"/>
                <w:bCs w:val="0"/>
                <w:i w:val="0"/>
                <w:iCs w:val="0"/>
                <w:smallCaps w:val="0"/>
                <w:color w:val="000000"/>
                <w:sz w:val="21"/>
                <w:szCs w:val="21"/>
              </w:rPr>
              <w:t>58～68g。</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冻品质量要求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冻品外包装需密封、完整，无破损，商品合格证齐全。冻品在解冻后，发现质量问题承诺退货。</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是，提供承诺函，格式自拟并加盖公章。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蔬菜质量要求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供应当季各类新鲜蔬菜以及大棚种植蔬菜，蔬菜类无黄叶、枯死叶，无虫，无杂质，原菜菜面干净、无明显泥土、码放整齐、无破损、大小基本统一、不得过熟或欠熟。</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蔬菜质量要求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净菜须保证菜面完全干净、无泥土、按统一标准加工、码放整齐、无须二次处理可以直接进行熟加工。</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水果质量要求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供应当季各类水果，无虫、无杂质。果面干净，无明显泥土，码放整齐，无破损，大小基本统一，不过熟或欠熟。</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豆腐及豆制品质量要求</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须保证食品干净，不含非食品用化学物质，按统一标准加工，码放整齐，无须二次处理可以直接进行熟加工。</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大米质量标准</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w:t>
            </w:r>
            <w:r>
              <w:rPr>
                <w:rFonts w:ascii="仿宋_GB2312" w:eastAsia="仿宋_GB2312" w:hAnsi="仿宋_GB2312" w:cs="仿宋_GB2312"/>
                <w:b w:val="0"/>
                <w:bCs w:val="0"/>
                <w:i w:val="0"/>
                <w:iCs w:val="0"/>
                <w:smallCaps w:val="0"/>
                <w:color w:val="000000"/>
                <w:sz w:val="21"/>
                <w:szCs w:val="21"/>
              </w:rPr>
              <w:t>GB/T 1354-2018中关于一级米的标准，加工精度为精碾，小碎米含量≤1.0%，不完善粒≤3.0%，带壳稗粒≤3粒/公斤，带谷粒≤4粒/公斤。</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面粉（含面粉配料）质量标准</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通用面粉达</w:t>
            </w:r>
            <w:r>
              <w:rPr>
                <w:rFonts w:ascii="仿宋_GB2312" w:eastAsia="仿宋_GB2312" w:hAnsi="仿宋_GB2312" w:cs="仿宋_GB2312"/>
                <w:b w:val="0"/>
                <w:bCs w:val="0"/>
                <w:i w:val="0"/>
                <w:iCs w:val="0"/>
                <w:smallCaps w:val="0"/>
                <w:color w:val="000000"/>
                <w:sz w:val="21"/>
                <w:szCs w:val="21"/>
              </w:rPr>
              <w:t>GB/T 1355-2021国家标准。</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面粉（含面粉配料）质量标准</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高筋面粉达</w:t>
            </w:r>
            <w:r>
              <w:rPr>
                <w:rFonts w:ascii="仿宋_GB2312" w:eastAsia="仿宋_GB2312" w:hAnsi="仿宋_GB2312" w:cs="仿宋_GB2312"/>
                <w:b w:val="0"/>
                <w:bCs w:val="0"/>
                <w:i w:val="0"/>
                <w:iCs w:val="0"/>
                <w:smallCaps w:val="0"/>
                <w:color w:val="000000"/>
                <w:sz w:val="21"/>
                <w:szCs w:val="21"/>
              </w:rPr>
              <w:t>GB/T 8607-1988国家标准，质量等级一级；低筋面粉达GB8608-1988标准，质量等级一级。色泽正常，干爽无异味。</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8" w:type="dxa"/>
            <w:gridSpan w:val="2"/>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13</w:t>
            </w:r>
          </w:p>
        </w:tc>
        <w:tc>
          <w:tcPr>
            <w:tcW w:w="2343"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58"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食用油通用标准</w:t>
            </w:r>
          </w:p>
        </w:tc>
        <w:tc>
          <w:tcPr>
            <w:tcW w:w="2475" w:type="dxa"/>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供应非转基因食用油。外观的色泽、透明度、气味滋味等无异常，定型包装。</w:t>
            </w:r>
          </w:p>
        </w:tc>
        <w:tc>
          <w:tcPr>
            <w:tcW w:w="2347"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2"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14</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硬件设施要求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仓储设施要求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投标人自有或租赁冷库，面积不小于</w:t>
            </w:r>
            <w:r>
              <w:rPr>
                <w:rFonts w:ascii="仿宋_GB2312" w:eastAsia="仿宋_GB2312" w:hAnsi="仿宋_GB2312" w:cs="仿宋_GB2312"/>
                <w:b w:val="0"/>
                <w:bCs w:val="0"/>
                <w:i w:val="0"/>
                <w:iCs w:val="0"/>
                <w:smallCaps w:val="0"/>
                <w:color w:val="000000"/>
                <w:sz w:val="21"/>
                <w:szCs w:val="21"/>
              </w:rPr>
              <w:t>50平米。能够满足按采购人需求完成配送任务，确保多个办公区按时送货。</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是，提供产权证明或租赁合同复印件。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15</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硬件设施要求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物流设施要求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投标人自有或租赁配送中心，面积不小于</w:t>
            </w:r>
            <w:r>
              <w:rPr>
                <w:rFonts w:ascii="仿宋_GB2312" w:eastAsia="仿宋_GB2312" w:hAnsi="仿宋_GB2312" w:cs="仿宋_GB2312"/>
                <w:b w:val="0"/>
                <w:bCs w:val="0"/>
                <w:i w:val="0"/>
                <w:iCs w:val="0"/>
                <w:smallCaps w:val="0"/>
                <w:color w:val="000000"/>
                <w:sz w:val="21"/>
                <w:szCs w:val="21"/>
              </w:rPr>
              <w:t>50平米。能够满足按采购人需求完成配送任务，确保多个办公区按时送货。</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是，提供产权证明或租赁合同复印件。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16</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硬件设施要求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配送车辆要求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投标人应自有或固定租赁不少于</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台冷藏车辆，确保</w:t>
            </w:r>
            <w:r>
              <w:rPr>
                <w:rFonts w:ascii="仿宋_GB2312" w:eastAsia="仿宋_GB2312" w:hAnsi="仿宋_GB2312" w:cs="仿宋_GB2312"/>
                <w:b w:val="0"/>
                <w:bCs w:val="0"/>
                <w:i w:val="0"/>
                <w:iCs w:val="0"/>
                <w:smallCaps w:val="0"/>
                <w:color w:val="000000"/>
                <w:sz w:val="21"/>
                <w:szCs w:val="21"/>
              </w:rPr>
              <w:t>24小时响应，按采购人需求完成配送任务。</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6"/>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是，自有车辆提供自有证明材料，租赁车辆提供租赁合同复印件证明。</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17</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猪肉供应链能力要求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具有自有、签约的猪肉屠宰、加工厂或者直销、代理、经销商资格之一。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6"/>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是，提供相应证明材料复印件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18</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牛肉供应链能力要求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具有自有、签约的牛肉屠宰、加工厂或者直销、代理、经销商资格之一。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6"/>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是，提供相应证明材料复印件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19</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羊肉供应链能力要求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具有自有、签约的羊肉屠宰、加工厂或者直销、代理、经销商资格之一。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6"/>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是，提供相应证明材料复印件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20</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禽肉供应链能力要求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具有自有、签约的禽肉屠宰、加工厂或者直销、代理、经销商资格之一。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是，提供相应证明材料复印件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21</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简易加工能力要求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能够完成本合同采购鲜冻禽畜肉的简易加工，如切丝、丁、块、片等。</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22</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应急配送要求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投标人应能按采购人要求及时补货，具备应急采购、储备、运输等能力，通讯工具</w:t>
            </w:r>
            <w:r>
              <w:rPr>
                <w:rFonts w:ascii="仿宋_GB2312" w:eastAsia="仿宋_GB2312" w:hAnsi="仿宋_GB2312" w:cs="仿宋_GB2312"/>
                <w:b w:val="0"/>
                <w:bCs w:val="0"/>
                <w:i w:val="0"/>
                <w:iCs w:val="0"/>
                <w:smallCaps w:val="0"/>
                <w:color w:val="000000"/>
                <w:sz w:val="21"/>
                <w:szCs w:val="21"/>
              </w:rPr>
              <w:t>24小时保持畅通，全天候备勤。在收到采购人布置的临时需求后 半小时内响应，1 个小时内完成配送。</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23</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果蔬供应链能力要求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投标人具有自有、签约的蔬菜、水果供应渠道。</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24</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主食供应链能力要求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具有自有、签约的大米、面粉生产基地、加工厂或者直销、代理、经销商资格之一。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25</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食用油供应链能力要求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具有自有或签约的食用油加工厂或者直销、代理、经销商资格之一。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4"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26</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62"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牛奶供应链能力要求</w:t>
            </w:r>
          </w:p>
        </w:tc>
        <w:tc>
          <w:tcPr>
            <w:tcW w:w="2527"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具有自有或签约的牛奶生产工厂或者直销、代理、经销商资格之一。</w:t>
            </w:r>
          </w:p>
        </w:tc>
        <w:tc>
          <w:tcPr>
            <w:tcW w:w="2362"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6"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27</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鲜猪肉通用质量要求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猪主要部位肉符合</w:t>
            </w:r>
            <w:r>
              <w:rPr>
                <w:rFonts w:ascii="仿宋_GB2312" w:eastAsia="仿宋_GB2312" w:hAnsi="仿宋_GB2312" w:cs="仿宋_GB2312"/>
                <w:b w:val="0"/>
                <w:bCs w:val="0"/>
                <w:i w:val="0"/>
                <w:iCs w:val="0"/>
                <w:smallCaps w:val="0"/>
                <w:color w:val="000000"/>
                <w:sz w:val="21"/>
                <w:szCs w:val="21"/>
              </w:rPr>
              <w:t>GB/T 9959.1和GB/T9959.3等规定。包括去骨前腿肉、去骨后腿肉、带骨方肉和去骨方肉，均要求一级。肌肉颜色为鲜红色，脂肪颜色为白色。肥膘厚度1.0～2.5cm，质地呈现肉色红、光亮、致密，没有霜降或异味。</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28</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五花肉质量要求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一级五花肉，肥膘厚度</w:t>
            </w:r>
            <w:r>
              <w:rPr>
                <w:rFonts w:ascii="仿宋_GB2312" w:eastAsia="仿宋_GB2312" w:hAnsi="仿宋_GB2312" w:cs="仿宋_GB2312"/>
                <w:b w:val="0"/>
                <w:bCs w:val="0"/>
                <w:i w:val="0"/>
                <w:iCs w:val="0"/>
                <w:smallCaps w:val="0"/>
                <w:color w:val="000000"/>
                <w:sz w:val="21"/>
                <w:szCs w:val="21"/>
              </w:rPr>
              <w:t>≤2.0cm，肥瘦相间，肉质细腻，三层见花。</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29</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肋排质量要求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肋排去剔前排后</w:t>
            </w:r>
            <w:r>
              <w:rPr>
                <w:rFonts w:ascii="仿宋_GB2312" w:eastAsia="仿宋_GB2312" w:hAnsi="仿宋_GB2312" w:cs="仿宋_GB2312"/>
                <w:b w:val="0"/>
                <w:bCs w:val="0"/>
                <w:i w:val="0"/>
                <w:iCs w:val="0"/>
                <w:smallCaps w:val="0"/>
                <w:color w:val="000000"/>
                <w:sz w:val="21"/>
                <w:szCs w:val="21"/>
              </w:rPr>
              <w:t>11-13根肋骨，整块重量1.2KG-1.8KG，纹理清晰，边缘整齐。</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30</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猪脏器及副产品质量要求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心肝、腰子类：品质新鲜、外形完整、无异味、无病变、无凝血块、无血污、泥污、颜色正常。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肚：品质新鲜、外形完整、无溃疡面及其他病变现象、无内容物、无粘膜、无边油。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大肠、肥肠类：品质新鲜、无破损、无病变组织、无肠头细毛、无内容物、去净粘膜。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舌：品质新鲜、外形完整、无病变、无异物、无舌苔、附肉少、无血污、泥污。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耳：品质新鲜、外形完整、无溃烂、病斑、无破损。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蹄爪类：品质新鲜、去蹄壳、不带蹄筋、刮除粗毛、细毛及趾间黑垢、无松香残留。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蹄筋类：品质新鲜、无色透明、表面光亮、无油脂、无精肉、无充血现象、顺直、干燥。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猪口条：品质新鲜，外形完整，无根附着的肌肉、舌骨、舌苔、脂肪、无病伤，无异物。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猪尾：品质新鲜，去毛洁净，不带毛根或绒毛。</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31</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鲜牛肉通用质量要求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32</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牛柳（牛里脊肉）质量要求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精修牛里脊，圆形长条，形如黄瓜，肉质非常细嫩。</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33</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牛腩质量要求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精修牛腩肉，牛腹部及靠近牛肋处的松软肌肉，带有筋、肉、油花的肉块。</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34</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鲜羊肉质量要求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35</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冻畜肉质量要求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外表：无杂质，无肌肉风干现象，无白、黄、绿斑、紫斑、污血、过多冰衣无白霜、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气味：化冻时，有肉的正常味，略潮，没有熟肉味。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包装：按标准部位分割外包装无破损有生产日期。</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36</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鲜鸡（鸭、鹅）类质量要求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眼球：无干缩凹陷或晶体状浑浊现象。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外表：具有其固有表皮颜色、肌肉切面有光泽、无绿、紫等异常颜色、无残羽（万其在脖、翅等处无较长细毛）、无破损、无残缺、新切面不发粘。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气味：具有其固有气味、无异味。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弹性：指压后凹陷、能恢复。</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37</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鲜鸡类各部件质量要求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鸡胸肉：品质新鲜、无残羽、无血水、血污、无残骨、无伤斑、溃烂、炎症，允许有少数红斑。</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鸡肝：品质新鲜、外形完整、去胆、无寄生虫、炎症、水泡，无胆汁污染无血渍。</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鸡胗：品质新鲜、外形完整无内容物、鸡内金、腺胃、肠管及脂肪，无出血、瘀血、病变。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鸡心：品质新鲜、褐红色，脂肪稍红，组织结实，有弹性，心房内无瘀血、病变，气味正常。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鸡脖：品质新鲜、去劲部皮、无羽毛、无血污。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鸡头：品质新鲜、外形完整、无伤斑、无溃烂、无血污。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蹄筋：品质新鲜，无色透明，表面光亮，无油脂，无精肉，无充血现顺直、干燥。</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38</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禽肉</w:t>
            </w:r>
            <w:r>
              <w:rPr>
                <w:rFonts w:ascii="仿宋_GB2312" w:eastAsia="仿宋_GB2312" w:hAnsi="仿宋_GB2312" w:cs="仿宋_GB2312"/>
                <w:b w:val="0"/>
                <w:bCs w:val="0"/>
                <w:i w:val="0"/>
                <w:iCs w:val="0"/>
                <w:smallCaps w:val="0"/>
                <w:color w:val="000000"/>
                <w:sz w:val="21"/>
                <w:szCs w:val="21"/>
              </w:rPr>
              <w:t>(冻)</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色泽：外观滋润，呈乳白或微黄色。</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外表：基本无血脉、风干现象，无白、黄绿、紫斑、无冰衣，解冻后与鲜禽特征相同。</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气味：无腐臭气味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包装：分割部件应符合标准，外包装完好、商标规格、产品说明清晰完整。</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39</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面条米线质量要求</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不含非食品用化学物质、无杂质。以小麦、大米为原料的面条、米线颜色呈白色、乳白色、奶黄色，色亮不发灰发暗。表面结构细密、光滑。软硬适中，爽口不粘牙，口感光滑，具有清香，无异味。</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40</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大豆油质量标准</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符合质量标准</w:t>
            </w:r>
            <w:r>
              <w:rPr>
                <w:rFonts w:ascii="仿宋_GB2312" w:eastAsia="仿宋_GB2312" w:hAnsi="仿宋_GB2312" w:cs="仿宋_GB2312"/>
                <w:b w:val="0"/>
                <w:bCs w:val="0"/>
                <w:i w:val="0"/>
                <w:iCs w:val="0"/>
                <w:smallCaps w:val="0"/>
                <w:color w:val="000000"/>
                <w:sz w:val="21"/>
                <w:szCs w:val="21"/>
              </w:rPr>
              <w:t>GB/T1535-2017，质量等级一级，色泽为淡黄至浅黄色，冷冻实验澄清、透明，无异味、口感好，水分及挥发物质含量≤0.10%，不溶性杂质含量≤0.05%，酸价≤0.50ng/g，过氧化值≤5.0mmol/kg,烟点≥190℃。</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792" w:type="dxa"/>
            <w:tcBorders>
              <w:left w:val="single" w:sz="8" w:space="0" w:color="000000"/>
              <w:bottom w:val="single" w:sz="8" w:space="0" w:color="000000"/>
              <w:right w:val="single" w:sz="8" w:space="0" w:color="000000"/>
            </w:tcBorders>
            <w:noWrap w:val="0"/>
            <w:tcMar>
              <w:top w:w="22" w:type="dxa"/>
              <w:left w:w="92" w:type="dxa"/>
              <w:bottom w:w="92" w:type="dxa"/>
              <w:right w:w="92" w:type="dxa"/>
            </w:tcMar>
            <w:vAlign w:val="center"/>
            <w:hideMark/>
          </w:tcPr>
          <w:p>
            <w:pPr>
              <w:pStyle w:val="17"/>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41</w:t>
            </w:r>
          </w:p>
        </w:tc>
        <w:tc>
          <w:tcPr>
            <w:tcW w:w="2334"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技术指标</w:t>
            </w:r>
          </w:p>
        </w:tc>
        <w:tc>
          <w:tcPr>
            <w:tcW w:w="2370"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其他食材质量标准</w:t>
            </w:r>
          </w:p>
        </w:tc>
        <w:tc>
          <w:tcPr>
            <w:tcW w:w="2494"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以上未详细列明的商品须符合国家食品安全卫生相关质量标准。</w:t>
            </w:r>
          </w:p>
        </w:tc>
        <w:tc>
          <w:tcPr>
            <w:tcW w:w="2338" w:type="dxa"/>
            <w:gridSpan w:val="3"/>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45" w:type="dxa"/>
            <w:gridSpan w:val="2"/>
            <w:tcBorders>
              <w:bottom w:val="single" w:sz="8" w:space="0" w:color="000000"/>
              <w:right w:val="single" w:sz="8" w:space="0" w:color="000000"/>
            </w:tcBorders>
            <w:noWrap w:val="0"/>
            <w:tcMar>
              <w:top w:w="22" w:type="dxa"/>
              <w:left w:w="22" w:type="dxa"/>
              <w:bottom w:w="92" w:type="dxa"/>
              <w:right w:w="92" w:type="dxa"/>
            </w:tcMar>
            <w:vAlign w:val="center"/>
            <w:hideMark/>
          </w:tcPr>
          <w:p>
            <w:pPr>
              <w:pStyle w:val="16"/>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否</w:t>
            </w:r>
          </w:p>
        </w:tc>
      </w:tr>
      <w:tr>
        <w:tblPrEx>
          <w:tblW w:w="11395" w:type="dxa"/>
          <w:jc w:val="center"/>
          <w:tblCellSpacing w:w="0" w:type="dxa"/>
          <w:tblInd w:w="112" w:type="dxa"/>
          <w:tblCellMar>
            <w:top w:w="15" w:type="dxa"/>
            <w:left w:w="15" w:type="dxa"/>
            <w:bottom w:w="15" w:type="dxa"/>
            <w:right w:w="15" w:type="dxa"/>
          </w:tblCellMar>
          <w:tblLook w:val="05E0"/>
        </w:tblPrEx>
        <w:trPr>
          <w:trHeight w:val="1415"/>
          <w:tblCellSpacing w:w="0" w:type="dxa"/>
          <w:jc w:val="center"/>
        </w:trPr>
        <w:tc>
          <w:tcPr>
            <w:tcW w:w="1842"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42</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综合供应能力要求</w:t>
            </w:r>
          </w:p>
        </w:tc>
        <w:tc>
          <w:tcPr>
            <w:tcW w:w="2358"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采购能力要求</w:t>
            </w:r>
          </w:p>
        </w:tc>
        <w:tc>
          <w:tcPr>
            <w:tcW w:w="2523"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有效案例为</w:t>
            </w:r>
            <w:r>
              <w:rPr>
                <w:rFonts w:ascii="仿宋_GB2312" w:eastAsia="仿宋_GB2312" w:hAnsi="仿宋_GB2312" w:cs="仿宋_GB2312"/>
                <w:b w:val="0"/>
                <w:bCs w:val="0"/>
                <w:i w:val="0"/>
                <w:iCs w:val="0"/>
                <w:smallCaps w:val="0"/>
                <w:color w:val="000000"/>
                <w:sz w:val="21"/>
                <w:szCs w:val="21"/>
              </w:rPr>
              <w:t>2022年1月1日以来（以合同签订日期为准），供应商独立承担的肉类、蔬菜类、主副食类等食材供应项目案例。</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4"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w:t>
            </w:r>
            <w:r>
              <w:rPr>
                <w:rFonts w:ascii="仿宋_GB2312" w:eastAsia="仿宋_GB2312" w:hAnsi="仿宋_GB2312" w:cs="仿宋_GB2312"/>
                <w:b w:val="0"/>
                <w:bCs w:val="0"/>
                <w:i w:val="0"/>
                <w:iCs w:val="0"/>
                <w:smallCaps w:val="0"/>
                <w:color w:val="000000"/>
                <w:sz w:val="21"/>
                <w:szCs w:val="21"/>
              </w:rPr>
              <w:t>2024年1月1日以来的从上游供货商进货单或双方的合作协议或交易发票。合作协议或交易发票中应体现投标人名称。</w:t>
            </w:r>
          </w:p>
        </w:tc>
      </w:tr>
      <w:tr>
        <w:tblPrEx>
          <w:tblW w:w="11395" w:type="dxa"/>
          <w:jc w:val="center"/>
          <w:tblCellSpacing w:w="0" w:type="dxa"/>
          <w:tblInd w:w="112" w:type="dxa"/>
          <w:tblCellMar>
            <w:top w:w="15" w:type="dxa"/>
            <w:left w:w="15" w:type="dxa"/>
            <w:bottom w:w="15" w:type="dxa"/>
            <w:right w:w="15" w:type="dxa"/>
          </w:tblCellMar>
          <w:tblLook w:val="05E0"/>
        </w:tblPrEx>
        <w:trPr>
          <w:trHeight w:val="1415"/>
          <w:tblCellSpacing w:w="0" w:type="dxa"/>
          <w:jc w:val="center"/>
        </w:trPr>
        <w:tc>
          <w:tcPr>
            <w:tcW w:w="1842"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43</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质量安全把控能力要求</w:t>
            </w:r>
          </w:p>
        </w:tc>
        <w:tc>
          <w:tcPr>
            <w:tcW w:w="2358"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质量检验场所要求</w:t>
            </w:r>
          </w:p>
        </w:tc>
        <w:tc>
          <w:tcPr>
            <w:tcW w:w="2523"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投标人具有自有、租赁或固定合作质检实验室，能够用于检测本项目采购的食材。</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4"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是，提供自有证明或租赁、合作合同等证明材料复印件。</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2"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44</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质量安全把控能力要求</w:t>
            </w:r>
          </w:p>
        </w:tc>
        <w:tc>
          <w:tcPr>
            <w:tcW w:w="2358"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质量检验能力</w:t>
            </w:r>
          </w:p>
        </w:tc>
        <w:tc>
          <w:tcPr>
            <w:tcW w:w="2523"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能够检测成品和半成品中的食品添加剂，包括防腐剂、抗氧化剂、甜味剂、着色剂、漂白剂、酸度调节剂。</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4"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2"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45</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质量安全把控能力要求</w:t>
            </w:r>
          </w:p>
        </w:tc>
        <w:tc>
          <w:tcPr>
            <w:tcW w:w="2358"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质量检验能力</w:t>
            </w:r>
          </w:p>
        </w:tc>
        <w:tc>
          <w:tcPr>
            <w:tcW w:w="2523"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能够检测食材中的重金属，至少包括铅（</w:t>
            </w:r>
            <w:r>
              <w:rPr>
                <w:rFonts w:ascii="仿宋_GB2312" w:eastAsia="仿宋_GB2312" w:hAnsi="仿宋_GB2312" w:cs="仿宋_GB2312"/>
                <w:b w:val="0"/>
                <w:bCs w:val="0"/>
                <w:i w:val="0"/>
                <w:iCs w:val="0"/>
                <w:smallCaps w:val="0"/>
                <w:color w:val="000000"/>
                <w:sz w:val="21"/>
                <w:szCs w:val="21"/>
              </w:rPr>
              <w:t>Pb）镉（Cd）汞（Hg）砷（As）铬（Cr），及能够检测鲜冻禽畜肉中的瘦肉精（克伦特罗、莱克多巴胺、沙丁胺醇）、微生物，至少包括菌落总数和大肠菌群。</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4"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17"/>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r>
        <w:tblPrEx>
          <w:tblW w:w="11395" w:type="dxa"/>
          <w:jc w:val="center"/>
          <w:tblCellSpacing w:w="0" w:type="dxa"/>
          <w:tblInd w:w="112" w:type="dxa"/>
          <w:tblCellMar>
            <w:top w:w="15" w:type="dxa"/>
            <w:left w:w="15" w:type="dxa"/>
            <w:bottom w:w="15" w:type="dxa"/>
            <w:right w:w="15" w:type="dxa"/>
          </w:tblCellMar>
          <w:tblLook w:val="05E0"/>
        </w:tblPrEx>
        <w:trPr>
          <w:tblCellSpacing w:w="0" w:type="dxa"/>
          <w:jc w:val="center"/>
        </w:trPr>
        <w:tc>
          <w:tcPr>
            <w:tcW w:w="1842" w:type="dxa"/>
            <w:gridSpan w:val="3"/>
            <w:tcBorders>
              <w:left w:val="single" w:sz="8" w:space="0" w:color="000000"/>
              <w:bottom w:val="single" w:sz="8" w:space="0" w:color="000000"/>
              <w:right w:val="single" w:sz="8" w:space="0" w:color="000000"/>
            </w:tcBorders>
            <w:noWrap w:val="0"/>
            <w:tcMar>
              <w:top w:w="22" w:type="dxa"/>
              <w:left w:w="102" w:type="dxa"/>
              <w:bottom w:w="102" w:type="dxa"/>
              <w:right w:w="102" w:type="dxa"/>
            </w:tcMar>
            <w:vAlign w:val="center"/>
            <w:hideMark/>
          </w:tcPr>
          <w:p>
            <w:pPr>
              <w:pStyle w:val="19"/>
              <w:jc w:val="center"/>
              <w:textAlignment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2"/>
                <w:szCs w:val="22"/>
              </w:rPr>
              <w:t>46</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质量安全把控能力要求</w:t>
            </w:r>
          </w:p>
        </w:tc>
        <w:tc>
          <w:tcPr>
            <w:tcW w:w="2358"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质量检验能力</w:t>
            </w:r>
          </w:p>
        </w:tc>
        <w:tc>
          <w:tcPr>
            <w:tcW w:w="2523"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够检测食材中的农药（至少包含敌敌畏、六六六、滴滴涕）和兽药（磺胺类、甲氧苄啶、氟苯尼考、四环素、土霉素、金霉素、多西环素、地塞米松、喹乙醇代谢物、氯丙嗪、替米考星、甲硝锉、恩诺沙星和环丙沙星、氯毒素、</w:t>
            </w:r>
            <w:r>
              <w:rPr>
                <w:rFonts w:ascii="仿宋_GB2312" w:eastAsia="仿宋_GB2312" w:hAnsi="仿宋_GB2312" w:cs="仿宋_GB2312"/>
                <w:b w:val="0"/>
                <w:bCs w:val="0"/>
                <w:i w:val="0"/>
                <w:iCs w:val="0"/>
                <w:smallCaps w:val="0"/>
                <w:color w:val="000000"/>
                <w:sz w:val="21"/>
                <w:szCs w:val="21"/>
              </w:rPr>
              <w:t>AOZ、SEM、无氯芬酸钠）残留。</w:t>
            </w:r>
          </w:p>
        </w:tc>
        <w:tc>
          <w:tcPr>
            <w:tcW w:w="2358" w:type="dxa"/>
            <w:gridSpan w:val="3"/>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554" w:type="dxa"/>
            <w:tcBorders>
              <w:bottom w:val="single" w:sz="8" w:space="0" w:color="000000"/>
              <w:right w:val="single" w:sz="8" w:space="0" w:color="000000"/>
            </w:tcBorders>
            <w:noWrap w:val="0"/>
            <w:tcMar>
              <w:top w:w="22" w:type="dxa"/>
              <w:left w:w="22" w:type="dxa"/>
              <w:bottom w:w="102" w:type="dxa"/>
              <w:right w:w="102" w:type="dxa"/>
            </w:tcMar>
            <w:vAlign w:val="center"/>
            <w:hideMark/>
          </w:tcPr>
          <w:p>
            <w:pPr>
              <w:pStyle w:val="20Paragraph"/>
              <w:spacing w:before="0" w:after="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是，提供承诺函，格式自拟，加盖公章。</w:t>
            </w:r>
          </w:p>
        </w:tc>
      </w:tr>
    </w:tbl>
    <w:p>
      <w:pPr>
        <w:pStyle w:val="Heading3"/>
        <w:keepNext w:val="0"/>
        <w:spacing w:before="0" w:after="0" w:line="360" w:lineRule="auto"/>
        <w:rPr>
          <w:rFonts w:ascii="仿宋_GB2312" w:eastAsia="仿宋_GB2312" w:hAnsi="仿宋_GB2312" w:cs="仿宋_GB2312"/>
          <w:b/>
          <w:bCs/>
          <w:sz w:val="28"/>
          <w:szCs w:val="28"/>
        </w:rPr>
      </w:pPr>
      <w:bookmarkStart w:id="26" w:name="_Toc256000023"/>
      <w:r>
        <w:rPr>
          <w:rFonts w:ascii="仿宋_GB2312" w:eastAsia="仿宋_GB2312" w:hAnsi="仿宋_GB2312" w:cs="仿宋_GB2312"/>
          <w:sz w:val="28"/>
          <w:szCs w:val="28"/>
        </w:rPr>
        <w:t>3.2.3技术和服务其他要求</w:t>
      </w:r>
      <w:bookmarkEnd w:id="26"/>
    </w:p>
    <w:p>
      <w:pPr>
        <w:pStyle w:val="Heading1"/>
        <w:keepNext w:val="0"/>
        <w:spacing w:before="0" w:after="0" w:line="360" w:lineRule="auto"/>
        <w:jc w:val="center"/>
        <w:rPr>
          <w:rFonts w:ascii="仿宋_GB2312" w:eastAsia="仿宋_GB2312" w:hAnsi="仿宋_GB2312" w:cs="仿宋_GB2312"/>
          <w:b/>
          <w:bCs/>
          <w:sz w:val="32"/>
          <w:szCs w:val="32"/>
        </w:rPr>
      </w:pPr>
      <w:bookmarkStart w:id="27" w:name="_Toc256000024"/>
      <w:r>
        <w:rPr>
          <w:rFonts w:ascii="仿宋_GB2312" w:eastAsia="仿宋_GB2312" w:hAnsi="仿宋_GB2312" w:cs="仿宋_GB2312"/>
          <w:kern w:val="36"/>
        </w:rPr>
        <w:t>4人员要求</w:t>
      </w:r>
      <w:bookmarkEnd w:id="27"/>
    </w:p>
    <w:p>
      <w:pPr>
        <w:pStyle w:val="Heading2"/>
        <w:keepNext w:val="0"/>
        <w:spacing w:before="0" w:after="0" w:line="360" w:lineRule="auto"/>
        <w:rPr>
          <w:rFonts w:ascii="仿宋_GB2312" w:eastAsia="仿宋_GB2312" w:hAnsi="仿宋_GB2312" w:cs="仿宋_GB2312"/>
          <w:b/>
          <w:bCs/>
          <w:sz w:val="28"/>
          <w:szCs w:val="28"/>
        </w:rPr>
      </w:pPr>
      <w:bookmarkStart w:id="28" w:name="_Toc256000025"/>
      <w:r>
        <w:rPr>
          <w:rFonts w:ascii="仿宋_GB2312" w:eastAsia="仿宋_GB2312" w:hAnsi="仿宋_GB2312" w:cs="仿宋_GB2312"/>
          <w:i w:val="0"/>
          <w:iCs w:val="0"/>
        </w:rPr>
        <w:t>4.1总体要求</w:t>
      </w:r>
      <w:bookmarkEnd w:id="28"/>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投标人应提供专业的管理和采购团队，团队编制和人员资质务必保证运营服务质量。提供的服务团队应保持稳定，承诺项目执行期间人员变动不超过</w:t>
      </w:r>
      <w:r>
        <w:rPr>
          <w:rFonts w:ascii="仿宋_GB2312" w:eastAsia="仿宋_GB2312" w:hAnsi="仿宋_GB2312" w:cs="仿宋_GB2312"/>
          <w:sz w:val="28"/>
          <w:szCs w:val="28"/>
        </w:rPr>
        <w:t>20%；投标人应出具盖有投标人公章的服务团队人员名单；投标人为本项目提供的服务团队中所有人员必须具有从业人员健康证明，否则不予认可；服务团队人员在服务过程中应热情服务、遵规守法，具备较强的沟通能力和临时紧急配送调换的处置能力。</w:t>
      </w:r>
    </w:p>
    <w:p>
      <w:pPr>
        <w:pStyle w:val="Heading2"/>
        <w:keepNext w:val="0"/>
        <w:spacing w:before="0" w:after="0" w:line="360" w:lineRule="auto"/>
        <w:rPr>
          <w:rFonts w:ascii="仿宋_GB2312" w:eastAsia="仿宋_GB2312" w:hAnsi="仿宋_GB2312" w:cs="仿宋_GB2312"/>
          <w:b/>
          <w:bCs/>
          <w:sz w:val="28"/>
          <w:szCs w:val="28"/>
        </w:rPr>
      </w:pPr>
      <w:bookmarkStart w:id="29" w:name="_Toc256000026"/>
      <w:r>
        <w:rPr>
          <w:rFonts w:ascii="仿宋_GB2312" w:eastAsia="仿宋_GB2312" w:hAnsi="仿宋_GB2312" w:cs="仿宋_GB2312"/>
          <w:i w:val="0"/>
          <w:iCs w:val="0"/>
        </w:rPr>
        <w:t>4.2管理团队</w:t>
      </w:r>
      <w:bookmarkEnd w:id="29"/>
    </w:p>
    <w:p>
      <w:pPr>
        <w:pStyle w:val="Heading2"/>
        <w:keepNext w:val="0"/>
        <w:spacing w:before="0" w:after="0" w:line="360" w:lineRule="auto"/>
        <w:rPr>
          <w:rFonts w:ascii="仿宋_GB2312" w:eastAsia="仿宋_GB2312" w:hAnsi="仿宋_GB2312" w:cs="仿宋_GB2312"/>
          <w:b/>
          <w:bCs/>
          <w:sz w:val="28"/>
          <w:szCs w:val="28"/>
        </w:rPr>
      </w:pPr>
      <w:bookmarkStart w:id="30" w:name="_Toc256000027"/>
      <w:r>
        <w:rPr>
          <w:rFonts w:ascii="仿宋_GB2312" w:eastAsia="仿宋_GB2312" w:hAnsi="仿宋_GB2312" w:cs="仿宋_GB2312"/>
          <w:i w:val="0"/>
          <w:iCs w:val="0"/>
        </w:rPr>
        <w:t>4.3技术团队</w:t>
      </w:r>
      <w:bookmarkEnd w:id="30"/>
    </w:p>
    <w:p>
      <w:pPr>
        <w:pStyle w:val="Heading2"/>
        <w:keepNext w:val="0"/>
        <w:spacing w:before="0" w:after="0" w:line="360" w:lineRule="auto"/>
        <w:rPr>
          <w:rFonts w:ascii="仿宋_GB2312" w:eastAsia="仿宋_GB2312" w:hAnsi="仿宋_GB2312" w:cs="仿宋_GB2312"/>
          <w:b/>
          <w:bCs/>
          <w:sz w:val="28"/>
          <w:szCs w:val="28"/>
        </w:rPr>
      </w:pPr>
      <w:bookmarkStart w:id="31" w:name="_Toc256000028"/>
      <w:r>
        <w:rPr>
          <w:rFonts w:ascii="仿宋_GB2312" w:eastAsia="仿宋_GB2312" w:hAnsi="仿宋_GB2312" w:cs="仿宋_GB2312"/>
          <w:i w:val="0"/>
          <w:iCs w:val="0"/>
        </w:rPr>
        <w:t>4.4优选资质/优选指标</w:t>
      </w:r>
      <w:bookmarkEnd w:id="31"/>
    </w:p>
    <w:p>
      <w:pPr>
        <w:pStyle w:val="Heading3"/>
        <w:keepNext w:val="0"/>
        <w:spacing w:before="0" w:after="0" w:line="360" w:lineRule="auto"/>
        <w:rPr>
          <w:rFonts w:ascii="仿宋_GB2312" w:eastAsia="仿宋_GB2312" w:hAnsi="仿宋_GB2312" w:cs="仿宋_GB2312"/>
          <w:b/>
          <w:bCs/>
          <w:sz w:val="28"/>
          <w:szCs w:val="28"/>
        </w:rPr>
      </w:pPr>
      <w:bookmarkStart w:id="32" w:name="_Toc256000029"/>
      <w:r>
        <w:rPr>
          <w:rFonts w:ascii="仿宋_GB2312" w:eastAsia="仿宋_GB2312" w:hAnsi="仿宋_GB2312" w:cs="仿宋_GB2312"/>
          <w:sz w:val="28"/>
          <w:szCs w:val="28"/>
        </w:rPr>
        <w:t>4.4.1优选指标</w:t>
      </w:r>
      <w:bookmarkEnd w:id="32"/>
    </w:p>
    <w:p>
      <w:pPr>
        <w:spacing w:before="0" w:after="0" w:line="360" w:lineRule="auto"/>
        <w:rPr>
          <w:rFonts w:ascii="仿宋_GB2312" w:eastAsia="仿宋_GB2312" w:hAnsi="仿宋_GB2312" w:cs="仿宋_GB2312"/>
          <w:sz w:val="28"/>
          <w:szCs w:val="28"/>
        </w:rPr>
      </w:pPr>
      <w:r>
        <w:rPr>
          <w:rFonts w:ascii="仿宋_GB2312" w:eastAsia="仿宋_GB2312" w:hAnsi="仿宋_GB2312" w:cs="仿宋_GB2312"/>
          <w:sz w:val="28"/>
          <w:szCs w:val="28"/>
        </w:rPr>
        <w:t> </w:t>
      </w:r>
    </w:p>
    <w:tbl>
      <w:tblPr>
        <w:tblStyle w:val="MsoNormalTable"/>
        <w:tblW w:w="11725" w:type="dxa"/>
        <w:jc w:val="center"/>
        <w:tblCellSpacing w:w="0" w:type="dxa"/>
        <w:tblInd w:w="42" w:type="dxa"/>
        <w:tblCellMar>
          <w:top w:w="15" w:type="dxa"/>
          <w:left w:w="15" w:type="dxa"/>
          <w:bottom w:w="15" w:type="dxa"/>
          <w:right w:w="15" w:type="dxa"/>
        </w:tblCellMar>
        <w:tblLook w:val="05E0"/>
      </w:tblPr>
      <w:tblGrid>
        <w:gridCol w:w="1146"/>
        <w:gridCol w:w="2191"/>
        <w:gridCol w:w="2384"/>
        <w:gridCol w:w="3644"/>
        <w:gridCol w:w="2361"/>
      </w:tblGrid>
      <w:tr>
        <w:tblPrEx>
          <w:tblW w:w="11725" w:type="dxa"/>
          <w:jc w:val="center"/>
          <w:tblCellSpacing w:w="0" w:type="dxa"/>
          <w:tblInd w:w="42" w:type="dxa"/>
          <w:tblCellMar>
            <w:top w:w="15" w:type="dxa"/>
            <w:left w:w="15" w:type="dxa"/>
            <w:bottom w:w="15" w:type="dxa"/>
            <w:right w:w="15" w:type="dxa"/>
          </w:tblCellMar>
          <w:tblLook w:val="05E0"/>
        </w:tblPrEx>
        <w:trPr>
          <w:tblCellSpacing w:w="0" w:type="dxa"/>
          <w:jc w:val="center"/>
        </w:trPr>
        <w:tc>
          <w:tcPr>
            <w:tcW w:w="1310" w:type="dxa"/>
            <w:tcBorders>
              <w:top w:val="single" w:sz="8" w:space="0" w:color="000000"/>
              <w:left w:val="single" w:sz="8" w:space="0" w:color="000000"/>
              <w:bottom w:val="single" w:sz="8" w:space="0" w:color="000000"/>
              <w:right w:val="single" w:sz="8" w:space="0" w:color="000000"/>
            </w:tcBorders>
            <w:shd w:val="clear" w:color="auto" w:fill="D3D3D3"/>
            <w:noWrap w:val="0"/>
            <w:tcMar>
              <w:top w:w="32" w:type="dxa"/>
              <w:left w:w="3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bCs/>
                <w:i w:val="0"/>
                <w:iCs w:val="0"/>
                <w:smallCaps w:val="0"/>
                <w:color w:val="000000"/>
                <w:sz w:val="21"/>
                <w:szCs w:val="21"/>
              </w:rPr>
              <w:t>序号</w:t>
            </w:r>
          </w:p>
        </w:tc>
        <w:tc>
          <w:tcPr>
            <w:tcW w:w="2605" w:type="dxa"/>
            <w:tcBorders>
              <w:top w:val="single" w:sz="8" w:space="0" w:color="000000"/>
              <w:bottom w:val="single" w:sz="8" w:space="0" w:color="000000"/>
              <w:right w:val="single" w:sz="8" w:space="0" w:color="000000"/>
            </w:tcBorders>
            <w:shd w:val="clear" w:color="auto" w:fill="D3D3D3"/>
            <w:noWrap w:val="0"/>
            <w:tcMar>
              <w:top w:w="32" w:type="dxa"/>
              <w:left w:w="2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bCs/>
                <w:i w:val="0"/>
                <w:iCs w:val="0"/>
                <w:smallCaps w:val="0"/>
                <w:color w:val="000000"/>
                <w:sz w:val="21"/>
                <w:szCs w:val="21"/>
              </w:rPr>
              <w:t>人员类别</w:t>
            </w:r>
          </w:p>
        </w:tc>
        <w:tc>
          <w:tcPr>
            <w:tcW w:w="2605" w:type="dxa"/>
            <w:tcBorders>
              <w:top w:val="single" w:sz="8" w:space="0" w:color="000000"/>
              <w:bottom w:val="single" w:sz="8" w:space="0" w:color="000000"/>
              <w:right w:val="single" w:sz="8" w:space="0" w:color="000000"/>
            </w:tcBorders>
            <w:shd w:val="clear" w:color="auto" w:fill="D3D3D3"/>
            <w:noWrap w:val="0"/>
            <w:tcMar>
              <w:top w:w="32" w:type="dxa"/>
              <w:left w:w="2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bCs/>
                <w:i w:val="0"/>
                <w:iCs w:val="0"/>
                <w:smallCaps w:val="0"/>
                <w:color w:val="000000"/>
                <w:sz w:val="21"/>
                <w:szCs w:val="21"/>
              </w:rPr>
              <w:t>人员岗位</w:t>
            </w:r>
          </w:p>
        </w:tc>
        <w:tc>
          <w:tcPr>
            <w:tcW w:w="2605" w:type="dxa"/>
            <w:tcBorders>
              <w:top w:val="single" w:sz="8" w:space="0" w:color="000000"/>
              <w:bottom w:val="single" w:sz="8" w:space="0" w:color="000000"/>
              <w:right w:val="single" w:sz="8" w:space="0" w:color="000000"/>
            </w:tcBorders>
            <w:shd w:val="clear" w:color="auto" w:fill="D3D3D3"/>
            <w:noWrap w:val="0"/>
            <w:tcMar>
              <w:top w:w="32" w:type="dxa"/>
              <w:left w:w="2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bCs/>
                <w:i w:val="0"/>
                <w:iCs w:val="0"/>
                <w:smallCaps w:val="0"/>
                <w:color w:val="000000"/>
                <w:sz w:val="21"/>
                <w:szCs w:val="21"/>
              </w:rPr>
              <w:t>人员要求</w:t>
            </w:r>
          </w:p>
        </w:tc>
        <w:tc>
          <w:tcPr>
            <w:tcW w:w="2605" w:type="dxa"/>
            <w:tcBorders>
              <w:top w:val="single" w:sz="8" w:space="0" w:color="000000"/>
              <w:bottom w:val="single" w:sz="8" w:space="0" w:color="000000"/>
              <w:right w:val="single" w:sz="8" w:space="0" w:color="000000"/>
            </w:tcBorders>
            <w:shd w:val="clear" w:color="auto" w:fill="D3D3D3"/>
            <w:noWrap w:val="0"/>
            <w:tcMar>
              <w:top w:w="32" w:type="dxa"/>
              <w:left w:w="2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bCs/>
                <w:i w:val="0"/>
                <w:iCs w:val="0"/>
                <w:smallCaps w:val="0"/>
                <w:color w:val="000000"/>
                <w:sz w:val="21"/>
                <w:szCs w:val="21"/>
              </w:rPr>
              <w:t>是否作为加分项</w:t>
            </w:r>
          </w:p>
        </w:tc>
      </w:tr>
      <w:tr>
        <w:tblPrEx>
          <w:tblW w:w="11725" w:type="dxa"/>
          <w:jc w:val="center"/>
          <w:tblCellSpacing w:w="0" w:type="dxa"/>
          <w:tblInd w:w="42" w:type="dxa"/>
          <w:tblCellMar>
            <w:top w:w="15" w:type="dxa"/>
            <w:left w:w="15" w:type="dxa"/>
            <w:bottom w:w="15" w:type="dxa"/>
            <w:right w:w="15" w:type="dxa"/>
          </w:tblCellMar>
          <w:tblLook w:val="05E0"/>
        </w:tblPrEx>
        <w:trPr>
          <w:tblCellSpacing w:w="0" w:type="dxa"/>
          <w:jc w:val="center"/>
        </w:trPr>
        <w:tc>
          <w:tcPr>
            <w:tcBorders>
              <w:left w:val="single" w:sz="8" w:space="0" w:color="000000"/>
              <w:bottom w:val="single" w:sz="8" w:space="0" w:color="000000"/>
              <w:right w:val="single" w:sz="8" w:space="0" w:color="000000"/>
            </w:tcBorders>
            <w:noWrap w:val="0"/>
            <w:tcMar>
              <w:top w:w="22" w:type="dxa"/>
              <w:left w:w="3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1</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管理人员</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经理兼供应业务员</w:t>
            </w:r>
            <w:r>
              <w:rPr>
                <w:rFonts w:ascii="仿宋_GB2312" w:eastAsia="仿宋_GB2312" w:hAnsi="仿宋_GB2312" w:cs="仿宋_GB2312"/>
                <w:b w:val="0"/>
                <w:bCs w:val="0"/>
                <w:i w:val="0"/>
                <w:iCs w:val="0"/>
                <w:smallCaps w:val="0"/>
                <w:color w:val="000000"/>
                <w:sz w:val="21"/>
                <w:szCs w:val="21"/>
              </w:rPr>
              <w:t>1人</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 </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是</w:t>
            </w:r>
          </w:p>
        </w:tc>
      </w:tr>
      <w:tr>
        <w:tblPrEx>
          <w:tblW w:w="11725" w:type="dxa"/>
          <w:jc w:val="center"/>
          <w:tblCellSpacing w:w="0" w:type="dxa"/>
          <w:tblInd w:w="42" w:type="dxa"/>
          <w:tblCellMar>
            <w:top w:w="15" w:type="dxa"/>
            <w:left w:w="15" w:type="dxa"/>
            <w:bottom w:w="15" w:type="dxa"/>
            <w:right w:w="15" w:type="dxa"/>
          </w:tblCellMar>
          <w:tblLook w:val="05E0"/>
        </w:tblPrEx>
        <w:trPr>
          <w:tblCellSpacing w:w="0" w:type="dxa"/>
          <w:jc w:val="center"/>
        </w:trPr>
        <w:tc>
          <w:tcPr>
            <w:tcBorders>
              <w:left w:val="single" w:sz="8" w:space="0" w:color="000000"/>
              <w:bottom w:val="single" w:sz="8" w:space="0" w:color="000000"/>
              <w:right w:val="single" w:sz="8" w:space="0" w:color="000000"/>
            </w:tcBorders>
            <w:noWrap w:val="0"/>
            <w:tcMar>
              <w:top w:w="22" w:type="dxa"/>
              <w:left w:w="3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2</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技术人员</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食品安全管理员兼采购员</w:t>
            </w:r>
            <w:r>
              <w:rPr>
                <w:rFonts w:ascii="仿宋_GB2312" w:eastAsia="仿宋_GB2312" w:hAnsi="仿宋_GB2312" w:cs="仿宋_GB2312"/>
                <w:b w:val="0"/>
                <w:bCs w:val="0"/>
                <w:i w:val="0"/>
                <w:iCs w:val="0"/>
                <w:smallCaps w:val="0"/>
                <w:color w:val="000000"/>
                <w:sz w:val="21"/>
                <w:szCs w:val="21"/>
              </w:rPr>
              <w:t>1人</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 </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是</w:t>
            </w:r>
          </w:p>
        </w:tc>
      </w:tr>
      <w:tr>
        <w:tblPrEx>
          <w:tblW w:w="11725" w:type="dxa"/>
          <w:jc w:val="center"/>
          <w:tblCellSpacing w:w="0" w:type="dxa"/>
          <w:tblInd w:w="42" w:type="dxa"/>
          <w:tblCellMar>
            <w:top w:w="15" w:type="dxa"/>
            <w:left w:w="15" w:type="dxa"/>
            <w:bottom w:w="15" w:type="dxa"/>
            <w:right w:w="15" w:type="dxa"/>
          </w:tblCellMar>
          <w:tblLook w:val="05E0"/>
        </w:tblPrEx>
        <w:trPr>
          <w:tblCellSpacing w:w="0" w:type="dxa"/>
          <w:jc w:val="center"/>
        </w:trPr>
        <w:tc>
          <w:tcPr>
            <w:tcBorders>
              <w:left w:val="single" w:sz="8" w:space="0" w:color="000000"/>
              <w:bottom w:val="single" w:sz="8" w:space="0" w:color="000000"/>
              <w:right w:val="single" w:sz="8" w:space="0" w:color="000000"/>
            </w:tcBorders>
            <w:noWrap w:val="0"/>
            <w:tcMar>
              <w:top w:w="22" w:type="dxa"/>
              <w:left w:w="32" w:type="dxa"/>
              <w:bottom w:w="32" w:type="dxa"/>
              <w:right w:w="32" w:type="dxa"/>
            </w:tcMar>
            <w:vAlign w:val="center"/>
            <w:hideMark/>
          </w:tcPr>
          <w:p>
            <w:pPr>
              <w:pStyle w:val="17"/>
              <w:jc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3</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技术人员</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配送司机</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人</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具有符合配送车辆型号的驾驶资格证书</w:t>
            </w:r>
          </w:p>
        </w:tc>
        <w:tc>
          <w:tcPr>
            <w:tcBorders>
              <w:bottom w:val="single" w:sz="8" w:space="0" w:color="000000"/>
              <w:right w:val="single" w:sz="8" w:space="0" w:color="000000"/>
            </w:tcBorders>
            <w:noWrap w:val="0"/>
            <w:tcMar>
              <w:top w:w="22" w:type="dxa"/>
              <w:left w:w="22" w:type="dxa"/>
              <w:bottom w:w="32" w:type="dxa"/>
              <w:right w:w="32" w:type="dxa"/>
            </w:tcMar>
            <w:vAlign w:val="center"/>
            <w:hideMark/>
          </w:tcPr>
          <w:p>
            <w:pPr>
              <w:pStyle w:val="17"/>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是</w:t>
            </w:r>
          </w:p>
        </w:tc>
      </w:tr>
    </w:tbl>
    <w:p>
      <w:pPr>
        <w:pStyle w:val="16"/>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32"/>
          <w:szCs w:val="32"/>
        </w:rPr>
        <w:t> </w:t>
      </w:r>
    </w:p>
    <w:p>
      <w:pPr>
        <w:pStyle w:val="Heading1"/>
        <w:keepNext w:val="0"/>
        <w:spacing w:before="0" w:after="0" w:line="360" w:lineRule="auto"/>
        <w:jc w:val="center"/>
        <w:rPr>
          <w:rFonts w:ascii="仿宋_GB2312" w:eastAsia="仿宋_GB2312" w:hAnsi="仿宋_GB2312" w:cs="仿宋_GB2312"/>
          <w:b/>
          <w:bCs/>
          <w:sz w:val="32"/>
          <w:szCs w:val="32"/>
        </w:rPr>
      </w:pPr>
      <w:bookmarkStart w:id="33" w:name="_Toc256000030"/>
      <w:r>
        <w:rPr>
          <w:rFonts w:ascii="仿宋_GB2312" w:eastAsia="仿宋_GB2312" w:hAnsi="仿宋_GB2312" w:cs="仿宋_GB2312"/>
          <w:kern w:val="36"/>
        </w:rPr>
        <w:t>5管理实施要求</w:t>
      </w:r>
      <w:bookmarkEnd w:id="33"/>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投标人应提交科学合理的供应方案。方案应包含服务团队管理措施、内部采购管理措施、储存分拣管理措施、科学合理运输措施等。</w:t>
      </w:r>
    </w:p>
    <w:p>
      <w:pPr>
        <w:pStyle w:val="Heading1"/>
        <w:keepNext w:val="0"/>
        <w:spacing w:before="0" w:after="0" w:line="360" w:lineRule="auto"/>
        <w:jc w:val="center"/>
        <w:rPr>
          <w:rFonts w:ascii="仿宋_GB2312" w:eastAsia="仿宋_GB2312" w:hAnsi="仿宋_GB2312" w:cs="仿宋_GB2312"/>
          <w:b/>
          <w:bCs/>
          <w:sz w:val="32"/>
          <w:szCs w:val="32"/>
        </w:rPr>
      </w:pPr>
      <w:bookmarkStart w:id="34" w:name="_Toc256000031"/>
      <w:r>
        <w:rPr>
          <w:rFonts w:ascii="仿宋_GB2312" w:eastAsia="仿宋_GB2312" w:hAnsi="仿宋_GB2312" w:cs="仿宋_GB2312"/>
          <w:kern w:val="36"/>
        </w:rPr>
        <w:t>6风险管控要求</w:t>
      </w:r>
      <w:bookmarkEnd w:id="34"/>
    </w:p>
    <w:p>
      <w:pPr>
        <w:pStyle w:val="20Paragraph"/>
        <w:spacing w:before="0" w:after="0" w:line="360" w:lineRule="auto"/>
        <w:ind w:firstLine="643"/>
        <w:rPr>
          <w:rFonts w:ascii="Times New Roman" w:eastAsia="Times New Roman" w:hAnsi="Times New Roman" w:cs="Times New Roman"/>
        </w:rPr>
      </w:pPr>
      <w:r>
        <w:rPr>
          <w:rFonts w:ascii="楷体" w:eastAsia="楷体" w:hAnsi="楷体" w:cs="楷体"/>
          <w:b/>
          <w:bCs/>
          <w:sz w:val="28"/>
          <w:szCs w:val="28"/>
        </w:rPr>
        <w:t>（一）质量安全把控方案要求</w:t>
      </w:r>
    </w:p>
    <w:p>
      <w:pPr>
        <w:pStyle w:val="20Paragraph"/>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1. 投标人应提供质量安全把控方案。方案内容详细描述供应货物质量把控措施、检验检疫关键环节把控、不符合质量标准货品处置等内容，确保提供食材安全可靠。</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2.投标人供应以下食品的，采购人全部退货，投标人承担由此造成的一切经济责任和法律责任：</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1）腐败变质、油脂酸败、霉变、生虫、污秽不洁、混有异物或者其他感官性状异常，对人体健康有害的；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2）含有毒、有害物质或者被有毒、有害物质污染，对人体健康有害的；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3）含有致病性寄生虫、微生物或者微生物含量超过国家限定标准的；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4）未经动物检疫部门检疫、检验或者检疫、检验不合格的肉类及其制品；</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5）病死、毒死或者死因不明的禽、畜、兽等及其制品；</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6）掺假、掺杂、伪造，影响营养、卫生的；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7）用非食品原料加工的，加入非食品用化学物质或者将非食品当作食品的；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8）超过保质期限的；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9）使用有色、有毒塑料制品、包装食材的；</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10）其他不符合《食品安全法》、《产品质量法》和《动物检疫管理办法》等相关规定的。</w:t>
      </w:r>
    </w:p>
    <w:p>
      <w:pPr>
        <w:pStyle w:val="17"/>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3.凡投标人所供应货物应为原箱包装，拆包或重组包装的应提前向采购人说明，定量包装批量误差不应超过实际标示的5%。</w:t>
      </w:r>
    </w:p>
    <w:p>
      <w:pPr>
        <w:pStyle w:val="20Paragraph"/>
        <w:spacing w:before="0" w:after="0" w:line="360" w:lineRule="auto"/>
        <w:ind w:firstLine="480"/>
        <w:rPr>
          <w:rFonts w:ascii="Times New Roman" w:eastAsia="Times New Roman" w:hAnsi="Times New Roman" w:cs="Times New Roman"/>
        </w:rPr>
      </w:pPr>
      <w:r>
        <w:rPr>
          <w:b/>
          <w:bCs/>
        </w:rPr>
        <w:t>（二）应急保障方案要求</w:t>
      </w:r>
    </w:p>
    <w:p>
      <w:pPr>
        <w:pStyle w:val="21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投标人应提供在自然灾害、极端事件、市场关闭、物资紧缺等突发紧急情况下拟采取的应急保障方案，包括充分供应、按时保障等措施，确保国家税务总局</w:t>
      </w:r>
      <w:r>
        <w:rPr>
          <w:rFonts w:ascii="仿宋_GB2312" w:eastAsia="仿宋_GB2312" w:hAnsi="仿宋_GB2312" w:cs="仿宋_GB2312"/>
          <w:sz w:val="28"/>
          <w:szCs w:val="28"/>
        </w:rPr>
        <w:t>吉林</w:t>
      </w:r>
      <w:r>
        <w:rPr>
          <w:rFonts w:ascii="仿宋_GB2312" w:eastAsia="仿宋_GB2312" w:hAnsi="仿宋_GB2312" w:cs="仿宋_GB2312"/>
          <w:sz w:val="28"/>
          <w:szCs w:val="28"/>
        </w:rPr>
        <w:t>市税务局食堂食材及时供应不间断。</w:t>
      </w:r>
    </w:p>
    <w:p>
      <w:pPr>
        <w:pStyle w:val="18Paragraph"/>
        <w:spacing w:before="0" w:after="0" w:line="360" w:lineRule="auto"/>
        <w:ind w:firstLine="643"/>
        <w:rPr>
          <w:rFonts w:ascii="Times New Roman" w:eastAsia="Times New Roman" w:hAnsi="Times New Roman" w:cs="Times New Roman"/>
        </w:rPr>
      </w:pPr>
      <w:r>
        <w:rPr>
          <w:b/>
          <w:bCs/>
        </w:rPr>
        <w:t>（三）违约风险管控要求</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1.投标人中标后采用先送货后结账的模式，不收取履约保证金。有下列情形之一的，采购人有权按照以下约定及合同违约相关条款处理：</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1）因投标人配送不及时导致采购人供餐延误并造成重大影响的；</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3）除不可抗力及采购人原因外，因投标人配送不及时导致采购人伙食供应延时，但经投标人采取补救措施未造成采购人不良影响的，出现三次终止供货合同；</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4）凡投标人向采购人提供产品发生质量问题影响食用，并拒绝退换的；</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5）采购人将不定期组织专人对食材进行抽检，若发现质量不符，采购人有权要求予以退换货。</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2.投标人有下列情形之一的，采购人有权解除合同，由投标人承担全部经济损失和相关责任：</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1）投标人以书面、微信、短信等方式通知采购人不再供货，包括对部分食材不再供货；</w:t>
      </w:r>
    </w:p>
    <w:p>
      <w:pPr>
        <w:pStyle w:val="20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2）投标人虽未通知采购人不再供货，但1天没有供应采购人采购的货物，包括对部分食材没有供货；</w:t>
      </w:r>
    </w:p>
    <w:p>
      <w:pPr>
        <w:pStyle w:val="19"/>
        <w:spacing w:before="0" w:after="0" w:line="360" w:lineRule="auto"/>
        <w:ind w:firstLine="435"/>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3）投标人未经采购人同意单方面提价的。</w:t>
      </w:r>
    </w:p>
    <w:p>
      <w:pPr>
        <w:pStyle w:val="Heading1"/>
        <w:keepNext w:val="0"/>
        <w:spacing w:before="0" w:after="0" w:line="360" w:lineRule="auto"/>
        <w:jc w:val="center"/>
        <w:rPr>
          <w:rFonts w:ascii="仿宋_GB2312" w:eastAsia="仿宋_GB2312" w:hAnsi="仿宋_GB2312" w:cs="仿宋_GB2312"/>
          <w:b/>
          <w:bCs/>
          <w:sz w:val="32"/>
          <w:szCs w:val="32"/>
        </w:rPr>
      </w:pPr>
      <w:bookmarkStart w:id="35" w:name="_Toc256000032"/>
      <w:r>
        <w:rPr>
          <w:rFonts w:ascii="仿宋_GB2312" w:eastAsia="仿宋_GB2312" w:hAnsi="仿宋_GB2312" w:cs="仿宋_GB2312"/>
          <w:kern w:val="36"/>
        </w:rPr>
        <w:t>7履约验收要求</w:t>
      </w:r>
      <w:bookmarkEnd w:id="35"/>
    </w:p>
    <w:p>
      <w:pPr>
        <w:pStyle w:val="Heading2"/>
        <w:keepNext w:val="0"/>
        <w:spacing w:before="0" w:after="0" w:line="360" w:lineRule="auto"/>
        <w:rPr>
          <w:rFonts w:ascii="仿宋_GB2312" w:eastAsia="仿宋_GB2312" w:hAnsi="仿宋_GB2312" w:cs="仿宋_GB2312"/>
          <w:b/>
          <w:bCs/>
          <w:sz w:val="28"/>
          <w:szCs w:val="28"/>
        </w:rPr>
      </w:pPr>
      <w:bookmarkStart w:id="36" w:name="_Toc256000033"/>
      <w:r>
        <w:rPr>
          <w:rFonts w:ascii="仿宋_GB2312" w:eastAsia="仿宋_GB2312" w:hAnsi="仿宋_GB2312" w:cs="仿宋_GB2312"/>
          <w:i w:val="0"/>
          <w:iCs w:val="0"/>
        </w:rPr>
        <w:t>7.1总体要求</w:t>
      </w:r>
      <w:bookmarkEnd w:id="36"/>
    </w:p>
    <w:tbl>
      <w:tblPr>
        <w:tblW w:w="5000" w:type="pct"/>
        <w:tblInd w:w="30" w:type="dxa"/>
        <w:tblCellMar>
          <w:top w:w="15" w:type="dxa"/>
          <w:left w:w="15" w:type="dxa"/>
          <w:bottom w:w="15" w:type="dxa"/>
          <w:right w:w="15" w:type="dxa"/>
        </w:tblCellMar>
      </w:tblPr>
      <w:tblGrid>
        <w:gridCol w:w="1280"/>
        <w:gridCol w:w="30400"/>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送货当场验收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2.验收时间和地点（1）验收时间：到货当天。（2）验收地点：国家税务总局吉林市税务局指定地点。（3）验收组织形式：采购人组织验收。（4）验收方式：现场验收。（5）验收内容：所供食材（a）质量是否符合约定标准；（b）重量、数量、价格是否与采购人的预定量一致。</w:t>
            </w:r>
          </w:p>
        </w:tc>
      </w:tr>
    </w:tbl>
    <w:p>
      <w:pPr>
        <w:pStyle w:val="Heading2"/>
        <w:keepNext w:val="0"/>
        <w:spacing w:before="0" w:after="0" w:line="360" w:lineRule="auto"/>
        <w:rPr>
          <w:rFonts w:ascii="仿宋_GB2312" w:eastAsia="仿宋_GB2312" w:hAnsi="仿宋_GB2312" w:cs="仿宋_GB2312"/>
          <w:b/>
          <w:bCs/>
          <w:sz w:val="28"/>
          <w:szCs w:val="28"/>
        </w:rPr>
      </w:pPr>
      <w:bookmarkStart w:id="37" w:name="_Toc256000034"/>
      <w:r>
        <w:rPr>
          <w:rFonts w:ascii="仿宋_GB2312" w:eastAsia="仿宋_GB2312" w:hAnsi="仿宋_GB2312" w:cs="仿宋_GB2312"/>
          <w:i w:val="0"/>
          <w:iCs w:val="0"/>
        </w:rPr>
        <w:t>7.2具体要求</w:t>
      </w:r>
      <w:bookmarkEnd w:id="37"/>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1.验收场所的准备</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应当在固定的场所进行验收，采购人定期清扫消毒，保持清洁，保证无积尘、无食品残渣，无霉斑、鼠迹、苍蝇、蟑螂，验收场所不准存放有毒、有害物品及个人生活用品。</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2.验收小组按订单对采购货物的品种、质量、数量进行检查验收，对货不对版、质量不好、价格明显过于偏高的食材不予验收且有权拒收，对于数量不足的食材，按照实际数量入账，填制验收记录和验收单。</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3.验收流程</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1）投标人应在验收时提供与送货内容一致的送货单，并加盖公章。</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2）卸货前的检查。验收人员卸货前应对货物的外观质量进行初步了解。</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3）采取当场验收的方式，验收人认真检查货物，按核对品种→索证→抽查(检测）→数量、重量、质量、价格验收→签名确认→入库的程序完成验收。</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要求投标人提供产品质量检测报告及卫生合格报告书，肉类产品应提供当地卫生部门开具的动物检验检疫合格票、产品检疫合格证，证明内容与产品内容要一致。投标人以提供原件为主，不能留原件的提供复印件。</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4）发现食品安全质量问题的处理：</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抽查时发现食品质量不过关或影响食用安全的，对当日所送同批次产品全部退货。</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若抽查未发现问题，按储藏要求储藏后在加工食用前发现产品质量问题的，投标人必须退货或更换。</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4.退（补）货流程</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w:t>
      </w:r>
      <w:r>
        <w:rPr>
          <w:rFonts w:ascii="仿宋_GB2312" w:eastAsia="仿宋_GB2312" w:hAnsi="仿宋_GB2312" w:cs="仿宋_GB2312"/>
          <w:sz w:val="28"/>
          <w:szCs w:val="28"/>
        </w:rPr>
        <w:t>1小时内补送订单品种。</w:t>
      </w:r>
    </w:p>
    <w:p>
      <w:pPr>
        <w:pStyle w:val="18Paragraph"/>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5. 包装带箱、筐的食材按照去除箱、筐后的重量计算。投标人需配合采购人库管人员进行倒筐称重，共同签字确认。</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6.货物验收方案</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投标人必须按照本项目需求书要求详细阐述货物验收方案。对规定各项验收指标提出明确的验收前提条件和验收依据及标准，列明需要移交和交付的各类检验报告和证明证书。对验收中可能发现的问题，投标人应提出有效解决办法和补救措施。</w:t>
      </w:r>
    </w:p>
    <w:p>
      <w:pPr>
        <w:pStyle w:val="Heading1"/>
        <w:keepNext w:val="0"/>
        <w:spacing w:before="0" w:after="0" w:line="360" w:lineRule="auto"/>
        <w:jc w:val="center"/>
        <w:rPr>
          <w:rFonts w:ascii="仿宋_GB2312" w:eastAsia="仿宋_GB2312" w:hAnsi="仿宋_GB2312" w:cs="仿宋_GB2312"/>
          <w:b/>
          <w:bCs/>
          <w:sz w:val="32"/>
          <w:szCs w:val="32"/>
        </w:rPr>
      </w:pPr>
      <w:bookmarkStart w:id="38" w:name="_Toc256000035"/>
      <w:r>
        <w:rPr>
          <w:rFonts w:ascii="仿宋_GB2312" w:eastAsia="仿宋_GB2312" w:hAnsi="仿宋_GB2312" w:cs="仿宋_GB2312"/>
          <w:kern w:val="36"/>
        </w:rPr>
        <w:t>8其他要求</w:t>
      </w:r>
      <w:bookmarkEnd w:id="38"/>
    </w:p>
    <w:p>
      <w:pPr>
        <w:pStyle w:val="Heading2"/>
        <w:keepNext w:val="0"/>
        <w:spacing w:before="0" w:after="0" w:line="360" w:lineRule="auto"/>
        <w:rPr>
          <w:rFonts w:ascii="仿宋_GB2312" w:eastAsia="仿宋_GB2312" w:hAnsi="仿宋_GB2312" w:cs="仿宋_GB2312"/>
          <w:b/>
          <w:bCs/>
          <w:sz w:val="28"/>
          <w:szCs w:val="28"/>
        </w:rPr>
      </w:pPr>
      <w:bookmarkStart w:id="39" w:name="_Toc256000036"/>
      <w:r>
        <w:rPr>
          <w:rFonts w:ascii="仿宋_GB2312" w:eastAsia="仿宋_GB2312" w:hAnsi="仿宋_GB2312" w:cs="仿宋_GB2312"/>
          <w:i w:val="0"/>
          <w:iCs w:val="0"/>
        </w:rPr>
        <w:t>8.1必备要求</w:t>
      </w:r>
      <w:bookmarkEnd w:id="39"/>
    </w:p>
    <w:p>
      <w:pPr>
        <w:pStyle w:val="Heading3"/>
        <w:keepNext w:val="0"/>
        <w:spacing w:before="0" w:after="0" w:line="360" w:lineRule="auto"/>
        <w:rPr>
          <w:rFonts w:ascii="仿宋_GB2312" w:eastAsia="仿宋_GB2312" w:hAnsi="仿宋_GB2312" w:cs="仿宋_GB2312"/>
          <w:b/>
          <w:bCs/>
          <w:sz w:val="28"/>
          <w:szCs w:val="28"/>
        </w:rPr>
      </w:pPr>
      <w:bookmarkStart w:id="40" w:name="_Toc256000037"/>
      <w:r>
        <w:rPr>
          <w:rFonts w:ascii="仿宋_GB2312" w:eastAsia="仿宋_GB2312" w:hAnsi="仿宋_GB2312" w:cs="仿宋_GB2312"/>
          <w:sz w:val="28"/>
          <w:szCs w:val="28"/>
        </w:rPr>
        <w:t>8.1.1通用必备要求</w:t>
      </w:r>
      <w:bookmarkEnd w:id="40"/>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
        <w:keepNext w:val="0"/>
        <w:spacing w:before="0" w:after="0" w:line="360" w:lineRule="auto"/>
        <w:rPr>
          <w:rFonts w:ascii="仿宋_GB2312" w:eastAsia="仿宋_GB2312" w:hAnsi="仿宋_GB2312" w:cs="仿宋_GB2312"/>
          <w:b/>
          <w:bCs/>
          <w:sz w:val="28"/>
          <w:szCs w:val="28"/>
        </w:rPr>
      </w:pPr>
      <w:bookmarkStart w:id="41" w:name="_Toc256000038"/>
      <w:r>
        <w:rPr>
          <w:rFonts w:ascii="仿宋_GB2312" w:eastAsia="仿宋_GB2312" w:hAnsi="仿宋_GB2312" w:cs="仿宋_GB2312"/>
          <w:i w:val="0"/>
          <w:iCs w:val="0"/>
        </w:rPr>
        <w:t>8.2付款安排建议</w:t>
      </w:r>
      <w:bookmarkEnd w:id="41"/>
    </w:p>
    <w:tbl>
      <w:tblPr>
        <w:tblW w:w="5000" w:type="pct"/>
        <w:tblInd w:w="30" w:type="dxa"/>
        <w:tblCellMar>
          <w:top w:w="15" w:type="dxa"/>
          <w:left w:w="15" w:type="dxa"/>
          <w:bottom w:w="15" w:type="dxa"/>
          <w:right w:w="15" w:type="dxa"/>
        </w:tblCellMar>
      </w:tblPr>
      <w:tblGrid>
        <w:gridCol w:w="1866"/>
        <w:gridCol w:w="5598"/>
        <w:gridCol w:w="1866"/>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1次/月，共12次/年</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按上月实际采购金额付款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
        <w:keepNext w:val="0"/>
        <w:spacing w:before="0" w:after="0" w:line="360" w:lineRule="auto"/>
        <w:rPr>
          <w:rFonts w:ascii="仿宋_GB2312" w:eastAsia="仿宋_GB2312" w:hAnsi="仿宋_GB2312" w:cs="仿宋_GB2312"/>
          <w:b/>
          <w:bCs/>
          <w:sz w:val="28"/>
          <w:szCs w:val="28"/>
        </w:rPr>
      </w:pPr>
      <w:bookmarkStart w:id="42" w:name="_Toc256000039"/>
      <w:r>
        <w:rPr>
          <w:rFonts w:ascii="仿宋_GB2312" w:eastAsia="仿宋_GB2312" w:hAnsi="仿宋_GB2312" w:cs="仿宋_GB2312"/>
          <w:i w:val="0"/>
          <w:iCs w:val="0"/>
        </w:rPr>
        <w:t>8.3其他要求</w:t>
      </w:r>
      <w:bookmarkEnd w:id="42"/>
    </w:p>
    <w:p>
      <w:pPr>
        <w:pStyle w:val="Heading3"/>
        <w:keepNext w:val="0"/>
        <w:spacing w:before="0" w:after="0" w:line="360" w:lineRule="auto"/>
        <w:rPr>
          <w:rFonts w:ascii="仿宋_GB2312" w:eastAsia="仿宋_GB2312" w:hAnsi="仿宋_GB2312" w:cs="仿宋_GB2312"/>
          <w:b/>
          <w:bCs/>
          <w:sz w:val="28"/>
          <w:szCs w:val="28"/>
        </w:rPr>
      </w:pPr>
      <w:bookmarkStart w:id="43" w:name="_Toc256000040"/>
      <w:r>
        <w:rPr>
          <w:rFonts w:ascii="仿宋_GB2312" w:eastAsia="仿宋_GB2312" w:hAnsi="仿宋_GB2312" w:cs="仿宋_GB2312"/>
          <w:sz w:val="28"/>
          <w:szCs w:val="28"/>
        </w:rPr>
        <w:t>8.3.1保密要求</w:t>
      </w:r>
      <w:bookmarkEnd w:id="43"/>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服务团队人员上岗前应通过内容包括国家保密法律法规、保密制度、服务过程中的保密知识技能及相关要求、典型案例等的保密培训，签订《保密承诺书》；重点岗位员工须上报采购人进行审核后方可入职，进入办公区域的服务人员禁止摄影、摄像、录音；每季度至少开展</w:t>
      </w:r>
      <w:r>
        <w:rPr>
          <w:rFonts w:ascii="仿宋_GB2312" w:eastAsia="仿宋_GB2312" w:hAnsi="仿宋_GB2312" w:cs="仿宋_GB2312"/>
          <w:sz w:val="28"/>
          <w:szCs w:val="28"/>
        </w:rPr>
        <w:t>1次对服务人员进行保密、思想政治教育的培训，提高服务人员保密意识和思想政治意识。新入职员工应当接受保密、思想政治教育培训，进行必要的人员经历审查，合格后签订保密协议方可上岗。</w:t>
      </w:r>
    </w:p>
    <w:p>
      <w:pPr>
        <w:pStyle w:val="Heading3"/>
        <w:keepNext w:val="0"/>
        <w:spacing w:before="0" w:after="0" w:line="360" w:lineRule="auto"/>
        <w:rPr>
          <w:rFonts w:ascii="仿宋_GB2312" w:eastAsia="仿宋_GB2312" w:hAnsi="仿宋_GB2312" w:cs="仿宋_GB2312"/>
          <w:b/>
          <w:bCs/>
          <w:sz w:val="28"/>
          <w:szCs w:val="28"/>
        </w:rPr>
      </w:pPr>
      <w:bookmarkStart w:id="44" w:name="_Toc256000041"/>
      <w:r>
        <w:rPr>
          <w:rFonts w:ascii="仿宋_GB2312" w:eastAsia="仿宋_GB2312" w:hAnsi="仿宋_GB2312" w:cs="仿宋_GB2312"/>
          <w:sz w:val="28"/>
          <w:szCs w:val="28"/>
        </w:rPr>
        <w:t>8.3.2知识转移要求</w:t>
      </w:r>
      <w:bookmarkEnd w:id="44"/>
    </w:p>
    <w:p>
      <w:pPr>
        <w:pStyle w:val="Heading3"/>
        <w:keepNext w:val="0"/>
        <w:spacing w:before="0" w:after="0" w:line="360" w:lineRule="auto"/>
        <w:rPr>
          <w:rFonts w:ascii="仿宋_GB2312" w:eastAsia="仿宋_GB2312" w:hAnsi="仿宋_GB2312" w:cs="仿宋_GB2312"/>
          <w:b/>
          <w:bCs/>
          <w:sz w:val="28"/>
          <w:szCs w:val="28"/>
        </w:rPr>
      </w:pPr>
      <w:bookmarkStart w:id="45" w:name="_Toc256000042"/>
      <w:r>
        <w:rPr>
          <w:rFonts w:ascii="仿宋_GB2312" w:eastAsia="仿宋_GB2312" w:hAnsi="仿宋_GB2312" w:cs="仿宋_GB2312"/>
          <w:sz w:val="28"/>
          <w:szCs w:val="28"/>
        </w:rPr>
        <w:t>8.3.3知识产权要求</w:t>
      </w:r>
      <w:bookmarkEnd w:id="45"/>
    </w:p>
    <w:p>
      <w:pPr>
        <w:spacing w:before="0" w:after="0" w:line="360" w:lineRule="auto"/>
        <w:ind w:firstLine="561"/>
        <w:rPr>
          <w:rFonts w:ascii="仿宋_GB2312" w:eastAsia="仿宋_GB2312" w:hAnsi="仿宋_GB2312" w:cs="仿宋_GB2312"/>
          <w:sz w:val="28"/>
          <w:szCs w:val="28"/>
        </w:rPr>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spacing w:before="0" w:after="0" w:line="360" w:lineRule="auto"/>
      <w:jc w:val="center"/>
    </w:pPr>
    <w:r>
      <w:fldChar w:fldCharType="begin"/>
    </w:r>
    <w:r>
      <w:instrText xml:space="preserve"> PAGE </w:instrText>
    </w:r>
    <w:r>
      <w:fldChar w:fldCharType="separate"/>
    </w:r>
    <w:r>
      <w:t>20</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A77B3E"/>
    <w:rsid w:val="00CA2A55"/>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EF7B96"/>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F7B96"/>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EF7B96"/>
    <w:pPr>
      <w:keepNext/>
      <w:spacing w:before="240" w:after="60"/>
      <w:outlineLvl w:val="2"/>
    </w:pPr>
    <w:rPr>
      <w:rFonts w:ascii="Arial" w:hAnsi="Arial" w:cs="Arial"/>
      <w:b/>
      <w:bCs/>
      <w:sz w:val="26"/>
      <w:szCs w:val="26"/>
    </w:rPr>
  </w:style>
  <w:style w:type="paragraph" w:styleId="Heading4">
    <w:name w:val="heading 4"/>
    <w:basedOn w:val="Normal"/>
    <w:next w:val="Normal"/>
    <w:qFormat/>
    <w:rsid w:val="00EF7B96"/>
    <w:pPr>
      <w:keepNext/>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MsoNormal">
    <w:name w:val="MsoNormal"/>
    <w:basedOn w:val="Normal"/>
  </w:style>
  <w:style w:type="paragraph" w:customStyle="1" w:styleId="16">
    <w:name w:val="16"/>
    <w:basedOn w:val="Normal"/>
  </w:style>
  <w:style w:type="paragraph" w:customStyle="1" w:styleId="15">
    <w:name w:val="15"/>
    <w:basedOn w:val="Normal"/>
  </w:style>
  <w:style w:type="paragraph" w:customStyle="1" w:styleId="17">
    <w:name w:val="17"/>
    <w:basedOn w:val="Normal"/>
  </w:style>
  <w:style w:type="table" w:customStyle="1" w:styleId="18">
    <w:name w:val="18"/>
    <w:basedOn w:val="TableNormal"/>
    <w:tblPr/>
  </w:style>
  <w:style w:type="paragraph" w:customStyle="1" w:styleId="19">
    <w:name w:val="19"/>
    <w:basedOn w:val="Normal"/>
  </w:style>
  <w:style w:type="table" w:customStyle="1" w:styleId="20">
    <w:name w:val="20"/>
    <w:basedOn w:val="TableNormal"/>
    <w:tblPr/>
  </w:style>
  <w:style w:type="paragraph" w:customStyle="1" w:styleId="20Paragraph">
    <w:name w:val="20 Paragraph"/>
    <w:basedOn w:val="Normal"/>
  </w:style>
  <w:style w:type="table" w:customStyle="1" w:styleId="21">
    <w:name w:val="21"/>
    <w:basedOn w:val="TableNormal"/>
    <w:tblPr/>
  </w:style>
  <w:style w:type="table" w:customStyle="1" w:styleId="MsoNormalTable">
    <w:name w:val="MsoNormalTable"/>
    <w:basedOn w:val="TableNormal"/>
    <w:tblPr/>
  </w:style>
  <w:style w:type="paragraph" w:customStyle="1" w:styleId="21Paragraph">
    <w:name w:val="21 Paragraph"/>
    <w:basedOn w:val="Normal"/>
  </w:style>
  <w:style w:type="paragraph" w:customStyle="1" w:styleId="18Paragraph">
    <w:name w:val="18 Paragraph"/>
    <w:basedOn w:val="Normal"/>
  </w:style>
  <w:style w:type="paragraph" w:styleId="TOC1">
    <w:name w:val="toc 1"/>
    <w:basedOn w:val="Normal"/>
    <w:next w:val="Normal"/>
    <w:autoRedefine/>
    <w:rsid w:val="00805BCE"/>
  </w:style>
  <w:style w:type="character" w:styleId="Hyperlink">
    <w:name w:val="Hyperlink"/>
    <w:basedOn w:val="DefaultParagraphFont"/>
    <w:rsid w:val="00EF7B96"/>
    <w:rPr>
      <w:color w:val="0000FF"/>
      <w:u w:val="single"/>
    </w:rPr>
  </w:style>
  <w:style w:type="paragraph" w:styleId="TOC2">
    <w:name w:val="toc 2"/>
    <w:basedOn w:val="Normal"/>
    <w:next w:val="Normal"/>
    <w:autoRedefine/>
    <w:rsid w:val="00805BCE"/>
    <w:pPr>
      <w:ind w:left="240"/>
    </w:pPr>
  </w:style>
  <w:style w:type="paragraph" w:styleId="TOC3">
    <w:name w:val="toc 3"/>
    <w:basedOn w:val="Normal"/>
    <w:next w:val="Normal"/>
    <w:autoRedefine/>
    <w:rsid w:val="00805BCE"/>
    <w:pPr>
      <w:ind w:left="48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TotalTime>0</TotalTime>
  <Pages>20</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