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1B95E3">
      <w:pPr>
        <w:topLinePunct/>
        <w:autoSpaceDE w:val="0"/>
        <w:autoSpaceDN w:val="0"/>
        <w:jc w:val="center"/>
        <w:rPr>
          <w:rFonts w:ascii="黑体" w:eastAsia="黑体"/>
          <w:b/>
          <w:color w:val="auto"/>
          <w:sz w:val="52"/>
          <w:highlight w:val="none"/>
        </w:rPr>
      </w:pPr>
      <w:bookmarkStart w:id="0" w:name="_GoBack"/>
      <w:bookmarkEnd w:id="0"/>
    </w:p>
    <w:p w14:paraId="6DA92E7D">
      <w:pPr>
        <w:topLinePunct/>
        <w:autoSpaceDE w:val="0"/>
        <w:autoSpaceDN w:val="0"/>
        <w:jc w:val="center"/>
        <w:rPr>
          <w:rFonts w:hAnsi="宋体"/>
          <w:b/>
          <w:color w:val="auto"/>
          <w:sz w:val="96"/>
          <w:szCs w:val="96"/>
          <w:highlight w:val="none"/>
        </w:rPr>
      </w:pPr>
      <w:r>
        <w:rPr>
          <w:rFonts w:hint="eastAsia" w:hAnsi="宋体"/>
          <w:b/>
          <w:color w:val="000000"/>
          <w:sz w:val="96"/>
          <w:szCs w:val="96"/>
          <w:highlight w:val="white"/>
        </w:rPr>
        <w:t>招 标 文 件</w:t>
      </w:r>
    </w:p>
    <w:p w14:paraId="71142CE9">
      <w:pPr>
        <w:topLinePunct/>
        <w:autoSpaceDE w:val="0"/>
        <w:autoSpaceDN w:val="0"/>
        <w:spacing w:line="60" w:lineRule="exact"/>
        <w:jc w:val="center"/>
        <w:rPr>
          <w:rFonts w:hAnsi="宋体"/>
          <w:color w:val="auto"/>
          <w:sz w:val="96"/>
          <w:szCs w:val="96"/>
          <w:highlight w:val="none"/>
        </w:rPr>
      </w:pPr>
    </w:p>
    <w:p w14:paraId="29445763">
      <w:pPr>
        <w:topLinePunct/>
        <w:autoSpaceDE w:val="0"/>
        <w:autoSpaceDN w:val="0"/>
        <w:snapToGrid w:val="0"/>
        <w:jc w:val="center"/>
        <w:rPr>
          <w:rFonts w:ascii="宋体" w:hAnsi="宋体"/>
          <w:color w:val="auto"/>
          <w:sz w:val="96"/>
          <w:szCs w:val="96"/>
          <w:highlight w:val="none"/>
        </w:rPr>
      </w:pPr>
      <w:r>
        <w:rPr>
          <w:rFonts w:hint="eastAsia" w:hAnsi="宋体"/>
          <w:b/>
          <w:color w:val="000000"/>
          <w:sz w:val="56"/>
          <w:szCs w:val="56"/>
          <w:highlight w:val="white"/>
        </w:rPr>
        <w:t>（商务部分）</w:t>
      </w:r>
    </w:p>
    <w:p w14:paraId="1E3AC6F5">
      <w:pPr>
        <w:topLinePunct/>
        <w:autoSpaceDE w:val="0"/>
        <w:autoSpaceDN w:val="0"/>
        <w:snapToGrid w:val="0"/>
        <w:rPr>
          <w:rFonts w:ascii="宋体" w:hAnsi="宋体"/>
          <w:color w:val="auto"/>
          <w:sz w:val="96"/>
          <w:szCs w:val="96"/>
          <w:highlight w:val="none"/>
        </w:rPr>
      </w:pPr>
    </w:p>
    <w:p w14:paraId="1DB6E005">
      <w:pPr>
        <w:topLinePunct/>
        <w:autoSpaceDE w:val="0"/>
        <w:autoSpaceDN w:val="0"/>
        <w:snapToGrid w:val="0"/>
        <w:spacing w:line="360" w:lineRule="auto"/>
        <w:ind w:firstLine="281" w:firstLineChars="100"/>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项目名称：国家税务总局吉林省税务局管理决策支持系统(决策一包)及市场主体准入E窗通等系统运维及升级改造项目</w:t>
      </w:r>
    </w:p>
    <w:p w14:paraId="693E9868">
      <w:pPr>
        <w:topLinePunct/>
        <w:autoSpaceDE w:val="0"/>
        <w:autoSpaceDN w:val="0"/>
        <w:snapToGrid w:val="0"/>
        <w:spacing w:line="360" w:lineRule="auto"/>
        <w:ind w:firstLine="281" w:firstLineChars="100"/>
        <w:rPr>
          <w:rFonts w:hint="eastAsia"/>
          <w:highlight w:val="none"/>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hint="eastAsia"/>
          <w:color w:val="000000"/>
          <w:highlight w:val="white"/>
        </w:rPr>
        <w:t>JL2024-ZXGK-C0104-B00</w:t>
      </w:r>
    </w:p>
    <w:p w14:paraId="2D04F4A5">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7461D471">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62920EBB">
      <w:pPr>
        <w:topLinePunct/>
        <w:autoSpaceDE w:val="0"/>
        <w:autoSpaceDN w:val="0"/>
        <w:spacing w:line="460" w:lineRule="exact"/>
        <w:rPr>
          <w:rFonts w:ascii="黑体" w:eastAsia="黑体"/>
          <w:b/>
          <w:color w:val="auto"/>
          <w:sz w:val="52"/>
          <w:highlight w:val="none"/>
        </w:rPr>
      </w:pPr>
    </w:p>
    <w:p w14:paraId="79807309">
      <w:pPr>
        <w:topLinePunct/>
        <w:autoSpaceDE w:val="0"/>
        <w:autoSpaceDN w:val="0"/>
        <w:spacing w:line="460" w:lineRule="exact"/>
        <w:rPr>
          <w:rFonts w:ascii="黑体" w:eastAsia="黑体"/>
          <w:b/>
          <w:color w:val="auto"/>
          <w:sz w:val="36"/>
          <w:szCs w:val="36"/>
          <w:highlight w:val="none"/>
        </w:rPr>
      </w:pPr>
    </w:p>
    <w:p w14:paraId="7D22E981">
      <w:pPr>
        <w:topLinePunct/>
        <w:autoSpaceDE w:val="0"/>
        <w:autoSpaceDN w:val="0"/>
        <w:spacing w:line="460" w:lineRule="exact"/>
        <w:rPr>
          <w:rFonts w:ascii="黑体" w:eastAsia="黑体"/>
          <w:b/>
          <w:color w:val="auto"/>
          <w:sz w:val="36"/>
          <w:szCs w:val="36"/>
          <w:highlight w:val="none"/>
        </w:rPr>
      </w:pPr>
    </w:p>
    <w:p w14:paraId="542FFF08">
      <w:pPr>
        <w:topLinePunct/>
        <w:autoSpaceDE w:val="0"/>
        <w:autoSpaceDN w:val="0"/>
        <w:spacing w:line="460" w:lineRule="exact"/>
        <w:jc w:val="both"/>
        <w:rPr>
          <w:rFonts w:hint="eastAsia" w:ascii="黑体" w:eastAsia="黑体"/>
          <w:color w:val="auto"/>
          <w:sz w:val="36"/>
          <w:szCs w:val="36"/>
          <w:highlight w:val="none"/>
        </w:rPr>
      </w:pPr>
    </w:p>
    <w:p w14:paraId="0DF13ABB">
      <w:pPr>
        <w:topLinePunct/>
        <w:autoSpaceDE w:val="0"/>
        <w:autoSpaceDN w:val="0"/>
        <w:spacing w:line="460" w:lineRule="exact"/>
        <w:jc w:val="center"/>
        <w:rPr>
          <w:rFonts w:ascii="黑体" w:eastAsia="黑体"/>
          <w:color w:val="auto"/>
          <w:sz w:val="36"/>
          <w:szCs w:val="36"/>
          <w:highlight w:val="none"/>
        </w:rPr>
      </w:pPr>
      <w:r>
        <w:rPr>
          <w:rFonts w:hint="eastAsia" w:ascii="黑体" w:eastAsia="黑体"/>
          <w:color w:val="000000"/>
          <w:sz w:val="36"/>
          <w:szCs w:val="36"/>
          <w:highlight w:val="white"/>
        </w:rPr>
        <w:t>国家税务总局吉林省税务局</w:t>
      </w:r>
    </w:p>
    <w:p w14:paraId="1316E467">
      <w:pPr>
        <w:topLinePunct/>
        <w:autoSpaceDE w:val="0"/>
        <w:autoSpaceDN w:val="0"/>
        <w:spacing w:line="160" w:lineRule="exact"/>
        <w:jc w:val="center"/>
        <w:rPr>
          <w:rFonts w:ascii="黑体" w:eastAsia="黑体"/>
          <w:color w:val="auto"/>
          <w:sz w:val="36"/>
          <w:szCs w:val="36"/>
          <w:highlight w:val="none"/>
        </w:rPr>
      </w:pPr>
    </w:p>
    <w:p w14:paraId="4E9534FC">
      <w:pPr>
        <w:widowControl/>
        <w:topLinePunct/>
        <w:autoSpaceDE w:val="0"/>
        <w:autoSpaceDN w:val="0"/>
        <w:jc w:val="center"/>
        <w:rPr>
          <w:rFonts w:ascii="黑体" w:hAnsi="Courier New" w:eastAsia="黑体" w:cs="Courier New"/>
          <w:color w:val="auto"/>
          <w:sz w:val="36"/>
          <w:szCs w:val="36"/>
          <w:highlight w:val="none"/>
        </w:rPr>
      </w:pPr>
      <w:r>
        <w:rPr>
          <w:rFonts w:hint="eastAsia" w:ascii="黑体" w:hAnsi="Courier New" w:eastAsia="黑体" w:cs="Courier New"/>
          <w:color w:val="000000"/>
          <w:sz w:val="36"/>
          <w:szCs w:val="36"/>
          <w:highlight w:val="white"/>
          <w:lang w:val="en-US" w:eastAsia="zh-CN"/>
        </w:rPr>
        <w:t xml:space="preserve"> </w:t>
      </w:r>
      <w:r>
        <w:rPr>
          <w:rFonts w:hint="eastAsia" w:ascii="黑体" w:hAnsi="Courier New" w:eastAsia="黑体" w:cs="Courier New"/>
          <w:color w:val="000000"/>
          <w:sz w:val="36"/>
          <w:szCs w:val="36"/>
          <w:highlight w:val="white"/>
        </w:rPr>
        <w:t>2024年11月</w:t>
      </w:r>
    </w:p>
    <w:p w14:paraId="1C37018E">
      <w:pPr>
        <w:jc w:val="center"/>
        <w:rPr>
          <w:b/>
          <w:color w:val="auto"/>
          <w:sz w:val="44"/>
          <w:szCs w:val="44"/>
          <w:highlight w:val="none"/>
        </w:rPr>
        <w:sectPr>
          <w:footerReference r:id="rId5" w:type="default"/>
          <w:pgSz w:w="11906" w:h="16838"/>
          <w:pgMar w:top="1440" w:right="1800" w:bottom="1440" w:left="1800" w:header="227" w:footer="283" w:gutter="0"/>
          <w:pgNumType w:fmt="decimal" w:start="1"/>
          <w:cols w:space="708" w:num="1"/>
          <w:docGrid w:type="lines" w:linePitch="312" w:charSpace="0"/>
        </w:sectPr>
      </w:pPr>
    </w:p>
    <w:p w14:paraId="0D26EF73">
      <w:pPr>
        <w:jc w:val="center"/>
        <w:rPr>
          <w:b/>
          <w:color w:val="auto"/>
          <w:sz w:val="44"/>
          <w:szCs w:val="44"/>
          <w:highlight w:val="none"/>
        </w:rPr>
      </w:pPr>
      <w:r>
        <w:rPr>
          <w:rFonts w:hint="eastAsia"/>
          <w:b/>
          <w:color w:val="000000"/>
          <w:sz w:val="44"/>
          <w:szCs w:val="44"/>
          <w:highlight w:val="white"/>
        </w:rPr>
        <w:t>目　　录</w:t>
      </w:r>
    </w:p>
    <w:p w14:paraId="7563594A">
      <w:pPr>
        <w:rPr>
          <w:color w:val="auto"/>
          <w:highlight w:val="none"/>
        </w:rPr>
      </w:pPr>
    </w:p>
    <w:p w14:paraId="56715F17">
      <w:pPr>
        <w:rPr>
          <w:b/>
          <w:color w:val="auto"/>
          <w:highlight w:val="none"/>
        </w:rPr>
      </w:pPr>
    </w:p>
    <w:p w14:paraId="27251081">
      <w:pPr>
        <w:pStyle w:val="24"/>
        <w:tabs>
          <w:tab w:val="right" w:leader="dot" w:pos="8800"/>
        </w:tabs>
        <w:rPr>
          <w:rFonts w:asciiTheme="minorHAnsi" w:hAnsiTheme="minorHAnsi"/>
          <w:sz w:val="22"/>
          <w:highlight w:val="none"/>
        </w:rPr>
      </w:pPr>
      <w:r>
        <w:rPr>
          <w:b/>
          <w:color w:val="auto"/>
          <w:sz w:val="30"/>
          <w:szCs w:val="30"/>
          <w:highlight w:val="none"/>
        </w:rPr>
        <w:fldChar w:fldCharType="begin"/>
      </w:r>
      <w:r>
        <w:rPr>
          <w:rFonts w:hint="eastAsia"/>
          <w:b/>
          <w:color w:val="000000"/>
          <w:sz w:val="30"/>
          <w:szCs w:val="30"/>
          <w:highlight w:val="white"/>
        </w:rPr>
        <w:instrText xml:space="preserve">TOC \o "1-1" \h \z \u</w:instrText>
      </w:r>
      <w:r>
        <w:rPr>
          <w:b/>
          <w:color w:val="auto"/>
          <w:sz w:val="30"/>
          <w:szCs w:val="30"/>
          <w:highlight w:val="none"/>
        </w:rPr>
        <w:fldChar w:fldCharType="separate"/>
      </w:r>
      <w:r>
        <w:fldChar w:fldCharType="begin"/>
      </w:r>
      <w:r>
        <w:instrText xml:space="preserve"> HYPERLINK \l "_Toc256000000" </w:instrText>
      </w:r>
      <w:r>
        <w:fldChar w:fldCharType="separate"/>
      </w:r>
      <w:r>
        <w:rPr>
          <w:rStyle w:val="37"/>
          <w:rFonts w:hint="eastAsia"/>
          <w:color w:val="000000"/>
          <w:highlight w:val="white"/>
        </w:rPr>
        <w:t>第一章  招标公告</w:t>
      </w:r>
      <w:r>
        <w:rPr>
          <w:color w:val="000000"/>
          <w:highlight w:val="white"/>
        </w:rPr>
        <w:tab/>
      </w:r>
      <w:r>
        <w:rPr>
          <w:highlight w:val="none"/>
        </w:rPr>
        <w:fldChar w:fldCharType="begin"/>
      </w:r>
      <w:r>
        <w:rPr>
          <w:color w:val="000000"/>
          <w:highlight w:val="white"/>
        </w:rPr>
        <w:instrText xml:space="preserve"> PAGEREF _Toc256000000 \h </w:instrText>
      </w:r>
      <w:r>
        <w:rPr>
          <w:highlight w:val="none"/>
        </w:rPr>
        <w:fldChar w:fldCharType="separate"/>
      </w:r>
      <w:r>
        <w:rPr>
          <w:color w:val="000000"/>
          <w:highlight w:val="white"/>
        </w:rPr>
        <w:t>3</w:t>
      </w:r>
      <w:r>
        <w:rPr>
          <w:highlight w:val="none"/>
        </w:rPr>
        <w:fldChar w:fldCharType="end"/>
      </w:r>
      <w:r>
        <w:rPr>
          <w:highlight w:val="none"/>
        </w:rPr>
        <w:fldChar w:fldCharType="end"/>
      </w:r>
    </w:p>
    <w:p w14:paraId="7BCA8DEF">
      <w:pPr>
        <w:pStyle w:val="24"/>
        <w:tabs>
          <w:tab w:val="right" w:leader="dot" w:pos="8800"/>
        </w:tabs>
        <w:rPr>
          <w:rFonts w:asciiTheme="minorHAnsi" w:hAnsiTheme="minorHAnsi"/>
          <w:sz w:val="22"/>
          <w:highlight w:val="none"/>
        </w:rPr>
      </w:pPr>
      <w:r>
        <w:fldChar w:fldCharType="begin"/>
      </w:r>
      <w:r>
        <w:instrText xml:space="preserve"> HYPERLINK \l "_Toc256000001" </w:instrText>
      </w:r>
      <w:r>
        <w:fldChar w:fldCharType="separate"/>
      </w:r>
      <w:r>
        <w:rPr>
          <w:rStyle w:val="37"/>
          <w:rFonts w:hint="eastAsia"/>
          <w:color w:val="000000"/>
          <w:highlight w:val="white"/>
        </w:rPr>
        <w:t>第二章　投标人须知</w:t>
      </w:r>
      <w:r>
        <w:rPr>
          <w:color w:val="000000"/>
          <w:highlight w:val="white"/>
        </w:rPr>
        <w:tab/>
      </w:r>
      <w:r>
        <w:rPr>
          <w:highlight w:val="none"/>
        </w:rPr>
        <w:fldChar w:fldCharType="begin"/>
      </w:r>
      <w:r>
        <w:rPr>
          <w:color w:val="000000"/>
          <w:highlight w:val="white"/>
        </w:rPr>
        <w:instrText xml:space="preserve"> PAGEREF _Toc256000001 \h </w:instrText>
      </w:r>
      <w:r>
        <w:rPr>
          <w:highlight w:val="none"/>
        </w:rPr>
        <w:fldChar w:fldCharType="separate"/>
      </w:r>
      <w:r>
        <w:rPr>
          <w:color w:val="000000"/>
          <w:highlight w:val="white"/>
        </w:rPr>
        <w:t>6</w:t>
      </w:r>
      <w:r>
        <w:rPr>
          <w:highlight w:val="none"/>
        </w:rPr>
        <w:fldChar w:fldCharType="end"/>
      </w:r>
      <w:r>
        <w:rPr>
          <w:highlight w:val="none"/>
        </w:rPr>
        <w:fldChar w:fldCharType="end"/>
      </w:r>
    </w:p>
    <w:p w14:paraId="48DA370F">
      <w:pPr>
        <w:pStyle w:val="24"/>
        <w:tabs>
          <w:tab w:val="right" w:leader="dot" w:pos="8800"/>
        </w:tabs>
        <w:rPr>
          <w:rFonts w:asciiTheme="minorHAnsi" w:hAnsiTheme="minorHAnsi"/>
          <w:sz w:val="22"/>
          <w:highlight w:val="none"/>
        </w:rPr>
      </w:pPr>
      <w:r>
        <w:fldChar w:fldCharType="begin"/>
      </w:r>
      <w:r>
        <w:instrText xml:space="preserve"> HYPERLINK \l "_Toc256000002" </w:instrText>
      </w:r>
      <w:r>
        <w:fldChar w:fldCharType="separate"/>
      </w:r>
      <w:r>
        <w:rPr>
          <w:rStyle w:val="37"/>
          <w:rFonts w:hint="eastAsia"/>
          <w:color w:val="000000"/>
          <w:highlight w:val="white"/>
        </w:rPr>
        <w:t>第三章　评标方法及标准</w:t>
      </w:r>
      <w:r>
        <w:rPr>
          <w:color w:val="000000"/>
          <w:highlight w:val="white"/>
        </w:rPr>
        <w:tab/>
      </w:r>
      <w:r>
        <w:rPr>
          <w:highlight w:val="none"/>
        </w:rPr>
        <w:fldChar w:fldCharType="begin"/>
      </w:r>
      <w:r>
        <w:rPr>
          <w:color w:val="000000"/>
          <w:highlight w:val="white"/>
        </w:rPr>
        <w:instrText xml:space="preserve"> PAGEREF _Toc256000002 \h </w:instrText>
      </w:r>
      <w:r>
        <w:rPr>
          <w:highlight w:val="none"/>
        </w:rPr>
        <w:fldChar w:fldCharType="separate"/>
      </w:r>
      <w:r>
        <w:rPr>
          <w:color w:val="000000"/>
          <w:highlight w:val="white"/>
        </w:rPr>
        <w:t>20</w:t>
      </w:r>
      <w:r>
        <w:rPr>
          <w:highlight w:val="none"/>
        </w:rPr>
        <w:fldChar w:fldCharType="end"/>
      </w:r>
      <w:r>
        <w:rPr>
          <w:highlight w:val="none"/>
        </w:rPr>
        <w:fldChar w:fldCharType="end"/>
      </w:r>
    </w:p>
    <w:p w14:paraId="039CE50F">
      <w:pPr>
        <w:pStyle w:val="24"/>
        <w:tabs>
          <w:tab w:val="right" w:leader="dot" w:pos="8800"/>
        </w:tabs>
        <w:rPr>
          <w:rFonts w:asciiTheme="minorHAnsi" w:hAnsiTheme="minorHAnsi"/>
          <w:sz w:val="22"/>
          <w:highlight w:val="none"/>
        </w:rPr>
      </w:pPr>
      <w:r>
        <w:fldChar w:fldCharType="begin"/>
      </w:r>
      <w:r>
        <w:instrText xml:space="preserve"> HYPERLINK \l "_Toc256000003" </w:instrText>
      </w:r>
      <w:r>
        <w:fldChar w:fldCharType="separate"/>
      </w:r>
      <w:r>
        <w:rPr>
          <w:rStyle w:val="37"/>
          <w:rFonts w:hint="eastAsia"/>
          <w:color w:val="000000"/>
          <w:highlight w:val="white"/>
        </w:rPr>
        <w:t>第四章  政府采购合同文本</w:t>
      </w:r>
      <w:r>
        <w:rPr>
          <w:color w:val="000000"/>
          <w:highlight w:val="white"/>
        </w:rPr>
        <w:tab/>
      </w:r>
      <w:r>
        <w:rPr>
          <w:highlight w:val="none"/>
        </w:rPr>
        <w:fldChar w:fldCharType="begin"/>
      </w:r>
      <w:r>
        <w:rPr>
          <w:color w:val="000000"/>
          <w:highlight w:val="white"/>
        </w:rPr>
        <w:instrText xml:space="preserve"> PAGEREF _Toc256000003 \h </w:instrText>
      </w:r>
      <w:r>
        <w:rPr>
          <w:highlight w:val="none"/>
        </w:rPr>
        <w:fldChar w:fldCharType="separate"/>
      </w:r>
      <w:r>
        <w:rPr>
          <w:color w:val="000000"/>
          <w:highlight w:val="white"/>
        </w:rPr>
        <w:t>22</w:t>
      </w:r>
      <w:r>
        <w:rPr>
          <w:highlight w:val="none"/>
        </w:rPr>
        <w:fldChar w:fldCharType="end"/>
      </w:r>
      <w:r>
        <w:rPr>
          <w:highlight w:val="none"/>
        </w:rPr>
        <w:fldChar w:fldCharType="end"/>
      </w:r>
    </w:p>
    <w:p w14:paraId="43846CF4">
      <w:pPr>
        <w:pStyle w:val="24"/>
        <w:tabs>
          <w:tab w:val="right" w:leader="dot" w:pos="8800"/>
        </w:tabs>
        <w:rPr>
          <w:rFonts w:asciiTheme="minorHAnsi" w:hAnsiTheme="minorHAnsi"/>
          <w:sz w:val="22"/>
          <w:highlight w:val="none"/>
        </w:rPr>
      </w:pPr>
      <w:r>
        <w:fldChar w:fldCharType="begin"/>
      </w:r>
      <w:r>
        <w:instrText xml:space="preserve"> HYPERLINK \l "_Toc256000004" </w:instrText>
      </w:r>
      <w:r>
        <w:fldChar w:fldCharType="separate"/>
      </w:r>
      <w:r>
        <w:rPr>
          <w:rStyle w:val="37"/>
          <w:rFonts w:hint="eastAsia"/>
          <w:color w:val="000000"/>
          <w:highlight w:val="white"/>
        </w:rPr>
        <w:t>第五章　投标文件格式</w:t>
      </w:r>
      <w:r>
        <w:rPr>
          <w:color w:val="000000"/>
          <w:highlight w:val="white"/>
        </w:rPr>
        <w:tab/>
      </w:r>
      <w:r>
        <w:rPr>
          <w:highlight w:val="none"/>
        </w:rPr>
        <w:fldChar w:fldCharType="begin"/>
      </w:r>
      <w:r>
        <w:rPr>
          <w:color w:val="000000"/>
          <w:highlight w:val="white"/>
        </w:rPr>
        <w:instrText xml:space="preserve"> PAGEREF _Toc256000004 \h </w:instrText>
      </w:r>
      <w:r>
        <w:rPr>
          <w:highlight w:val="none"/>
        </w:rPr>
        <w:fldChar w:fldCharType="separate"/>
      </w:r>
      <w:r>
        <w:rPr>
          <w:color w:val="000000"/>
          <w:highlight w:val="white"/>
        </w:rPr>
        <w:t>34</w:t>
      </w:r>
      <w:r>
        <w:rPr>
          <w:highlight w:val="none"/>
        </w:rPr>
        <w:fldChar w:fldCharType="end"/>
      </w:r>
      <w:r>
        <w:rPr>
          <w:highlight w:val="none"/>
        </w:rPr>
        <w:fldChar w:fldCharType="end"/>
      </w:r>
    </w:p>
    <w:p w14:paraId="66E090B2">
      <w:pPr>
        <w:jc w:val="center"/>
        <w:rPr>
          <w:rFonts w:hAnsi="宋体"/>
          <w:b/>
          <w:color w:val="auto"/>
          <w:sz w:val="32"/>
          <w:szCs w:val="32"/>
          <w:highlight w:val="none"/>
        </w:rPr>
      </w:pPr>
      <w:r>
        <w:rPr>
          <w:rFonts w:hAnsi="宋体"/>
          <w:color w:val="auto"/>
          <w:sz w:val="30"/>
          <w:szCs w:val="30"/>
          <w:highlight w:val="none"/>
        </w:rPr>
        <w:fldChar w:fldCharType="end"/>
      </w:r>
    </w:p>
    <w:p w14:paraId="3CFDB69B">
      <w:pPr>
        <w:ind w:firstLine="643" w:firstLineChars="200"/>
        <w:jc w:val="center"/>
        <w:rPr>
          <w:rFonts w:hAnsi="宋体"/>
          <w:b/>
          <w:color w:val="auto"/>
          <w:sz w:val="32"/>
          <w:szCs w:val="32"/>
          <w:highlight w:val="none"/>
        </w:rPr>
      </w:pPr>
    </w:p>
    <w:p w14:paraId="74A29853">
      <w:pPr>
        <w:ind w:firstLine="643" w:firstLineChars="200"/>
        <w:jc w:val="center"/>
        <w:rPr>
          <w:rFonts w:hAnsi="宋体"/>
          <w:b/>
          <w:color w:val="auto"/>
          <w:sz w:val="32"/>
          <w:szCs w:val="32"/>
          <w:highlight w:val="none"/>
        </w:rPr>
      </w:pPr>
    </w:p>
    <w:p w14:paraId="49D9C679">
      <w:pPr>
        <w:jc w:val="center"/>
        <w:rPr>
          <w:color w:val="auto"/>
          <w:highlight w:val="none"/>
        </w:rPr>
      </w:pPr>
    </w:p>
    <w:p w14:paraId="52EAE376">
      <w:pPr>
        <w:topLinePunct/>
        <w:autoSpaceDE w:val="0"/>
        <w:autoSpaceDN w:val="0"/>
        <w:rPr>
          <w:rFonts w:ascii="仿宋_GB2312" w:eastAsia="仿宋_GB2312"/>
          <w:b/>
          <w:color w:val="auto"/>
          <w:sz w:val="96"/>
          <w:szCs w:val="96"/>
          <w:highlight w:val="none"/>
        </w:rPr>
      </w:pPr>
    </w:p>
    <w:p w14:paraId="4F4A6F54">
      <w:pPr>
        <w:pStyle w:val="3"/>
        <w:jc w:val="center"/>
        <w:rPr>
          <w:rFonts w:hint="eastAsia"/>
          <w:color w:val="auto"/>
          <w:sz w:val="36"/>
          <w:szCs w:val="36"/>
          <w:highlight w:val="none"/>
        </w:rPr>
        <w:sectPr>
          <w:footerReference r:id="rId6"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titlePg/>
          <w:docGrid w:type="lines" w:linePitch="312" w:charSpace="0"/>
        </w:sectPr>
      </w:pPr>
    </w:p>
    <w:p w14:paraId="63140E06">
      <w:pPr>
        <w:pStyle w:val="3"/>
        <w:jc w:val="center"/>
        <w:rPr>
          <w:color w:val="auto"/>
          <w:sz w:val="36"/>
          <w:szCs w:val="36"/>
          <w:highlight w:val="none"/>
        </w:rPr>
      </w:pPr>
      <w:r>
        <w:rPr>
          <w:rFonts w:hint="eastAsia"/>
          <w:color w:val="000000"/>
          <w:sz w:val="36"/>
          <w:szCs w:val="36"/>
          <w:highlight w:val="white"/>
        </w:rPr>
        <w:t>第一章  招标公告</w:t>
      </w:r>
    </w:p>
    <w:p w14:paraId="55154EBE">
      <w:pPr>
        <w:rPr>
          <w:sz w:val="24"/>
          <w:highlight w:val="none"/>
        </w:rPr>
      </w:pPr>
    </w:p>
    <w:p w14:paraId="13C3B366">
      <w:pPr>
        <w:pBdr>
          <w:top w:val="single" w:color="auto" w:sz="4" w:space="1"/>
          <w:left w:val="single" w:color="auto" w:sz="4" w:space="4"/>
          <w:bottom w:val="single" w:color="auto" w:sz="4" w:space="1"/>
          <w:right w:val="single" w:color="auto" w:sz="4" w:space="4"/>
        </w:pBdr>
        <w:adjustRightInd w:val="0"/>
        <w:snapToGrid w:val="0"/>
        <w:spacing w:after="0" w:line="360" w:lineRule="auto"/>
        <w:rPr>
          <w:rFonts w:hint="eastAsia" w:ascii="宋体" w:hAnsi="宋体" w:cs="宋体"/>
          <w:sz w:val="24"/>
          <w:highlight w:val="none"/>
        </w:rPr>
      </w:pPr>
      <w:r>
        <w:rPr>
          <w:rFonts w:hint="eastAsia" w:ascii="宋体" w:hAnsi="宋体" w:cs="宋体"/>
          <w:color w:val="000000"/>
          <w:sz w:val="24"/>
          <w:highlight w:val="white"/>
        </w:rPr>
        <w:t>项目概况</w:t>
      </w:r>
    </w:p>
    <w:p w14:paraId="29827300">
      <w:pPr>
        <w:pBdr>
          <w:top w:val="single" w:color="auto" w:sz="4" w:space="1"/>
          <w:left w:val="single" w:color="auto" w:sz="4" w:space="4"/>
          <w:bottom w:val="single" w:color="auto" w:sz="4" w:space="1"/>
          <w:right w:val="single" w:color="auto" w:sz="4" w:space="4"/>
        </w:pBdr>
        <w:spacing w:line="360" w:lineRule="auto"/>
        <w:ind w:firstLine="480" w:firstLineChars="200"/>
        <w:rPr>
          <w:sz w:val="24"/>
          <w:highlight w:val="none"/>
        </w:rPr>
      </w:pPr>
      <w:r>
        <w:rPr>
          <w:rFonts w:hint="eastAsia" w:ascii="宋体" w:hAnsi="宋体" w:cs="宋体"/>
          <w:color w:val="000000"/>
          <w:sz w:val="24"/>
          <w:highlight w:val="white"/>
        </w:rPr>
        <w:t>国家税务总局吉林省税务局管理决策支持系统(决策一包)及市场主体准入E窗通等系统运维及升级改造项目的潜在投标人应通过</w:t>
      </w:r>
      <w:r>
        <w:rPr>
          <w:rFonts w:hint="eastAsia" w:ascii="宋体" w:hAnsi="宋体" w:cs="宋体"/>
          <w:color w:val="000000"/>
          <w:sz w:val="24"/>
          <w:highlight w:val="white"/>
          <w:u w:val="single"/>
        </w:rPr>
        <w:t>在线下载方式</w:t>
      </w:r>
      <w:r>
        <w:rPr>
          <w:rFonts w:hint="eastAsia" w:ascii="宋体" w:hAnsi="宋体" w:cs="宋体"/>
          <w:color w:val="000000"/>
          <w:sz w:val="24"/>
          <w:highlight w:val="white"/>
        </w:rPr>
        <w:t>获取招标文件，并于</w:t>
      </w:r>
      <w:r>
        <w:rPr>
          <w:rFonts w:hint="eastAsia" w:ascii="宋体" w:hAnsi="宋体" w:cs="宋体"/>
          <w:color w:val="000000"/>
          <w:sz w:val="24"/>
          <w:highlight w:val="white"/>
          <w:u w:val="single"/>
        </w:rPr>
        <w:t>2024年12月24日10点0分</w:t>
      </w:r>
      <w:r>
        <w:rPr>
          <w:rFonts w:hint="eastAsia" w:ascii="宋体" w:hAnsi="宋体" w:cs="宋体"/>
          <w:color w:val="000000"/>
          <w:sz w:val="24"/>
          <w:highlight w:val="white"/>
        </w:rPr>
        <w:t>（</w:t>
      </w:r>
      <w:r>
        <w:rPr>
          <w:rFonts w:hint="eastAsia" w:ascii="宋体" w:hAnsi="宋体" w:cs="宋体"/>
          <w:bCs/>
          <w:color w:val="000000"/>
          <w:sz w:val="24"/>
          <w:highlight w:val="white"/>
        </w:rPr>
        <w:t>北京时间）前递交投标文件</w:t>
      </w:r>
      <w:r>
        <w:rPr>
          <w:rFonts w:hint="eastAsia" w:ascii="宋体" w:hAnsi="宋体" w:cs="宋体"/>
          <w:color w:val="000000"/>
          <w:sz w:val="24"/>
          <w:highlight w:val="white"/>
        </w:rPr>
        <w:t>。</w:t>
      </w:r>
    </w:p>
    <w:p w14:paraId="1771B6B5">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p>
    <w:p w14:paraId="38A6BD00">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一、项目基本情况</w:t>
      </w:r>
    </w:p>
    <w:p w14:paraId="3DBA1715">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项目编号：</w:t>
      </w:r>
      <w:r>
        <w:rPr>
          <w:rFonts w:hint="eastAsia" w:ascii="宋体" w:hAnsi="宋体" w:cs="宋体"/>
          <w:color w:val="000000"/>
          <w:sz w:val="24"/>
          <w:highlight w:val="white"/>
        </w:rPr>
        <w:t>JL2024-ZXGK-C0104-B00</w:t>
      </w:r>
    </w:p>
    <w:p w14:paraId="48B78719">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项目名称：</w:t>
      </w:r>
      <w:r>
        <w:rPr>
          <w:rFonts w:hint="eastAsia" w:ascii="宋体" w:hAnsi="宋体" w:cs="宋体"/>
          <w:color w:val="000000"/>
          <w:sz w:val="24"/>
          <w:highlight w:val="white"/>
        </w:rPr>
        <w:t>国家税务总局吉林省税务局管理决策支持系统(决策一包)及市场主体准入E窗通等系统运维及升级改造项目</w:t>
      </w:r>
    </w:p>
    <w:p w14:paraId="2A1455F9">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预算金额：</w:t>
      </w:r>
      <w:r>
        <w:rPr>
          <w:rFonts w:hint="eastAsia" w:ascii="宋体" w:hAnsi="宋体" w:cs="宋体"/>
          <w:color w:val="000000"/>
          <w:sz w:val="24"/>
          <w:highlight w:val="white"/>
        </w:rPr>
        <w:t>291.50万元</w:t>
      </w:r>
      <w:r>
        <w:rPr>
          <w:rFonts w:hint="eastAsia" w:ascii="宋体" w:hAnsi="宋体" w:cs="宋体"/>
          <w:color w:val="000000"/>
          <w:sz w:val="24"/>
          <w:highlight w:val="white"/>
          <w:lang w:val="en-US" w:eastAsia="zh-CN"/>
        </w:rPr>
        <w:t>/年</w:t>
      </w:r>
    </w:p>
    <w:p w14:paraId="362E498A">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最高限价</w:t>
      </w:r>
      <w:r>
        <w:rPr>
          <w:rFonts w:hint="eastAsia" w:ascii="宋体" w:hAnsi="宋体" w:cs="宋体"/>
          <w:color w:val="000000"/>
          <w:sz w:val="24"/>
          <w:highlight w:val="white"/>
        </w:rPr>
        <w:t>：291.50万元</w:t>
      </w:r>
      <w:r>
        <w:rPr>
          <w:rFonts w:hint="eastAsia" w:ascii="宋体" w:hAnsi="宋体" w:cs="宋体"/>
          <w:color w:val="000000"/>
          <w:sz w:val="24"/>
          <w:highlight w:val="white"/>
          <w:lang w:val="en-US" w:eastAsia="zh-CN"/>
        </w:rPr>
        <w:t>/年</w:t>
      </w:r>
    </w:p>
    <w:p w14:paraId="5DFAC0DE">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采购需求：</w:t>
      </w:r>
      <w:r>
        <w:rPr>
          <w:rFonts w:hint="eastAsia" w:ascii="宋体" w:hAnsi="宋体" w:cs="宋体"/>
          <w:color w:val="000000"/>
          <w:sz w:val="24"/>
          <w:highlight w:val="white"/>
        </w:rPr>
        <w:t>本项目采购内容：</w:t>
      </w:r>
    </w:p>
    <w:p w14:paraId="50D5E075">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（1）管理决策支持核算与分析系统(决策一包)等延续性项目进行运维；（2）金税四期多云运维平台新增类项目进行运维；（3）市场主体准入E窗通子系统、与民政部门信息交换系统等进行升级改造。</w:t>
      </w:r>
    </w:p>
    <w:p w14:paraId="215E8281">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服务期限：本项目一定二年，合同一年一签。</w:t>
      </w:r>
    </w:p>
    <w:p w14:paraId="0822C4BE">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（1）延续运维类服务:第一年自合同签定之日起至2025年11月30日，第二年服务期自2025年12月1日至2026年7月31日；</w:t>
      </w:r>
    </w:p>
    <w:p w14:paraId="743B33DF">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（2）新增运维类服务:第一年自2025年1月1日至2025年12月31日，第二年自2026年1月1日至2026年7月31日；</w:t>
      </w:r>
    </w:p>
    <w:p w14:paraId="7DC9113B">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（3）升级改造类服务：自合同签订之日起3个月完成上线部署实施，保证系统稳定运行。升级改造部分免费运维服务期限自验收通过之日起一年。</w:t>
      </w:r>
    </w:p>
    <w:p w14:paraId="04C72CFA">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需求部门确认，本项目需求内容不包含已有合同内容；需求内容与项目立项、预算评审（如有）内容一致。</w:t>
      </w:r>
    </w:p>
    <w:p w14:paraId="746CF787">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b/>
          <w:bCs/>
          <w:sz w:val="24"/>
          <w:highlight w:val="none"/>
        </w:rPr>
      </w:pPr>
      <w:r>
        <w:rPr>
          <w:rFonts w:hint="eastAsia" w:ascii="宋体" w:hAnsi="宋体" w:cs="宋体"/>
          <w:b/>
          <w:bCs/>
          <w:color w:val="000000"/>
          <w:sz w:val="24"/>
          <w:highlight w:val="white"/>
        </w:rPr>
        <w:t>合同履行期限：</w:t>
      </w:r>
      <w:r>
        <w:rPr>
          <w:rFonts w:hint="eastAsia" w:ascii="宋体" w:hAnsi="宋体" w:cs="宋体"/>
          <w:color w:val="000000"/>
          <w:sz w:val="24"/>
          <w:highlight w:val="white"/>
        </w:rPr>
        <w:t>自合同签订之日起至合同全部权利义务履行完毕之日止。</w:t>
      </w:r>
    </w:p>
    <w:p w14:paraId="75BCED0E">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本项目（是/否）接受联合体投标：</w:t>
      </w:r>
      <w:r>
        <w:rPr>
          <w:rFonts w:hint="eastAsia" w:ascii="宋体" w:hAnsi="宋体" w:cs="宋体"/>
          <w:color w:val="000000"/>
          <w:sz w:val="24"/>
          <w:highlight w:val="white"/>
        </w:rPr>
        <w:t>否</w:t>
      </w:r>
    </w:p>
    <w:p w14:paraId="158AF8BD">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二、申请人的资格要求：</w:t>
      </w:r>
    </w:p>
    <w:p w14:paraId="300FBAA2">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1.符合国家有关法律规定，在中国境内（指关境内）注册，满足《中华人民共和国政府采购法》第二十二条规定。</w:t>
      </w:r>
    </w:p>
    <w:p w14:paraId="6F25CA8D">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2.落实政府采购政策需满足的资格要求：本项目非专门面向中小企业采购，对小型和微型企业的价格给予15%的扣除，用扣除后的价格参加评审。</w:t>
      </w:r>
    </w:p>
    <w:p w14:paraId="285E74DE">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3.本项目的特定资格要求：无</w:t>
      </w:r>
    </w:p>
    <w:p w14:paraId="6C824508">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三、获取招标文件</w:t>
      </w:r>
    </w:p>
    <w:p w14:paraId="454E9340">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highlight w:val="none"/>
        </w:rPr>
      </w:pPr>
      <w:r>
        <w:rPr>
          <w:rFonts w:hint="eastAsia" w:ascii="宋体" w:hAnsi="宋体"/>
          <w:b/>
          <w:bCs/>
          <w:color w:val="000000"/>
          <w:sz w:val="24"/>
          <w:highlight w:val="white"/>
        </w:rPr>
        <w:t>时间：</w:t>
      </w:r>
      <w:r>
        <w:rPr>
          <w:rFonts w:hint="eastAsia" w:ascii="宋体" w:hAnsi="宋体"/>
          <w:color w:val="000000"/>
          <w:sz w:val="24"/>
          <w:highlight w:val="white"/>
        </w:rPr>
        <w:t>2024年11月29日8时0分至2024年12月5日20时0分（北京时间，法定节假日除外）。</w:t>
      </w:r>
    </w:p>
    <w:p w14:paraId="612CDBCE">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highlight w:val="none"/>
        </w:rPr>
      </w:pPr>
      <w:r>
        <w:rPr>
          <w:rFonts w:hint="eastAsia" w:ascii="宋体" w:hAnsi="宋体"/>
          <w:b/>
          <w:bCs/>
          <w:color w:val="000000"/>
          <w:sz w:val="24"/>
          <w:highlight w:val="white"/>
        </w:rPr>
        <w:t>地点：</w:t>
      </w:r>
      <w:r>
        <w:rPr>
          <w:rFonts w:hint="eastAsia" w:ascii="宋体" w:hAnsi="宋体" w:cs="宋体"/>
          <w:color w:val="000000"/>
          <w:sz w:val="24"/>
          <w:highlight w:val="white"/>
        </w:rPr>
        <w:t>国家税务总局集中采购中心网站（https://swcg.chinatax.gov.cn）</w:t>
      </w:r>
    </w:p>
    <w:p w14:paraId="5E5C1BC7">
      <w:pPr>
        <w:adjustRightInd w:val="0"/>
        <w:snapToGrid w:val="0"/>
        <w:spacing w:before="62" w:beforeLines="20" w:after="62" w:afterLines="20" w:line="360" w:lineRule="auto"/>
        <w:ind w:firstLine="482" w:firstLineChars="200"/>
        <w:rPr>
          <w:rFonts w:hint="eastAsia" w:ascii="宋体" w:hAnsi="宋体"/>
          <w:bCs/>
          <w:sz w:val="24"/>
          <w:highlight w:val="none"/>
        </w:rPr>
      </w:pPr>
      <w:r>
        <w:rPr>
          <w:rFonts w:hint="eastAsia" w:ascii="宋体" w:hAnsi="宋体"/>
          <w:b/>
          <w:bCs/>
          <w:color w:val="000000"/>
          <w:sz w:val="24"/>
          <w:highlight w:val="white"/>
        </w:rPr>
        <w:t>方式：</w:t>
      </w:r>
      <w:r>
        <w:rPr>
          <w:rFonts w:hint="eastAsia" w:ascii="宋体" w:hAnsi="宋体"/>
          <w:bCs/>
          <w:color w:val="000000"/>
          <w:sz w:val="24"/>
          <w:highlight w:val="white"/>
        </w:rPr>
        <w:t>在线下载</w:t>
      </w:r>
    </w:p>
    <w:p w14:paraId="01DBD2A7">
      <w:pPr>
        <w:adjustRightInd w:val="0"/>
        <w:snapToGrid w:val="0"/>
        <w:spacing w:before="62" w:beforeLines="20" w:after="62" w:afterLines="20" w:line="360" w:lineRule="auto"/>
        <w:ind w:firstLine="482" w:firstLineChars="200"/>
        <w:rPr>
          <w:rFonts w:ascii="宋体" w:hAnsi="宋体" w:eastAsia="Times New Roman"/>
          <w:sz w:val="24"/>
          <w:highlight w:val="none"/>
        </w:rPr>
      </w:pPr>
      <w:r>
        <w:rPr>
          <w:rFonts w:hint="eastAsia" w:ascii="宋体" w:hAnsi="宋体"/>
          <w:b/>
          <w:bCs/>
          <w:color w:val="000000"/>
          <w:sz w:val="24"/>
          <w:highlight w:val="white"/>
        </w:rPr>
        <w:t>售价：</w:t>
      </w:r>
      <w:r>
        <w:rPr>
          <w:rFonts w:hint="eastAsia" w:ascii="宋体" w:hAnsi="宋体"/>
          <w:color w:val="000000"/>
          <w:sz w:val="24"/>
          <w:highlight w:val="white"/>
        </w:rPr>
        <w:t>0.00</w:t>
      </w:r>
    </w:p>
    <w:p w14:paraId="1A185692">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四、提交投标文件截止时间、开标时间和地点</w:t>
      </w:r>
    </w:p>
    <w:p w14:paraId="038DF966">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highlight w:val="none"/>
        </w:rPr>
      </w:pPr>
      <w:r>
        <w:rPr>
          <w:rFonts w:hint="eastAsia" w:ascii="宋体" w:hAnsi="宋体"/>
          <w:b/>
          <w:bCs/>
          <w:color w:val="000000"/>
          <w:sz w:val="24"/>
          <w:highlight w:val="white"/>
        </w:rPr>
        <w:t>时间：</w:t>
      </w:r>
      <w:r>
        <w:rPr>
          <w:rFonts w:hint="eastAsia" w:ascii="宋体" w:hAnsi="宋体" w:cs="宋体"/>
          <w:color w:val="000000"/>
          <w:sz w:val="24"/>
          <w:highlight w:val="white"/>
        </w:rPr>
        <w:t xml:space="preserve"> 2024年12月24日10点0分</w:t>
      </w:r>
      <w:r>
        <w:rPr>
          <w:rFonts w:hint="eastAsia" w:ascii="宋体" w:hAnsi="宋体"/>
          <w:color w:val="000000"/>
          <w:sz w:val="24"/>
          <w:highlight w:val="white"/>
        </w:rPr>
        <w:t>（北京时间）</w:t>
      </w:r>
    </w:p>
    <w:p w14:paraId="6630A2A4">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bCs/>
          <w:sz w:val="24"/>
          <w:highlight w:val="none"/>
        </w:rPr>
      </w:pPr>
      <w:r>
        <w:rPr>
          <w:rFonts w:hint="eastAsia" w:ascii="宋体" w:hAnsi="宋体"/>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14:paraId="12F979D5">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五、公告期限</w:t>
      </w:r>
    </w:p>
    <w:p w14:paraId="01490026">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自本公告发布之日起5个工作日</w:t>
      </w:r>
    </w:p>
    <w:p w14:paraId="3B9A156C">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六、其他补充事宜</w:t>
      </w:r>
    </w:p>
    <w:p w14:paraId="37C3EBD4">
      <w:pPr>
        <w:spacing w:line="360" w:lineRule="auto"/>
        <w:ind w:firstLine="480"/>
        <w:rPr>
          <w:rFonts w:ascii="宋体" w:hAnsi="宋体" w:cs="宋体"/>
          <w:highlight w:val="none"/>
        </w:rPr>
      </w:pPr>
      <w:r>
        <w:rPr>
          <w:rFonts w:ascii="宋体" w:hAnsi="宋体" w:eastAsia="宋体" w:cs="宋体"/>
          <w:color w:val="000000"/>
          <w:sz w:val="24"/>
          <w:highlight w:val="white"/>
        </w:rPr>
        <w:t>1.本项目采用国家税务总局政府采购评审管理系统进行招投标，请在投标前详细阅读国家税务总局集中采购中心网站（https://swcg.chinatax.gov.cn）《供应商操作手册》。</w:t>
      </w:r>
    </w:p>
    <w:p w14:paraId="3BEA196B">
      <w:pPr>
        <w:spacing w:line="360" w:lineRule="auto"/>
        <w:ind w:firstLine="480"/>
        <w:rPr>
          <w:rFonts w:ascii="宋体" w:hAnsi="宋体" w:cs="宋体"/>
          <w:highlight w:val="none"/>
        </w:rPr>
      </w:pPr>
      <w:r>
        <w:rPr>
          <w:rFonts w:ascii="宋体" w:hAnsi="宋体" w:eastAsia="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14:paraId="75EDDE83">
      <w:pPr>
        <w:spacing w:line="360" w:lineRule="auto"/>
        <w:ind w:firstLine="480"/>
        <w:rPr>
          <w:rFonts w:ascii="宋体" w:hAnsi="宋体" w:cs="宋体"/>
          <w:highlight w:val="none"/>
        </w:rPr>
      </w:pPr>
      <w:r>
        <w:rPr>
          <w:rFonts w:ascii="宋体" w:hAnsi="宋体" w:eastAsia="宋体" w:cs="宋体"/>
          <w:color w:val="000000"/>
          <w:sz w:val="24"/>
          <w:highlight w:val="white"/>
        </w:rPr>
        <w:t>3.供应商制作投标文件前须提前办理数字证书和电子签章，办理方式和注意事项详见网站《供应商操作手册》。</w:t>
      </w:r>
    </w:p>
    <w:p w14:paraId="61A91BD2">
      <w:pPr>
        <w:spacing w:line="360" w:lineRule="auto"/>
        <w:ind w:firstLine="480"/>
        <w:rPr>
          <w:rFonts w:ascii="宋体" w:hAnsi="宋体" w:cs="宋体"/>
          <w:highlight w:val="none"/>
        </w:rPr>
      </w:pPr>
      <w:r>
        <w:rPr>
          <w:rFonts w:ascii="宋体" w:hAnsi="宋体" w:eastAsia="宋体" w:cs="宋体"/>
          <w:color w:val="000000"/>
          <w:sz w:val="24"/>
          <w:highlight w:val="white"/>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14:paraId="02D5CB7E">
      <w:pPr>
        <w:spacing w:line="360" w:lineRule="auto"/>
        <w:ind w:firstLine="480"/>
        <w:rPr>
          <w:rFonts w:ascii="宋体" w:hAnsi="宋体" w:cs="宋体"/>
          <w:highlight w:val="none"/>
        </w:rPr>
      </w:pPr>
      <w:r>
        <w:rPr>
          <w:rFonts w:ascii="宋体" w:hAnsi="宋体" w:eastAsia="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14:paraId="560E5B03">
      <w:pPr>
        <w:spacing w:line="360" w:lineRule="auto"/>
        <w:ind w:firstLine="480"/>
        <w:rPr>
          <w:rFonts w:hint="eastAsia" w:ascii="宋体" w:hAnsi="宋体"/>
          <w:highlight w:val="none"/>
        </w:rPr>
      </w:pPr>
      <w:r>
        <w:rPr>
          <w:rFonts w:ascii="宋体" w:hAnsi="宋体" w:eastAsia="宋体" w:cs="宋体"/>
          <w:color w:val="000000"/>
          <w:sz w:val="24"/>
          <w:highlight w:val="white"/>
        </w:rPr>
        <w:t>6.供应商在投标过程中涉及系统操作的技术问题，可致电系统服务热线：15195887725。</w:t>
      </w:r>
    </w:p>
    <w:p w14:paraId="7C28817A">
      <w:pPr>
        <w:pStyle w:val="80"/>
        <w:adjustRightInd w:val="0"/>
        <w:snapToGrid w:val="0"/>
        <w:spacing w:before="62" w:beforeLines="20" w:after="62" w:afterLines="20" w:line="360" w:lineRule="auto"/>
        <w:ind w:firstLine="480" w:firstLineChars="200"/>
        <w:rPr>
          <w:rFonts w:hint="eastAsia" w:ascii="黑体" w:hAnsi="黑体" w:eastAsia="黑体" w:cs="黑体"/>
          <w:szCs w:val="24"/>
          <w:highlight w:val="none"/>
        </w:rPr>
      </w:pPr>
      <w:r>
        <w:rPr>
          <w:rFonts w:hint="eastAsia" w:ascii="黑体" w:hAnsi="黑体" w:eastAsia="黑体" w:cs="黑体"/>
          <w:color w:val="000000"/>
          <w:szCs w:val="24"/>
          <w:highlight w:val="white"/>
        </w:rPr>
        <w:t>七、对本次招标提出询问，请按以下方式联系</w:t>
      </w:r>
    </w:p>
    <w:p w14:paraId="4050FADE">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1.采购人信息</w:t>
      </w:r>
    </w:p>
    <w:p w14:paraId="359295CA">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名称：国家税务总局吉林省税务局</w:t>
      </w:r>
    </w:p>
    <w:p w14:paraId="18DFF854">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地址：吉林省长春市南关区南湖大路1518号</w:t>
      </w:r>
    </w:p>
    <w:p w14:paraId="34F73A04">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联系方式：0431-80500300</w:t>
      </w:r>
    </w:p>
    <w:p w14:paraId="61B1FE7A">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2.项目联系方式</w:t>
      </w:r>
    </w:p>
    <w:p w14:paraId="06B8E42A">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项目联系人：冯全成 罗立权</w:t>
      </w:r>
    </w:p>
    <w:p w14:paraId="7F2B3AA6">
      <w:pPr>
        <w:widowControl/>
        <w:shd w:val="clear" w:color="auto" w:fill="FFFFFF"/>
        <w:adjustRightInd w:val="0"/>
        <w:snapToGrid w:val="0"/>
        <w:spacing w:before="62" w:beforeLines="20" w:after="62" w:afterLines="20" w:line="360" w:lineRule="auto"/>
        <w:ind w:firstLine="480" w:firstLineChars="200"/>
        <w:jc w:val="left"/>
        <w:rPr>
          <w:sz w:val="24"/>
          <w:highlight w:val="none"/>
        </w:rPr>
      </w:pPr>
      <w:r>
        <w:rPr>
          <w:rFonts w:hint="eastAsia" w:ascii="宋体" w:hAnsi="宋体"/>
          <w:color w:val="000000"/>
          <w:sz w:val="24"/>
          <w:highlight w:val="white"/>
        </w:rPr>
        <w:t>电话：0431-80500300</w:t>
      </w:r>
    </w:p>
    <w:p w14:paraId="0C9C4AD3">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outlineLvl w:val="9"/>
        <w:rPr>
          <w:rFonts w:hint="eastAsia"/>
          <w:color w:val="auto"/>
          <w:sz w:val="24"/>
          <w:szCs w:val="24"/>
          <w:highlight w:val="none"/>
          <w:lang w:val="en-US" w:eastAsia="zh-CN"/>
        </w:rPr>
      </w:pPr>
    </w:p>
    <w:p w14:paraId="27ACB7BD">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hint="eastAsia" w:ascii="Times New Roman" w:hAnsi="Times New Roman" w:eastAsia="宋体" w:cs="Times New Roman"/>
          <w:b/>
          <w:bCs/>
          <w:kern w:val="44"/>
          <w:sz w:val="36"/>
          <w:szCs w:val="36"/>
          <w:highlight w:val="none"/>
          <w:lang w:val="en-US" w:eastAsia="zh-CN" w:bidi="ar-SA"/>
        </w:rPr>
      </w:pPr>
      <w:r>
        <w:rPr>
          <w:b/>
          <w:bCs/>
          <w:color w:val="000000"/>
          <w:kern w:val="44"/>
          <w:sz w:val="36"/>
          <w:szCs w:val="36"/>
          <w:highlight w:val="white"/>
        </w:rPr>
        <w:br w:type="page"/>
      </w:r>
      <w:r>
        <w:rPr>
          <w:rStyle w:val="39"/>
          <w:rFonts w:hint="eastAsia"/>
          <w:color w:val="000000"/>
          <w:highlight w:val="white"/>
          <w:lang w:val="en-US" w:eastAsia="zh-CN"/>
        </w:rPr>
        <w:t>第二章　投标人须知</w:t>
      </w:r>
    </w:p>
    <w:p w14:paraId="696897B6">
      <w:pPr>
        <w:spacing w:after="160" w:line="520" w:lineRule="exact"/>
        <w:jc w:val="center"/>
        <w:rPr>
          <w:rFonts w:ascii="黑体" w:hAnsi="黑体" w:eastAsia="黑体" w:cs="黑体"/>
          <w:sz w:val="28"/>
          <w:highlight w:val="none"/>
        </w:rPr>
      </w:pPr>
      <w:r>
        <w:rPr>
          <w:rFonts w:ascii="黑体" w:hAnsi="黑体" w:eastAsia="黑体" w:cs="黑体"/>
          <w:color w:val="000000"/>
          <w:sz w:val="28"/>
          <w:highlight w:val="white"/>
        </w:rPr>
        <w:t>投标人须知前附表</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14:paraId="4038E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2F01C6D4">
            <w:pPr>
              <w:jc w:val="center"/>
              <w:rPr>
                <w:rFonts w:ascii="宋体" w:hAnsi="宋体" w:eastAsia="宋体" w:cs="宋体"/>
                <w:b/>
                <w:sz w:val="21"/>
                <w:highlight w:val="none"/>
              </w:rPr>
            </w:pPr>
            <w:r>
              <w:rPr>
                <w:rFonts w:ascii="宋体" w:hAnsi="宋体" w:eastAsia="宋体" w:cs="宋体"/>
                <w:b/>
                <w:color w:val="000000"/>
                <w:sz w:val="21"/>
                <w:highlight w:val="white"/>
              </w:rPr>
              <w:t>序 号</w:t>
            </w:r>
          </w:p>
        </w:tc>
        <w:tc>
          <w:tcPr>
            <w:tcW w:w="1763" w:type="dxa"/>
            <w:vAlign w:val="center"/>
          </w:tcPr>
          <w:p w14:paraId="52185166">
            <w:pPr>
              <w:jc w:val="center"/>
              <w:rPr>
                <w:rFonts w:ascii="宋体" w:hAnsi="宋体" w:eastAsia="宋体" w:cs="宋体"/>
                <w:b/>
                <w:sz w:val="21"/>
                <w:highlight w:val="none"/>
              </w:rPr>
            </w:pPr>
            <w:r>
              <w:rPr>
                <w:rFonts w:ascii="宋体" w:hAnsi="宋体" w:eastAsia="宋体" w:cs="宋体"/>
                <w:b/>
                <w:color w:val="000000"/>
                <w:sz w:val="21"/>
                <w:highlight w:val="white"/>
              </w:rPr>
              <w:t>类  别</w:t>
            </w:r>
          </w:p>
        </w:tc>
        <w:tc>
          <w:tcPr>
            <w:tcW w:w="6795" w:type="dxa"/>
            <w:gridSpan w:val="2"/>
            <w:vAlign w:val="center"/>
          </w:tcPr>
          <w:p w14:paraId="2AFDA006">
            <w:pPr>
              <w:jc w:val="center"/>
              <w:rPr>
                <w:rFonts w:ascii="宋体" w:hAnsi="宋体" w:eastAsia="宋体" w:cs="宋体"/>
                <w:b/>
                <w:sz w:val="21"/>
                <w:highlight w:val="none"/>
              </w:rPr>
            </w:pPr>
            <w:r>
              <w:rPr>
                <w:rFonts w:ascii="宋体" w:hAnsi="宋体" w:eastAsia="宋体" w:cs="宋体"/>
                <w:b/>
                <w:color w:val="000000"/>
                <w:sz w:val="21"/>
                <w:highlight w:val="white"/>
              </w:rPr>
              <w:t>内     容</w:t>
            </w:r>
          </w:p>
        </w:tc>
      </w:tr>
      <w:tr w14:paraId="1CBCD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14:paraId="119A3A3E">
            <w:pPr>
              <w:jc w:val="center"/>
              <w:rPr>
                <w:rFonts w:ascii="宋体" w:hAnsi="宋体" w:eastAsia="宋体" w:cs="宋体"/>
                <w:b w:val="0"/>
                <w:sz w:val="21"/>
                <w:highlight w:val="none"/>
              </w:rPr>
            </w:pPr>
            <w:r>
              <w:rPr>
                <w:rFonts w:ascii="宋体" w:hAnsi="宋体" w:eastAsia="宋体" w:cs="宋体"/>
                <w:b w:val="0"/>
                <w:color w:val="000000"/>
                <w:sz w:val="21"/>
                <w:highlight w:val="white"/>
              </w:rPr>
              <w:t>1</w:t>
            </w:r>
          </w:p>
        </w:tc>
        <w:tc>
          <w:tcPr>
            <w:tcW w:w="1763" w:type="dxa"/>
            <w:vMerge w:val="restart"/>
            <w:vAlign w:val="center"/>
          </w:tcPr>
          <w:p w14:paraId="07510F91">
            <w:pPr>
              <w:jc w:val="center"/>
              <w:rPr>
                <w:rFonts w:ascii="宋体" w:hAnsi="宋体" w:eastAsia="宋体" w:cs="宋体"/>
                <w:b w:val="0"/>
                <w:sz w:val="21"/>
                <w:highlight w:val="none"/>
              </w:rPr>
            </w:pPr>
            <w:r>
              <w:rPr>
                <w:rFonts w:ascii="宋体" w:hAnsi="宋体" w:eastAsia="宋体" w:cs="宋体"/>
                <w:b w:val="0"/>
                <w:color w:val="000000"/>
                <w:sz w:val="21"/>
                <w:highlight w:val="white"/>
              </w:rPr>
              <w:t>项目名称、编号及预算</w:t>
            </w:r>
          </w:p>
        </w:tc>
        <w:tc>
          <w:tcPr>
            <w:tcW w:w="6435" w:type="dxa"/>
            <w:gridSpan w:val="2"/>
            <w:vAlign w:val="center"/>
          </w:tcPr>
          <w:p w14:paraId="076BBEC0">
            <w:pPr>
              <w:jc w:val="left"/>
              <w:rPr>
                <w:rFonts w:ascii="宋体" w:hAnsi="宋体" w:eastAsia="宋体" w:cs="宋体"/>
                <w:b w:val="0"/>
                <w:sz w:val="21"/>
                <w:highlight w:val="none"/>
              </w:rPr>
            </w:pPr>
            <w:r>
              <w:rPr>
                <w:rFonts w:ascii="宋体" w:hAnsi="宋体" w:eastAsia="宋体" w:cs="宋体"/>
                <w:b w:val="0"/>
                <w:color w:val="000000"/>
                <w:sz w:val="21"/>
                <w:highlight w:val="white"/>
              </w:rPr>
              <w:t>项目名称：国家税务总局吉林省税务局管理决策支持系统(决策一包)及市场主体准入E窗通等系统运维及升级改造项目</w:t>
            </w:r>
          </w:p>
        </w:tc>
      </w:tr>
      <w:tr w14:paraId="00754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15D08FD6">
            <w:pPr>
              <w:jc w:val="center"/>
              <w:rPr>
                <w:rFonts w:ascii="宋体" w:hAnsi="宋体" w:eastAsia="宋体" w:cs="宋体"/>
                <w:b w:val="0"/>
                <w:sz w:val="21"/>
                <w:highlight w:val="none"/>
              </w:rPr>
            </w:pPr>
          </w:p>
        </w:tc>
        <w:tc>
          <w:tcPr>
            <w:tcW w:w="1763" w:type="dxa"/>
            <w:vMerge w:val="continue"/>
            <w:vAlign w:val="center"/>
          </w:tcPr>
          <w:p w14:paraId="086C2E77">
            <w:pPr>
              <w:jc w:val="center"/>
              <w:rPr>
                <w:rFonts w:ascii="宋体" w:hAnsi="宋体" w:eastAsia="宋体" w:cs="宋体"/>
                <w:b w:val="0"/>
                <w:sz w:val="21"/>
                <w:highlight w:val="none"/>
              </w:rPr>
            </w:pPr>
          </w:p>
        </w:tc>
        <w:tc>
          <w:tcPr>
            <w:tcW w:w="6435" w:type="dxa"/>
            <w:gridSpan w:val="2"/>
            <w:vAlign w:val="center"/>
          </w:tcPr>
          <w:p w14:paraId="795F3A11">
            <w:pPr>
              <w:jc w:val="left"/>
              <w:rPr>
                <w:rFonts w:ascii="宋体" w:hAnsi="宋体" w:eastAsia="宋体" w:cs="宋体"/>
                <w:b w:val="0"/>
                <w:sz w:val="21"/>
                <w:highlight w:val="none"/>
              </w:rPr>
            </w:pPr>
            <w:r>
              <w:rPr>
                <w:rFonts w:ascii="宋体" w:hAnsi="宋体" w:eastAsia="宋体" w:cs="宋体"/>
                <w:b w:val="0"/>
                <w:color w:val="000000"/>
                <w:sz w:val="21"/>
                <w:highlight w:val="white"/>
              </w:rPr>
              <w:t>项目编号：JL2024-ZXGK-C0104-B00</w:t>
            </w:r>
          </w:p>
        </w:tc>
      </w:tr>
      <w:tr w14:paraId="771E6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36EA2DA2">
            <w:pPr>
              <w:jc w:val="center"/>
              <w:rPr>
                <w:rFonts w:ascii="宋体" w:hAnsi="宋体" w:eastAsia="宋体" w:cs="宋体"/>
                <w:b w:val="0"/>
                <w:sz w:val="21"/>
                <w:highlight w:val="none"/>
              </w:rPr>
            </w:pPr>
          </w:p>
        </w:tc>
        <w:tc>
          <w:tcPr>
            <w:tcW w:w="1763" w:type="dxa"/>
            <w:vMerge w:val="continue"/>
            <w:vAlign w:val="center"/>
          </w:tcPr>
          <w:p w14:paraId="37B10927">
            <w:pPr>
              <w:jc w:val="center"/>
              <w:rPr>
                <w:rFonts w:ascii="宋体" w:hAnsi="宋体" w:eastAsia="宋体" w:cs="宋体"/>
                <w:b w:val="0"/>
                <w:sz w:val="21"/>
                <w:highlight w:val="none"/>
              </w:rPr>
            </w:pPr>
          </w:p>
        </w:tc>
        <w:tc>
          <w:tcPr>
            <w:tcW w:w="6435" w:type="dxa"/>
            <w:gridSpan w:val="2"/>
            <w:vAlign w:val="center"/>
          </w:tcPr>
          <w:p w14:paraId="67022A08">
            <w:pPr>
              <w:jc w:val="left"/>
              <w:rPr>
                <w:rFonts w:hint="default" w:ascii="宋体" w:hAnsi="宋体" w:eastAsia="宋体" w:cs="宋体"/>
                <w:b w:val="0"/>
                <w:sz w:val="21"/>
                <w:highlight w:val="none"/>
                <w:lang w:val="en-US" w:eastAsia="zh-CN"/>
              </w:rPr>
            </w:pPr>
            <w:r>
              <w:rPr>
                <w:rFonts w:ascii="宋体" w:hAnsi="宋体" w:eastAsia="宋体" w:cs="宋体"/>
                <w:b w:val="0"/>
                <w:color w:val="000000"/>
                <w:sz w:val="21"/>
                <w:highlight w:val="white"/>
              </w:rPr>
              <w:t>项目预算：291.50万元</w:t>
            </w:r>
            <w:r>
              <w:rPr>
                <w:rFonts w:hint="eastAsia" w:ascii="宋体" w:hAnsi="宋体" w:eastAsia="宋体" w:cs="宋体"/>
                <w:b w:val="0"/>
                <w:color w:val="000000"/>
                <w:sz w:val="21"/>
                <w:highlight w:val="white"/>
                <w:lang w:val="en-US" w:eastAsia="zh-CN"/>
              </w:rPr>
              <w:t>/年</w:t>
            </w:r>
          </w:p>
        </w:tc>
      </w:tr>
      <w:tr w14:paraId="4E476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472E9C3">
            <w:pPr>
              <w:jc w:val="center"/>
              <w:rPr>
                <w:rFonts w:ascii="宋体" w:hAnsi="宋体" w:eastAsia="宋体" w:cs="宋体"/>
                <w:b w:val="0"/>
                <w:sz w:val="21"/>
                <w:highlight w:val="none"/>
              </w:rPr>
            </w:pPr>
            <w:r>
              <w:rPr>
                <w:rFonts w:ascii="宋体" w:hAnsi="宋体" w:eastAsia="宋体" w:cs="宋体"/>
                <w:b w:val="0"/>
                <w:color w:val="000000"/>
                <w:sz w:val="21"/>
                <w:highlight w:val="white"/>
              </w:rPr>
              <w:t>2</w:t>
            </w:r>
          </w:p>
        </w:tc>
        <w:tc>
          <w:tcPr>
            <w:tcW w:w="1763" w:type="dxa"/>
            <w:vAlign w:val="center"/>
          </w:tcPr>
          <w:p w14:paraId="69A93218">
            <w:pPr>
              <w:jc w:val="center"/>
              <w:rPr>
                <w:rFonts w:ascii="宋体" w:hAnsi="宋体" w:eastAsia="宋体" w:cs="宋体"/>
                <w:b w:val="0"/>
                <w:sz w:val="21"/>
                <w:highlight w:val="none"/>
              </w:rPr>
            </w:pPr>
            <w:r>
              <w:rPr>
                <w:rFonts w:ascii="宋体" w:hAnsi="宋体" w:eastAsia="宋体" w:cs="宋体"/>
                <w:b w:val="0"/>
                <w:color w:val="000000"/>
                <w:sz w:val="21"/>
                <w:highlight w:val="white"/>
              </w:rPr>
              <w:t>采购需求</w:t>
            </w:r>
          </w:p>
        </w:tc>
        <w:tc>
          <w:tcPr>
            <w:tcW w:w="6435" w:type="dxa"/>
            <w:gridSpan w:val="2"/>
            <w:vAlign w:val="center"/>
          </w:tcPr>
          <w:p w14:paraId="64B4DF83">
            <w:pPr>
              <w:jc w:val="left"/>
              <w:rPr>
                <w:rFonts w:ascii="宋体" w:hAnsi="宋体" w:eastAsia="宋体" w:cs="宋体"/>
                <w:b w:val="0"/>
                <w:sz w:val="21"/>
                <w:highlight w:val="none"/>
              </w:rPr>
            </w:pPr>
            <w:r>
              <w:rPr>
                <w:rFonts w:ascii="宋体" w:hAnsi="宋体" w:eastAsia="宋体" w:cs="宋体"/>
                <w:b w:val="0"/>
                <w:color w:val="000000"/>
                <w:sz w:val="21"/>
                <w:highlight w:val="white"/>
              </w:rPr>
              <w:t>本项目采购内容：</w:t>
            </w:r>
          </w:p>
          <w:p w14:paraId="7BED77BA">
            <w:pPr>
              <w:jc w:val="left"/>
              <w:rPr>
                <w:rFonts w:ascii="宋体" w:hAnsi="宋体" w:eastAsia="宋体" w:cs="宋体"/>
                <w:b w:val="0"/>
                <w:sz w:val="21"/>
                <w:highlight w:val="none"/>
              </w:rPr>
            </w:pPr>
            <w:r>
              <w:rPr>
                <w:rFonts w:ascii="宋体" w:hAnsi="宋体" w:eastAsia="宋体" w:cs="宋体"/>
                <w:b w:val="0"/>
                <w:color w:val="000000"/>
                <w:sz w:val="21"/>
                <w:highlight w:val="white"/>
              </w:rPr>
              <w:t>（1）管理决策支持核算与分析系统(决策一包)等延续性项目进行运维；（2）金税四期多云运维平台新增类项目进行运维；（3）市场主体准入E窗通子系统、与民政部门信息交换系统等进行升级改造。</w:t>
            </w:r>
          </w:p>
          <w:p w14:paraId="06C0207D">
            <w:pPr>
              <w:jc w:val="left"/>
              <w:rPr>
                <w:rFonts w:ascii="宋体" w:hAnsi="宋体" w:eastAsia="宋体" w:cs="宋体"/>
                <w:b w:val="0"/>
                <w:sz w:val="21"/>
                <w:highlight w:val="none"/>
              </w:rPr>
            </w:pPr>
            <w:r>
              <w:rPr>
                <w:rFonts w:ascii="宋体" w:hAnsi="宋体" w:eastAsia="宋体" w:cs="宋体"/>
                <w:b w:val="0"/>
                <w:color w:val="000000"/>
                <w:sz w:val="21"/>
                <w:highlight w:val="white"/>
              </w:rPr>
              <w:t>服务期限：本项目一定二年，合同一年一签。</w:t>
            </w:r>
          </w:p>
          <w:p w14:paraId="0F42CA12">
            <w:pPr>
              <w:jc w:val="left"/>
              <w:rPr>
                <w:rFonts w:ascii="宋体" w:hAnsi="宋体" w:eastAsia="宋体" w:cs="宋体"/>
                <w:b w:val="0"/>
                <w:sz w:val="21"/>
                <w:highlight w:val="none"/>
              </w:rPr>
            </w:pPr>
            <w:r>
              <w:rPr>
                <w:rFonts w:ascii="宋体" w:hAnsi="宋体" w:eastAsia="宋体" w:cs="宋体"/>
                <w:b w:val="0"/>
                <w:color w:val="000000"/>
                <w:sz w:val="21"/>
                <w:highlight w:val="white"/>
              </w:rPr>
              <w:t>（1）延续运维类服务:第一年自合同签定之日起至2025年11月30日，第二年服务期自2025年12月1日至2026年7月31日；</w:t>
            </w:r>
          </w:p>
          <w:p w14:paraId="16148549">
            <w:pPr>
              <w:jc w:val="left"/>
              <w:rPr>
                <w:rFonts w:ascii="宋体" w:hAnsi="宋体" w:eastAsia="宋体" w:cs="宋体"/>
                <w:b w:val="0"/>
                <w:sz w:val="21"/>
                <w:highlight w:val="none"/>
              </w:rPr>
            </w:pPr>
            <w:r>
              <w:rPr>
                <w:rFonts w:ascii="宋体" w:hAnsi="宋体" w:eastAsia="宋体" w:cs="宋体"/>
                <w:b w:val="0"/>
                <w:color w:val="000000"/>
                <w:sz w:val="21"/>
                <w:highlight w:val="white"/>
              </w:rPr>
              <w:t>（2）新增运维类服务:第一年自2025年1月1日至2025年12月31日，第二年自2026年1月1日至2026年7月31日；</w:t>
            </w:r>
          </w:p>
          <w:p w14:paraId="749AE3A5">
            <w:pPr>
              <w:jc w:val="left"/>
              <w:rPr>
                <w:rFonts w:ascii="宋体" w:hAnsi="宋体" w:eastAsia="宋体" w:cs="宋体"/>
                <w:b w:val="0"/>
                <w:sz w:val="21"/>
                <w:highlight w:val="none"/>
              </w:rPr>
            </w:pPr>
            <w:r>
              <w:rPr>
                <w:rFonts w:ascii="宋体" w:hAnsi="宋体" w:eastAsia="宋体" w:cs="宋体"/>
                <w:b w:val="0"/>
                <w:color w:val="000000"/>
                <w:sz w:val="21"/>
                <w:highlight w:val="white"/>
              </w:rPr>
              <w:t>（3）升级改造类服务：自合同签订之日起3个月完成上线部署实施，保证系统稳定运行。升级改造部分免费运维服务期限自验收通过之日起一年。</w:t>
            </w:r>
          </w:p>
          <w:p w14:paraId="2EDC8080">
            <w:pPr>
              <w:jc w:val="left"/>
              <w:rPr>
                <w:rFonts w:ascii="宋体" w:hAnsi="宋体" w:eastAsia="宋体" w:cs="宋体"/>
                <w:b w:val="0"/>
                <w:sz w:val="21"/>
                <w:highlight w:val="none"/>
              </w:rPr>
            </w:pPr>
            <w:r>
              <w:rPr>
                <w:rFonts w:ascii="宋体" w:hAnsi="宋体" w:eastAsia="宋体" w:cs="宋体"/>
                <w:b w:val="0"/>
                <w:color w:val="000000"/>
                <w:sz w:val="21"/>
                <w:highlight w:val="white"/>
              </w:rPr>
              <w:t>需求部门确认，本项目需求内容不包含已有合同内容；需求内容与项目立项、预算评审（如有）内容一致。</w:t>
            </w:r>
          </w:p>
        </w:tc>
      </w:tr>
      <w:tr w14:paraId="00EAC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429A1A2">
            <w:pPr>
              <w:jc w:val="center"/>
              <w:rPr>
                <w:rFonts w:ascii="宋体" w:hAnsi="宋体" w:eastAsia="宋体" w:cs="宋体"/>
                <w:b w:val="0"/>
                <w:sz w:val="21"/>
                <w:highlight w:val="none"/>
              </w:rPr>
            </w:pPr>
            <w:r>
              <w:rPr>
                <w:rFonts w:ascii="宋体" w:hAnsi="宋体" w:eastAsia="宋体" w:cs="宋体"/>
                <w:b w:val="0"/>
                <w:color w:val="000000"/>
                <w:sz w:val="21"/>
                <w:highlight w:val="white"/>
              </w:rPr>
              <w:t>3</w:t>
            </w:r>
          </w:p>
        </w:tc>
        <w:tc>
          <w:tcPr>
            <w:tcW w:w="1763" w:type="dxa"/>
            <w:vAlign w:val="center"/>
          </w:tcPr>
          <w:p w14:paraId="14E292C7">
            <w:pPr>
              <w:jc w:val="center"/>
              <w:rPr>
                <w:rFonts w:ascii="宋体" w:hAnsi="宋体" w:eastAsia="宋体" w:cs="宋体"/>
                <w:b w:val="0"/>
                <w:sz w:val="21"/>
                <w:highlight w:val="none"/>
              </w:rPr>
            </w:pPr>
            <w:r>
              <w:rPr>
                <w:rFonts w:ascii="宋体" w:hAnsi="宋体" w:eastAsia="宋体" w:cs="宋体"/>
                <w:b w:val="0"/>
                <w:color w:val="000000"/>
                <w:sz w:val="21"/>
                <w:highlight w:val="white"/>
              </w:rPr>
              <w:t>项目属性和类别</w:t>
            </w:r>
          </w:p>
        </w:tc>
        <w:tc>
          <w:tcPr>
            <w:tcW w:w="6435" w:type="dxa"/>
            <w:gridSpan w:val="2"/>
            <w:vAlign w:val="center"/>
          </w:tcPr>
          <w:p w14:paraId="0CC948EC">
            <w:pPr>
              <w:jc w:val="left"/>
              <w:rPr>
                <w:rFonts w:ascii="宋体" w:hAnsi="宋体" w:eastAsia="宋体" w:cs="宋体"/>
                <w:b w:val="0"/>
                <w:sz w:val="21"/>
                <w:highlight w:val="none"/>
              </w:rPr>
            </w:pPr>
            <w:r>
              <w:rPr>
                <w:rFonts w:ascii="宋体" w:hAnsi="宋体" w:eastAsia="宋体" w:cs="宋体"/>
                <w:b/>
                <w:color w:val="000000"/>
                <w:sz w:val="21"/>
                <w:highlight w:val="white"/>
              </w:rPr>
              <w:t>项目属性：</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货物</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服务</w:t>
            </w:r>
          </w:p>
          <w:p w14:paraId="230E79F9">
            <w:pPr>
              <w:jc w:val="left"/>
              <w:rPr>
                <w:rFonts w:ascii="宋体" w:hAnsi="宋体" w:eastAsia="宋体" w:cs="宋体"/>
                <w:b w:val="0"/>
                <w:sz w:val="21"/>
                <w:highlight w:val="none"/>
              </w:rPr>
            </w:pPr>
            <w:r>
              <w:rPr>
                <w:rFonts w:ascii="宋体" w:hAnsi="宋体" w:eastAsia="宋体" w:cs="宋体"/>
                <w:b/>
                <w:color w:val="000000"/>
                <w:sz w:val="21"/>
                <w:highlight w:val="white"/>
              </w:rPr>
              <w:t>项目类别：</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信息化项目</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非信息化项目</w:t>
            </w:r>
          </w:p>
        </w:tc>
      </w:tr>
      <w:tr w14:paraId="11241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91DE9DC">
            <w:pPr>
              <w:jc w:val="center"/>
              <w:rPr>
                <w:rFonts w:ascii="宋体" w:hAnsi="宋体" w:eastAsia="宋体" w:cs="宋体"/>
                <w:b w:val="0"/>
                <w:sz w:val="21"/>
                <w:highlight w:val="none"/>
              </w:rPr>
            </w:pPr>
            <w:r>
              <w:rPr>
                <w:rFonts w:ascii="宋体" w:hAnsi="宋体" w:eastAsia="宋体" w:cs="宋体"/>
                <w:b w:val="0"/>
                <w:color w:val="000000"/>
                <w:sz w:val="21"/>
                <w:highlight w:val="white"/>
              </w:rPr>
              <w:t>4</w:t>
            </w:r>
          </w:p>
        </w:tc>
        <w:tc>
          <w:tcPr>
            <w:tcW w:w="1763" w:type="dxa"/>
            <w:vAlign w:val="center"/>
          </w:tcPr>
          <w:p w14:paraId="526015A2">
            <w:pPr>
              <w:jc w:val="center"/>
              <w:rPr>
                <w:rFonts w:ascii="宋体" w:hAnsi="宋体" w:eastAsia="宋体" w:cs="宋体"/>
                <w:b w:val="0"/>
                <w:sz w:val="21"/>
                <w:highlight w:val="none"/>
              </w:rPr>
            </w:pPr>
            <w:r>
              <w:rPr>
                <w:rFonts w:ascii="宋体" w:hAnsi="宋体" w:eastAsia="宋体" w:cs="宋体"/>
                <w:b w:val="0"/>
                <w:color w:val="000000"/>
                <w:sz w:val="21"/>
                <w:highlight w:val="white"/>
              </w:rPr>
              <w:t>投标人资格要求</w:t>
            </w:r>
          </w:p>
        </w:tc>
        <w:tc>
          <w:tcPr>
            <w:tcW w:w="6435" w:type="dxa"/>
            <w:gridSpan w:val="2"/>
            <w:vAlign w:val="center"/>
          </w:tcPr>
          <w:p w14:paraId="0081A92F">
            <w:pPr>
              <w:jc w:val="left"/>
              <w:rPr>
                <w:rFonts w:ascii="宋体" w:hAnsi="宋体" w:eastAsia="宋体" w:cs="宋体"/>
                <w:b w:val="0"/>
                <w:sz w:val="21"/>
                <w:highlight w:val="none"/>
              </w:rPr>
            </w:pPr>
            <w:r>
              <w:rPr>
                <w:rFonts w:ascii="宋体" w:hAnsi="宋体" w:eastAsia="宋体" w:cs="宋体"/>
                <w:b w:val="0"/>
                <w:color w:val="000000"/>
                <w:sz w:val="21"/>
                <w:highlight w:val="white"/>
              </w:rPr>
              <w:t>1.符合国家有关法律规定，在中国境内（指关境内）注册，满足《中华人民共和国政府采购法》第二十二条规定。</w:t>
            </w:r>
          </w:p>
          <w:p w14:paraId="266828D6">
            <w:pPr>
              <w:jc w:val="left"/>
              <w:rPr>
                <w:rFonts w:ascii="宋体" w:hAnsi="宋体" w:eastAsia="宋体" w:cs="宋体"/>
                <w:b w:val="0"/>
                <w:sz w:val="21"/>
                <w:highlight w:val="none"/>
              </w:rPr>
            </w:pPr>
            <w:r>
              <w:rPr>
                <w:rFonts w:ascii="宋体" w:hAnsi="宋体" w:eastAsia="宋体" w:cs="宋体"/>
                <w:b w:val="0"/>
                <w:color w:val="000000"/>
                <w:sz w:val="21"/>
                <w:highlight w:val="white"/>
              </w:rPr>
              <w:t>2.落实政府采购政策需满足的资格要求：本项目非专门面向中小企业采购，对小型和微型企业的价格给予15%的扣除，用扣除后的价格参加评审。</w:t>
            </w:r>
          </w:p>
          <w:p w14:paraId="19623981">
            <w:pPr>
              <w:jc w:val="left"/>
              <w:rPr>
                <w:rFonts w:ascii="宋体" w:hAnsi="宋体" w:eastAsia="宋体" w:cs="宋体"/>
                <w:b w:val="0"/>
                <w:sz w:val="21"/>
                <w:highlight w:val="none"/>
              </w:rPr>
            </w:pPr>
            <w:r>
              <w:rPr>
                <w:rFonts w:ascii="宋体" w:hAnsi="宋体" w:eastAsia="宋体" w:cs="宋体"/>
                <w:b w:val="0"/>
                <w:color w:val="000000"/>
                <w:sz w:val="21"/>
                <w:highlight w:val="white"/>
              </w:rPr>
              <w:t>3.本项目的特定资格要求：无</w:t>
            </w:r>
          </w:p>
        </w:tc>
      </w:tr>
      <w:tr w14:paraId="2BF10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3AA5EC3">
            <w:pPr>
              <w:jc w:val="center"/>
              <w:rPr>
                <w:rFonts w:ascii="宋体" w:hAnsi="宋体" w:eastAsia="宋体" w:cs="宋体"/>
                <w:b w:val="0"/>
                <w:sz w:val="21"/>
                <w:highlight w:val="none"/>
              </w:rPr>
            </w:pPr>
            <w:r>
              <w:rPr>
                <w:rFonts w:ascii="宋体" w:hAnsi="宋体" w:eastAsia="宋体" w:cs="宋体"/>
                <w:b w:val="0"/>
                <w:color w:val="000000"/>
                <w:sz w:val="21"/>
                <w:highlight w:val="white"/>
              </w:rPr>
              <w:t>5</w:t>
            </w:r>
          </w:p>
        </w:tc>
        <w:tc>
          <w:tcPr>
            <w:tcW w:w="1763" w:type="dxa"/>
            <w:vAlign w:val="center"/>
          </w:tcPr>
          <w:p w14:paraId="149FE146">
            <w:pPr>
              <w:jc w:val="center"/>
              <w:rPr>
                <w:rFonts w:ascii="宋体" w:hAnsi="宋体" w:eastAsia="宋体" w:cs="宋体"/>
                <w:b w:val="0"/>
                <w:sz w:val="21"/>
                <w:highlight w:val="none"/>
              </w:rPr>
            </w:pPr>
            <w:r>
              <w:rPr>
                <w:rFonts w:ascii="宋体" w:hAnsi="宋体" w:eastAsia="宋体" w:cs="宋体"/>
                <w:b w:val="0"/>
                <w:color w:val="000000"/>
                <w:sz w:val="21"/>
                <w:highlight w:val="white"/>
              </w:rPr>
              <w:t>是否接受联合体投标</w:t>
            </w:r>
          </w:p>
        </w:tc>
        <w:tc>
          <w:tcPr>
            <w:tcW w:w="6435" w:type="dxa"/>
            <w:gridSpan w:val="2"/>
            <w:vAlign w:val="center"/>
          </w:tcPr>
          <w:p w14:paraId="38C0253F">
            <w:pPr>
              <w:jc w:val="left"/>
              <w:rPr>
                <w:rFonts w:ascii="宋体" w:hAnsi="宋体" w:eastAsia="宋体" w:cs="宋体"/>
                <w:b w:val="0"/>
                <w:sz w:val="21"/>
                <w:highlight w:val="none"/>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不接受</w:t>
            </w:r>
          </w:p>
          <w:p w14:paraId="63C0787A">
            <w:pPr>
              <w:jc w:val="left"/>
              <w:rPr>
                <w:rFonts w:ascii="宋体" w:hAnsi="宋体" w:eastAsia="宋体" w:cs="宋体"/>
                <w:b w:val="0"/>
                <w:sz w:val="21"/>
                <w:highlight w:val="none"/>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接受</w:t>
            </w:r>
          </w:p>
        </w:tc>
      </w:tr>
      <w:tr w14:paraId="250ED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1A318EB4">
            <w:pPr>
              <w:jc w:val="center"/>
              <w:rPr>
                <w:rFonts w:ascii="宋体" w:hAnsi="宋体" w:eastAsia="宋体" w:cs="宋体"/>
                <w:b w:val="0"/>
                <w:sz w:val="21"/>
                <w:highlight w:val="none"/>
              </w:rPr>
            </w:pPr>
            <w:r>
              <w:rPr>
                <w:rFonts w:ascii="宋体" w:hAnsi="宋体" w:eastAsia="宋体" w:cs="宋体"/>
                <w:b w:val="0"/>
                <w:color w:val="000000"/>
                <w:sz w:val="21"/>
                <w:highlight w:val="white"/>
              </w:rPr>
              <w:t>6</w:t>
            </w:r>
          </w:p>
        </w:tc>
        <w:tc>
          <w:tcPr>
            <w:tcW w:w="1763" w:type="dxa"/>
            <w:vAlign w:val="center"/>
          </w:tcPr>
          <w:p w14:paraId="3B7767D4">
            <w:pPr>
              <w:jc w:val="center"/>
              <w:rPr>
                <w:rFonts w:ascii="宋体" w:hAnsi="宋体" w:eastAsia="宋体" w:cs="宋体"/>
                <w:b w:val="0"/>
                <w:sz w:val="21"/>
                <w:highlight w:val="none"/>
              </w:rPr>
            </w:pPr>
            <w:r>
              <w:rPr>
                <w:rFonts w:ascii="宋体" w:hAnsi="宋体" w:eastAsia="宋体" w:cs="宋体"/>
                <w:b w:val="0"/>
                <w:color w:val="000000"/>
                <w:sz w:val="21"/>
                <w:highlight w:val="white"/>
              </w:rPr>
              <w:t>采购标的对应的中小企业划分标准所属行业</w:t>
            </w:r>
          </w:p>
        </w:tc>
        <w:tc>
          <w:tcPr>
            <w:tcW w:w="6435" w:type="dxa"/>
            <w:gridSpan w:val="2"/>
            <w:vAlign w:val="center"/>
          </w:tcPr>
          <w:p w14:paraId="577FA17C">
            <w:pPr>
              <w:jc w:val="left"/>
              <w:rPr>
                <w:rFonts w:ascii="宋体" w:hAnsi="宋体" w:eastAsia="宋体" w:cs="宋体"/>
                <w:b w:val="0"/>
                <w:sz w:val="21"/>
                <w:highlight w:val="none"/>
              </w:rPr>
            </w:pPr>
            <w:r>
              <w:rPr>
                <w:rFonts w:ascii="宋体" w:hAnsi="宋体" w:eastAsia="宋体" w:cs="宋体"/>
                <w:b w:val="0"/>
                <w:color w:val="000000"/>
                <w:sz w:val="21"/>
                <w:highlight w:val="white"/>
              </w:rPr>
              <w:t>软件和信息技术服务业</w:t>
            </w:r>
          </w:p>
        </w:tc>
      </w:tr>
      <w:tr w14:paraId="49D2A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1EF6CDDB">
            <w:pPr>
              <w:jc w:val="center"/>
              <w:rPr>
                <w:rFonts w:ascii="宋体" w:hAnsi="宋体" w:eastAsia="宋体" w:cs="宋体"/>
                <w:b w:val="0"/>
                <w:sz w:val="21"/>
                <w:highlight w:val="none"/>
              </w:rPr>
            </w:pPr>
            <w:r>
              <w:rPr>
                <w:rFonts w:ascii="宋体" w:hAnsi="宋体" w:eastAsia="宋体" w:cs="宋体"/>
                <w:b w:val="0"/>
                <w:color w:val="000000"/>
                <w:sz w:val="21"/>
                <w:highlight w:val="white"/>
              </w:rPr>
              <w:t>7</w:t>
            </w:r>
          </w:p>
        </w:tc>
        <w:tc>
          <w:tcPr>
            <w:tcW w:w="1763" w:type="dxa"/>
            <w:vAlign w:val="center"/>
          </w:tcPr>
          <w:p w14:paraId="70DDA2C5">
            <w:pPr>
              <w:jc w:val="center"/>
              <w:rPr>
                <w:rFonts w:ascii="宋体" w:hAnsi="宋体" w:eastAsia="宋体" w:cs="宋体"/>
                <w:b w:val="0"/>
                <w:sz w:val="21"/>
                <w:highlight w:val="none"/>
              </w:rPr>
            </w:pPr>
            <w:r>
              <w:rPr>
                <w:rFonts w:ascii="宋体" w:hAnsi="宋体" w:eastAsia="宋体" w:cs="宋体"/>
                <w:b w:val="0"/>
                <w:color w:val="000000"/>
                <w:sz w:val="21"/>
                <w:highlight w:val="white"/>
              </w:rPr>
              <w:t>核心产品</w:t>
            </w:r>
          </w:p>
        </w:tc>
        <w:tc>
          <w:tcPr>
            <w:tcW w:w="6435" w:type="dxa"/>
            <w:gridSpan w:val="2"/>
            <w:vAlign w:val="center"/>
          </w:tcPr>
          <w:p w14:paraId="26DAD96D">
            <w:pPr>
              <w:jc w:val="left"/>
              <w:rPr>
                <w:rFonts w:ascii="宋体" w:hAnsi="宋体" w:eastAsia="宋体" w:cs="宋体"/>
                <w:b w:val="0"/>
                <w:sz w:val="21"/>
                <w:highlight w:val="none"/>
              </w:rPr>
            </w:pPr>
            <w:r>
              <w:rPr>
                <w:rFonts w:ascii="Wingdings 2" w:hAnsi="Wingdings 2" w:eastAsia="Wingdings 2" w:cs="Wingdings 2"/>
                <w:b w:val="0"/>
                <w:color w:val="000000"/>
                <w:sz w:val="21"/>
                <w:highlight w:val="white"/>
              </w:rPr>
              <w:t>R</w:t>
            </w:r>
            <w:r>
              <w:rPr>
                <w:rFonts w:ascii="宋体" w:hAnsi="宋体" w:eastAsia="宋体" w:cs="宋体"/>
                <w:b w:val="0"/>
                <w:color w:val="000000"/>
                <w:sz w:val="21"/>
                <w:highlight w:val="white"/>
              </w:rPr>
              <w:t xml:space="preserve"> 无</w:t>
            </w:r>
          </w:p>
          <w:p w14:paraId="76FFB4D6">
            <w:pPr>
              <w:jc w:val="left"/>
              <w:rPr>
                <w:rFonts w:ascii="宋体" w:hAnsi="宋体" w:eastAsia="宋体" w:cs="宋体"/>
                <w:b w:val="0"/>
                <w:sz w:val="21"/>
                <w:highlight w:val="none"/>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有</w:t>
            </w:r>
          </w:p>
          <w:p w14:paraId="07E25343">
            <w:pPr>
              <w:jc w:val="left"/>
              <w:rPr>
                <w:rFonts w:ascii="宋体" w:hAnsi="宋体" w:eastAsia="宋体" w:cs="宋体"/>
                <w:b w:val="0"/>
                <w:sz w:val="21"/>
                <w:highlight w:val="none"/>
                <w:u w:val="none"/>
              </w:rPr>
            </w:pPr>
            <w:r>
              <w:rPr>
                <w:rFonts w:ascii="宋体" w:hAnsi="宋体" w:eastAsia="宋体" w:cs="宋体"/>
                <w:b w:val="0"/>
                <w:color w:val="000000"/>
                <w:sz w:val="21"/>
                <w:highlight w:val="white"/>
              </w:rPr>
              <w:t>产品名称：</w:t>
            </w:r>
          </w:p>
          <w:p w14:paraId="116869B5">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多家投标人提供的核心产品品牌相同，且通过资格审查、符合性审查的，按一家投标人计算，评审后得分最高的同品牌投标人获得中标人推荐资格，其他同品牌投标人不作为中标候选人。</w:t>
            </w:r>
          </w:p>
        </w:tc>
      </w:tr>
      <w:tr w14:paraId="5352D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FBF8DBD">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8</w:t>
            </w:r>
          </w:p>
        </w:tc>
        <w:tc>
          <w:tcPr>
            <w:tcW w:w="1763" w:type="dxa"/>
            <w:vAlign w:val="center"/>
          </w:tcPr>
          <w:p w14:paraId="1D36D162">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采购进口产品</w:t>
            </w:r>
          </w:p>
        </w:tc>
        <w:tc>
          <w:tcPr>
            <w:tcW w:w="6435" w:type="dxa"/>
            <w:gridSpan w:val="2"/>
            <w:vAlign w:val="center"/>
          </w:tcPr>
          <w:p w14:paraId="1A63375B">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本采购项目拒绝进口产品参加投标</w:t>
            </w:r>
          </w:p>
          <w:p w14:paraId="0D8C8C24">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本采购项目已经财政部审核同意购买进口产品</w:t>
            </w:r>
          </w:p>
          <w:p w14:paraId="3AB64990">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其他</w:t>
            </w:r>
          </w:p>
        </w:tc>
      </w:tr>
      <w:tr w14:paraId="728ED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F002705">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9</w:t>
            </w:r>
          </w:p>
        </w:tc>
        <w:tc>
          <w:tcPr>
            <w:tcW w:w="1763" w:type="dxa"/>
            <w:vAlign w:val="center"/>
          </w:tcPr>
          <w:p w14:paraId="4DD9111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信息发布媒体</w:t>
            </w:r>
          </w:p>
        </w:tc>
        <w:tc>
          <w:tcPr>
            <w:tcW w:w="6435" w:type="dxa"/>
            <w:gridSpan w:val="2"/>
            <w:vAlign w:val="center"/>
          </w:tcPr>
          <w:p w14:paraId="6DADC83E">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中国政府采购网（www.ccgp.gov.cn）</w:t>
            </w:r>
          </w:p>
          <w:p w14:paraId="64954F5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国家税务总局集中采购中心网站（https://swcg.chinatax.gov.cn）</w:t>
            </w:r>
          </w:p>
          <w:p w14:paraId="70BC9BA4">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国家税务总局吉林省税务局门户网站（www.jilin.chinatax.gov.cn）</w:t>
            </w:r>
          </w:p>
        </w:tc>
      </w:tr>
      <w:tr w14:paraId="18808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5DC8C027">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10</w:t>
            </w:r>
          </w:p>
        </w:tc>
        <w:tc>
          <w:tcPr>
            <w:tcW w:w="1763" w:type="dxa"/>
            <w:vAlign w:val="center"/>
          </w:tcPr>
          <w:p w14:paraId="4D407A54">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获取招标文件时间、地点和方式等</w:t>
            </w:r>
          </w:p>
        </w:tc>
        <w:tc>
          <w:tcPr>
            <w:tcW w:w="6435" w:type="dxa"/>
            <w:gridSpan w:val="2"/>
            <w:vAlign w:val="center"/>
          </w:tcPr>
          <w:p w14:paraId="64738346">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none"/>
              </w:rPr>
              <w:t>2024年11月29日至2024年12月05日每天08:00至20:00（北京时间，法定节假日除外）</w:t>
            </w:r>
          </w:p>
          <w:p w14:paraId="5C1002B1">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none"/>
              </w:rPr>
              <w:t>国家税务总局集中采购中心网站（https://swcg.chinatax.gov.cn）</w:t>
            </w:r>
          </w:p>
          <w:p w14:paraId="6C59C9CA">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方式：</w:t>
            </w:r>
            <w:r>
              <w:rPr>
                <w:rFonts w:ascii="宋体" w:hAnsi="宋体" w:eastAsia="宋体" w:cs="宋体"/>
                <w:b w:val="0"/>
                <w:color w:val="000000"/>
                <w:sz w:val="21"/>
                <w:highlight w:val="white"/>
                <w:u w:val="none"/>
              </w:rPr>
              <w:t>在线下载</w:t>
            </w:r>
          </w:p>
        </w:tc>
      </w:tr>
      <w:tr w14:paraId="7482E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26D4D2B">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11</w:t>
            </w:r>
          </w:p>
        </w:tc>
        <w:tc>
          <w:tcPr>
            <w:tcW w:w="1763" w:type="dxa"/>
            <w:vAlign w:val="center"/>
          </w:tcPr>
          <w:p w14:paraId="4986E889">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现场考察</w:t>
            </w:r>
          </w:p>
        </w:tc>
        <w:tc>
          <w:tcPr>
            <w:tcW w:w="6435" w:type="dxa"/>
            <w:gridSpan w:val="2"/>
            <w:vAlign w:val="center"/>
          </w:tcPr>
          <w:p w14:paraId="6423074D">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不组织现场考察</w:t>
            </w:r>
          </w:p>
          <w:p w14:paraId="46391EB7">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组织现场考察：</w:t>
            </w:r>
          </w:p>
          <w:p w14:paraId="45DE18FB">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日（北京时间）</w:t>
            </w:r>
          </w:p>
          <w:p w14:paraId="74EC940C">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single"/>
              </w:rPr>
              <w:t>__________</w:t>
            </w:r>
          </w:p>
          <w:p w14:paraId="2B25185B">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联系人：</w:t>
            </w:r>
            <w:r>
              <w:rPr>
                <w:rFonts w:ascii="宋体" w:hAnsi="宋体" w:eastAsia="宋体" w:cs="宋体"/>
                <w:b w:val="0"/>
                <w:color w:val="000000"/>
                <w:sz w:val="21"/>
                <w:highlight w:val="white"/>
                <w:u w:val="single"/>
              </w:rPr>
              <w:t>__________</w:t>
            </w:r>
          </w:p>
          <w:p w14:paraId="1693528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联系电话：</w:t>
            </w:r>
            <w:r>
              <w:rPr>
                <w:rFonts w:ascii="宋体" w:hAnsi="宋体" w:eastAsia="宋体" w:cs="宋体"/>
                <w:b w:val="0"/>
                <w:color w:val="000000"/>
                <w:sz w:val="21"/>
                <w:highlight w:val="white"/>
                <w:u w:val="single"/>
              </w:rPr>
              <w:t>__________</w:t>
            </w:r>
          </w:p>
          <w:p w14:paraId="4D632AB0">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要求：</w:t>
            </w:r>
          </w:p>
        </w:tc>
      </w:tr>
      <w:tr w14:paraId="20242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14:paraId="738E914F">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12</w:t>
            </w:r>
          </w:p>
        </w:tc>
        <w:tc>
          <w:tcPr>
            <w:tcW w:w="1763" w:type="dxa"/>
            <w:vMerge w:val="restart"/>
            <w:vAlign w:val="center"/>
          </w:tcPr>
          <w:p w14:paraId="1C53AE54">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投标文件组成</w:t>
            </w:r>
          </w:p>
        </w:tc>
        <w:tc>
          <w:tcPr>
            <w:tcW w:w="612" w:type="dxa"/>
            <w:vMerge w:val="restart"/>
            <w:vAlign w:val="center"/>
          </w:tcPr>
          <w:p w14:paraId="7489BB54">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商务部分</w:t>
            </w:r>
          </w:p>
        </w:tc>
        <w:tc>
          <w:tcPr>
            <w:tcW w:w="5822" w:type="dxa"/>
            <w:vAlign w:val="center"/>
          </w:tcPr>
          <w:p w14:paraId="70F5D570">
            <w:pPr>
              <w:jc w:val="left"/>
              <w:rPr>
                <w:rFonts w:ascii="宋体" w:hAnsi="宋体" w:eastAsia="宋体" w:cs="宋体"/>
                <w:b/>
                <w:sz w:val="21"/>
                <w:highlight w:val="none"/>
                <w:u w:val="none"/>
              </w:rPr>
            </w:pPr>
            <w:r>
              <w:rPr>
                <w:rFonts w:ascii="宋体" w:hAnsi="宋体" w:eastAsia="宋体" w:cs="宋体"/>
                <w:b/>
                <w:color w:val="000000"/>
                <w:sz w:val="21"/>
                <w:highlight w:val="white"/>
                <w:u w:val="none"/>
              </w:rPr>
              <w:t>一、资格证明文件：</w:t>
            </w:r>
          </w:p>
          <w:p w14:paraId="7C728781">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1.★法人或者其他组织的营业执照等证明文件（上传扫描件）；</w:t>
            </w:r>
          </w:p>
          <w:p w14:paraId="3789245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2.★2023年度经会计师事务所审计的财务报告（须上传加盖会计师事务所公章及注册会计师签章的扫描件）；没有经审计的财务报告的，可以提供基本开户银行出具的资信证明（上传扫描件）；</w:t>
            </w:r>
          </w:p>
          <w:p w14:paraId="30181C4C">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3.★近6个月以来不少于2个月依法缴纳税收（不包括个人所得税）的相关材料，如依法免税或不需要纳税的，则应提供相应证明材料（上传扫描件）；</w:t>
            </w:r>
          </w:p>
          <w:p w14:paraId="24A5D769">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4.★近6个月以来不少于2个月的依法缴纳社会保障资金的相关材料，如依法不需要缴纳社会保障资金的，则应提供相应证明材料（上传扫描件）；</w:t>
            </w:r>
          </w:p>
          <w:p w14:paraId="520960B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5.★参加本项目投标前三年内，在经营活动中没有重大违法记录（指供应商因违法经营受到刑事处罚或者责令停产停业、吊销许可证或者执照、较大数额罚款等行政处罚）的书面声明；</w:t>
            </w:r>
          </w:p>
          <w:p w14:paraId="6AE1AC19">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6.★具备履行合同所必需的设备和专业技术能力的证明材料(供应商根据项目需求提供证明材料或者承诺)。</w:t>
            </w:r>
          </w:p>
        </w:tc>
      </w:tr>
      <w:tr w14:paraId="05AF3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67205920">
            <w:pPr>
              <w:jc w:val="center"/>
              <w:rPr>
                <w:rFonts w:ascii="宋体" w:hAnsi="宋体" w:eastAsia="宋体" w:cs="宋体"/>
                <w:b w:val="0"/>
                <w:sz w:val="21"/>
                <w:highlight w:val="none"/>
                <w:u w:val="none"/>
              </w:rPr>
            </w:pPr>
          </w:p>
        </w:tc>
        <w:tc>
          <w:tcPr>
            <w:tcW w:w="1763" w:type="dxa"/>
            <w:vMerge w:val="continue"/>
            <w:vAlign w:val="center"/>
          </w:tcPr>
          <w:p w14:paraId="52B738F6">
            <w:pPr>
              <w:jc w:val="center"/>
              <w:rPr>
                <w:rFonts w:ascii="宋体" w:hAnsi="宋体" w:eastAsia="宋体" w:cs="宋体"/>
                <w:b w:val="0"/>
                <w:sz w:val="21"/>
                <w:highlight w:val="none"/>
                <w:u w:val="none"/>
              </w:rPr>
            </w:pPr>
          </w:p>
        </w:tc>
        <w:tc>
          <w:tcPr>
            <w:tcW w:w="612" w:type="dxa"/>
            <w:vMerge w:val="continue"/>
            <w:vAlign w:val="center"/>
          </w:tcPr>
          <w:p w14:paraId="7AAA3D28">
            <w:pPr>
              <w:jc w:val="center"/>
              <w:rPr>
                <w:rFonts w:ascii="宋体" w:hAnsi="宋体" w:eastAsia="宋体" w:cs="宋体"/>
                <w:b w:val="0"/>
                <w:sz w:val="21"/>
                <w:highlight w:val="none"/>
                <w:u w:val="none"/>
              </w:rPr>
            </w:pPr>
          </w:p>
        </w:tc>
        <w:tc>
          <w:tcPr>
            <w:tcW w:w="5822" w:type="dxa"/>
            <w:vAlign w:val="center"/>
          </w:tcPr>
          <w:p w14:paraId="2B27B702">
            <w:pPr>
              <w:jc w:val="left"/>
              <w:rPr>
                <w:rFonts w:ascii="宋体" w:hAnsi="宋体" w:eastAsia="宋体" w:cs="宋体"/>
                <w:b/>
                <w:sz w:val="21"/>
                <w:highlight w:val="none"/>
                <w:u w:val="none"/>
              </w:rPr>
            </w:pPr>
            <w:r>
              <w:rPr>
                <w:rFonts w:ascii="宋体" w:hAnsi="宋体" w:eastAsia="宋体" w:cs="宋体"/>
                <w:b/>
                <w:color w:val="000000"/>
                <w:sz w:val="21"/>
                <w:highlight w:val="white"/>
                <w:u w:val="none"/>
              </w:rPr>
              <w:t>二、报价一览表：</w:t>
            </w:r>
          </w:p>
          <w:p w14:paraId="38DC699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1.投标报价表（开标一览表）。</w:t>
            </w:r>
          </w:p>
        </w:tc>
      </w:tr>
      <w:tr w14:paraId="105C7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46B1B57B">
            <w:pPr>
              <w:jc w:val="center"/>
              <w:rPr>
                <w:rFonts w:ascii="宋体" w:hAnsi="宋体" w:eastAsia="宋体" w:cs="宋体"/>
                <w:b w:val="0"/>
                <w:sz w:val="21"/>
                <w:highlight w:val="none"/>
                <w:u w:val="none"/>
              </w:rPr>
            </w:pPr>
          </w:p>
        </w:tc>
        <w:tc>
          <w:tcPr>
            <w:tcW w:w="1763" w:type="dxa"/>
            <w:vMerge w:val="continue"/>
            <w:vAlign w:val="center"/>
          </w:tcPr>
          <w:p w14:paraId="07083896">
            <w:pPr>
              <w:jc w:val="center"/>
              <w:rPr>
                <w:rFonts w:ascii="宋体" w:hAnsi="宋体" w:eastAsia="宋体" w:cs="宋体"/>
                <w:b w:val="0"/>
                <w:sz w:val="21"/>
                <w:highlight w:val="none"/>
                <w:u w:val="none"/>
              </w:rPr>
            </w:pPr>
          </w:p>
        </w:tc>
        <w:tc>
          <w:tcPr>
            <w:tcW w:w="612" w:type="dxa"/>
            <w:vMerge w:val="continue"/>
            <w:vAlign w:val="center"/>
          </w:tcPr>
          <w:p w14:paraId="75C34087">
            <w:pPr>
              <w:jc w:val="center"/>
              <w:rPr>
                <w:rFonts w:ascii="宋体" w:hAnsi="宋体" w:eastAsia="宋体" w:cs="宋体"/>
                <w:b w:val="0"/>
                <w:sz w:val="21"/>
                <w:highlight w:val="none"/>
                <w:u w:val="none"/>
              </w:rPr>
            </w:pPr>
          </w:p>
        </w:tc>
        <w:tc>
          <w:tcPr>
            <w:tcW w:w="5822" w:type="dxa"/>
            <w:vAlign w:val="center"/>
          </w:tcPr>
          <w:p w14:paraId="4CB397D9">
            <w:pPr>
              <w:jc w:val="left"/>
              <w:rPr>
                <w:rFonts w:ascii="宋体" w:hAnsi="宋体" w:eastAsia="宋体" w:cs="宋体"/>
                <w:b/>
                <w:sz w:val="21"/>
                <w:highlight w:val="none"/>
                <w:u w:val="none"/>
              </w:rPr>
            </w:pPr>
            <w:r>
              <w:rPr>
                <w:rFonts w:ascii="宋体" w:hAnsi="宋体" w:eastAsia="宋体" w:cs="宋体"/>
                <w:b/>
                <w:color w:val="000000"/>
                <w:sz w:val="21"/>
                <w:highlight w:val="white"/>
                <w:u w:val="none"/>
              </w:rPr>
              <w:t>三、其他文件及资料：</w:t>
            </w:r>
          </w:p>
          <w:p w14:paraId="58AE9844">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1.★法定代表人授权委托书(适用于被授权投标代表参与投标活动的，上传加盖公章的扫描件)或法定代表人身份证明 (适用于法定代表人参加投标活动的，上传加盖公章的扫描件)；</w:t>
            </w:r>
          </w:p>
          <w:p w14:paraId="07ECE6C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2.★投标函（上传加盖公章的扫描件）；</w:t>
            </w:r>
          </w:p>
          <w:p w14:paraId="043F7AA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3.★商务条款偏离表；</w:t>
            </w:r>
          </w:p>
          <w:p w14:paraId="48898944">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4.中小企业声明函（中小企业投标的，应按照《政府采购促进中小企业发展管理办法》（财库﹝2020﹞46 号印发）《关于印发中小企业划型标准规定的通知》 （工信部联企业〔2011〕300号）如实填写并提交此函）；</w:t>
            </w:r>
          </w:p>
          <w:p w14:paraId="7B32EE0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5.监狱企业证明文件[监狱企业投标的，应提交省级以上监狱管理局、戒毒管理局（含新疆生产建设兵团）出具的证明文件，格式自拟]；</w:t>
            </w:r>
          </w:p>
          <w:p w14:paraId="74958E29">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6.残疾人福利性单位声明函（残疾人福利性单位投标的，应提交此函）；</w:t>
            </w:r>
          </w:p>
          <w:p w14:paraId="3FF7DD9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7.具有ISO9001:2015质量管理体系认证证书（上传扫描件）；</w:t>
            </w:r>
          </w:p>
          <w:p w14:paraId="0522ACD3">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8.具有ISO/IEC 27001信息安全管理体系认证证书（上传扫描件）；</w:t>
            </w:r>
          </w:p>
          <w:p w14:paraId="1E22491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9.具有ISO/IEC 20000信息技术服务管理体系认证证书（上传扫描件）；</w:t>
            </w:r>
          </w:p>
          <w:p w14:paraId="4B5716D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10.成功案例一览表：提供2021年1月1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14:paraId="3F1EF2A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11.投标人认为需要提供的其它说明和资料。</w:t>
            </w:r>
          </w:p>
        </w:tc>
      </w:tr>
      <w:tr w14:paraId="07E0F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37D92224">
            <w:pPr>
              <w:jc w:val="center"/>
              <w:rPr>
                <w:rFonts w:ascii="宋体" w:hAnsi="宋体" w:eastAsia="宋体" w:cs="宋体"/>
                <w:b w:val="0"/>
                <w:sz w:val="21"/>
                <w:highlight w:val="none"/>
                <w:u w:val="none"/>
              </w:rPr>
            </w:pPr>
          </w:p>
        </w:tc>
        <w:tc>
          <w:tcPr>
            <w:tcW w:w="1763" w:type="dxa"/>
            <w:vMerge w:val="continue"/>
            <w:vAlign w:val="center"/>
          </w:tcPr>
          <w:p w14:paraId="1FB912E5">
            <w:pPr>
              <w:jc w:val="center"/>
              <w:rPr>
                <w:rFonts w:ascii="宋体" w:hAnsi="宋体" w:eastAsia="宋体" w:cs="宋体"/>
                <w:b w:val="0"/>
                <w:sz w:val="21"/>
                <w:highlight w:val="none"/>
                <w:u w:val="none"/>
              </w:rPr>
            </w:pPr>
          </w:p>
        </w:tc>
        <w:tc>
          <w:tcPr>
            <w:tcW w:w="612" w:type="dxa"/>
            <w:vAlign w:val="center"/>
          </w:tcPr>
          <w:p w14:paraId="3416788B">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技术部分</w:t>
            </w:r>
          </w:p>
        </w:tc>
        <w:tc>
          <w:tcPr>
            <w:tcW w:w="5822" w:type="dxa"/>
            <w:vAlign w:val="center"/>
          </w:tcPr>
          <w:p w14:paraId="5DB0503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1.★技术条款偏离表；</w:t>
            </w:r>
          </w:p>
          <w:p w14:paraId="0E0BAE1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2.★技术力量一览表；</w:t>
            </w:r>
          </w:p>
          <w:p w14:paraId="25BE1B9A">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3.技术人员简历表；</w:t>
            </w:r>
          </w:p>
          <w:p w14:paraId="1AABADA1">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4.技术人员缴纳社保的证明材料：提供投标人为投入本项目的项目经理、技术主管人员及技术主要人员缴纳社保的证明材料；</w:t>
            </w:r>
          </w:p>
          <w:p w14:paraId="234AC17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5.满足指标要求情况（相关内容在《技术条款偏离表》中予以响应）；</w:t>
            </w:r>
          </w:p>
          <w:p w14:paraId="1754E64B">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6.管理实施方案；</w:t>
            </w:r>
          </w:p>
          <w:p w14:paraId="28C141D9">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7.运维服务方案；</w:t>
            </w:r>
          </w:p>
          <w:p w14:paraId="157AEA3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8.应急及安全保障方案；</w:t>
            </w:r>
          </w:p>
          <w:p w14:paraId="51BEB9A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9.升级改造方案；</w:t>
            </w:r>
          </w:p>
          <w:p w14:paraId="2998EEBC">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10.验收方案；</w:t>
            </w:r>
          </w:p>
          <w:p w14:paraId="27259784">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11.投标人认为需要提供的其它方案、说明和资料。</w:t>
            </w:r>
          </w:p>
        </w:tc>
      </w:tr>
      <w:tr w14:paraId="28CEC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2399872E">
            <w:pPr>
              <w:jc w:val="center"/>
              <w:rPr>
                <w:rFonts w:ascii="宋体" w:hAnsi="宋体" w:eastAsia="宋体" w:cs="宋体"/>
                <w:b w:val="0"/>
                <w:sz w:val="21"/>
                <w:highlight w:val="none"/>
                <w:u w:val="none"/>
              </w:rPr>
            </w:pPr>
          </w:p>
        </w:tc>
        <w:tc>
          <w:tcPr>
            <w:tcW w:w="1763" w:type="dxa"/>
            <w:vMerge w:val="continue"/>
            <w:vAlign w:val="center"/>
          </w:tcPr>
          <w:p w14:paraId="4519F76A">
            <w:pPr>
              <w:jc w:val="center"/>
              <w:rPr>
                <w:rFonts w:ascii="宋体" w:hAnsi="宋体" w:eastAsia="宋体" w:cs="宋体"/>
                <w:b w:val="0"/>
                <w:sz w:val="21"/>
                <w:highlight w:val="none"/>
                <w:u w:val="none"/>
              </w:rPr>
            </w:pPr>
          </w:p>
        </w:tc>
        <w:tc>
          <w:tcPr>
            <w:tcW w:w="6435" w:type="dxa"/>
            <w:gridSpan w:val="2"/>
            <w:vAlign w:val="center"/>
          </w:tcPr>
          <w:p w14:paraId="4FD25AA1">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1.以上带★的文件及资料未提供或提供的无效，则投标无效。</w:t>
            </w:r>
          </w:p>
          <w:p w14:paraId="21A5844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2.要求提供扫描件的，照片、图片等电子文件与扫描件效力相等。</w:t>
            </w:r>
          </w:p>
        </w:tc>
      </w:tr>
      <w:tr w14:paraId="42626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53BC87DC">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13</w:t>
            </w:r>
          </w:p>
        </w:tc>
        <w:tc>
          <w:tcPr>
            <w:tcW w:w="1763" w:type="dxa"/>
            <w:vAlign w:val="center"/>
          </w:tcPr>
          <w:p w14:paraId="3BEC4B3C">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投标有效期</w:t>
            </w:r>
          </w:p>
        </w:tc>
        <w:tc>
          <w:tcPr>
            <w:tcW w:w="6435" w:type="dxa"/>
            <w:gridSpan w:val="2"/>
            <w:vAlign w:val="center"/>
          </w:tcPr>
          <w:p w14:paraId="7C2DD4BF">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120天（从提交投标文件的截止之日起计算）</w:t>
            </w:r>
          </w:p>
        </w:tc>
      </w:tr>
      <w:tr w14:paraId="24AF3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EA8A3C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14</w:t>
            </w:r>
          </w:p>
        </w:tc>
        <w:tc>
          <w:tcPr>
            <w:tcW w:w="1763" w:type="dxa"/>
            <w:vAlign w:val="center"/>
          </w:tcPr>
          <w:p w14:paraId="5D726D6B">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提交投标文件方式、截止时间、开标时间</w:t>
            </w:r>
          </w:p>
        </w:tc>
        <w:tc>
          <w:tcPr>
            <w:tcW w:w="6435" w:type="dxa"/>
            <w:gridSpan w:val="2"/>
            <w:vAlign w:val="center"/>
          </w:tcPr>
          <w:p w14:paraId="1DBB9469">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提交方式：</w:t>
            </w:r>
            <w:r>
              <w:rPr>
                <w:rFonts w:ascii="宋体" w:hAnsi="宋体" w:eastAsia="宋体" w:cs="宋体"/>
                <w:b w:val="0"/>
                <w:color w:val="000000"/>
                <w:sz w:val="21"/>
                <w:highlight w:val="white"/>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14:paraId="527806CA">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投标截止时间和开标时间：</w:t>
            </w:r>
            <w:r>
              <w:rPr>
                <w:rFonts w:ascii="宋体" w:hAnsi="宋体" w:eastAsia="宋体" w:cs="宋体"/>
                <w:b w:val="0"/>
                <w:color w:val="000000"/>
                <w:sz w:val="21"/>
                <w:highlight w:val="white"/>
                <w:u w:val="none"/>
              </w:rPr>
              <w:t>2024年12月24日10:00（北京时间）</w:t>
            </w:r>
          </w:p>
          <w:p w14:paraId="4B87D468">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开标方式：</w:t>
            </w:r>
            <w:r>
              <w:rPr>
                <w:rFonts w:ascii="宋体" w:hAnsi="宋体" w:eastAsia="宋体" w:cs="宋体"/>
                <w:b w:val="0"/>
                <w:color w:val="000000"/>
                <w:sz w:val="21"/>
                <w:highlight w:val="white"/>
                <w:u w:val="none"/>
              </w:rPr>
              <w:t>本项目通过国家税务总局政府采购评审管理系统进行开标，投标人应在开标前登录系统点击“开标大厅”，参加开标过程并确认开标结果，投标人未参加开标的视同认同开标结果。</w:t>
            </w:r>
          </w:p>
          <w:p w14:paraId="6963298C">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联系电话：</w:t>
            </w:r>
            <w:r>
              <w:rPr>
                <w:rFonts w:ascii="宋体" w:hAnsi="宋体" w:eastAsia="宋体" w:cs="宋体"/>
                <w:b w:val="0"/>
                <w:color w:val="000000"/>
                <w:sz w:val="21"/>
                <w:highlight w:val="white"/>
                <w:u w:val="none"/>
              </w:rPr>
              <w:t>0431-80500300</w:t>
            </w:r>
          </w:p>
        </w:tc>
      </w:tr>
      <w:tr w14:paraId="3DA65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138B3383">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15</w:t>
            </w:r>
          </w:p>
        </w:tc>
        <w:tc>
          <w:tcPr>
            <w:tcW w:w="1763" w:type="dxa"/>
            <w:vAlign w:val="center"/>
          </w:tcPr>
          <w:p w14:paraId="74D8191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投标保证金</w:t>
            </w:r>
          </w:p>
        </w:tc>
        <w:tc>
          <w:tcPr>
            <w:tcW w:w="6435" w:type="dxa"/>
            <w:gridSpan w:val="2"/>
            <w:vAlign w:val="center"/>
          </w:tcPr>
          <w:p w14:paraId="54B42CDE">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14:paraId="67A5E739">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要求提供，数额不得超过采购项目预算金额的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本项目的投标保证金为人民币</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元， 提交方式为银行电汇、金融机构或担保机构出具的保函。</w:t>
            </w:r>
          </w:p>
        </w:tc>
      </w:tr>
      <w:tr w14:paraId="72D26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0FFC9C6">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16</w:t>
            </w:r>
          </w:p>
        </w:tc>
        <w:tc>
          <w:tcPr>
            <w:tcW w:w="1763" w:type="dxa"/>
            <w:vAlign w:val="center"/>
          </w:tcPr>
          <w:p w14:paraId="1A0FCA6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信用记录审查</w:t>
            </w:r>
          </w:p>
        </w:tc>
        <w:tc>
          <w:tcPr>
            <w:tcW w:w="6435" w:type="dxa"/>
            <w:gridSpan w:val="2"/>
            <w:vAlign w:val="center"/>
          </w:tcPr>
          <w:p w14:paraId="345FDF2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14:paraId="6A964E4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本次查询的信用记录仅限于本项目使用，查询结果将留存在采购档案中。</w:t>
            </w:r>
          </w:p>
          <w:p w14:paraId="0AD7AEC1">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在上述指定网站不能查询信用信息的投标人，应提供相关证明材料（原件加盖公章）。</w:t>
            </w:r>
          </w:p>
        </w:tc>
      </w:tr>
      <w:tr w14:paraId="1DA68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D1D4AAD">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17</w:t>
            </w:r>
          </w:p>
        </w:tc>
        <w:tc>
          <w:tcPr>
            <w:tcW w:w="1763" w:type="dxa"/>
            <w:vAlign w:val="center"/>
          </w:tcPr>
          <w:p w14:paraId="315D9A89">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促进中小企业发展</w:t>
            </w:r>
          </w:p>
        </w:tc>
        <w:tc>
          <w:tcPr>
            <w:tcW w:w="6435" w:type="dxa"/>
            <w:gridSpan w:val="2"/>
            <w:vAlign w:val="center"/>
          </w:tcPr>
          <w:p w14:paraId="0818189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根据《政府采购促进中小企业发展管理办法》（财库〔2020〕46号），鼓励中小企业参加本项目采购活动。</w:t>
            </w:r>
          </w:p>
          <w:p w14:paraId="60EE632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在货物采购项目中，满足所有标的均由中小企业制造，即所有标的均由中小企业生产且使用该中小企业商号或者注册商标的，可享受中小企业扶持政策。</w:t>
            </w:r>
          </w:p>
          <w:p w14:paraId="4B8A72B3">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在服务采购项目中，满足服务由中小企业承接，即提供服务的人员为中小企业依照《中华人民共和国劳动合同法》订立劳动合同的从业人员的，可享受中小企业扶持政策。</w:t>
            </w:r>
          </w:p>
          <w:p w14:paraId="50D2A50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本项目:</w:t>
            </w:r>
          </w:p>
          <w:p w14:paraId="4B58C421">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专门面向中小企业采购项目。</w:t>
            </w:r>
          </w:p>
          <w:p w14:paraId="482B5177">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预留份额面向中小企业采购项目。</w:t>
            </w:r>
          </w:p>
          <w:p w14:paraId="47E48DE6">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非专门面向中小企业采购项目。对小型和微型企业的投标价格给予</w:t>
            </w:r>
            <w:r>
              <w:rPr>
                <w:rFonts w:ascii="宋体" w:hAnsi="宋体" w:eastAsia="宋体" w:cs="宋体"/>
                <w:b w:val="0"/>
                <w:color w:val="000000"/>
                <w:sz w:val="21"/>
                <w:highlight w:val="white"/>
                <w:u w:val="single"/>
              </w:rPr>
              <w:t>15</w:t>
            </w:r>
            <w:r>
              <w:rPr>
                <w:rFonts w:ascii="宋体" w:hAnsi="宋体" w:eastAsia="宋体" w:cs="宋体"/>
                <w:b w:val="0"/>
                <w:color w:val="000000"/>
                <w:sz w:val="21"/>
                <w:highlight w:val="white"/>
                <w:u w:val="none"/>
              </w:rPr>
              <w:t xml:space="preserve"> %的扣除，用扣除后的价格参与评审。</w:t>
            </w:r>
          </w:p>
        </w:tc>
      </w:tr>
      <w:tr w14:paraId="53DBA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041747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18</w:t>
            </w:r>
          </w:p>
        </w:tc>
        <w:tc>
          <w:tcPr>
            <w:tcW w:w="1763" w:type="dxa"/>
            <w:vAlign w:val="center"/>
          </w:tcPr>
          <w:p w14:paraId="394AD5D5">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支持监狱企业发展</w:t>
            </w:r>
          </w:p>
        </w:tc>
        <w:tc>
          <w:tcPr>
            <w:tcW w:w="6435" w:type="dxa"/>
            <w:gridSpan w:val="2"/>
            <w:vAlign w:val="center"/>
          </w:tcPr>
          <w:p w14:paraId="673D7B3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根据《关于政府采购支持监狱企业发展有关问题的通知》（财库〔2014〕68号），监狱企业视同小型、微型企业，按照投标人须知前附表第17项享受政府采购促进中小企业发展的政府采购政策。</w:t>
            </w:r>
          </w:p>
        </w:tc>
      </w:tr>
      <w:tr w14:paraId="4229F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2BA28757">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19</w:t>
            </w:r>
          </w:p>
        </w:tc>
        <w:tc>
          <w:tcPr>
            <w:tcW w:w="1763" w:type="dxa"/>
            <w:vAlign w:val="center"/>
          </w:tcPr>
          <w:p w14:paraId="53474BA7">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促进残疾人就业</w:t>
            </w:r>
          </w:p>
        </w:tc>
        <w:tc>
          <w:tcPr>
            <w:tcW w:w="6435" w:type="dxa"/>
            <w:gridSpan w:val="2"/>
            <w:vAlign w:val="center"/>
          </w:tcPr>
          <w:p w14:paraId="3C2F1A5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根据《关于促进残疾人就业政府采购政策的通知》（财库〔2017〕141号），残疾人福利性单位视同小型、微型企业，按照投标人须知前附表第17项享受政府采购促进中小企业发展的政府采购政策。</w:t>
            </w:r>
          </w:p>
        </w:tc>
      </w:tr>
      <w:tr w14:paraId="30928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841DDAE">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20</w:t>
            </w:r>
          </w:p>
        </w:tc>
        <w:tc>
          <w:tcPr>
            <w:tcW w:w="1763" w:type="dxa"/>
            <w:vAlign w:val="center"/>
          </w:tcPr>
          <w:p w14:paraId="478068C8">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其他法律法规强制性规定或扶持政策</w:t>
            </w:r>
          </w:p>
        </w:tc>
        <w:tc>
          <w:tcPr>
            <w:tcW w:w="6435" w:type="dxa"/>
            <w:gridSpan w:val="2"/>
            <w:vAlign w:val="center"/>
          </w:tcPr>
          <w:p w14:paraId="0E29A26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14:paraId="73D28CD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14:paraId="619EBD8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3.本项目中如涉及国家强制性产品认证证书（CCC 认证证书）、电信设备进网许可证、无线电发射设备核准证等市场准入类资质的，应严格执行国家相关法律法规的要求。</w:t>
            </w:r>
          </w:p>
          <w:p w14:paraId="4EA4511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在履约验收中，采购人将按照采购文件、中标/成交供应商响应文件、采购合同等对中标/成交供应商提供的货物和服务进行验收，必要时依法依规开展相应检测、认证。</w:t>
            </w:r>
          </w:p>
        </w:tc>
      </w:tr>
      <w:tr w14:paraId="1A066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7BC0448E">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21</w:t>
            </w:r>
          </w:p>
        </w:tc>
        <w:tc>
          <w:tcPr>
            <w:tcW w:w="1763" w:type="dxa"/>
            <w:vAlign w:val="center"/>
          </w:tcPr>
          <w:p w14:paraId="6E4B57E3">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评标方法及分值</w:t>
            </w:r>
          </w:p>
        </w:tc>
        <w:tc>
          <w:tcPr>
            <w:tcW w:w="6435" w:type="dxa"/>
            <w:gridSpan w:val="2"/>
            <w:vAlign w:val="center"/>
          </w:tcPr>
          <w:p w14:paraId="3205BB6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本项目采用综合评分法，其中价格分值为10分，其他因素分值为90分，详见招标文件商务部分第三章。</w:t>
            </w:r>
          </w:p>
        </w:tc>
      </w:tr>
      <w:tr w14:paraId="4F87C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B14DADE">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22</w:t>
            </w:r>
          </w:p>
        </w:tc>
        <w:tc>
          <w:tcPr>
            <w:tcW w:w="1763" w:type="dxa"/>
            <w:vAlign w:val="center"/>
          </w:tcPr>
          <w:p w14:paraId="00B85203">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合同类型和定价方式</w:t>
            </w:r>
          </w:p>
        </w:tc>
        <w:tc>
          <w:tcPr>
            <w:tcW w:w="6435" w:type="dxa"/>
            <w:gridSpan w:val="2"/>
            <w:vAlign w:val="center"/>
          </w:tcPr>
          <w:p w14:paraId="27DBA5C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本项目拟签订固定总价的服务类合同。</w:t>
            </w:r>
          </w:p>
          <w:p w14:paraId="47AB2DB7">
            <w:pPr>
              <w:jc w:val="left"/>
              <w:rPr>
                <w:rFonts w:ascii="宋体" w:hAnsi="宋体" w:eastAsia="宋体" w:cs="宋体"/>
                <w:b w:val="0"/>
                <w:sz w:val="21"/>
                <w:highlight w:val="none"/>
                <w:u w:val="none"/>
              </w:rPr>
            </w:pPr>
          </w:p>
        </w:tc>
      </w:tr>
      <w:tr w14:paraId="1A97A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4D929E9">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23</w:t>
            </w:r>
          </w:p>
        </w:tc>
        <w:tc>
          <w:tcPr>
            <w:tcW w:w="1763" w:type="dxa"/>
            <w:vAlign w:val="center"/>
          </w:tcPr>
          <w:p w14:paraId="09B7FDC0">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履约保证金</w:t>
            </w:r>
          </w:p>
        </w:tc>
        <w:tc>
          <w:tcPr>
            <w:tcW w:w="6435" w:type="dxa"/>
            <w:gridSpan w:val="2"/>
            <w:vAlign w:val="center"/>
          </w:tcPr>
          <w:p w14:paraId="362B50CC">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14:paraId="5CDB634B">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本采购项目履约保证金为合同金额的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提交方式为银行电汇、金融机构或担保机构出具的保函。</w:t>
            </w:r>
          </w:p>
          <w:p w14:paraId="72BB07DE">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账户信息：</w:t>
            </w:r>
          </w:p>
          <w:p w14:paraId="56E16D83">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收款单位：</w:t>
            </w:r>
          </w:p>
          <w:p w14:paraId="427830BA">
            <w:pPr>
              <w:jc w:val="left"/>
              <w:rPr>
                <w:rFonts w:ascii="宋体" w:hAnsi="宋体" w:eastAsia="宋体" w:cs="宋体"/>
                <w:b w:val="0"/>
                <w:sz w:val="21"/>
                <w:highlight w:val="none"/>
                <w:u w:val="none"/>
              </w:rPr>
            </w:pPr>
            <w:r>
              <w:rPr>
                <w:rFonts w:hint="eastAsia" w:ascii="宋体" w:hAnsi="宋体" w:eastAsia="宋体" w:cs="宋体"/>
                <w:b w:val="0"/>
                <w:color w:val="000000"/>
                <w:sz w:val="21"/>
                <w:highlight w:val="white"/>
                <w:u w:val="none"/>
                <w:lang w:eastAsia="zh-CN"/>
              </w:rPr>
              <w:t>银行账号</w:t>
            </w:r>
            <w:r>
              <w:rPr>
                <w:rFonts w:ascii="宋体" w:hAnsi="宋体" w:eastAsia="宋体" w:cs="宋体"/>
                <w:b w:val="0"/>
                <w:color w:val="000000"/>
                <w:sz w:val="21"/>
                <w:highlight w:val="white"/>
                <w:u w:val="none"/>
              </w:rPr>
              <w:t>：</w:t>
            </w:r>
          </w:p>
          <w:p w14:paraId="7D3A04D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开户银行：</w:t>
            </w:r>
          </w:p>
        </w:tc>
      </w:tr>
      <w:tr w14:paraId="1B20D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7FABAB1">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24</w:t>
            </w:r>
          </w:p>
        </w:tc>
        <w:tc>
          <w:tcPr>
            <w:tcW w:w="1763" w:type="dxa"/>
            <w:vAlign w:val="center"/>
          </w:tcPr>
          <w:p w14:paraId="7F080C1F">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付款安排</w:t>
            </w:r>
          </w:p>
        </w:tc>
        <w:tc>
          <w:tcPr>
            <w:tcW w:w="6435" w:type="dxa"/>
            <w:gridSpan w:val="2"/>
            <w:vAlign w:val="center"/>
          </w:tcPr>
          <w:p w14:paraId="1C3B4E1C">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①　延续运维类服务</w:t>
            </w:r>
          </w:p>
          <w:p w14:paraId="11F0C3B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第一次付款：2025年3月底前，中标供应商提出付款申请并出具合法等额发票后10日内支付合同金额中延续运维类服务部分的30%；</w:t>
            </w:r>
          </w:p>
          <w:p w14:paraId="11B5905C">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第二次付款：2025年9月底前，项目验收合格后，中标供应商提出付款申请并出具合法等额发票后10日内支付合同金额中延续运维类服务部分的70%；</w:t>
            </w:r>
          </w:p>
          <w:p w14:paraId="522BE52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三次付款：按照第一年服务期合同金额中延续运维类服务部分的月金额*8个月计算第二年期延续运维类服务金额。服务期满，项目验收合格后，中标供应商提出付款申请并出具合法等额发票后10日内支付第二年期合同金额中延续运维类项服务部分的100%。</w:t>
            </w:r>
          </w:p>
          <w:p w14:paraId="7B579F3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②　新增运维类服务</w:t>
            </w:r>
          </w:p>
          <w:p w14:paraId="19BD05BB">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第一次付款：2025年3月底前，中标供应商提出付款申请并出具合法等额发票后10日内支付合同金额中新增运维类服务部分的30%；</w:t>
            </w:r>
          </w:p>
          <w:p w14:paraId="5F8C381A">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第二次付款：2025年9月底前，项目验收合格后，中标供应商提出付款申请并出具合法等额发票后10日内支付合同金额中新增运维类服务部分的70%；</w:t>
            </w:r>
          </w:p>
          <w:p w14:paraId="0678265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三次付款：按照第一年服务期合同金额中新增运维类服务部分的月金额*7个月计算第二年期新增运维类服务金额。服务期满，项目验收合格后，中标供应商提出付款申请并出具合法等额发票后10日内支付第二年期合同金额中新增运维类项服务部分的100%。</w:t>
            </w:r>
          </w:p>
          <w:p w14:paraId="4071F36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③　升级改造类服务</w:t>
            </w:r>
          </w:p>
          <w:p w14:paraId="3F86EFB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第一次付款：合同签订后30个工作日内，中标供应商提出付款申请并出具合法等额发票后支付合同中系统升级改造部分的50%；</w:t>
            </w:r>
          </w:p>
          <w:p w14:paraId="638BC7A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第二次付款：在完成项目系统升级改造服务并终验合格后，中标供应商提出付款申请并出具合法等额发票后支付合同中系统升级改造部分的50%。</w:t>
            </w:r>
          </w:p>
        </w:tc>
      </w:tr>
      <w:tr w14:paraId="0A6BB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AC4F27C">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25</w:t>
            </w:r>
          </w:p>
        </w:tc>
        <w:tc>
          <w:tcPr>
            <w:tcW w:w="1763" w:type="dxa"/>
            <w:vAlign w:val="center"/>
          </w:tcPr>
          <w:p w14:paraId="7DE3D8C7">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接收质疑的方式、部门、电话和通讯地址</w:t>
            </w:r>
          </w:p>
        </w:tc>
        <w:tc>
          <w:tcPr>
            <w:tcW w:w="6435" w:type="dxa"/>
            <w:gridSpan w:val="2"/>
            <w:vAlign w:val="center"/>
          </w:tcPr>
          <w:p w14:paraId="5B418E5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参与本项目采购活动的供应商如有质疑的，请按照《政府采购质疑和投诉办法》第十二条有关规定通过国家税务总局政府采购评审管理系统等书面形式将质疑函提交采购人。</w:t>
            </w:r>
          </w:p>
          <w:p w14:paraId="4E4029B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逾期提交的，采购人有权不予受理。</w:t>
            </w:r>
          </w:p>
          <w:p w14:paraId="7EBD9B1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联系部门：国家税务总局吉林省税务局</w:t>
            </w:r>
          </w:p>
          <w:p w14:paraId="5141F00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联系电话：0431-80500300</w:t>
            </w:r>
          </w:p>
          <w:p w14:paraId="22FB89C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通讯地址：吉林省长春市南关区南湖大路1518号</w:t>
            </w:r>
          </w:p>
          <w:p w14:paraId="62591AE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电子邮箱：jlswcg2021@163.com</w:t>
            </w:r>
          </w:p>
        </w:tc>
      </w:tr>
    </w:tbl>
    <w:p w14:paraId="4909C3AF">
      <w:pPr>
        <w:topLinePunct/>
        <w:autoSpaceDE w:val="0"/>
        <w:autoSpaceDN w:val="0"/>
        <w:adjustRightInd w:val="0"/>
        <w:snapToGrid w:val="0"/>
        <w:spacing w:after="0" w:line="360" w:lineRule="auto"/>
        <w:jc w:val="center"/>
        <w:rPr>
          <w:rFonts w:hint="eastAsia" w:ascii="宋体" w:hAnsi="宋体" w:eastAsia="宋体" w:cs="宋体"/>
          <w:color w:val="auto"/>
          <w:sz w:val="24"/>
          <w:szCs w:val="24"/>
          <w:highlight w:val="none"/>
        </w:rPr>
      </w:pPr>
      <w:r>
        <w:rPr>
          <w:color w:val="000000"/>
          <w:sz w:val="32"/>
          <w:szCs w:val="32"/>
          <w:highlight w:val="white"/>
        </w:rPr>
        <w:br w:type="page"/>
      </w:r>
    </w:p>
    <w:p w14:paraId="2FD4D489">
      <w:pPr>
        <w:topLinePunct/>
        <w:autoSpaceDE w:val="0"/>
        <w:autoSpaceDN w:val="0"/>
        <w:adjustRightInd w:val="0"/>
        <w:snapToGrid w:val="0"/>
        <w:spacing w:after="0" w:line="360" w:lineRule="auto"/>
        <w:jc w:val="center"/>
        <w:rPr>
          <w:b/>
          <w:color w:val="auto"/>
          <w:sz w:val="32"/>
          <w:szCs w:val="32"/>
          <w:highlight w:val="none"/>
        </w:rPr>
      </w:pPr>
      <w:r>
        <w:rPr>
          <w:rFonts w:hint="eastAsia"/>
          <w:b/>
          <w:color w:val="000000"/>
          <w:sz w:val="32"/>
          <w:szCs w:val="32"/>
          <w:highlight w:val="white"/>
        </w:rPr>
        <w:t>一、总则</w:t>
      </w:r>
    </w:p>
    <w:p w14:paraId="791E4EAB">
      <w:pPr>
        <w:topLinePunct/>
        <w:autoSpaceDE w:val="0"/>
        <w:autoSpaceDN w:val="0"/>
        <w:adjustRightInd w:val="0"/>
        <w:snapToGrid w:val="0"/>
        <w:spacing w:after="0" w:line="360" w:lineRule="auto"/>
        <w:ind w:firstLine="472" w:firstLineChars="196"/>
        <w:rPr>
          <w:rFonts w:ascii="宋体" w:hAnsi="宋体" w:cs="宋体"/>
          <w:b/>
          <w:color w:val="auto"/>
          <w:sz w:val="24"/>
          <w:highlight w:val="none"/>
        </w:rPr>
      </w:pPr>
      <w:r>
        <w:rPr>
          <w:rFonts w:hint="eastAsia" w:ascii="宋体" w:hAnsi="宋体" w:cs="宋体"/>
          <w:b/>
          <w:color w:val="000000"/>
          <w:sz w:val="24"/>
          <w:highlight w:val="white"/>
        </w:rPr>
        <w:t>1.预算资金及来源</w:t>
      </w:r>
    </w:p>
    <w:p w14:paraId="4CB66021">
      <w:pPr>
        <w:topLinePunct/>
        <w:autoSpaceDE w:val="0"/>
        <w:autoSpaceDN w:val="0"/>
        <w:adjustRightInd w:val="0"/>
        <w:snapToGrid w:val="0"/>
        <w:spacing w:after="0" w:line="360" w:lineRule="auto"/>
        <w:ind w:left="432"/>
        <w:rPr>
          <w:rFonts w:ascii="宋体" w:hAnsi="宋体" w:cs="宋体"/>
          <w:color w:val="auto"/>
          <w:sz w:val="24"/>
          <w:highlight w:val="none"/>
        </w:rPr>
      </w:pPr>
      <w:r>
        <w:rPr>
          <w:rFonts w:hint="eastAsia" w:ascii="宋体" w:hAnsi="宋体" w:cs="宋体"/>
          <w:color w:val="000000"/>
          <w:sz w:val="24"/>
          <w:highlight w:val="white"/>
        </w:rPr>
        <w:t>1.1 本项目已批准立项。</w:t>
      </w:r>
    </w:p>
    <w:p w14:paraId="4DBD9581">
      <w:pPr>
        <w:topLinePunct/>
        <w:autoSpaceDE w:val="0"/>
        <w:autoSpaceDN w:val="0"/>
        <w:adjustRightInd w:val="0"/>
        <w:snapToGrid w:val="0"/>
        <w:spacing w:after="0" w:line="360" w:lineRule="auto"/>
        <w:ind w:firstLine="432" w:firstLineChars="180"/>
        <w:rPr>
          <w:rFonts w:ascii="宋体" w:hAnsi="宋体" w:cs="宋体"/>
          <w:color w:val="auto"/>
          <w:sz w:val="24"/>
          <w:highlight w:val="none"/>
        </w:rPr>
      </w:pPr>
      <w:r>
        <w:rPr>
          <w:rFonts w:hint="eastAsia" w:ascii="宋体" w:hAnsi="宋体" w:cs="宋体"/>
          <w:color w:val="000000"/>
          <w:sz w:val="24"/>
          <w:highlight w:val="white"/>
        </w:rPr>
        <w:t>1.2 本项目预算资金见</w:t>
      </w:r>
      <w:r>
        <w:rPr>
          <w:rFonts w:hint="eastAsia" w:ascii="宋体" w:hAnsi="宋体" w:cs="宋体"/>
          <w:b/>
          <w:bCs/>
          <w:color w:val="000000"/>
          <w:sz w:val="24"/>
          <w:highlight w:val="white"/>
        </w:rPr>
        <w:t>投标人须知前附表</w:t>
      </w:r>
      <w:r>
        <w:rPr>
          <w:rFonts w:hint="eastAsia" w:ascii="宋体" w:hAnsi="宋体" w:cs="宋体"/>
          <w:color w:val="000000"/>
          <w:sz w:val="24"/>
          <w:highlight w:val="white"/>
        </w:rPr>
        <w:t>，已列入预算。</w:t>
      </w:r>
    </w:p>
    <w:p w14:paraId="280B2F7C">
      <w:pPr>
        <w:topLinePunct/>
        <w:autoSpaceDE w:val="0"/>
        <w:autoSpaceDN w:val="0"/>
        <w:adjustRightInd w:val="0"/>
        <w:snapToGrid w:val="0"/>
        <w:spacing w:after="0" w:line="360" w:lineRule="auto"/>
        <w:rPr>
          <w:rFonts w:ascii="宋体" w:hAnsi="宋体" w:cs="宋体"/>
          <w:color w:val="auto"/>
          <w:sz w:val="24"/>
          <w:highlight w:val="none"/>
        </w:rPr>
      </w:pPr>
    </w:p>
    <w:p w14:paraId="1ACFC8D6">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2.合格的产品和服务</w:t>
      </w:r>
    </w:p>
    <w:p w14:paraId="40FA077E">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 本项目所涉及的</w:t>
      </w:r>
      <w:r>
        <w:rPr>
          <w:rFonts w:hint="eastAsia" w:ascii="宋体" w:hAnsi="宋体" w:cs="宋体"/>
          <w:color w:val="000000"/>
          <w:sz w:val="24"/>
          <w:highlight w:val="white"/>
          <w:lang w:eastAsia="zh-CN"/>
        </w:rPr>
        <w:t>所有产品和</w:t>
      </w:r>
      <w:r>
        <w:rPr>
          <w:rFonts w:hint="eastAsia" w:ascii="宋体" w:hAnsi="宋体" w:cs="宋体"/>
          <w:color w:val="000000"/>
          <w:sz w:val="24"/>
          <w:highlight w:val="white"/>
        </w:rPr>
        <w:t>服务均应来自中国境内（指关境内），合同金额的支付也仅限于这些产品和服务。</w:t>
      </w:r>
    </w:p>
    <w:p w14:paraId="75024DFA">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2.2 合格的产品和服务即</w:t>
      </w:r>
      <w:r>
        <w:rPr>
          <w:rFonts w:hint="eastAsia" w:ascii="宋体" w:hAnsi="宋体" w:cs="宋体"/>
          <w:b/>
          <w:bCs/>
          <w:color w:val="000000"/>
          <w:sz w:val="24"/>
          <w:highlight w:val="white"/>
        </w:rPr>
        <w:t>采购需求</w:t>
      </w:r>
      <w:r>
        <w:rPr>
          <w:rFonts w:hint="eastAsia" w:ascii="宋体" w:hAnsi="宋体" w:cs="宋体"/>
          <w:color w:val="000000"/>
          <w:sz w:val="24"/>
          <w:highlight w:val="white"/>
        </w:rPr>
        <w:t>见</w:t>
      </w:r>
      <w:r>
        <w:rPr>
          <w:rFonts w:hint="eastAsia" w:ascii="宋体" w:hAnsi="宋体" w:cs="宋体"/>
          <w:b/>
          <w:color w:val="000000"/>
          <w:sz w:val="24"/>
          <w:highlight w:val="white"/>
        </w:rPr>
        <w:t>招标文件（技术部分）。</w:t>
      </w:r>
    </w:p>
    <w:p w14:paraId="4C47F6C1">
      <w:pPr>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 投标人应保证所提供的产品及服务免受第三方提出侵犯其知识产权（专利权、商标权、工业设计权及使用权）的请求及起诉。</w:t>
      </w:r>
    </w:p>
    <w:p w14:paraId="7FCA5DCF">
      <w:pPr>
        <w:adjustRightInd w:val="0"/>
        <w:snapToGrid w:val="0"/>
        <w:spacing w:after="0" w:line="360" w:lineRule="auto"/>
        <w:ind w:firstLine="472" w:firstLineChars="196"/>
        <w:rPr>
          <w:rFonts w:ascii="宋体" w:hAnsi="宋体" w:cs="宋体"/>
          <w:b/>
          <w:color w:val="auto"/>
          <w:sz w:val="24"/>
          <w:highlight w:val="none"/>
        </w:rPr>
      </w:pPr>
    </w:p>
    <w:p w14:paraId="099D5C0F">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3.合格的投标人</w:t>
      </w:r>
    </w:p>
    <w:p w14:paraId="118BD2B9">
      <w:pPr>
        <w:topLinePunct/>
        <w:autoSpaceDE w:val="0"/>
        <w:autoSpaceDN w:val="0"/>
        <w:adjustRightInd w:val="0"/>
        <w:snapToGrid w:val="0"/>
        <w:spacing w:after="0" w:line="360" w:lineRule="auto"/>
        <w:ind w:firstLine="432" w:firstLineChars="180"/>
        <w:rPr>
          <w:rFonts w:ascii="宋体" w:hAnsi="宋体" w:cs="宋体"/>
          <w:b/>
          <w:color w:val="auto"/>
          <w:sz w:val="24"/>
          <w:highlight w:val="none"/>
        </w:rPr>
      </w:pPr>
      <w:r>
        <w:rPr>
          <w:rFonts w:hint="eastAsia" w:ascii="宋体" w:hAnsi="宋体" w:cs="宋体"/>
          <w:color w:val="000000"/>
          <w:sz w:val="24"/>
          <w:highlight w:val="white"/>
        </w:rPr>
        <w:t>3.1 投标人的资格要求及本项目的特定资格要求见</w:t>
      </w:r>
      <w:r>
        <w:rPr>
          <w:rFonts w:hint="eastAsia" w:ascii="宋体" w:hAnsi="宋体" w:cs="宋体"/>
          <w:b/>
          <w:color w:val="000000"/>
          <w:sz w:val="24"/>
          <w:highlight w:val="white"/>
        </w:rPr>
        <w:t>投标人须知前附表。</w:t>
      </w:r>
    </w:p>
    <w:p w14:paraId="01908A62">
      <w:pPr>
        <w:topLinePunct/>
        <w:autoSpaceDE w:val="0"/>
        <w:autoSpaceDN w:val="0"/>
        <w:adjustRightInd w:val="0"/>
        <w:snapToGrid w:val="0"/>
        <w:spacing w:after="0" w:line="360" w:lineRule="auto"/>
        <w:ind w:firstLine="432" w:firstLineChars="180"/>
        <w:rPr>
          <w:rFonts w:ascii="宋体" w:hAnsi="宋体" w:cs="宋体"/>
          <w:color w:val="auto"/>
          <w:sz w:val="24"/>
          <w:highlight w:val="none"/>
        </w:rPr>
      </w:pPr>
      <w:r>
        <w:rPr>
          <w:rFonts w:hint="eastAsia" w:ascii="宋体" w:hAnsi="宋体" w:cs="宋体"/>
          <w:color w:val="000000"/>
          <w:sz w:val="24"/>
          <w:highlight w:val="white"/>
        </w:rPr>
        <w:t>3.2 投标人相关要求</w:t>
      </w:r>
    </w:p>
    <w:p w14:paraId="643BF658">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highlight w:val="none"/>
        </w:rPr>
      </w:pPr>
      <w:r>
        <w:rPr>
          <w:rFonts w:hint="eastAsia" w:ascii="宋体" w:hAnsi="宋体" w:cs="宋体"/>
          <w:color w:val="000000"/>
          <w:sz w:val="24"/>
          <w:highlight w:val="white"/>
        </w:rPr>
        <w:t>3.2.1 单位负责人为同一人或者存在直接控股、管理关系的不同供应商，不得参加同一合同项下的政府采购活动。</w:t>
      </w:r>
    </w:p>
    <w:p w14:paraId="1F89F2F6">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highlight w:val="none"/>
        </w:rPr>
      </w:pPr>
      <w:r>
        <w:rPr>
          <w:rFonts w:hint="eastAsia" w:ascii="宋体" w:hAnsi="宋体" w:cs="宋体"/>
          <w:color w:val="000000"/>
          <w:sz w:val="24"/>
          <w:highlight w:val="white"/>
        </w:rPr>
        <w:t>3.2.2 为采购项目提供整体设计、规范编制或者项目管理、监理、检测等服务的供应商，不得再参加该采购项目的其他采购活动。</w:t>
      </w:r>
    </w:p>
    <w:p w14:paraId="355AB05F">
      <w:pPr>
        <w:adjustRightInd w:val="0"/>
        <w:snapToGrid w:val="0"/>
        <w:spacing w:after="0" w:line="360" w:lineRule="auto"/>
        <w:ind w:firstLine="434" w:firstLineChars="180"/>
        <w:rPr>
          <w:rFonts w:ascii="宋体" w:hAnsi="宋体" w:cs="宋体"/>
          <w:b/>
          <w:color w:val="auto"/>
          <w:sz w:val="24"/>
          <w:highlight w:val="none"/>
        </w:rPr>
      </w:pPr>
    </w:p>
    <w:p w14:paraId="3E8BA6DC">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4.投标费用</w:t>
      </w:r>
    </w:p>
    <w:p w14:paraId="5E0A17B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4.1 投标人应承担所有与编写、提交投标文件有关的费用，不论招标的结果如何，采购人在任何情况下均无义务和责任承担这些费用。</w:t>
      </w:r>
    </w:p>
    <w:p w14:paraId="740D2347">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629324D9">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二、  招标文件</w:t>
      </w:r>
    </w:p>
    <w:p w14:paraId="1EA1D930">
      <w:pPr>
        <w:topLinePunct/>
        <w:autoSpaceDE w:val="0"/>
        <w:autoSpaceDN w:val="0"/>
        <w:adjustRightInd w:val="0"/>
        <w:snapToGrid w:val="0"/>
        <w:spacing w:after="0" w:line="360" w:lineRule="auto"/>
        <w:jc w:val="center"/>
        <w:rPr>
          <w:rFonts w:ascii="宋体" w:hAnsi="宋体" w:cs="宋体"/>
          <w:b/>
          <w:color w:val="auto"/>
          <w:sz w:val="24"/>
          <w:highlight w:val="none"/>
        </w:rPr>
      </w:pPr>
    </w:p>
    <w:p w14:paraId="5150B06E">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5.招标文件构成</w:t>
      </w:r>
    </w:p>
    <w:p w14:paraId="7923542F">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第一部分 商务部分</w:t>
      </w:r>
    </w:p>
    <w:p w14:paraId="25E3D7E3">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（1）招标公告</w:t>
      </w:r>
    </w:p>
    <w:p w14:paraId="75708C08">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（2）投标人须知</w:t>
      </w:r>
    </w:p>
    <w:p w14:paraId="16DE9D56">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（3）评标方法及标准</w:t>
      </w:r>
    </w:p>
    <w:p w14:paraId="13F6271D">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（4）政府采购合同文本</w:t>
      </w:r>
    </w:p>
    <w:p w14:paraId="468BBAF4">
      <w:pPr>
        <w:topLinePunct/>
        <w:autoSpaceDE w:val="0"/>
        <w:autoSpaceDN w:val="0"/>
        <w:adjustRightInd w:val="0"/>
        <w:snapToGrid w:val="0"/>
        <w:spacing w:after="0" w:line="360" w:lineRule="auto"/>
        <w:ind w:left="359" w:leftChars="171" w:firstLine="120" w:firstLineChars="50"/>
        <w:rPr>
          <w:rFonts w:hint="eastAsia" w:ascii="宋体" w:hAnsi="宋体" w:eastAsia="宋体" w:cs="宋体"/>
          <w:color w:val="auto"/>
          <w:sz w:val="24"/>
          <w:highlight w:val="none"/>
          <w:lang w:eastAsia="zh-CN"/>
        </w:rPr>
      </w:pPr>
      <w:r>
        <w:rPr>
          <w:rFonts w:hint="eastAsia" w:ascii="宋体" w:hAnsi="宋体" w:cs="宋体"/>
          <w:color w:val="000000"/>
          <w:sz w:val="24"/>
          <w:highlight w:val="white"/>
        </w:rPr>
        <w:t>（5）投标文件格式</w:t>
      </w:r>
    </w:p>
    <w:p w14:paraId="5564023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第二部分 技术部分</w:t>
      </w:r>
    </w:p>
    <w:p w14:paraId="49E8CCB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25AECF2E">
      <w:pPr>
        <w:topLinePunct/>
        <w:autoSpaceDE w:val="0"/>
        <w:autoSpaceDN w:val="0"/>
        <w:adjustRightInd w:val="0"/>
        <w:snapToGrid w:val="0"/>
        <w:spacing w:after="0" w:line="360" w:lineRule="auto"/>
        <w:ind w:firstLine="472" w:firstLineChars="196"/>
        <w:rPr>
          <w:rFonts w:ascii="宋体" w:hAnsi="宋体" w:cs="宋体"/>
          <w:b/>
          <w:color w:val="auto"/>
          <w:sz w:val="24"/>
          <w:highlight w:val="none"/>
        </w:rPr>
      </w:pPr>
      <w:r>
        <w:rPr>
          <w:rFonts w:hint="eastAsia" w:ascii="宋体" w:hAnsi="宋体" w:cs="宋体"/>
          <w:b/>
          <w:color w:val="000000"/>
          <w:sz w:val="24"/>
          <w:highlight w:val="white"/>
        </w:rPr>
        <w:t>6.招标文件询问、澄清或修改</w:t>
      </w:r>
    </w:p>
    <w:p w14:paraId="1CD98BB7">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highlight w:val="none"/>
        </w:rPr>
      </w:pPr>
      <w:r>
        <w:rPr>
          <w:rFonts w:hint="eastAsia" w:ascii="宋体" w:hAnsi="宋体" w:cs="宋体"/>
          <w:color w:val="000000"/>
          <w:sz w:val="24"/>
          <w:highlight w:val="white"/>
        </w:rPr>
        <w:t>6.1 投标人对招标文件如有疑问的，可以向采购人提出询问，采购人应当在3个工作日内作出答复</w:t>
      </w:r>
      <w:r>
        <w:rPr>
          <w:rFonts w:hint="eastAsia" w:ascii="宋体" w:hAnsi="宋体" w:cs="宋体"/>
          <w:bCs/>
          <w:color w:val="000000"/>
          <w:sz w:val="24"/>
          <w:highlight w:val="white"/>
        </w:rPr>
        <w:t>，但答复的内容不得涉及商业秘密。</w:t>
      </w:r>
      <w:r>
        <w:rPr>
          <w:rFonts w:hint="eastAsia" w:ascii="宋体" w:hAnsi="宋体" w:cs="宋体"/>
          <w:color w:val="000000"/>
          <w:sz w:val="24"/>
          <w:highlight w:val="white"/>
        </w:rPr>
        <w:t>如有必要，采购人可对招标文件进行澄清或者修改。</w:t>
      </w:r>
    </w:p>
    <w:p w14:paraId="076EBDE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6.2 采购人可主动对招标文件进行必要的澄清或者修改，但不得改变采购标的和资格条件。</w:t>
      </w:r>
    </w:p>
    <w:p w14:paraId="1A74C8D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6.3 澄清或者修改应当在原公告发布媒体上发布更正公告，</w:t>
      </w:r>
      <w:r>
        <w:rPr>
          <w:rFonts w:hint="eastAsia" w:ascii="宋体" w:hAnsi="宋体"/>
          <w:color w:val="000000"/>
          <w:sz w:val="24"/>
          <w:highlight w:val="white"/>
        </w:rPr>
        <w:t>并通过国家税务总局政府采购评审管理系统（以下简称“评审管理系统”）通知所有获取</w:t>
      </w:r>
      <w:r>
        <w:rPr>
          <w:rFonts w:hint="eastAsia" w:ascii="宋体" w:hAnsi="宋体" w:cs="宋体"/>
          <w:color w:val="000000"/>
          <w:sz w:val="24"/>
          <w:highlight w:val="white"/>
        </w:rPr>
        <w:t>招标文件的潜在投标人。</w:t>
      </w:r>
    </w:p>
    <w:p w14:paraId="1BB5CD9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6.4 澄清或者修改的内容可能影响投标文件编制的，采购人应当在投标截止时间至少15日前，</w:t>
      </w:r>
      <w:r>
        <w:rPr>
          <w:rFonts w:hint="eastAsia" w:ascii="宋体" w:hAnsi="宋体"/>
          <w:color w:val="000000"/>
          <w:sz w:val="24"/>
          <w:highlight w:val="white"/>
        </w:rPr>
        <w:t>通过评审管理系统通知</w:t>
      </w:r>
      <w:r>
        <w:rPr>
          <w:rFonts w:hint="eastAsia" w:ascii="宋体" w:hAnsi="宋体" w:cs="宋体"/>
          <w:color w:val="000000"/>
          <w:sz w:val="24"/>
          <w:highlight w:val="white"/>
        </w:rPr>
        <w:t>所有获取招标文件的潜在投标人；不足15日的，采购人应当顺延提交投标文件的截止时间。</w:t>
      </w:r>
    </w:p>
    <w:p w14:paraId="2F9B2EA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6.5 澄清或者修改的内容为招标文件的组成部分。</w:t>
      </w:r>
    </w:p>
    <w:p w14:paraId="4918F040">
      <w:pPr>
        <w:topLinePunct/>
        <w:autoSpaceDE w:val="0"/>
        <w:autoSpaceDN w:val="0"/>
        <w:adjustRightInd w:val="0"/>
        <w:snapToGrid w:val="0"/>
        <w:spacing w:after="0" w:line="360" w:lineRule="auto"/>
        <w:rPr>
          <w:rFonts w:ascii="宋体" w:hAnsi="宋体" w:cs="宋体"/>
          <w:color w:val="auto"/>
          <w:sz w:val="24"/>
          <w:highlight w:val="none"/>
        </w:rPr>
      </w:pPr>
    </w:p>
    <w:p w14:paraId="47D485CA">
      <w:pPr>
        <w:topLinePunct/>
        <w:autoSpaceDE w:val="0"/>
        <w:autoSpaceDN w:val="0"/>
        <w:adjustRightInd w:val="0"/>
        <w:snapToGrid w:val="0"/>
        <w:spacing w:after="0" w:line="360" w:lineRule="auto"/>
        <w:jc w:val="center"/>
        <w:rPr>
          <w:rFonts w:ascii="宋体" w:hAnsi="宋体" w:cs="宋体"/>
          <w:b/>
          <w:color w:val="auto"/>
          <w:sz w:val="24"/>
          <w:highlight w:val="none"/>
        </w:rPr>
      </w:pPr>
      <w:r>
        <w:rPr>
          <w:rFonts w:hint="eastAsia" w:ascii="宋体" w:hAnsi="宋体" w:cs="宋体"/>
          <w:b/>
          <w:bCs/>
          <w:color w:val="000000"/>
          <w:sz w:val="32"/>
          <w:szCs w:val="32"/>
          <w:highlight w:val="white"/>
        </w:rPr>
        <w:t>三、投标文件</w:t>
      </w:r>
    </w:p>
    <w:p w14:paraId="7F261043">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7</w:t>
      </w:r>
      <w:r>
        <w:rPr>
          <w:rFonts w:hint="eastAsia" w:ascii="宋体" w:hAnsi="宋体" w:cs="宋体"/>
          <w:color w:val="000000"/>
          <w:szCs w:val="21"/>
          <w:highlight w:val="white"/>
        </w:rPr>
        <w:t>．</w:t>
      </w:r>
      <w:r>
        <w:rPr>
          <w:rFonts w:hint="eastAsia" w:ascii="宋体" w:hAnsi="宋体" w:cs="宋体"/>
          <w:b/>
          <w:color w:val="000000"/>
          <w:sz w:val="24"/>
          <w:highlight w:val="white"/>
        </w:rPr>
        <w:t>投标文件编制</w:t>
      </w:r>
    </w:p>
    <w:p w14:paraId="2B06459C">
      <w:pPr>
        <w:topLinePunct/>
        <w:autoSpaceDE w:val="0"/>
        <w:autoSpaceDN w:val="0"/>
        <w:adjustRightInd w:val="0"/>
        <w:snapToGrid w:val="0"/>
        <w:spacing w:after="0" w:line="360" w:lineRule="auto"/>
        <w:ind w:firstLine="480" w:firstLineChars="200"/>
        <w:rPr>
          <w:rFonts w:ascii="宋体" w:hAnsi="宋体" w:eastAsia="Times New Roman" w:cs="宋体"/>
          <w:color w:val="auto"/>
          <w:sz w:val="24"/>
          <w:highlight w:val="none"/>
        </w:rPr>
      </w:pPr>
      <w:r>
        <w:rPr>
          <w:rFonts w:hint="eastAsia" w:ascii="宋体" w:hAnsi="宋体" w:cs="宋体"/>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14:paraId="347A48A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7.2 投标文件应使用中文简化字。</w:t>
      </w:r>
    </w:p>
    <w:p w14:paraId="762CD498">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14:paraId="529A61A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7.4 除在招标文件的要求中另有规定外，投标文件计量单位应使用中华人民共和国法定计量单位。</w:t>
      </w:r>
    </w:p>
    <w:p w14:paraId="5A88553E">
      <w:pPr>
        <w:topLinePunct/>
        <w:autoSpaceDE w:val="0"/>
        <w:autoSpaceDN w:val="0"/>
        <w:adjustRightInd w:val="0"/>
        <w:snapToGrid w:val="0"/>
        <w:spacing w:after="0" w:line="360" w:lineRule="auto"/>
        <w:rPr>
          <w:rFonts w:ascii="宋体" w:hAnsi="宋体" w:cs="宋体"/>
          <w:b/>
          <w:color w:val="auto"/>
          <w:sz w:val="24"/>
          <w:highlight w:val="none"/>
        </w:rPr>
      </w:pPr>
    </w:p>
    <w:p w14:paraId="24E6BA67">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8.投标文件的组成</w:t>
      </w:r>
    </w:p>
    <w:p w14:paraId="24BE4DB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8.1 投标文件包括商务部分和技术部分。</w:t>
      </w:r>
    </w:p>
    <w:p w14:paraId="6E49EE29">
      <w:pPr>
        <w:topLinePunct/>
        <w:autoSpaceDE w:val="0"/>
        <w:autoSpaceDN w:val="0"/>
        <w:adjustRightInd w:val="0"/>
        <w:snapToGrid w:val="0"/>
        <w:spacing w:after="0" w:line="360" w:lineRule="auto"/>
        <w:ind w:firstLine="489" w:firstLineChars="204"/>
        <w:rPr>
          <w:rFonts w:ascii="宋体" w:hAnsi="宋体" w:cs="宋体"/>
          <w:color w:val="auto"/>
          <w:sz w:val="24"/>
          <w:highlight w:val="none"/>
        </w:rPr>
      </w:pPr>
      <w:r>
        <w:rPr>
          <w:rFonts w:hint="eastAsia" w:ascii="宋体" w:hAnsi="宋体" w:cs="宋体"/>
          <w:color w:val="000000"/>
          <w:sz w:val="24"/>
          <w:highlight w:val="white"/>
        </w:rPr>
        <w:t>8.2 投标文件</w:t>
      </w:r>
      <w:r>
        <w:rPr>
          <w:rFonts w:hint="eastAsia" w:ascii="宋体" w:hAnsi="宋体" w:cs="宋体"/>
          <w:b/>
          <w:bCs/>
          <w:color w:val="000000"/>
          <w:sz w:val="24"/>
          <w:highlight w:val="white"/>
        </w:rPr>
        <w:t>商务部分</w:t>
      </w:r>
      <w:r>
        <w:rPr>
          <w:rFonts w:hint="eastAsia" w:ascii="宋体" w:hAnsi="宋体" w:cs="宋体"/>
          <w:color w:val="000000"/>
          <w:sz w:val="24"/>
          <w:highlight w:val="white"/>
        </w:rPr>
        <w:t>主要包括的文件和资料：</w:t>
      </w:r>
    </w:p>
    <w:p w14:paraId="20E628CE">
      <w:pPr>
        <w:topLinePunct/>
        <w:autoSpaceDE w:val="0"/>
        <w:autoSpaceDN w:val="0"/>
        <w:adjustRightInd w:val="0"/>
        <w:snapToGrid w:val="0"/>
        <w:spacing w:after="0" w:line="360" w:lineRule="auto"/>
        <w:ind w:firstLine="489" w:firstLineChars="204"/>
        <w:rPr>
          <w:rFonts w:ascii="宋体" w:hAnsi="宋体" w:cs="宋体"/>
          <w:color w:val="auto"/>
          <w:sz w:val="24"/>
          <w:highlight w:val="none"/>
        </w:rPr>
      </w:pPr>
      <w:r>
        <w:rPr>
          <w:rFonts w:hint="eastAsia" w:ascii="宋体" w:hAnsi="宋体" w:cs="宋体"/>
          <w:color w:val="000000"/>
          <w:sz w:val="24"/>
          <w:highlight w:val="white"/>
        </w:rPr>
        <w:t>8.2.1 资格证明文件，见</w:t>
      </w:r>
      <w:r>
        <w:rPr>
          <w:rFonts w:hint="eastAsia" w:ascii="宋体" w:hAnsi="宋体" w:cs="宋体"/>
          <w:b/>
          <w:color w:val="000000"/>
          <w:sz w:val="24"/>
          <w:highlight w:val="white"/>
        </w:rPr>
        <w:t>投标人须知前附表。</w:t>
      </w:r>
    </w:p>
    <w:p w14:paraId="36597655">
      <w:pPr>
        <w:overflowPunct w:val="0"/>
        <w:autoSpaceDE w:val="0"/>
        <w:autoSpaceDN w:val="0"/>
        <w:adjustRightInd w:val="0"/>
        <w:snapToGrid w:val="0"/>
        <w:spacing w:after="0" w:line="360" w:lineRule="auto"/>
        <w:ind w:firstLine="487" w:firstLineChars="203"/>
        <w:rPr>
          <w:rFonts w:ascii="宋体" w:hAnsi="宋体" w:cs="宋体"/>
          <w:color w:val="auto"/>
          <w:sz w:val="24"/>
          <w:highlight w:val="none"/>
        </w:rPr>
      </w:pPr>
      <w:r>
        <w:rPr>
          <w:rFonts w:hint="eastAsia" w:ascii="宋体" w:hAnsi="宋体" w:cs="宋体"/>
          <w:color w:val="000000"/>
          <w:sz w:val="24"/>
          <w:highlight w:val="white"/>
        </w:rPr>
        <w:t>8.2.2 其他文件及资料，见</w:t>
      </w:r>
      <w:r>
        <w:rPr>
          <w:rFonts w:hint="eastAsia" w:ascii="宋体" w:hAnsi="宋体" w:cs="宋体"/>
          <w:b/>
          <w:color w:val="000000"/>
          <w:sz w:val="24"/>
          <w:highlight w:val="white"/>
        </w:rPr>
        <w:t>投标人须知前附表。</w:t>
      </w:r>
    </w:p>
    <w:p w14:paraId="7E99628A">
      <w:pPr>
        <w:overflowPunct w:val="0"/>
        <w:autoSpaceDE w:val="0"/>
        <w:autoSpaceDN w:val="0"/>
        <w:adjustRightInd w:val="0"/>
        <w:snapToGrid w:val="0"/>
        <w:spacing w:after="0" w:line="360" w:lineRule="auto"/>
        <w:ind w:firstLine="487" w:firstLineChars="203"/>
        <w:rPr>
          <w:rFonts w:ascii="宋体" w:hAnsi="宋体" w:cs="宋体"/>
          <w:color w:val="auto"/>
          <w:sz w:val="24"/>
          <w:highlight w:val="none"/>
        </w:rPr>
      </w:pPr>
      <w:r>
        <w:rPr>
          <w:rFonts w:hint="eastAsia" w:ascii="宋体" w:hAnsi="宋体" w:cs="宋体"/>
          <w:color w:val="000000"/>
          <w:sz w:val="24"/>
          <w:highlight w:val="white"/>
        </w:rPr>
        <w:t>8.3 投标文件</w:t>
      </w:r>
      <w:r>
        <w:rPr>
          <w:rFonts w:hint="eastAsia" w:ascii="宋体" w:hAnsi="宋体" w:cs="宋体"/>
          <w:b/>
          <w:bCs/>
          <w:color w:val="000000"/>
          <w:sz w:val="24"/>
          <w:highlight w:val="white"/>
        </w:rPr>
        <w:t>技术部分</w:t>
      </w:r>
      <w:r>
        <w:rPr>
          <w:rFonts w:hint="eastAsia" w:ascii="宋体" w:hAnsi="宋体" w:cs="宋体"/>
          <w:color w:val="000000"/>
          <w:sz w:val="24"/>
          <w:highlight w:val="white"/>
        </w:rPr>
        <w:t>主要包括的文件及资料，见</w:t>
      </w:r>
      <w:r>
        <w:rPr>
          <w:rFonts w:hint="eastAsia" w:ascii="宋体" w:hAnsi="宋体" w:cs="宋体"/>
          <w:b/>
          <w:color w:val="000000"/>
          <w:sz w:val="24"/>
          <w:highlight w:val="white"/>
        </w:rPr>
        <w:t>投标人须知前附表。</w:t>
      </w:r>
    </w:p>
    <w:p w14:paraId="75E550C5">
      <w:pPr>
        <w:overflowPunct w:val="0"/>
        <w:autoSpaceDE w:val="0"/>
        <w:autoSpaceDN w:val="0"/>
        <w:adjustRightInd w:val="0"/>
        <w:snapToGrid w:val="0"/>
        <w:spacing w:after="0" w:line="360" w:lineRule="auto"/>
        <w:ind w:firstLine="487" w:firstLineChars="203"/>
        <w:rPr>
          <w:rFonts w:ascii="宋体" w:hAnsi="宋体" w:cs="宋体"/>
          <w:color w:val="auto"/>
          <w:sz w:val="24"/>
          <w:highlight w:val="none"/>
        </w:rPr>
      </w:pPr>
      <w:r>
        <w:rPr>
          <w:rFonts w:hint="eastAsia" w:ascii="宋体" w:hAnsi="宋体" w:cs="宋体"/>
          <w:color w:val="000000"/>
          <w:sz w:val="24"/>
          <w:highlight w:val="white"/>
        </w:rPr>
        <w:t>8.4 证明资料如标明有效期的，必须在有效期内。</w:t>
      </w:r>
    </w:p>
    <w:p w14:paraId="5E6846A6">
      <w:pPr>
        <w:overflowPunct w:val="0"/>
        <w:autoSpaceDE w:val="0"/>
        <w:autoSpaceDN w:val="0"/>
        <w:adjustRightInd w:val="0"/>
        <w:snapToGrid w:val="0"/>
        <w:spacing w:after="0" w:line="360" w:lineRule="auto"/>
        <w:ind w:firstLine="489" w:firstLineChars="203"/>
        <w:rPr>
          <w:rFonts w:ascii="宋体" w:hAnsi="宋体" w:cs="宋体"/>
          <w:b/>
          <w:color w:val="auto"/>
          <w:sz w:val="24"/>
          <w:highlight w:val="none"/>
        </w:rPr>
      </w:pPr>
    </w:p>
    <w:p w14:paraId="73219167">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9.报价要求</w:t>
      </w:r>
    </w:p>
    <w:p w14:paraId="4F2D09D6">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9.1 投标应以人民币报价，且必须按照投标工具的流程和提示编制并上传投标报价表。</w:t>
      </w:r>
    </w:p>
    <w:p w14:paraId="3C85E0D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9.2 本项目不接受任何形式的赠送、“零”报价和折扣报价。</w:t>
      </w:r>
    </w:p>
    <w:p w14:paraId="21B7742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9.3 本项目以投标报价为依据计算价格分。投标报价应包括招标文件中要求投标人承担所有工作内容的全部费用。</w:t>
      </w:r>
    </w:p>
    <w:p w14:paraId="1E09CCB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617076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9.5 最低报价不能作为中标的保证。</w:t>
      </w:r>
    </w:p>
    <w:p w14:paraId="3208407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78B4F460">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10.投标文件的签署、盖章</w:t>
      </w:r>
    </w:p>
    <w:p w14:paraId="05D8398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10.1 投标文件</w:t>
      </w:r>
      <w:r>
        <w:rPr>
          <w:rFonts w:hint="eastAsia" w:ascii="宋体" w:hAnsi="宋体"/>
          <w:color w:val="000000"/>
          <w:sz w:val="24"/>
          <w:highlight w:val="white"/>
        </w:rPr>
        <w:t>必须按照招标文件给出文件格式的签署要求进行</w:t>
      </w:r>
      <w:r>
        <w:rPr>
          <w:rFonts w:hint="eastAsia" w:ascii="宋体" w:hAnsi="宋体"/>
          <w:b/>
          <w:color w:val="000000"/>
          <w:sz w:val="24"/>
          <w:highlight w:val="white"/>
        </w:rPr>
        <w:t>电子</w:t>
      </w:r>
      <w:r>
        <w:rPr>
          <w:rFonts w:hint="eastAsia" w:ascii="宋体" w:hAnsi="宋体"/>
          <w:color w:val="000000"/>
          <w:sz w:val="24"/>
          <w:highlight w:val="white"/>
        </w:rPr>
        <w:t>签署。</w:t>
      </w:r>
    </w:p>
    <w:p w14:paraId="13F2C20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10.2 投标人在</w:t>
      </w:r>
      <w:r>
        <w:rPr>
          <w:rFonts w:hint="eastAsia" w:ascii="宋体" w:hAnsi="宋体" w:cs="宋体"/>
          <w:b/>
          <w:bCs/>
          <w:color w:val="000000"/>
          <w:sz w:val="24"/>
          <w:highlight w:val="white"/>
        </w:rPr>
        <w:t>“投标函”“法定代表人授权委托书”</w:t>
      </w:r>
      <w:r>
        <w:rPr>
          <w:rFonts w:hint="eastAsia" w:ascii="宋体" w:hAnsi="宋体" w:cs="宋体"/>
          <w:color w:val="000000"/>
          <w:sz w:val="24"/>
          <w:highlight w:val="white"/>
        </w:rPr>
        <w:t>上应当按格式要求加盖与投标人名称全称一致的标准公章，并</w:t>
      </w:r>
      <w:r>
        <w:rPr>
          <w:rFonts w:hint="eastAsia" w:ascii="宋体" w:hAnsi="宋体" w:cs="宋体"/>
          <w:color w:val="000000"/>
          <w:sz w:val="24"/>
          <w:highlight w:val="white"/>
          <w:lang w:eastAsia="zh-CN"/>
        </w:rPr>
        <w:t>按照招标文件第五章投标文件格式中的相应格式文件要求</w:t>
      </w:r>
      <w:r>
        <w:rPr>
          <w:rFonts w:hint="eastAsia" w:ascii="宋体" w:hAnsi="宋体" w:cs="宋体"/>
          <w:color w:val="000000"/>
          <w:sz w:val="24"/>
          <w:highlight w:val="white"/>
        </w:rPr>
        <w:t>签署全名或加盖名章。</w:t>
      </w:r>
    </w:p>
    <w:p w14:paraId="54996D1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10.3 投标文件中的“盖章”指加盖投标人的“公章”，而非“合同专用章”、“投标专用章”等其他非公章。</w:t>
      </w:r>
    </w:p>
    <w:p w14:paraId="071A1799">
      <w:pPr>
        <w:topLinePunct/>
        <w:autoSpaceDE w:val="0"/>
        <w:autoSpaceDN w:val="0"/>
        <w:adjustRightInd w:val="0"/>
        <w:snapToGrid w:val="0"/>
        <w:spacing w:after="0" w:line="360" w:lineRule="auto"/>
        <w:ind w:firstLine="489" w:firstLineChars="204"/>
        <w:rPr>
          <w:rFonts w:ascii="宋体" w:hAnsi="宋体" w:cs="宋体"/>
          <w:color w:val="auto"/>
          <w:sz w:val="24"/>
          <w:highlight w:val="none"/>
        </w:rPr>
      </w:pPr>
    </w:p>
    <w:p w14:paraId="77866A97">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11</w:t>
      </w:r>
      <w:r>
        <w:rPr>
          <w:rFonts w:hint="eastAsia" w:ascii="宋体" w:hAnsi="宋体" w:cs="宋体"/>
          <w:color w:val="000000"/>
          <w:szCs w:val="21"/>
          <w:highlight w:val="white"/>
        </w:rPr>
        <w:t>．</w:t>
      </w:r>
      <w:r>
        <w:rPr>
          <w:rFonts w:hint="eastAsia" w:ascii="宋体" w:hAnsi="宋体" w:cs="宋体"/>
          <w:b/>
          <w:color w:val="000000"/>
          <w:sz w:val="24"/>
          <w:highlight w:val="white"/>
        </w:rPr>
        <w:t>投标有效期</w:t>
      </w:r>
    </w:p>
    <w:p w14:paraId="589E8D0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11.1 投标有效期见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14:paraId="3F7F17C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11.2 特殊情况下，在原投标有效期期满之前，采购人可征得投标人同意延长投标有效期。</w:t>
      </w:r>
    </w:p>
    <w:p w14:paraId="57D645C3">
      <w:pPr>
        <w:topLinePunct/>
        <w:autoSpaceDE w:val="0"/>
        <w:autoSpaceDN w:val="0"/>
        <w:adjustRightInd w:val="0"/>
        <w:snapToGrid w:val="0"/>
        <w:spacing w:after="0" w:line="360" w:lineRule="auto"/>
        <w:jc w:val="center"/>
        <w:rPr>
          <w:rFonts w:ascii="宋体" w:hAnsi="宋体" w:cs="宋体"/>
          <w:b/>
          <w:color w:val="auto"/>
          <w:sz w:val="24"/>
          <w:highlight w:val="none"/>
        </w:rPr>
      </w:pPr>
    </w:p>
    <w:p w14:paraId="33CE4F52">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四、投标文件递交</w:t>
      </w:r>
    </w:p>
    <w:p w14:paraId="68509477">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12</w:t>
      </w:r>
      <w:r>
        <w:rPr>
          <w:rFonts w:hint="eastAsia" w:ascii="宋体" w:hAnsi="宋体" w:cs="宋体"/>
          <w:color w:val="000000"/>
          <w:szCs w:val="21"/>
          <w:highlight w:val="white"/>
        </w:rPr>
        <w:t>．</w:t>
      </w:r>
      <w:r>
        <w:rPr>
          <w:rFonts w:hint="eastAsia" w:ascii="宋体" w:hAnsi="宋体" w:cs="宋体"/>
          <w:b/>
          <w:color w:val="000000"/>
          <w:sz w:val="24"/>
          <w:highlight w:val="white"/>
        </w:rPr>
        <w:t>投标文件递交</w:t>
      </w:r>
    </w:p>
    <w:p w14:paraId="0750F77F">
      <w:pPr>
        <w:topLinePunct/>
        <w:autoSpaceDE w:val="0"/>
        <w:autoSpaceDN w:val="0"/>
        <w:adjustRightInd w:val="0"/>
        <w:snapToGrid w:val="0"/>
        <w:spacing w:after="0" w:line="360" w:lineRule="auto"/>
        <w:ind w:firstLine="480" w:firstLineChars="200"/>
        <w:rPr>
          <w:rFonts w:hint="eastAsia" w:ascii="宋体" w:hAnsi="宋体" w:eastAsia="宋体" w:cs="宋体"/>
          <w:color w:val="auto"/>
          <w:sz w:val="24"/>
          <w:highlight w:val="none"/>
          <w:lang w:eastAsia="zh-CN"/>
        </w:rPr>
      </w:pPr>
      <w:r>
        <w:rPr>
          <w:rFonts w:hint="eastAsia" w:ascii="宋体" w:hAnsi="宋体" w:cs="宋体"/>
          <w:color w:val="000000"/>
          <w:sz w:val="24"/>
          <w:highlight w:val="white"/>
        </w:rPr>
        <w:t>12.1 投标人应当在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hint="eastAsia" w:ascii="宋体" w:hAnsi="宋体" w:cs="宋体"/>
          <w:color w:val="000000"/>
          <w:sz w:val="24"/>
          <w:highlight w:val="white"/>
          <w:lang w:eastAsia="zh-CN"/>
        </w:rPr>
        <w:t>投标人应充分考虑网络传输时间等因素，合理安排上传时间。</w:t>
      </w:r>
    </w:p>
    <w:p w14:paraId="614B1D8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12.2 提交投标文件截止时间后，评审管理系统不提供投标文件上传功能。投标人未完成投标文件上传的，投标将被拒绝。</w:t>
      </w:r>
    </w:p>
    <w:p w14:paraId="6517015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　　</w:t>
      </w:r>
    </w:p>
    <w:p w14:paraId="4D4AB1AA">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13</w:t>
      </w:r>
      <w:r>
        <w:rPr>
          <w:rFonts w:hint="eastAsia" w:ascii="宋体" w:hAnsi="宋体" w:cs="宋体"/>
          <w:color w:val="000000"/>
          <w:szCs w:val="21"/>
          <w:highlight w:val="white"/>
        </w:rPr>
        <w:t>．</w:t>
      </w:r>
      <w:r>
        <w:rPr>
          <w:rFonts w:hint="eastAsia" w:ascii="宋体" w:hAnsi="宋体" w:cs="宋体"/>
          <w:b/>
          <w:color w:val="000000"/>
          <w:sz w:val="24"/>
          <w:highlight w:val="white"/>
        </w:rPr>
        <w:t>投标文件补充、修改或撤回</w:t>
      </w:r>
    </w:p>
    <w:p w14:paraId="4B77A04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13.1 投标人在投标截止时间前，可以登录评审管理系统对所提交的投标文件进行撤回、补充、修改、重新提交</w:t>
      </w:r>
      <w:r>
        <w:rPr>
          <w:rFonts w:hint="eastAsia" w:ascii="宋体" w:hAnsi="宋体"/>
          <w:color w:val="000000"/>
          <w:sz w:val="24"/>
          <w:highlight w:val="white"/>
        </w:rPr>
        <w:t>。</w:t>
      </w:r>
      <w:r>
        <w:rPr>
          <w:rFonts w:hint="eastAsia" w:ascii="宋体" w:hAnsi="宋体" w:cs="宋体"/>
          <w:color w:val="000000"/>
          <w:sz w:val="24"/>
          <w:highlight w:val="white"/>
        </w:rPr>
        <w:t>补充、修改的内容应当按照招标文件要求签署、盖章。</w:t>
      </w:r>
    </w:p>
    <w:p w14:paraId="0756ADFA">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highlight w:val="none"/>
        </w:rPr>
      </w:pPr>
      <w:r>
        <w:rPr>
          <w:rFonts w:hint="eastAsia" w:ascii="宋体" w:hAnsi="宋体" w:cs="宋体"/>
          <w:color w:val="000000"/>
          <w:sz w:val="24"/>
          <w:highlight w:val="white"/>
        </w:rPr>
        <w:t>13.2 提交投标文件截止时间后，评审管理系统不</w:t>
      </w:r>
      <w:r>
        <w:rPr>
          <w:rFonts w:hint="eastAsia" w:ascii="宋体" w:hAnsi="宋体" w:cs="宋体"/>
          <w:color w:val="000000"/>
          <w:sz w:val="24"/>
          <w:highlight w:val="white"/>
          <w:lang w:eastAsia="zh-CN"/>
        </w:rPr>
        <w:t>支持</w:t>
      </w:r>
      <w:r>
        <w:rPr>
          <w:rFonts w:hint="eastAsia" w:ascii="宋体" w:hAnsi="宋体" w:cs="宋体"/>
          <w:color w:val="000000"/>
          <w:sz w:val="24"/>
          <w:highlight w:val="white"/>
        </w:rPr>
        <w:t>对已提交的投标文件作任何补充、修改或者撤回。</w:t>
      </w:r>
    </w:p>
    <w:p w14:paraId="0F356F47">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2692177B">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五、开标与评标</w:t>
      </w:r>
    </w:p>
    <w:p w14:paraId="207F3498">
      <w:pPr>
        <w:topLinePunct/>
        <w:autoSpaceDE w:val="0"/>
        <w:autoSpaceDN w:val="0"/>
        <w:adjustRightInd w:val="0"/>
        <w:snapToGrid w:val="0"/>
        <w:spacing w:after="0" w:line="360" w:lineRule="auto"/>
        <w:ind w:firstLine="482" w:firstLineChars="200"/>
        <w:rPr>
          <w:rFonts w:ascii="宋体" w:hAnsi="宋体" w:cs="宋体"/>
          <w:color w:val="auto"/>
          <w:sz w:val="24"/>
          <w:highlight w:val="none"/>
        </w:rPr>
      </w:pPr>
      <w:r>
        <w:rPr>
          <w:rFonts w:hint="eastAsia" w:ascii="宋体" w:hAnsi="宋体" w:cs="宋体"/>
          <w:b/>
          <w:color w:val="000000"/>
          <w:sz w:val="24"/>
          <w:highlight w:val="white"/>
        </w:rPr>
        <w:t>14</w:t>
      </w:r>
      <w:r>
        <w:rPr>
          <w:rFonts w:hint="eastAsia" w:ascii="宋体" w:hAnsi="宋体" w:cs="宋体"/>
          <w:color w:val="000000"/>
          <w:szCs w:val="21"/>
          <w:highlight w:val="white"/>
        </w:rPr>
        <w:t>．</w:t>
      </w:r>
      <w:r>
        <w:rPr>
          <w:rFonts w:hint="eastAsia" w:ascii="宋体" w:hAnsi="宋体" w:cs="宋体"/>
          <w:b/>
          <w:color w:val="000000"/>
          <w:sz w:val="24"/>
          <w:highlight w:val="white"/>
        </w:rPr>
        <w:t>开标</w:t>
      </w:r>
    </w:p>
    <w:p w14:paraId="745CDA3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14.1 采购人将在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规定的时间进行电子开标，采购人将对开标、评标现场活动进行全程录音录像，音像资料作为采购文件一并存档。开标由采购人主持，投标人通过登录评审管理系统进入开标大厅远程参加。</w:t>
      </w:r>
    </w:p>
    <w:p w14:paraId="75647F2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 xml:space="preserve">14.2 </w:t>
      </w:r>
      <w:r>
        <w:rPr>
          <w:rFonts w:hint="eastAsia" w:ascii="宋体" w:hAnsi="宋体"/>
          <w:color w:val="000000"/>
          <w:sz w:val="24"/>
          <w:highlight w:val="white"/>
        </w:rPr>
        <w:t>提交投标文件截止时间后进入解密程序，由采购人对所有完成投递的电子投标文件进行解密。</w:t>
      </w:r>
      <w:r>
        <w:rPr>
          <w:rFonts w:hint="eastAsia" w:ascii="宋体" w:hAnsi="宋体" w:cs="宋体"/>
          <w:color w:val="000000"/>
          <w:sz w:val="24"/>
          <w:highlight w:val="white"/>
        </w:rPr>
        <w:t>投标人不足3家的，不进入解密程序。</w:t>
      </w:r>
    </w:p>
    <w:p w14:paraId="67295DE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14.3 解密完成后，进行电子</w:t>
      </w:r>
      <w:r>
        <w:rPr>
          <w:rFonts w:hint="eastAsia" w:ascii="宋体" w:hAnsi="宋体" w:cs="宋体"/>
          <w:color w:val="000000"/>
          <w:sz w:val="24"/>
          <w:highlight w:val="white"/>
          <w:lang w:eastAsia="zh-CN"/>
        </w:rPr>
        <w:t>开</w:t>
      </w:r>
      <w:r>
        <w:rPr>
          <w:rFonts w:hint="eastAsia" w:ascii="宋体" w:hAnsi="宋体" w:cs="宋体"/>
          <w:color w:val="000000"/>
          <w:sz w:val="24"/>
          <w:highlight w:val="white"/>
        </w:rPr>
        <w:t>标。</w:t>
      </w:r>
      <w:r>
        <w:rPr>
          <w:rFonts w:hint="eastAsia" w:ascii="宋体" w:hAnsi="宋体" w:cs="宋体"/>
          <w:color w:val="000000"/>
          <w:sz w:val="24"/>
          <w:highlight w:val="white"/>
          <w:lang w:eastAsia="zh-CN"/>
        </w:rPr>
        <w:t>开标</w:t>
      </w:r>
      <w:r>
        <w:rPr>
          <w:rFonts w:hint="eastAsia" w:ascii="宋体" w:hAnsi="宋体" w:cs="宋体"/>
          <w:color w:val="000000"/>
          <w:sz w:val="24"/>
          <w:highlight w:val="white"/>
        </w:rPr>
        <w:t>结束后，采购人发起开标结果确认，</w:t>
      </w:r>
      <w:r>
        <w:rPr>
          <w:rFonts w:hint="eastAsia" w:ascii="宋体" w:hAnsi="宋体"/>
          <w:color w:val="000000"/>
          <w:sz w:val="24"/>
          <w:highlight w:val="white"/>
        </w:rPr>
        <w:t>投标人在开标大厅于规定时间内确认开标结果，未</w:t>
      </w:r>
      <w:r>
        <w:rPr>
          <w:rFonts w:hint="eastAsia" w:ascii="宋体" w:hAnsi="宋体"/>
          <w:color w:val="000000"/>
          <w:sz w:val="24"/>
          <w:highlight w:val="white"/>
          <w:lang w:eastAsia="zh-CN"/>
        </w:rPr>
        <w:t>按时</w:t>
      </w:r>
      <w:r>
        <w:rPr>
          <w:rFonts w:hint="eastAsia" w:ascii="宋体" w:hAnsi="宋体"/>
          <w:color w:val="000000"/>
          <w:sz w:val="24"/>
          <w:highlight w:val="white"/>
        </w:rPr>
        <w:t>确认的系统将自动确认。</w:t>
      </w:r>
    </w:p>
    <w:p w14:paraId="10AB4CE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14.4 投标人未参加开标的，视同认可开标结果。</w:t>
      </w:r>
    </w:p>
    <w:p w14:paraId="1424E69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14:paraId="50DC2AB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14.6 未解密或解密失败的</w:t>
      </w:r>
      <w:r>
        <w:rPr>
          <w:rFonts w:hint="eastAsia" w:ascii="宋体" w:hAnsi="宋体" w:cs="宋体"/>
          <w:color w:val="000000"/>
          <w:sz w:val="24"/>
          <w:highlight w:val="white"/>
          <w:lang w:eastAsia="zh-CN"/>
        </w:rPr>
        <w:t>投标文件，</w:t>
      </w:r>
      <w:r>
        <w:rPr>
          <w:rFonts w:hint="eastAsia" w:ascii="宋体" w:hAnsi="宋体" w:cs="宋体"/>
          <w:color w:val="000000"/>
          <w:sz w:val="24"/>
          <w:highlight w:val="white"/>
        </w:rPr>
        <w:t>按无效投标处理。若解密成功的投标人不足3家，不进入后续程序。</w:t>
      </w:r>
    </w:p>
    <w:p w14:paraId="2C816C7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4633B464">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15</w:t>
      </w:r>
      <w:r>
        <w:rPr>
          <w:rFonts w:hint="eastAsia" w:ascii="宋体" w:hAnsi="宋体" w:cs="宋体"/>
          <w:color w:val="000000"/>
          <w:szCs w:val="21"/>
          <w:highlight w:val="white"/>
        </w:rPr>
        <w:t>．</w:t>
      </w:r>
      <w:r>
        <w:rPr>
          <w:rFonts w:hint="eastAsia" w:ascii="宋体" w:hAnsi="宋体" w:cs="宋体"/>
          <w:b/>
          <w:color w:val="000000"/>
          <w:sz w:val="24"/>
          <w:highlight w:val="white"/>
        </w:rPr>
        <w:t>投标资格审查</w:t>
      </w:r>
    </w:p>
    <w:p w14:paraId="101BA27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15.1 采购人依法对投标人的资格进行审查，以确定投标人是否具备投标资格。</w:t>
      </w:r>
    </w:p>
    <w:p w14:paraId="0B7417C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15.1.1 审查投标人按照</w:t>
      </w:r>
      <w:r>
        <w:rPr>
          <w:rFonts w:hint="eastAsia" w:ascii="宋体" w:hAnsi="宋体" w:cs="宋体"/>
          <w:color w:val="000000"/>
          <w:sz w:val="24"/>
          <w:highlight w:val="white"/>
          <w:lang w:val="en-US" w:eastAsia="zh-CN"/>
        </w:rPr>
        <w:t>8.2.1</w:t>
      </w:r>
      <w:r>
        <w:rPr>
          <w:rFonts w:hint="eastAsia" w:ascii="宋体" w:hAnsi="宋体" w:cs="宋体"/>
          <w:color w:val="000000"/>
          <w:sz w:val="24"/>
          <w:highlight w:val="white"/>
        </w:rPr>
        <w:t>提交的</w:t>
      </w:r>
      <w:r>
        <w:rPr>
          <w:rFonts w:hint="eastAsia" w:ascii="宋体" w:hAnsi="宋体" w:cs="宋体"/>
          <w:b/>
          <w:color w:val="000000"/>
          <w:sz w:val="24"/>
          <w:highlight w:val="white"/>
        </w:rPr>
        <w:t>“资格证明文件”</w:t>
      </w:r>
      <w:r>
        <w:rPr>
          <w:rFonts w:hint="eastAsia" w:ascii="宋体" w:hAnsi="宋体" w:cs="宋体"/>
          <w:color w:val="000000"/>
          <w:sz w:val="24"/>
          <w:highlight w:val="white"/>
        </w:rPr>
        <w:t>。</w:t>
      </w:r>
    </w:p>
    <w:p w14:paraId="57EA29E3">
      <w:pPr>
        <w:topLinePunct/>
        <w:autoSpaceDE w:val="0"/>
        <w:autoSpaceDN w:val="0"/>
        <w:adjustRightInd w:val="0"/>
        <w:snapToGrid w:val="0"/>
        <w:spacing w:after="0" w:line="360" w:lineRule="auto"/>
        <w:ind w:firstLine="480" w:firstLineChars="200"/>
        <w:rPr>
          <w:rFonts w:ascii="宋体" w:hAnsi="宋体" w:cs="宋体"/>
          <w:b/>
          <w:bCs/>
          <w:color w:val="auto"/>
          <w:sz w:val="24"/>
          <w:highlight w:val="none"/>
        </w:rPr>
      </w:pPr>
      <w:r>
        <w:rPr>
          <w:rFonts w:hint="eastAsia" w:ascii="宋体" w:hAnsi="宋体" w:cs="宋体"/>
          <w:color w:val="000000"/>
          <w:sz w:val="24"/>
          <w:highlight w:val="white"/>
        </w:rPr>
        <w:t>15.1.2 信用记录审查。</w:t>
      </w:r>
      <w:r>
        <w:rPr>
          <w:rFonts w:hint="eastAsia" w:ascii="宋体" w:hAnsi="宋体" w:cs="宋体"/>
          <w:b/>
          <w:bCs/>
          <w:color w:val="000000"/>
          <w:sz w:val="24"/>
          <w:highlight w:val="white"/>
        </w:rPr>
        <w:t>见投标人须知前附表。</w:t>
      </w:r>
    </w:p>
    <w:p w14:paraId="39162CD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15.2 未通过资格审查的投标人，其投标无效。</w:t>
      </w:r>
    </w:p>
    <w:p w14:paraId="21B226EE">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15.3 合格投标人不足3家的，不得评标。</w:t>
      </w:r>
    </w:p>
    <w:p w14:paraId="37F4004D">
      <w:pPr>
        <w:topLinePunct/>
        <w:autoSpaceDE w:val="0"/>
        <w:autoSpaceDN w:val="0"/>
        <w:adjustRightInd w:val="0"/>
        <w:snapToGrid w:val="0"/>
        <w:spacing w:after="0" w:line="360" w:lineRule="auto"/>
        <w:ind w:firstLine="480"/>
        <w:rPr>
          <w:rFonts w:ascii="宋体" w:hAnsi="宋体" w:cs="宋体"/>
          <w:b/>
          <w:color w:val="auto"/>
          <w:sz w:val="24"/>
          <w:highlight w:val="none"/>
        </w:rPr>
      </w:pPr>
    </w:p>
    <w:p w14:paraId="6AB3D3B6">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16</w:t>
      </w:r>
      <w:r>
        <w:rPr>
          <w:rFonts w:hint="eastAsia" w:ascii="宋体" w:hAnsi="宋体" w:cs="宋体"/>
          <w:color w:val="000000"/>
          <w:szCs w:val="21"/>
          <w:highlight w:val="white"/>
        </w:rPr>
        <w:t>．</w:t>
      </w:r>
      <w:r>
        <w:rPr>
          <w:rFonts w:hint="eastAsia" w:ascii="宋体" w:hAnsi="宋体" w:cs="宋体"/>
          <w:b/>
          <w:color w:val="000000"/>
          <w:sz w:val="24"/>
          <w:highlight w:val="white"/>
        </w:rPr>
        <w:t>评标委员会的组成</w:t>
      </w:r>
    </w:p>
    <w:p w14:paraId="67623F6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16.1 根据有关法律法规规定组建评标委员会，评标委员会由采购人代表和评审专家组成。</w:t>
      </w:r>
    </w:p>
    <w:p w14:paraId="78D32A5E">
      <w:pPr>
        <w:topLinePunct/>
        <w:autoSpaceDE w:val="0"/>
        <w:autoSpaceDN w:val="0"/>
        <w:adjustRightInd w:val="0"/>
        <w:snapToGrid w:val="0"/>
        <w:spacing w:after="0" w:line="360" w:lineRule="auto"/>
        <w:ind w:firstLine="480"/>
        <w:rPr>
          <w:rFonts w:ascii="宋体" w:hAnsi="宋体" w:cs="宋体"/>
          <w:b/>
          <w:color w:val="auto"/>
          <w:sz w:val="24"/>
          <w:highlight w:val="none"/>
        </w:rPr>
      </w:pPr>
    </w:p>
    <w:p w14:paraId="4E3DBF84">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17</w:t>
      </w:r>
      <w:r>
        <w:rPr>
          <w:rFonts w:hint="eastAsia" w:ascii="宋体" w:hAnsi="宋体" w:cs="宋体"/>
          <w:color w:val="000000"/>
          <w:szCs w:val="21"/>
          <w:highlight w:val="white"/>
        </w:rPr>
        <w:t>．</w:t>
      </w:r>
      <w:r>
        <w:rPr>
          <w:rFonts w:hint="eastAsia" w:ascii="宋体" w:hAnsi="宋体" w:cs="宋体"/>
          <w:b/>
          <w:color w:val="000000"/>
          <w:sz w:val="24"/>
          <w:highlight w:val="white"/>
        </w:rPr>
        <w:t>投标符合性审查</w:t>
      </w:r>
    </w:p>
    <w:p w14:paraId="68691895">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17.1 评标委员会对符合资格的投标人的投标文件进行符合性审查，以确定其是否符合招标文件的商务、技术等实质性要求。</w:t>
      </w:r>
    </w:p>
    <w:p w14:paraId="52E40D4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17.2 未通过符合性审查的投标人，其投标无效。</w:t>
      </w:r>
    </w:p>
    <w:p w14:paraId="3380693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17.3 通过符合性审查的投标人不足3家的，应予以废标。</w:t>
      </w:r>
    </w:p>
    <w:p w14:paraId="1F748B25">
      <w:pPr>
        <w:topLinePunct/>
        <w:autoSpaceDE w:val="0"/>
        <w:autoSpaceDN w:val="0"/>
        <w:adjustRightInd w:val="0"/>
        <w:snapToGrid w:val="0"/>
        <w:spacing w:after="0" w:line="360" w:lineRule="auto"/>
        <w:rPr>
          <w:rFonts w:ascii="宋体" w:hAnsi="宋体" w:cs="宋体"/>
          <w:b/>
          <w:color w:val="auto"/>
          <w:sz w:val="24"/>
          <w:highlight w:val="none"/>
        </w:rPr>
      </w:pPr>
    </w:p>
    <w:p w14:paraId="44130BE4">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18</w:t>
      </w:r>
      <w:r>
        <w:rPr>
          <w:rFonts w:hint="eastAsia" w:ascii="宋体" w:hAnsi="宋体" w:cs="宋体"/>
          <w:color w:val="000000"/>
          <w:szCs w:val="21"/>
          <w:highlight w:val="white"/>
        </w:rPr>
        <w:t>．</w:t>
      </w:r>
      <w:r>
        <w:rPr>
          <w:rFonts w:hint="eastAsia" w:ascii="宋体" w:hAnsi="宋体" w:cs="宋体"/>
          <w:b/>
          <w:color w:val="000000"/>
          <w:sz w:val="24"/>
          <w:highlight w:val="white"/>
        </w:rPr>
        <w:t>投标文件的澄清</w:t>
      </w:r>
    </w:p>
    <w:p w14:paraId="0108066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18.1 对于投标文件中含义不明确、同类问题表述不一致或者有明显文字和计算错误的内容，评标委员会可以书面形式要求投标人作出必要的澄清、说明或者补正。</w:t>
      </w:r>
    </w:p>
    <w:p w14:paraId="45E4911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14:paraId="44513E2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18.3 除评标委员会要求投标人做出的澄清、说明或者补正以外，评标委员会不接受投标人的任何询问、说明、更改及文件。</w:t>
      </w:r>
    </w:p>
    <w:p w14:paraId="3C6D8AF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18.4 投标人的澄清必须在规定的时间内提交。</w:t>
      </w:r>
    </w:p>
    <w:p w14:paraId="7D542C1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4BF14C10">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19</w:t>
      </w:r>
      <w:r>
        <w:rPr>
          <w:rFonts w:hint="eastAsia" w:ascii="宋体" w:hAnsi="宋体" w:cs="宋体"/>
          <w:color w:val="000000"/>
          <w:szCs w:val="21"/>
          <w:highlight w:val="white"/>
        </w:rPr>
        <w:t>．</w:t>
      </w:r>
      <w:r>
        <w:rPr>
          <w:rFonts w:hint="eastAsia" w:ascii="宋体" w:hAnsi="宋体" w:cs="宋体"/>
          <w:b/>
          <w:color w:val="000000"/>
          <w:sz w:val="24"/>
          <w:highlight w:val="white"/>
        </w:rPr>
        <w:t>核价原则</w:t>
      </w:r>
    </w:p>
    <w:p w14:paraId="0C4816CE">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bCs/>
          <w:color w:val="000000"/>
          <w:sz w:val="24"/>
          <w:highlight w:val="white"/>
        </w:rPr>
        <w:t xml:space="preserve">19.1 </w:t>
      </w:r>
      <w:r>
        <w:rPr>
          <w:rFonts w:hint="eastAsia" w:ascii="宋体" w:hAnsi="宋体" w:cs="宋体"/>
          <w:color w:val="000000"/>
          <w:sz w:val="24"/>
          <w:highlight w:val="white"/>
        </w:rPr>
        <w:t>投标文件报价出现前后不一致的，除招标文件另有规定外，按照下列规定修正：</w:t>
      </w:r>
    </w:p>
    <w:p w14:paraId="2F4E52D9">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（1）投标文件中开标一览表（总报价表）内容与投标文件中相应内容不一致的，以开标一览表（总报价表）为准；</w:t>
      </w:r>
    </w:p>
    <w:p w14:paraId="20114FC0">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（2）大写金额和小写金额不一致的，以大写金额为准；</w:t>
      </w:r>
    </w:p>
    <w:p w14:paraId="37473485">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（3）单价金额小数点或者百分比有明显错位的，以开标一览表的总价为准，并修改单价；</w:t>
      </w:r>
    </w:p>
    <w:p w14:paraId="5C640693">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（4）总价金额与按单价汇总金额不一致的，以单价金额计算结果为准。</w:t>
      </w:r>
    </w:p>
    <w:p w14:paraId="169FD550">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（5）同时出现两种以上不一致的，按照前款规定的顺序修正。修正后的报价按照</w:t>
      </w:r>
      <w:r>
        <w:rPr>
          <w:rFonts w:hint="eastAsia" w:ascii="宋体" w:hAnsi="宋体" w:cs="宋体"/>
          <w:color w:val="000000"/>
          <w:sz w:val="24"/>
          <w:highlight w:val="white"/>
          <w:lang w:val="en-US" w:eastAsia="zh-CN"/>
        </w:rPr>
        <w:t>18.2</w:t>
      </w:r>
      <w:r>
        <w:rPr>
          <w:rFonts w:hint="eastAsia" w:ascii="宋体" w:hAnsi="宋体" w:cs="宋体"/>
          <w:color w:val="000000"/>
          <w:sz w:val="24"/>
          <w:highlight w:val="white"/>
        </w:rPr>
        <w:t>条的规定经投标人确认后产生约束力，投标人不确认的，其投标无效。</w:t>
      </w:r>
    </w:p>
    <w:p w14:paraId="2EDD5B8F">
      <w:pPr>
        <w:topLinePunct/>
        <w:autoSpaceDE w:val="0"/>
        <w:autoSpaceDN w:val="0"/>
        <w:adjustRightInd w:val="0"/>
        <w:snapToGrid w:val="0"/>
        <w:spacing w:after="0" w:line="360" w:lineRule="auto"/>
        <w:ind w:left="420"/>
        <w:rPr>
          <w:rFonts w:ascii="宋体" w:hAnsi="宋体" w:cs="宋体"/>
          <w:color w:val="auto"/>
          <w:sz w:val="24"/>
          <w:highlight w:val="none"/>
        </w:rPr>
      </w:pPr>
    </w:p>
    <w:p w14:paraId="5D6B66C1">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20</w:t>
      </w:r>
      <w:r>
        <w:rPr>
          <w:rFonts w:hint="eastAsia" w:ascii="宋体" w:hAnsi="宋体" w:cs="宋体"/>
          <w:color w:val="000000"/>
          <w:szCs w:val="21"/>
          <w:highlight w:val="white"/>
        </w:rPr>
        <w:t>．</w:t>
      </w:r>
      <w:r>
        <w:rPr>
          <w:rFonts w:hint="eastAsia" w:ascii="宋体" w:hAnsi="宋体" w:cs="宋体"/>
          <w:b/>
          <w:color w:val="000000"/>
          <w:sz w:val="24"/>
          <w:highlight w:val="white"/>
        </w:rPr>
        <w:t>投标无效</w:t>
      </w:r>
    </w:p>
    <w:p w14:paraId="42FA6D7B">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20.1 投标人及投标文件有下列情况之一的，应当在资格审查时按照投标无效处理：</w:t>
      </w:r>
    </w:p>
    <w:p w14:paraId="68F32A1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 不具备招标文件中规定的资格要求的；</w:t>
      </w:r>
    </w:p>
    <w:p w14:paraId="36711DE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 投标文件组成中“资格证明文件”未提供或无效的；</w:t>
      </w:r>
    </w:p>
    <w:p w14:paraId="21D26A1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（3） 未通过信用记录审查或未提供相关证明材料的。</w:t>
      </w:r>
    </w:p>
    <w:p w14:paraId="4D1AC40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20.2 投标人及投标文件有下列情况之一的，应当在符合性审查时按照投标无效处理：</w:t>
      </w:r>
    </w:p>
    <w:p w14:paraId="6B7272CE">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 投标文件组成中除“资格证明文件”外，★条款相关文件及资料未提供或提供无效的;</w:t>
      </w:r>
    </w:p>
    <w:p w14:paraId="14B1ED2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 投标文件未按招标文件要求签署、盖章的；</w:t>
      </w:r>
    </w:p>
    <w:p w14:paraId="317300CB">
      <w:pPr>
        <w:topLinePunct/>
        <w:autoSpaceDE w:val="0"/>
        <w:autoSpaceDN w:val="0"/>
        <w:adjustRightInd w:val="0"/>
        <w:snapToGrid w:val="0"/>
        <w:spacing w:after="0"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000000"/>
          <w:sz w:val="24"/>
          <w:highlight w:val="white"/>
        </w:rPr>
        <w:t>（3） 投标报价超过招标文件中规定的预算金额或者最高限价</w:t>
      </w:r>
      <w:r>
        <w:rPr>
          <w:rFonts w:hint="eastAsia" w:ascii="宋体" w:hAnsi="宋体" w:cs="宋体"/>
          <w:color w:val="000000"/>
          <w:sz w:val="24"/>
          <w:highlight w:val="white"/>
          <w:lang w:eastAsia="zh-CN"/>
        </w:rPr>
        <w:t>（分项预算最高限价，如有）</w:t>
      </w:r>
      <w:r>
        <w:rPr>
          <w:rFonts w:hint="eastAsia" w:ascii="宋体" w:hAnsi="宋体" w:cs="宋体"/>
          <w:color w:val="000000"/>
          <w:sz w:val="24"/>
          <w:highlight w:val="white"/>
        </w:rPr>
        <w:t>的</w:t>
      </w:r>
      <w:r>
        <w:rPr>
          <w:rFonts w:hint="eastAsia" w:ascii="宋体" w:hAnsi="宋体" w:cs="宋体"/>
          <w:b w:val="0"/>
          <w:bCs w:val="0"/>
          <w:color w:val="000000"/>
          <w:sz w:val="24"/>
          <w:highlight w:val="white"/>
          <w:lang w:val="en-US" w:eastAsia="zh-CN"/>
        </w:rPr>
        <w:t>；</w:t>
      </w:r>
    </w:p>
    <w:p w14:paraId="24D70B65">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 投标有效期不足的；</w:t>
      </w:r>
    </w:p>
    <w:p w14:paraId="489CBF7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（5） 投标文件含有采购人不能接受的附加条件的；</w:t>
      </w:r>
    </w:p>
    <w:p w14:paraId="33E231D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20.3 除20.1及20.2情形外，投标人及投标文件有下列情况之一的，应当按照投标无效处理：</w:t>
      </w:r>
    </w:p>
    <w:p w14:paraId="37DC8FD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 提供虚假投标文件材料的；</w:t>
      </w:r>
    </w:p>
    <w:p w14:paraId="189ACD4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 投标人串通投标的；</w:t>
      </w:r>
    </w:p>
    <w:p w14:paraId="2D5ECD0B">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（3） 投标报价明显低于其他通过符合性审查投标人的报价，且不能证明其报价合理性的。</w:t>
      </w:r>
    </w:p>
    <w:p w14:paraId="4A6435F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 法律、法规和招标文件规定的其他无效情形。</w:t>
      </w:r>
    </w:p>
    <w:p w14:paraId="60B5E229">
      <w:pPr>
        <w:topLinePunct/>
        <w:autoSpaceDE w:val="0"/>
        <w:autoSpaceDN w:val="0"/>
        <w:adjustRightInd w:val="0"/>
        <w:snapToGrid w:val="0"/>
        <w:spacing w:after="0" w:line="360" w:lineRule="auto"/>
        <w:ind w:firstLine="720" w:firstLineChars="300"/>
        <w:rPr>
          <w:rFonts w:ascii="宋体" w:hAnsi="宋体" w:cs="宋体"/>
          <w:color w:val="auto"/>
          <w:sz w:val="24"/>
          <w:highlight w:val="none"/>
        </w:rPr>
      </w:pPr>
    </w:p>
    <w:p w14:paraId="67EE001F">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21</w:t>
      </w:r>
      <w:r>
        <w:rPr>
          <w:rFonts w:hint="eastAsia" w:ascii="宋体" w:hAnsi="宋体" w:cs="宋体"/>
          <w:color w:val="000000"/>
          <w:szCs w:val="21"/>
          <w:highlight w:val="white"/>
        </w:rPr>
        <w:t>．</w:t>
      </w:r>
      <w:r>
        <w:rPr>
          <w:rFonts w:hint="eastAsia" w:ascii="宋体" w:hAnsi="宋体" w:cs="宋体"/>
          <w:b/>
          <w:color w:val="000000"/>
          <w:sz w:val="24"/>
          <w:highlight w:val="white"/>
        </w:rPr>
        <w:t>比较与评价</w:t>
      </w:r>
    </w:p>
    <w:p w14:paraId="7CEE8BE9">
      <w:pPr>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21.1 评标委员会按照招标文件中规定的评标方法和标准，对符合性审查合格的投标文件进行商务和技术评估，综合比较与评价。</w:t>
      </w:r>
    </w:p>
    <w:p w14:paraId="24B6994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21.2 价格分应当采用低价优先法计算。</w:t>
      </w:r>
      <w:r>
        <w:rPr>
          <w:rFonts w:hint="eastAsia" w:ascii="宋体" w:hAnsi="宋体" w:eastAsia="宋体" w:cs="宋体"/>
          <w:color w:val="000000"/>
          <w:kern w:val="2"/>
          <w:sz w:val="24"/>
          <w:szCs w:val="24"/>
          <w:highlight w:val="white"/>
          <w:lang w:val="en-US" w:eastAsia="zh-CN" w:bidi="ar"/>
        </w:rPr>
        <w:t>如果小型、微型企业和监狱企业、残疾人福利性单位的投标报价按照</w:t>
      </w:r>
      <w:r>
        <w:rPr>
          <w:rFonts w:hint="eastAsia" w:ascii="宋体" w:hAnsi="宋体" w:eastAsia="宋体" w:cs="宋体"/>
          <w:b/>
          <w:color w:val="000000"/>
          <w:kern w:val="2"/>
          <w:sz w:val="24"/>
          <w:szCs w:val="24"/>
          <w:highlight w:val="white"/>
          <w:lang w:val="en-US" w:eastAsia="zh-CN" w:bidi="ar"/>
        </w:rPr>
        <w:t>投标人须知前附表</w:t>
      </w:r>
      <w:r>
        <w:rPr>
          <w:rFonts w:hint="eastAsia" w:ascii="宋体" w:hAnsi="宋体" w:eastAsia="宋体" w:cs="宋体"/>
          <w:color w:val="000000"/>
          <w:kern w:val="2"/>
          <w:sz w:val="24"/>
          <w:szCs w:val="24"/>
          <w:highlight w:val="white"/>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14:paraId="4898BFE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21.3 评标委员会各成员独立对每个投标人的投标文件进行评价，并汇总得出每个投标人的评审得分。</w:t>
      </w:r>
    </w:p>
    <w:p w14:paraId="309DAE1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6F2A7C88">
      <w:pPr>
        <w:topLinePunct/>
        <w:autoSpaceDE w:val="0"/>
        <w:autoSpaceDN w:val="0"/>
        <w:adjustRightInd w:val="0"/>
        <w:snapToGrid w:val="0"/>
        <w:spacing w:after="0" w:line="360" w:lineRule="auto"/>
        <w:ind w:firstLine="480" w:firstLineChars="200"/>
        <w:rPr>
          <w:rFonts w:ascii="宋体" w:hAnsi="宋体" w:cs="宋体"/>
          <w:b/>
          <w:color w:val="auto"/>
          <w:sz w:val="24"/>
          <w:highlight w:val="none"/>
        </w:rPr>
      </w:pPr>
      <w:r>
        <w:rPr>
          <w:rFonts w:hint="eastAsia" w:ascii="宋体" w:hAnsi="宋体" w:cs="宋体"/>
          <w:color w:val="000000"/>
          <w:sz w:val="24"/>
          <w:highlight w:val="white"/>
        </w:rPr>
        <w:t>21.5 评标方法及标准</w:t>
      </w:r>
      <w:r>
        <w:rPr>
          <w:rFonts w:hint="eastAsia" w:ascii="宋体" w:hAnsi="宋体" w:cs="宋体"/>
          <w:b/>
          <w:color w:val="000000"/>
          <w:sz w:val="24"/>
          <w:highlight w:val="white"/>
        </w:rPr>
        <w:t>详见招标文件商务部分第三章。</w:t>
      </w:r>
    </w:p>
    <w:p w14:paraId="59528A7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14:paraId="1A1E435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250EAFD6">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22</w:t>
      </w:r>
      <w:r>
        <w:rPr>
          <w:rFonts w:hint="eastAsia" w:ascii="宋体" w:hAnsi="宋体" w:cs="宋体"/>
          <w:color w:val="000000"/>
          <w:szCs w:val="21"/>
          <w:highlight w:val="white"/>
        </w:rPr>
        <w:t>．</w:t>
      </w:r>
      <w:r>
        <w:rPr>
          <w:rFonts w:hint="eastAsia" w:ascii="宋体" w:hAnsi="宋体" w:cs="宋体"/>
          <w:b/>
          <w:color w:val="000000"/>
          <w:sz w:val="24"/>
          <w:highlight w:val="white"/>
        </w:rPr>
        <w:t>废标</w:t>
      </w:r>
    </w:p>
    <w:p w14:paraId="0A29895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22.1 在招标采购中，出现下列情形之一的，应予废标：</w:t>
      </w:r>
    </w:p>
    <w:p w14:paraId="1451E23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（1）符合专业条件的供应商或者对招标文件作实质响应的供应商不足三家的；</w:t>
      </w:r>
    </w:p>
    <w:p w14:paraId="5124E918">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（2）出现影响采购公正的违法、违规行为的；</w:t>
      </w:r>
    </w:p>
    <w:p w14:paraId="6CE2A51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（3）投标人的报价均超过了采购预算，采购人不能支付的；</w:t>
      </w:r>
    </w:p>
    <w:p w14:paraId="5A388CFE">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（4）因重大变故，采购任务取消的。</w:t>
      </w:r>
    </w:p>
    <w:p w14:paraId="3A6A3EC5">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22.2 废标后，采购人将废标理由通知所有投标人。</w:t>
      </w:r>
    </w:p>
    <w:p w14:paraId="30601178">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240D98E9">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六、中标和合同</w:t>
      </w:r>
    </w:p>
    <w:p w14:paraId="4806F665">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23</w:t>
      </w:r>
      <w:r>
        <w:rPr>
          <w:rFonts w:hint="eastAsia" w:ascii="宋体" w:hAnsi="宋体" w:cs="宋体"/>
          <w:color w:val="000000"/>
          <w:szCs w:val="21"/>
          <w:highlight w:val="white"/>
        </w:rPr>
        <w:t>．</w:t>
      </w:r>
      <w:r>
        <w:rPr>
          <w:rFonts w:hint="eastAsia" w:ascii="宋体" w:hAnsi="宋体" w:cs="宋体"/>
          <w:b/>
          <w:color w:val="000000"/>
          <w:sz w:val="24"/>
          <w:highlight w:val="white"/>
        </w:rPr>
        <w:t>中标</w:t>
      </w:r>
    </w:p>
    <w:p w14:paraId="578C915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23.1 采购人在评标结束后5个工作日内，按评标报告推荐的中标候选人顺序确定中标人。</w:t>
      </w:r>
    </w:p>
    <w:p w14:paraId="33FC3EF6">
      <w:pPr>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23.2 采购人自中标人确定之日起2个工作日内，在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规定的媒体上公告中标结果，招标文件应随中标结果同时公告（中标、成交结果公告前采购文件已公告的，不再重复公告）。中标公告期限为1个工作日。</w:t>
      </w:r>
    </w:p>
    <w:p w14:paraId="0801830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14:paraId="45DBD48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23.4 中标通知书发出后，采购人不得违法改变中标结果，中标人无正当理由不得放弃中标。</w:t>
      </w:r>
    </w:p>
    <w:p w14:paraId="63E68FF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23.5 中标通知书对采购人和中标人具有同等法律效力。</w:t>
      </w:r>
    </w:p>
    <w:p w14:paraId="5152F62F">
      <w:pPr>
        <w:topLinePunct/>
        <w:autoSpaceDE w:val="0"/>
        <w:autoSpaceDN w:val="0"/>
        <w:adjustRightInd w:val="0"/>
        <w:snapToGrid w:val="0"/>
        <w:spacing w:after="0" w:line="360" w:lineRule="auto"/>
        <w:ind w:left="420"/>
        <w:rPr>
          <w:rFonts w:ascii="宋体" w:hAnsi="宋体" w:cs="宋体"/>
          <w:color w:val="auto"/>
          <w:sz w:val="24"/>
          <w:highlight w:val="none"/>
        </w:rPr>
      </w:pPr>
    </w:p>
    <w:p w14:paraId="4F8129FD">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24</w:t>
      </w:r>
      <w:r>
        <w:rPr>
          <w:rFonts w:hint="eastAsia" w:ascii="宋体" w:hAnsi="宋体" w:cs="宋体"/>
          <w:color w:val="000000"/>
          <w:szCs w:val="21"/>
          <w:highlight w:val="white"/>
        </w:rPr>
        <w:t>．</w:t>
      </w:r>
      <w:r>
        <w:rPr>
          <w:rFonts w:hint="eastAsia" w:ascii="宋体" w:hAnsi="宋体" w:cs="宋体"/>
          <w:b/>
          <w:color w:val="000000"/>
          <w:sz w:val="24"/>
          <w:highlight w:val="white"/>
        </w:rPr>
        <w:t>签订合同</w:t>
      </w:r>
    </w:p>
    <w:p w14:paraId="7FAB9B5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24.1 采购人应当自中标通知书发出之日起30日内，按照招标文件和中标人投标文件的规定，</w:t>
      </w:r>
      <w:r>
        <w:rPr>
          <w:rFonts w:hint="eastAsia" w:ascii="宋体" w:hAnsi="宋体" w:cs="宋体"/>
          <w:color w:val="000000"/>
          <w:sz w:val="24"/>
          <w:highlight w:val="white"/>
          <w:lang w:eastAsia="zh-CN"/>
        </w:rPr>
        <w:t>通过国家税务总局政府采购评审管理系统</w:t>
      </w:r>
      <w:r>
        <w:rPr>
          <w:rFonts w:hint="eastAsia" w:ascii="宋体" w:hAnsi="宋体" w:cs="宋体"/>
          <w:color w:val="000000"/>
          <w:sz w:val="24"/>
          <w:highlight w:val="white"/>
        </w:rPr>
        <w:t>与中标人签订合同。</w:t>
      </w:r>
    </w:p>
    <w:p w14:paraId="33D16A5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24.2 所签订的合同不得对招标文件确定的事项和中标人投标文件作实质性修改。</w:t>
      </w:r>
    </w:p>
    <w:p w14:paraId="1513EA5B">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24.3 采购人不得向中标人提出任何不合理的要求作为签订合同的条件。</w:t>
      </w:r>
    </w:p>
    <w:p w14:paraId="7C0C4787">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24.4 中标人拒绝与采购人签订合同的，采购人可以按照评审报告推荐的中标候选人名单排序，确定下一候选人为中标人，也可以重新开展政府采购活动。</w:t>
      </w:r>
    </w:p>
    <w:p w14:paraId="43D6D4A2">
      <w:pPr>
        <w:topLinePunct/>
        <w:autoSpaceDE w:val="0"/>
        <w:autoSpaceDN w:val="0"/>
        <w:adjustRightInd w:val="0"/>
        <w:snapToGrid w:val="0"/>
        <w:spacing w:after="0" w:line="360" w:lineRule="auto"/>
        <w:rPr>
          <w:rFonts w:ascii="宋体" w:hAnsi="宋体" w:cs="宋体"/>
          <w:b/>
          <w:color w:val="auto"/>
          <w:sz w:val="24"/>
          <w:highlight w:val="none"/>
        </w:rPr>
      </w:pPr>
    </w:p>
    <w:p w14:paraId="33AF4F8C">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25</w:t>
      </w:r>
      <w:r>
        <w:rPr>
          <w:rFonts w:hint="eastAsia" w:ascii="宋体" w:hAnsi="宋体" w:cs="宋体"/>
          <w:color w:val="000000"/>
          <w:szCs w:val="21"/>
          <w:highlight w:val="white"/>
        </w:rPr>
        <w:t>．</w:t>
      </w:r>
      <w:r>
        <w:rPr>
          <w:rFonts w:hint="eastAsia" w:ascii="宋体" w:hAnsi="宋体" w:cs="宋体"/>
          <w:b/>
          <w:color w:val="000000"/>
          <w:sz w:val="24"/>
          <w:highlight w:val="white"/>
        </w:rPr>
        <w:t>履约保证金</w:t>
      </w:r>
    </w:p>
    <w:p w14:paraId="5F76DC74">
      <w:pPr>
        <w:topLinePunct/>
        <w:autoSpaceDE w:val="0"/>
        <w:autoSpaceDN w:val="0"/>
        <w:adjustRightInd w:val="0"/>
        <w:snapToGrid w:val="0"/>
        <w:spacing w:after="0" w:line="360" w:lineRule="auto"/>
        <w:ind w:firstLine="480" w:firstLineChars="200"/>
        <w:rPr>
          <w:rFonts w:ascii="宋体"/>
          <w:color w:val="auto"/>
          <w:sz w:val="24"/>
          <w:highlight w:val="none"/>
        </w:rPr>
      </w:pPr>
      <w:r>
        <w:rPr>
          <w:rFonts w:hint="eastAsia" w:ascii="宋体" w:hAnsi="宋体" w:cs="宋体"/>
          <w:color w:val="000000"/>
          <w:sz w:val="24"/>
          <w:highlight w:val="white"/>
        </w:rPr>
        <w:t xml:space="preserve">25.1 </w:t>
      </w:r>
      <w:r>
        <w:rPr>
          <w:rFonts w:hint="eastAsia" w:ascii="宋体" w:hAnsi="宋体" w:cs="宋体"/>
          <w:color w:val="000000"/>
          <w:sz w:val="24"/>
          <w:highlight w:val="white"/>
          <w:lang w:eastAsia="zh-CN"/>
        </w:rPr>
        <w:t>需提交履约保证金的项目，</w:t>
      </w:r>
      <w:r>
        <w:rPr>
          <w:rFonts w:hint="eastAsia" w:ascii="宋体" w:hAnsi="宋体" w:cs="宋体"/>
          <w:color w:val="000000"/>
          <w:sz w:val="24"/>
          <w:highlight w:val="white"/>
        </w:rPr>
        <w:t>中标人应在合同签订之日起30日内，</w:t>
      </w:r>
      <w:r>
        <w:rPr>
          <w:rFonts w:hint="eastAsia" w:ascii="宋体"/>
          <w:color w:val="000000"/>
          <w:sz w:val="24"/>
          <w:highlight w:val="white"/>
        </w:rPr>
        <w:t>按照</w:t>
      </w:r>
      <w:r>
        <w:rPr>
          <w:rFonts w:hint="eastAsia" w:ascii="宋体" w:hAnsi="宋体" w:cs="宋体"/>
          <w:b/>
          <w:color w:val="000000"/>
          <w:sz w:val="24"/>
          <w:highlight w:val="white"/>
        </w:rPr>
        <w:t>投标人须知前附表</w:t>
      </w:r>
      <w:r>
        <w:rPr>
          <w:rFonts w:hint="eastAsia" w:ascii="宋体"/>
          <w:color w:val="000000"/>
          <w:sz w:val="24"/>
          <w:highlight w:val="white"/>
        </w:rPr>
        <w:t>的规定，向采购人提交履约保证金。</w:t>
      </w:r>
    </w:p>
    <w:p w14:paraId="3D0AAF3E">
      <w:pPr>
        <w:pStyle w:val="80"/>
        <w:adjustRightInd w:val="0"/>
        <w:snapToGrid w:val="0"/>
        <w:spacing w:after="0" w:line="360" w:lineRule="auto"/>
        <w:rPr>
          <w:color w:val="auto"/>
          <w:highlight w:val="none"/>
        </w:rPr>
      </w:pPr>
    </w:p>
    <w:p w14:paraId="37B8A966">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7324CF39">
      <w:pPr>
        <w:topLinePunct/>
        <w:autoSpaceDE w:val="0"/>
        <w:autoSpaceDN w:val="0"/>
        <w:adjustRightInd w:val="0"/>
        <w:snapToGrid w:val="0"/>
        <w:spacing w:after="0" w:line="360" w:lineRule="auto"/>
        <w:ind w:firstLine="482"/>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七、询问和质疑</w:t>
      </w:r>
    </w:p>
    <w:p w14:paraId="18C4E03D">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26. 询问</w:t>
      </w:r>
    </w:p>
    <w:p w14:paraId="4C36E85B">
      <w:pPr>
        <w:topLinePunct/>
        <w:autoSpaceDE w:val="0"/>
        <w:autoSpaceDN w:val="0"/>
        <w:adjustRightInd w:val="0"/>
        <w:snapToGrid w:val="0"/>
        <w:spacing w:after="0" w:line="360" w:lineRule="auto"/>
        <w:ind w:firstLine="480" w:firstLineChars="200"/>
        <w:jc w:val="left"/>
        <w:rPr>
          <w:rFonts w:ascii="宋体" w:hAnsi="宋体" w:cs="宋体"/>
          <w:color w:val="auto"/>
          <w:sz w:val="24"/>
          <w:highlight w:val="none"/>
        </w:rPr>
      </w:pPr>
      <w:r>
        <w:rPr>
          <w:rFonts w:hint="eastAsia" w:ascii="宋体" w:hAnsi="宋体" w:cs="宋体"/>
          <w:color w:val="000000"/>
          <w:sz w:val="24"/>
          <w:highlight w:val="white"/>
        </w:rPr>
        <w:t>26.1 供应商对政府采购活动事项有疑问的，可以向采购人提出询问，采购人应在3个工作日内作出答复，但答复的内容不得涉及商业秘密。</w:t>
      </w:r>
    </w:p>
    <w:p w14:paraId="4C3C83E6">
      <w:pPr>
        <w:topLinePunct/>
        <w:autoSpaceDE w:val="0"/>
        <w:autoSpaceDN w:val="0"/>
        <w:adjustRightInd w:val="0"/>
        <w:snapToGrid w:val="0"/>
        <w:spacing w:after="0" w:line="360" w:lineRule="auto"/>
        <w:ind w:firstLine="480" w:firstLineChars="200"/>
        <w:jc w:val="left"/>
        <w:rPr>
          <w:rFonts w:ascii="宋体" w:hAnsi="宋体" w:cs="宋体"/>
          <w:color w:val="auto"/>
          <w:sz w:val="24"/>
          <w:highlight w:val="none"/>
        </w:rPr>
      </w:pPr>
    </w:p>
    <w:p w14:paraId="78558E2C">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27</w:t>
      </w:r>
      <w:r>
        <w:rPr>
          <w:rFonts w:hint="eastAsia" w:ascii="宋体" w:hAnsi="宋体" w:cs="宋体"/>
          <w:color w:val="000000"/>
          <w:szCs w:val="21"/>
          <w:highlight w:val="white"/>
        </w:rPr>
        <w:t>．</w:t>
      </w:r>
      <w:r>
        <w:rPr>
          <w:rFonts w:hint="eastAsia" w:ascii="宋体" w:hAnsi="宋体" w:cs="宋体"/>
          <w:b/>
          <w:color w:val="000000"/>
          <w:sz w:val="24"/>
          <w:highlight w:val="white"/>
        </w:rPr>
        <w:t>质疑</w:t>
      </w:r>
    </w:p>
    <w:p w14:paraId="5DEDA35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27.1 供应商认为招标文件、招标过程和中标结果使自己的权益受到损害的，可以在知道或者应知其权益受到损害之日起7个工作日内</w:t>
      </w:r>
      <w:r>
        <w:rPr>
          <w:rFonts w:hint="eastAsia" w:ascii="宋体" w:hAnsi="宋体" w:cs="宋体"/>
          <w:b w:val="0"/>
          <w:bCs/>
          <w:color w:val="000000"/>
          <w:sz w:val="24"/>
          <w:highlight w:val="white"/>
        </w:rPr>
        <w:t>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向采购人提出质疑。联系部门、联系电话、通讯地址、电子邮箱</w:t>
      </w:r>
      <w:r>
        <w:rPr>
          <w:rFonts w:hint="eastAsia" w:ascii="宋体" w:hAnsi="宋体" w:cs="宋体"/>
          <w:b/>
          <w:bCs/>
          <w:color w:val="000000"/>
          <w:sz w:val="24"/>
          <w:highlight w:val="white"/>
        </w:rPr>
        <w:t>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。在法定质疑期内，针对同一采购程序环节的质疑应一次性提出。</w:t>
      </w:r>
    </w:p>
    <w:p w14:paraId="72532F5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14:paraId="1B75350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27.3 采购人应当在收到供应商的质疑函后7个工作日内，对质疑内容作出答复，并通过评审管理系统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通知质疑供应商和其他有关供应商，但答复内容不得涉及商业秘密。</w:t>
      </w:r>
    </w:p>
    <w:p w14:paraId="69FC310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27.4 质疑供应商对采购人的答复不满意或者采购人未在规定时间内作出答复的，可以在答复期满后15个工作日内按有关规定，向同级人民政府财政部门投诉。</w:t>
      </w:r>
    </w:p>
    <w:p w14:paraId="574B6305">
      <w:pPr>
        <w:topLinePunct/>
        <w:autoSpaceDE w:val="0"/>
        <w:autoSpaceDN w:val="0"/>
        <w:adjustRightInd w:val="0"/>
        <w:snapToGrid w:val="0"/>
        <w:spacing w:after="0" w:line="360" w:lineRule="auto"/>
        <w:rPr>
          <w:rFonts w:ascii="宋体" w:hAnsi="宋体" w:cs="宋体"/>
          <w:b/>
          <w:color w:val="auto"/>
          <w:sz w:val="24"/>
          <w:highlight w:val="none"/>
        </w:rPr>
      </w:pPr>
    </w:p>
    <w:p w14:paraId="2E04BF97">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八、其他</w:t>
      </w:r>
    </w:p>
    <w:p w14:paraId="116D21BD">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p>
    <w:p w14:paraId="72750F8A">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28</w:t>
      </w:r>
      <w:r>
        <w:rPr>
          <w:rFonts w:hint="eastAsia" w:ascii="宋体" w:hAnsi="宋体" w:cs="宋体"/>
          <w:color w:val="000000"/>
          <w:szCs w:val="21"/>
          <w:highlight w:val="white"/>
        </w:rPr>
        <w:t>．</w:t>
      </w:r>
      <w:r>
        <w:rPr>
          <w:rFonts w:hint="eastAsia" w:ascii="宋体" w:hAnsi="宋体" w:cs="宋体"/>
          <w:b/>
          <w:color w:val="000000"/>
          <w:sz w:val="24"/>
          <w:highlight w:val="white"/>
        </w:rPr>
        <w:t>保密</w:t>
      </w:r>
    </w:p>
    <w:p w14:paraId="59086DCE">
      <w:pPr>
        <w:widowControl/>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14:paraId="42B7DF7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28.2 评标委员会成员和参与评标工作的有关人员对评标情况以及在评标过程中获悉的国家秘密、商业秘密负有保密责任。</w:t>
      </w:r>
    </w:p>
    <w:p w14:paraId="647A2751">
      <w:pPr>
        <w:topLinePunct/>
        <w:autoSpaceDE w:val="0"/>
        <w:autoSpaceDN w:val="0"/>
        <w:adjustRightInd w:val="0"/>
        <w:snapToGrid w:val="0"/>
        <w:spacing w:after="0" w:line="360" w:lineRule="auto"/>
        <w:rPr>
          <w:rFonts w:ascii="宋体" w:hAnsi="宋体" w:cs="宋体"/>
          <w:b/>
          <w:color w:val="auto"/>
          <w:sz w:val="24"/>
          <w:highlight w:val="none"/>
        </w:rPr>
      </w:pPr>
    </w:p>
    <w:p w14:paraId="42720A1B">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29. 知识产权与规避专利、版权纠纷</w:t>
      </w:r>
    </w:p>
    <w:p w14:paraId="7A5D35B7">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eastAsia="zh-CN"/>
        </w:rPr>
        <w:t>2</w:t>
      </w:r>
      <w:r>
        <w:rPr>
          <w:rFonts w:hint="eastAsia" w:ascii="宋体" w:hAnsi="宋体" w:cs="宋体"/>
          <w:color w:val="000000"/>
          <w:sz w:val="24"/>
          <w:highlight w:val="white"/>
          <w:lang w:val="en-US" w:eastAsia="zh-CN"/>
        </w:rPr>
        <w:t>9</w:t>
      </w:r>
      <w:r>
        <w:rPr>
          <w:rFonts w:hint="eastAsia" w:ascii="宋体" w:hAnsi="宋体" w:cs="宋体"/>
          <w:color w:val="000000"/>
          <w:sz w:val="24"/>
          <w:highlight w:val="white"/>
        </w:rPr>
        <w:t>.1 知识产权</w:t>
      </w:r>
    </w:p>
    <w:p w14:paraId="1CEE9737">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 xml:space="preserve">.1.1 </w:t>
      </w:r>
      <w:r>
        <w:rPr>
          <w:rFonts w:hint="eastAsia" w:ascii="宋体" w:hAnsi="宋体" w:cs="宋体"/>
          <w:color w:val="000000"/>
          <w:sz w:val="24"/>
          <w:highlight w:val="white"/>
          <w:lang w:val="en-US" w:eastAsia="zh-CN"/>
        </w:rPr>
        <w:t>本项目涉及需开发的系统的版权属于采购人所有</w:t>
      </w:r>
      <w:r>
        <w:rPr>
          <w:rFonts w:hint="eastAsia" w:ascii="宋体" w:hAnsi="宋体" w:cs="宋体"/>
          <w:color w:val="000000"/>
          <w:sz w:val="24"/>
          <w:highlight w:val="white"/>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hint="eastAsia" w:ascii="宋体" w:hAnsi="宋体" w:cs="宋体"/>
          <w:color w:val="000000"/>
          <w:sz w:val="24"/>
          <w:highlight w:val="white"/>
        </w:rPr>
        <w:t>。</w:t>
      </w:r>
    </w:p>
    <w:p w14:paraId="49B9AEBD">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 规避专利、版权纠纷</w:t>
      </w:r>
    </w:p>
    <w:p w14:paraId="0162A547">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.2.1 投标人应保证其投标方案中的有关软件、文件、图纸等没有违反有关专利和版权等知识产权的规定。</w:t>
      </w:r>
    </w:p>
    <w:p w14:paraId="65AC9161">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.2.2 中标人应保证采购人在中华人民共和国使用本项目成果任何一部分、或接受乙方服务时，免受第三方提出的侵犯其专利权、商标权或工业设计权等知识产权的索赔或起诉。</w:t>
      </w:r>
    </w:p>
    <w:p w14:paraId="6B1C2456">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14:paraId="791D53DC">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14:paraId="41B701F2">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000000"/>
          <w:sz w:val="24"/>
          <w:highlight w:val="white"/>
        </w:rPr>
        <w:br w:type="page"/>
      </w:r>
      <w:r>
        <w:rPr>
          <w:rStyle w:val="39"/>
          <w:rFonts w:hint="eastAsia"/>
          <w:color w:val="000000"/>
          <w:highlight w:val="white"/>
          <w:lang w:val="en-US" w:eastAsia="zh-CN"/>
        </w:rPr>
        <w:t>第三章　评标方法及标准</w:t>
      </w:r>
    </w:p>
    <w:p w14:paraId="1FE2E716">
      <w:pPr>
        <w:spacing w:line="360" w:lineRule="auto"/>
        <w:rPr>
          <w:rFonts w:ascii="宋体" w:hAnsi="宋体" w:eastAsia="宋体" w:cs="宋体"/>
          <w:highlight w:val="none"/>
        </w:rPr>
      </w:pPr>
      <w:r>
        <w:rPr>
          <w:rFonts w:ascii="宋体" w:hAnsi="宋体" w:eastAsia="宋体" w:cs="宋体"/>
          <w:color w:val="000000"/>
          <w:sz w:val="24"/>
          <w:highlight w:val="white"/>
        </w:rPr>
        <w:t xml:space="preserve">    根据财政部《政府采购货物和服务招标投标管理办法》（财政部令第87号）第五十五条规定，本项目拟采用综合评分法，其中价格分值10分，客观分值75分，主观分值15分。具体评审标准如下：</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0"/>
        <w:gridCol w:w="851"/>
        <w:gridCol w:w="1132"/>
        <w:gridCol w:w="1276"/>
        <w:gridCol w:w="3902"/>
        <w:gridCol w:w="1195"/>
      </w:tblGrid>
      <w:tr w14:paraId="7979A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0" w:type="pct"/>
            <w:vAlign w:val="center"/>
          </w:tcPr>
          <w:p w14:paraId="514E1237">
            <w:pPr>
              <w:jc w:val="center"/>
              <w:rPr>
                <w:highlight w:val="none"/>
              </w:rPr>
            </w:pPr>
            <w:r>
              <w:rPr>
                <w:rFonts w:ascii="宋体" w:hAnsi="宋体" w:eastAsia="宋体" w:cs="宋体"/>
                <w:b/>
                <w:color w:val="000000"/>
                <w:sz w:val="21"/>
                <w:highlight w:val="white"/>
              </w:rPr>
              <w:t>序号</w:t>
            </w:r>
          </w:p>
        </w:tc>
        <w:tc>
          <w:tcPr>
            <w:tcW w:w="470" w:type="pct"/>
            <w:vAlign w:val="center"/>
          </w:tcPr>
          <w:p w14:paraId="5734603F">
            <w:pPr>
              <w:jc w:val="center"/>
              <w:rPr>
                <w:highlight w:val="none"/>
              </w:rPr>
            </w:pPr>
            <w:r>
              <w:rPr>
                <w:rFonts w:ascii="宋体" w:hAnsi="宋体" w:eastAsia="宋体" w:cs="宋体"/>
                <w:b/>
                <w:color w:val="000000"/>
                <w:sz w:val="21"/>
                <w:highlight w:val="white"/>
              </w:rPr>
              <w:t>类别</w:t>
            </w:r>
          </w:p>
        </w:tc>
        <w:tc>
          <w:tcPr>
            <w:tcW w:w="625" w:type="pct"/>
            <w:vAlign w:val="center"/>
          </w:tcPr>
          <w:p w14:paraId="095CA8A1">
            <w:pPr>
              <w:jc w:val="center"/>
              <w:rPr>
                <w:highlight w:val="none"/>
              </w:rPr>
            </w:pPr>
            <w:r>
              <w:rPr>
                <w:rFonts w:ascii="宋体" w:hAnsi="宋体" w:eastAsia="宋体" w:cs="宋体"/>
                <w:b/>
                <w:color w:val="000000"/>
                <w:sz w:val="21"/>
                <w:highlight w:val="white"/>
              </w:rPr>
              <w:t>评审因素</w:t>
            </w:r>
          </w:p>
        </w:tc>
        <w:tc>
          <w:tcPr>
            <w:tcW w:w="705" w:type="pct"/>
            <w:vAlign w:val="center"/>
          </w:tcPr>
          <w:p w14:paraId="3642734E">
            <w:pPr>
              <w:jc w:val="center"/>
              <w:rPr>
                <w:highlight w:val="none"/>
              </w:rPr>
            </w:pPr>
            <w:r>
              <w:rPr>
                <w:rFonts w:ascii="宋体" w:hAnsi="宋体" w:eastAsia="宋体" w:cs="宋体"/>
                <w:b/>
                <w:color w:val="000000"/>
                <w:sz w:val="21"/>
                <w:highlight w:val="white"/>
              </w:rPr>
              <w:t>主要内容</w:t>
            </w:r>
          </w:p>
        </w:tc>
        <w:tc>
          <w:tcPr>
            <w:tcW w:w="2155" w:type="pct"/>
            <w:vAlign w:val="center"/>
          </w:tcPr>
          <w:p w14:paraId="47FBCE3F">
            <w:pPr>
              <w:jc w:val="center"/>
              <w:rPr>
                <w:highlight w:val="none"/>
              </w:rPr>
            </w:pPr>
            <w:r>
              <w:rPr>
                <w:rFonts w:ascii="宋体" w:hAnsi="宋体" w:eastAsia="宋体" w:cs="宋体"/>
                <w:b/>
                <w:color w:val="000000"/>
                <w:sz w:val="21"/>
                <w:highlight w:val="white"/>
              </w:rPr>
              <w:t>指标要求</w:t>
            </w:r>
          </w:p>
        </w:tc>
        <w:tc>
          <w:tcPr>
            <w:tcW w:w="660" w:type="pct"/>
            <w:vAlign w:val="center"/>
          </w:tcPr>
          <w:p w14:paraId="44039D7A">
            <w:pPr>
              <w:jc w:val="center"/>
              <w:rPr>
                <w:highlight w:val="none"/>
              </w:rPr>
            </w:pPr>
            <w:r>
              <w:rPr>
                <w:rFonts w:ascii="宋体" w:hAnsi="宋体" w:eastAsia="宋体" w:cs="宋体"/>
                <w:b/>
                <w:color w:val="000000"/>
                <w:sz w:val="21"/>
                <w:highlight w:val="white"/>
              </w:rPr>
              <w:t>细项分值</w:t>
            </w:r>
          </w:p>
        </w:tc>
      </w:tr>
      <w:tr w14:paraId="2E339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553ED429">
            <w:pPr>
              <w:jc w:val="center"/>
              <w:rPr>
                <w:highlight w:val="none"/>
              </w:rPr>
            </w:pPr>
            <w:r>
              <w:rPr>
                <w:rFonts w:ascii="宋体" w:hAnsi="宋体" w:eastAsia="宋体" w:cs="宋体"/>
                <w:color w:val="000000"/>
                <w:sz w:val="21"/>
                <w:highlight w:val="white"/>
              </w:rPr>
              <w:t>1</w:t>
            </w:r>
          </w:p>
        </w:tc>
        <w:tc>
          <w:tcPr>
            <w:vMerge w:val="restart"/>
            <w:vAlign w:val="center"/>
          </w:tcPr>
          <w:p w14:paraId="0ECBE551">
            <w:pPr>
              <w:jc w:val="center"/>
              <w:rPr>
                <w:highlight w:val="none"/>
              </w:rPr>
            </w:pPr>
            <w:r>
              <w:rPr>
                <w:rFonts w:ascii="宋体" w:hAnsi="宋体" w:eastAsia="宋体" w:cs="宋体"/>
                <w:color w:val="000000"/>
                <w:sz w:val="21"/>
                <w:highlight w:val="white"/>
              </w:rPr>
              <w:t>价格分 (10)分</w:t>
            </w:r>
          </w:p>
        </w:tc>
        <w:tc>
          <w:tcPr>
            <w:vMerge w:val="restart"/>
            <w:vAlign w:val="center"/>
          </w:tcPr>
          <w:p w14:paraId="47C9155E">
            <w:pPr>
              <w:jc w:val="center"/>
              <w:rPr>
                <w:highlight w:val="none"/>
              </w:rPr>
            </w:pPr>
            <w:r>
              <w:rPr>
                <w:rFonts w:ascii="宋体" w:hAnsi="宋体" w:eastAsia="宋体" w:cs="宋体"/>
                <w:color w:val="000000"/>
                <w:sz w:val="21"/>
                <w:highlight w:val="white"/>
              </w:rPr>
              <w:t>报价</w:t>
            </w:r>
          </w:p>
        </w:tc>
        <w:tc>
          <w:tcPr>
            <w:vAlign w:val="center"/>
          </w:tcPr>
          <w:p w14:paraId="7829B836">
            <w:pPr>
              <w:jc w:val="center"/>
              <w:rPr>
                <w:highlight w:val="none"/>
              </w:rPr>
            </w:pPr>
            <w:r>
              <w:rPr>
                <w:rFonts w:ascii="宋体" w:hAnsi="宋体" w:eastAsia="宋体" w:cs="宋体"/>
                <w:color w:val="000000"/>
                <w:sz w:val="21"/>
                <w:highlight w:val="white"/>
              </w:rPr>
              <w:t>价格</w:t>
            </w:r>
          </w:p>
        </w:tc>
        <w:tc>
          <w:p w14:paraId="3A65B9B8">
            <w:pPr>
              <w:rPr>
                <w:highlight w:val="none"/>
              </w:rPr>
            </w:pPr>
            <w:r>
              <w:rPr>
                <w:rFonts w:ascii="宋体" w:hAnsi="宋体" w:eastAsia="宋体" w:cs="宋体"/>
                <w:color w:val="000000"/>
                <w:sz w:val="21"/>
                <w:highlight w:val="white"/>
              </w:rPr>
              <w:t>得分S＝（Pmin/P）×10，其中：Pmin为所有供应商的最低有效报价，P为供应商有效报价。</w:t>
            </w:r>
            <w:r>
              <w:rPr>
                <w:color w:val="000000"/>
                <w:highlight w:val="white"/>
              </w:rPr>
              <w:br w:type="textWrapping"/>
            </w:r>
            <w:r>
              <w:rPr>
                <w:color w:val="000000"/>
                <w:highlight w:val="white"/>
              </w:rPr>
              <w:t>对小微企业、监狱企业及残疾人福利性单位的投标价格给予15%的扣除，用扣除后的价格参与评审。</w:t>
            </w:r>
          </w:p>
        </w:tc>
        <w:tc>
          <w:tcPr>
            <w:vAlign w:val="center"/>
          </w:tcPr>
          <w:p w14:paraId="3CB0A0E2">
            <w:pPr>
              <w:jc w:val="center"/>
              <w:rPr>
                <w:highlight w:val="none"/>
              </w:rPr>
            </w:pPr>
            <w:r>
              <w:rPr>
                <w:rFonts w:ascii="宋体" w:hAnsi="宋体" w:eastAsia="宋体" w:cs="宋体"/>
                <w:color w:val="000000"/>
                <w:sz w:val="21"/>
                <w:highlight w:val="white"/>
              </w:rPr>
              <w:t>10</w:t>
            </w:r>
          </w:p>
        </w:tc>
      </w:tr>
      <w:tr w14:paraId="6E591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05F27850">
            <w:pPr>
              <w:jc w:val="center"/>
              <w:rPr>
                <w:highlight w:val="none"/>
              </w:rPr>
            </w:pPr>
            <w:r>
              <w:rPr>
                <w:rFonts w:ascii="宋体" w:hAnsi="宋体" w:eastAsia="宋体" w:cs="宋体"/>
                <w:color w:val="000000"/>
                <w:sz w:val="21"/>
                <w:highlight w:val="white"/>
              </w:rPr>
              <w:t>2</w:t>
            </w:r>
          </w:p>
        </w:tc>
        <w:tc>
          <w:tcPr>
            <w:vMerge w:val="restart"/>
            <w:vAlign w:val="center"/>
          </w:tcPr>
          <w:p w14:paraId="1E83C7F6">
            <w:pPr>
              <w:jc w:val="center"/>
              <w:rPr>
                <w:highlight w:val="none"/>
              </w:rPr>
            </w:pPr>
            <w:r>
              <w:rPr>
                <w:rFonts w:ascii="宋体" w:hAnsi="宋体" w:eastAsia="宋体" w:cs="宋体"/>
                <w:color w:val="000000"/>
                <w:sz w:val="21"/>
                <w:highlight w:val="white"/>
              </w:rPr>
              <w:t>客观分 (75)分</w:t>
            </w:r>
          </w:p>
        </w:tc>
        <w:tc>
          <w:tcPr>
            <w:vMerge w:val="restart"/>
            <w:vAlign w:val="center"/>
          </w:tcPr>
          <w:p w14:paraId="4E13075F">
            <w:pPr>
              <w:jc w:val="center"/>
              <w:rPr>
                <w:highlight w:val="none"/>
              </w:rPr>
            </w:pPr>
            <w:r>
              <w:rPr>
                <w:rFonts w:ascii="宋体" w:hAnsi="宋体" w:eastAsia="宋体" w:cs="宋体"/>
                <w:color w:val="000000"/>
                <w:sz w:val="21"/>
                <w:highlight w:val="white"/>
              </w:rPr>
              <w:t>履约能力</w:t>
            </w:r>
          </w:p>
        </w:tc>
        <w:tc>
          <w:tcPr>
            <w:vAlign w:val="center"/>
          </w:tcPr>
          <w:p w14:paraId="3B2D162A">
            <w:pPr>
              <w:jc w:val="center"/>
              <w:rPr>
                <w:highlight w:val="none"/>
              </w:rPr>
            </w:pPr>
            <w:r>
              <w:rPr>
                <w:rFonts w:ascii="宋体" w:hAnsi="宋体" w:eastAsia="宋体" w:cs="宋体"/>
                <w:color w:val="000000"/>
                <w:sz w:val="21"/>
                <w:highlight w:val="white"/>
              </w:rPr>
              <w:t>相关证书</w:t>
            </w:r>
          </w:p>
        </w:tc>
        <w:tc>
          <w:p w14:paraId="21DE39A5">
            <w:pPr>
              <w:rPr>
                <w:highlight w:val="none"/>
              </w:rPr>
            </w:pPr>
            <w:r>
              <w:rPr>
                <w:rFonts w:ascii="宋体" w:hAnsi="宋体" w:eastAsia="宋体" w:cs="宋体"/>
                <w:color w:val="000000"/>
                <w:sz w:val="21"/>
                <w:highlight w:val="white"/>
              </w:rPr>
              <w:t>1.具有ISO9001:2015质量管理体系认证证书，得1分。</w:t>
            </w:r>
            <w:r>
              <w:rPr>
                <w:color w:val="000000"/>
                <w:highlight w:val="white"/>
              </w:rPr>
              <w:br w:type="textWrapping"/>
            </w:r>
            <w:r>
              <w:rPr>
                <w:color w:val="000000"/>
                <w:highlight w:val="white"/>
              </w:rPr>
              <w:t>2.具有ISO/IEC 27001信息安全管理体系认证证书，得1分。</w:t>
            </w:r>
            <w:r>
              <w:rPr>
                <w:color w:val="000000"/>
                <w:highlight w:val="white"/>
              </w:rPr>
              <w:br w:type="textWrapping"/>
            </w:r>
            <w:r>
              <w:rPr>
                <w:color w:val="000000"/>
                <w:highlight w:val="white"/>
              </w:rPr>
              <w:t>3.具有ISO/IEC 20000信息技术服务管理体系认证证书，得1分。</w:t>
            </w:r>
          </w:p>
        </w:tc>
        <w:tc>
          <w:tcPr>
            <w:vAlign w:val="center"/>
          </w:tcPr>
          <w:p w14:paraId="2606EDBD">
            <w:pPr>
              <w:jc w:val="center"/>
              <w:rPr>
                <w:highlight w:val="none"/>
              </w:rPr>
            </w:pPr>
            <w:r>
              <w:rPr>
                <w:rFonts w:ascii="宋体" w:hAnsi="宋体" w:eastAsia="宋体" w:cs="宋体"/>
                <w:color w:val="000000"/>
                <w:sz w:val="21"/>
                <w:highlight w:val="white"/>
              </w:rPr>
              <w:t>3</w:t>
            </w:r>
          </w:p>
        </w:tc>
      </w:tr>
      <w:tr w14:paraId="3AD54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3B29C29F">
            <w:pPr>
              <w:jc w:val="center"/>
              <w:rPr>
                <w:highlight w:val="none"/>
              </w:rPr>
            </w:pPr>
            <w:r>
              <w:rPr>
                <w:rFonts w:ascii="宋体" w:hAnsi="宋体" w:eastAsia="宋体" w:cs="宋体"/>
                <w:color w:val="000000"/>
                <w:sz w:val="21"/>
                <w:highlight w:val="white"/>
              </w:rPr>
              <w:t>3</w:t>
            </w:r>
          </w:p>
        </w:tc>
        <w:tc>
          <w:tcPr>
            <w:vMerge w:val="continue"/>
            <w:vAlign w:val="center"/>
          </w:tcPr>
          <w:p w14:paraId="49305846">
            <w:pPr>
              <w:jc w:val="center"/>
              <w:rPr>
                <w:highlight w:val="none"/>
              </w:rPr>
            </w:pPr>
            <w:r>
              <w:rPr>
                <w:rFonts w:ascii="宋体" w:hAnsi="宋体" w:eastAsia="宋体" w:cs="宋体"/>
                <w:color w:val="000000"/>
                <w:sz w:val="21"/>
                <w:highlight w:val="white"/>
              </w:rPr>
              <w:t>客观分 (75)分</w:t>
            </w:r>
          </w:p>
        </w:tc>
        <w:tc>
          <w:tcPr>
            <w:vMerge w:val="continue"/>
            <w:vAlign w:val="center"/>
          </w:tcPr>
          <w:p w14:paraId="135A4F3E">
            <w:pPr>
              <w:jc w:val="center"/>
              <w:rPr>
                <w:highlight w:val="none"/>
              </w:rPr>
            </w:pPr>
            <w:r>
              <w:rPr>
                <w:rFonts w:ascii="宋体" w:hAnsi="宋体" w:eastAsia="宋体" w:cs="宋体"/>
                <w:color w:val="000000"/>
                <w:sz w:val="21"/>
                <w:highlight w:val="white"/>
              </w:rPr>
              <w:t>履约能力</w:t>
            </w:r>
          </w:p>
        </w:tc>
        <w:tc>
          <w:tcPr>
            <w:vAlign w:val="center"/>
          </w:tcPr>
          <w:p w14:paraId="08F45BA2">
            <w:pPr>
              <w:jc w:val="center"/>
              <w:rPr>
                <w:highlight w:val="none"/>
              </w:rPr>
            </w:pPr>
            <w:r>
              <w:rPr>
                <w:rFonts w:ascii="宋体" w:hAnsi="宋体" w:eastAsia="宋体" w:cs="宋体"/>
                <w:color w:val="000000"/>
                <w:sz w:val="21"/>
                <w:highlight w:val="white"/>
              </w:rPr>
              <w:t>成功案例</w:t>
            </w:r>
          </w:p>
        </w:tc>
        <w:tc>
          <w:p w14:paraId="2B551311">
            <w:pPr>
              <w:rPr>
                <w:highlight w:val="none"/>
              </w:rPr>
            </w:pPr>
            <w:r>
              <w:rPr>
                <w:rFonts w:ascii="宋体" w:hAnsi="宋体" w:eastAsia="宋体" w:cs="宋体"/>
                <w:color w:val="000000"/>
                <w:sz w:val="21"/>
                <w:highlight w:val="white"/>
              </w:rPr>
              <w:t>有效案例为2021年1月1日以来（以合同签订日期为准），投标人独立承担的相似或类似成功案例，每提供1个得1分，最多得5分。</w:t>
            </w:r>
          </w:p>
        </w:tc>
        <w:tc>
          <w:tcPr>
            <w:vAlign w:val="center"/>
          </w:tcPr>
          <w:p w14:paraId="18B605CF">
            <w:pPr>
              <w:jc w:val="center"/>
              <w:rPr>
                <w:highlight w:val="none"/>
              </w:rPr>
            </w:pPr>
            <w:r>
              <w:rPr>
                <w:rFonts w:ascii="宋体" w:hAnsi="宋体" w:eastAsia="宋体" w:cs="宋体"/>
                <w:color w:val="000000"/>
                <w:sz w:val="21"/>
                <w:highlight w:val="white"/>
              </w:rPr>
              <w:t>5</w:t>
            </w:r>
          </w:p>
        </w:tc>
      </w:tr>
      <w:tr w14:paraId="6E5D0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28B4135B">
            <w:pPr>
              <w:jc w:val="center"/>
              <w:rPr>
                <w:highlight w:val="none"/>
              </w:rPr>
            </w:pPr>
            <w:r>
              <w:rPr>
                <w:rFonts w:ascii="宋体" w:hAnsi="宋体" w:eastAsia="宋体" w:cs="宋体"/>
                <w:color w:val="000000"/>
                <w:sz w:val="21"/>
                <w:highlight w:val="white"/>
              </w:rPr>
              <w:t>4</w:t>
            </w:r>
          </w:p>
        </w:tc>
        <w:tc>
          <w:tcPr>
            <w:vMerge w:val="continue"/>
            <w:vAlign w:val="center"/>
          </w:tcPr>
          <w:p w14:paraId="45BA5260">
            <w:pPr>
              <w:jc w:val="center"/>
              <w:rPr>
                <w:highlight w:val="none"/>
              </w:rPr>
            </w:pPr>
            <w:r>
              <w:rPr>
                <w:rFonts w:ascii="宋体" w:hAnsi="宋体" w:eastAsia="宋体" w:cs="宋体"/>
                <w:color w:val="000000"/>
                <w:sz w:val="21"/>
                <w:highlight w:val="white"/>
              </w:rPr>
              <w:t>客观分 (75)分</w:t>
            </w:r>
          </w:p>
        </w:tc>
        <w:tc>
          <w:tcPr>
            <w:vMerge w:val="continue"/>
            <w:vAlign w:val="center"/>
          </w:tcPr>
          <w:p w14:paraId="1C9634D8">
            <w:pPr>
              <w:jc w:val="center"/>
              <w:rPr>
                <w:highlight w:val="none"/>
              </w:rPr>
            </w:pPr>
            <w:r>
              <w:rPr>
                <w:rFonts w:ascii="宋体" w:hAnsi="宋体" w:eastAsia="宋体" w:cs="宋体"/>
                <w:color w:val="000000"/>
                <w:sz w:val="21"/>
                <w:highlight w:val="white"/>
              </w:rPr>
              <w:t>履约能力</w:t>
            </w:r>
          </w:p>
        </w:tc>
        <w:tc>
          <w:tcPr>
            <w:vAlign w:val="center"/>
          </w:tcPr>
          <w:p w14:paraId="7C7B943A">
            <w:pPr>
              <w:jc w:val="center"/>
              <w:rPr>
                <w:highlight w:val="none"/>
              </w:rPr>
            </w:pPr>
            <w:r>
              <w:rPr>
                <w:rFonts w:ascii="宋体" w:hAnsi="宋体" w:eastAsia="宋体" w:cs="宋体"/>
                <w:color w:val="000000"/>
                <w:sz w:val="21"/>
                <w:highlight w:val="white"/>
              </w:rPr>
              <w:t>技术力量1</w:t>
            </w:r>
          </w:p>
        </w:tc>
        <w:tc>
          <w:p w14:paraId="25A78FF7">
            <w:pPr>
              <w:rPr>
                <w:highlight w:val="none"/>
              </w:rPr>
            </w:pPr>
            <w:r>
              <w:rPr>
                <w:rFonts w:ascii="宋体" w:hAnsi="宋体" w:eastAsia="宋体" w:cs="宋体"/>
                <w:color w:val="000000"/>
                <w:sz w:val="21"/>
                <w:highlight w:val="white"/>
              </w:rPr>
              <w:t>投入本项目的项目经理（1人）：</w:t>
            </w:r>
            <w:r>
              <w:rPr>
                <w:color w:val="000000"/>
                <w:highlight w:val="white"/>
              </w:rPr>
              <w:br w:type="textWrapping"/>
            </w:r>
            <w:r>
              <w:rPr>
                <w:color w:val="000000"/>
                <w:highlight w:val="white"/>
              </w:rPr>
              <w:t>具有信息系统项目管理师证书，得1分；（同时提供投标人为项目经理缴纳社保的证明材料，否则不得分）</w:t>
            </w:r>
          </w:p>
        </w:tc>
        <w:tc>
          <w:tcPr>
            <w:vAlign w:val="center"/>
          </w:tcPr>
          <w:p w14:paraId="6283E547">
            <w:pPr>
              <w:jc w:val="center"/>
              <w:rPr>
                <w:highlight w:val="none"/>
              </w:rPr>
            </w:pPr>
            <w:r>
              <w:rPr>
                <w:rFonts w:ascii="宋体" w:hAnsi="宋体" w:eastAsia="宋体" w:cs="宋体"/>
                <w:color w:val="000000"/>
                <w:sz w:val="21"/>
                <w:highlight w:val="white"/>
              </w:rPr>
              <w:t>1</w:t>
            </w:r>
          </w:p>
        </w:tc>
      </w:tr>
      <w:tr w14:paraId="48392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1E002BC1">
            <w:pPr>
              <w:jc w:val="center"/>
              <w:rPr>
                <w:highlight w:val="none"/>
              </w:rPr>
            </w:pPr>
            <w:r>
              <w:rPr>
                <w:rFonts w:ascii="宋体" w:hAnsi="宋体" w:eastAsia="宋体" w:cs="宋体"/>
                <w:color w:val="000000"/>
                <w:sz w:val="21"/>
                <w:highlight w:val="white"/>
              </w:rPr>
              <w:t>5</w:t>
            </w:r>
          </w:p>
        </w:tc>
        <w:tc>
          <w:tcPr>
            <w:vMerge w:val="continue"/>
            <w:vAlign w:val="center"/>
          </w:tcPr>
          <w:p w14:paraId="145E793F">
            <w:pPr>
              <w:jc w:val="center"/>
              <w:rPr>
                <w:highlight w:val="none"/>
              </w:rPr>
            </w:pPr>
            <w:r>
              <w:rPr>
                <w:rFonts w:ascii="宋体" w:hAnsi="宋体" w:eastAsia="宋体" w:cs="宋体"/>
                <w:color w:val="000000"/>
                <w:sz w:val="21"/>
                <w:highlight w:val="white"/>
              </w:rPr>
              <w:t>客观分 (75)分</w:t>
            </w:r>
          </w:p>
        </w:tc>
        <w:tc>
          <w:tcPr>
            <w:vMerge w:val="continue"/>
            <w:vAlign w:val="center"/>
          </w:tcPr>
          <w:p w14:paraId="00778D74">
            <w:pPr>
              <w:jc w:val="center"/>
              <w:rPr>
                <w:highlight w:val="none"/>
              </w:rPr>
            </w:pPr>
            <w:r>
              <w:rPr>
                <w:rFonts w:ascii="宋体" w:hAnsi="宋体" w:eastAsia="宋体" w:cs="宋体"/>
                <w:color w:val="000000"/>
                <w:sz w:val="21"/>
                <w:highlight w:val="white"/>
              </w:rPr>
              <w:t>履约能力</w:t>
            </w:r>
          </w:p>
        </w:tc>
        <w:tc>
          <w:tcPr>
            <w:vAlign w:val="center"/>
          </w:tcPr>
          <w:p w14:paraId="1090828E">
            <w:pPr>
              <w:jc w:val="center"/>
              <w:rPr>
                <w:highlight w:val="none"/>
              </w:rPr>
            </w:pPr>
            <w:r>
              <w:rPr>
                <w:rFonts w:ascii="宋体" w:hAnsi="宋体" w:eastAsia="宋体" w:cs="宋体"/>
                <w:color w:val="000000"/>
                <w:sz w:val="21"/>
                <w:highlight w:val="white"/>
              </w:rPr>
              <w:t>技术力量2</w:t>
            </w:r>
          </w:p>
        </w:tc>
        <w:tc>
          <w:p w14:paraId="3EB5490C">
            <w:pPr>
              <w:rPr>
                <w:highlight w:val="none"/>
              </w:rPr>
            </w:pPr>
            <w:r>
              <w:rPr>
                <w:rFonts w:ascii="宋体" w:hAnsi="宋体" w:eastAsia="宋体" w:cs="宋体"/>
                <w:color w:val="000000"/>
                <w:sz w:val="21"/>
                <w:highlight w:val="white"/>
              </w:rPr>
              <w:t>根据投标人明确本项目的技术人员提供计算机技术与软件专业技术资格相关证书进行打分（同时提供投标人为技术人员缴纳社保的证明材料，否则不得分）：</w:t>
            </w:r>
            <w:r>
              <w:rPr>
                <w:color w:val="000000"/>
                <w:highlight w:val="white"/>
              </w:rPr>
              <w:br w:type="textWrapping"/>
            </w:r>
            <w:r>
              <w:rPr>
                <w:color w:val="000000"/>
                <w:highlight w:val="white"/>
              </w:rPr>
              <w:t>1、具有计算机技术与软件专业技术初级资格证书的（包括程序员、信息系统运行管理员），每提供1个，得0.5分，最多得1分；</w:t>
            </w:r>
            <w:r>
              <w:rPr>
                <w:color w:val="000000"/>
                <w:highlight w:val="white"/>
              </w:rPr>
              <w:br w:type="textWrapping"/>
            </w:r>
            <w:r>
              <w:rPr>
                <w:color w:val="000000"/>
                <w:highlight w:val="white"/>
              </w:rPr>
              <w:t>2、具有计算机技术与软件专业技术中级资格证书的（包括软件评测师、软件设计师、软件过程能力评估师、系统集成项目管理工程师、信息系统监理师、信息安全工程师、数据库系统工程师、信息系统管理工程师），每提供1个，得1分，最多得3分(1人多证，不重复得分）；</w:t>
            </w:r>
            <w:r>
              <w:rPr>
                <w:color w:val="000000"/>
                <w:highlight w:val="white"/>
              </w:rPr>
              <w:br w:type="textWrapping"/>
            </w:r>
            <w:r>
              <w:rPr>
                <w:color w:val="000000"/>
                <w:highlight w:val="white"/>
              </w:rPr>
              <w:t>3、具有计算机技术与软件专业技术高级资格证书的（包括信息系统项目管理师、系统分析师、系统架构设计师），每提供1个，得2分，最多得2分(1人多证，不重复得分）。</w:t>
            </w:r>
          </w:p>
        </w:tc>
        <w:tc>
          <w:tcPr>
            <w:vAlign w:val="center"/>
          </w:tcPr>
          <w:p w14:paraId="03F649D7">
            <w:pPr>
              <w:jc w:val="center"/>
              <w:rPr>
                <w:highlight w:val="none"/>
              </w:rPr>
            </w:pPr>
            <w:r>
              <w:rPr>
                <w:rFonts w:ascii="宋体" w:hAnsi="宋体" w:eastAsia="宋体" w:cs="宋体"/>
                <w:color w:val="000000"/>
                <w:sz w:val="21"/>
                <w:highlight w:val="white"/>
              </w:rPr>
              <w:t>6</w:t>
            </w:r>
          </w:p>
        </w:tc>
      </w:tr>
      <w:tr w14:paraId="060E3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0944AD4C">
            <w:pPr>
              <w:jc w:val="center"/>
              <w:rPr>
                <w:highlight w:val="none"/>
              </w:rPr>
            </w:pPr>
            <w:r>
              <w:rPr>
                <w:rFonts w:ascii="宋体" w:hAnsi="宋体" w:eastAsia="宋体" w:cs="宋体"/>
                <w:color w:val="000000"/>
                <w:sz w:val="21"/>
                <w:highlight w:val="white"/>
              </w:rPr>
              <w:t>6</w:t>
            </w:r>
          </w:p>
        </w:tc>
        <w:tc>
          <w:tcPr>
            <w:vMerge w:val="continue"/>
            <w:vAlign w:val="center"/>
          </w:tcPr>
          <w:p w14:paraId="1B93D7D4">
            <w:pPr>
              <w:jc w:val="center"/>
              <w:rPr>
                <w:highlight w:val="none"/>
              </w:rPr>
            </w:pPr>
            <w:r>
              <w:rPr>
                <w:rFonts w:ascii="宋体" w:hAnsi="宋体" w:eastAsia="宋体" w:cs="宋体"/>
                <w:color w:val="000000"/>
                <w:sz w:val="21"/>
                <w:highlight w:val="white"/>
              </w:rPr>
              <w:t>客观分 (75)分</w:t>
            </w:r>
          </w:p>
        </w:tc>
        <w:tc>
          <w:tcPr>
            <w:vMerge w:val="restart"/>
            <w:vAlign w:val="center"/>
          </w:tcPr>
          <w:p w14:paraId="1F58B8CF">
            <w:pPr>
              <w:jc w:val="center"/>
              <w:rPr>
                <w:highlight w:val="none"/>
              </w:rPr>
            </w:pPr>
            <w:r>
              <w:rPr>
                <w:rFonts w:ascii="宋体" w:hAnsi="宋体" w:eastAsia="宋体" w:cs="宋体"/>
                <w:color w:val="000000"/>
                <w:sz w:val="21"/>
                <w:highlight w:val="white"/>
              </w:rPr>
              <w:t>技术和服务客观指标</w:t>
            </w:r>
          </w:p>
        </w:tc>
        <w:tc>
          <w:tcPr>
            <w:vAlign w:val="center"/>
          </w:tcPr>
          <w:p w14:paraId="33E1349F">
            <w:pPr>
              <w:jc w:val="center"/>
              <w:rPr>
                <w:highlight w:val="none"/>
              </w:rPr>
            </w:pPr>
            <w:r>
              <w:rPr>
                <w:rFonts w:ascii="宋体" w:hAnsi="宋体" w:eastAsia="宋体" w:cs="宋体"/>
                <w:color w:val="000000"/>
                <w:sz w:val="21"/>
                <w:highlight w:val="white"/>
              </w:rPr>
              <w:t>满足指标要求情况</w:t>
            </w:r>
          </w:p>
        </w:tc>
        <w:tc>
          <w:p w14:paraId="5D8AAC40">
            <w:pPr>
              <w:rPr>
                <w:highlight w:val="none"/>
              </w:rPr>
            </w:pPr>
            <w:r>
              <w:rPr>
                <w:rFonts w:ascii="宋体" w:hAnsi="宋体" w:eastAsia="宋体" w:cs="宋体"/>
                <w:color w:val="000000"/>
                <w:sz w:val="21"/>
                <w:highlight w:val="white"/>
              </w:rPr>
              <w:t>本项目采购文件技术部分中:</w:t>
            </w:r>
            <w:r>
              <w:rPr>
                <w:color w:val="000000"/>
                <w:highlight w:val="white"/>
              </w:rPr>
              <w:br w:type="textWrapping"/>
            </w:r>
            <w:r>
              <w:rPr>
                <w:color w:val="000000"/>
                <w:highlight w:val="white"/>
              </w:rPr>
              <w:t>★代表最关键指标项，不满足该指标项属于无效投标；</w:t>
            </w:r>
            <w:r>
              <w:rPr>
                <w:color w:val="000000"/>
                <w:highlight w:val="white"/>
              </w:rPr>
              <w:br w:type="textWrapping"/>
            </w:r>
            <w:r>
              <w:rPr>
                <w:color w:val="000000"/>
                <w:highlight w:val="white"/>
              </w:rPr>
              <w:t>▲代表重要指标，满足或优于该指标得2.5分，共计24项；</w:t>
            </w:r>
            <w:r>
              <w:rPr>
                <w:color w:val="000000"/>
                <w:highlight w:val="white"/>
              </w:rPr>
              <w:br w:type="textWrapping"/>
            </w:r>
            <w:r>
              <w:rPr>
                <w:color w:val="000000"/>
                <w:highlight w:val="white"/>
              </w:rPr>
              <w:t>对于同一指标项中的多条（行）描述，有一条（行）描述不满足，该项不得分。</w:t>
            </w:r>
          </w:p>
        </w:tc>
        <w:tc>
          <w:tcPr>
            <w:vAlign w:val="center"/>
          </w:tcPr>
          <w:p w14:paraId="1DAFB336">
            <w:pPr>
              <w:jc w:val="center"/>
              <w:rPr>
                <w:highlight w:val="none"/>
              </w:rPr>
            </w:pPr>
            <w:r>
              <w:rPr>
                <w:rFonts w:ascii="宋体" w:hAnsi="宋体" w:eastAsia="宋体" w:cs="宋体"/>
                <w:color w:val="000000"/>
                <w:sz w:val="21"/>
                <w:highlight w:val="white"/>
              </w:rPr>
              <w:t>60</w:t>
            </w:r>
          </w:p>
        </w:tc>
      </w:tr>
      <w:tr w14:paraId="500F0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29847A74">
            <w:pPr>
              <w:jc w:val="center"/>
              <w:rPr>
                <w:highlight w:val="none"/>
              </w:rPr>
            </w:pPr>
            <w:r>
              <w:rPr>
                <w:rFonts w:ascii="宋体" w:hAnsi="宋体" w:eastAsia="宋体" w:cs="宋体"/>
                <w:color w:val="000000"/>
                <w:sz w:val="21"/>
                <w:highlight w:val="white"/>
              </w:rPr>
              <w:t>7</w:t>
            </w:r>
          </w:p>
        </w:tc>
        <w:tc>
          <w:tcPr>
            <w:vMerge w:val="restart"/>
            <w:vAlign w:val="center"/>
          </w:tcPr>
          <w:p w14:paraId="6FC72F7B">
            <w:pPr>
              <w:jc w:val="center"/>
              <w:rPr>
                <w:highlight w:val="none"/>
              </w:rPr>
            </w:pPr>
            <w:r>
              <w:rPr>
                <w:rFonts w:ascii="宋体" w:hAnsi="宋体" w:eastAsia="宋体" w:cs="宋体"/>
                <w:color w:val="000000"/>
                <w:sz w:val="21"/>
                <w:highlight w:val="white"/>
              </w:rPr>
              <w:t>主观分 (15)分</w:t>
            </w:r>
          </w:p>
        </w:tc>
        <w:tc>
          <w:tcPr>
            <w:vMerge w:val="restart"/>
            <w:vAlign w:val="center"/>
          </w:tcPr>
          <w:p w14:paraId="507D1B6E">
            <w:pPr>
              <w:jc w:val="center"/>
              <w:rPr>
                <w:highlight w:val="none"/>
              </w:rPr>
            </w:pPr>
            <w:r>
              <w:rPr>
                <w:rFonts w:ascii="宋体" w:hAnsi="宋体" w:eastAsia="宋体" w:cs="宋体"/>
                <w:color w:val="000000"/>
                <w:sz w:val="21"/>
                <w:highlight w:val="white"/>
              </w:rPr>
              <w:t>技术和服务水平</w:t>
            </w:r>
          </w:p>
        </w:tc>
        <w:tc>
          <w:tcPr>
            <w:vAlign w:val="center"/>
          </w:tcPr>
          <w:p w14:paraId="2917776C">
            <w:pPr>
              <w:jc w:val="center"/>
              <w:rPr>
                <w:highlight w:val="none"/>
              </w:rPr>
            </w:pPr>
            <w:r>
              <w:rPr>
                <w:rFonts w:ascii="宋体" w:hAnsi="宋体" w:eastAsia="宋体" w:cs="宋体"/>
                <w:color w:val="000000"/>
                <w:sz w:val="21"/>
                <w:highlight w:val="white"/>
              </w:rPr>
              <w:t>管理实施方案</w:t>
            </w:r>
          </w:p>
        </w:tc>
        <w:tc>
          <w:p w14:paraId="37128687">
            <w:pPr>
              <w:rPr>
                <w:highlight w:val="none"/>
              </w:rPr>
            </w:pPr>
            <w:r>
              <w:rPr>
                <w:rFonts w:ascii="宋体" w:hAnsi="宋体" w:eastAsia="宋体" w:cs="宋体"/>
                <w:color w:val="000000"/>
                <w:sz w:val="21"/>
                <w:highlight w:val="white"/>
              </w:rPr>
              <w:t>投标人提供的方案内容应包含1.项目管理实施总要求；2.项目实施进度；3.项目质量管理。方案中每提供1项且内容完整、详细、完全符合本项目实际情况、可操作性强的得1分，最多得3分。否则不得分。</w:t>
            </w:r>
          </w:p>
        </w:tc>
        <w:tc>
          <w:tcPr>
            <w:vAlign w:val="center"/>
          </w:tcPr>
          <w:p w14:paraId="1C91A9C7">
            <w:pPr>
              <w:jc w:val="center"/>
              <w:rPr>
                <w:highlight w:val="none"/>
              </w:rPr>
            </w:pPr>
            <w:r>
              <w:rPr>
                <w:rFonts w:ascii="宋体" w:hAnsi="宋体" w:eastAsia="宋体" w:cs="宋体"/>
                <w:color w:val="000000"/>
                <w:sz w:val="21"/>
                <w:highlight w:val="white"/>
              </w:rPr>
              <w:t>3</w:t>
            </w:r>
          </w:p>
        </w:tc>
      </w:tr>
      <w:tr w14:paraId="3033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06CF100B">
            <w:pPr>
              <w:jc w:val="center"/>
              <w:rPr>
                <w:highlight w:val="none"/>
              </w:rPr>
            </w:pPr>
            <w:r>
              <w:rPr>
                <w:rFonts w:ascii="宋体" w:hAnsi="宋体" w:eastAsia="宋体" w:cs="宋体"/>
                <w:color w:val="000000"/>
                <w:sz w:val="21"/>
                <w:highlight w:val="white"/>
              </w:rPr>
              <w:t>8</w:t>
            </w:r>
          </w:p>
        </w:tc>
        <w:tc>
          <w:tcPr>
            <w:vMerge w:val="continue"/>
            <w:vAlign w:val="center"/>
          </w:tcPr>
          <w:p w14:paraId="08888AAC">
            <w:pPr>
              <w:jc w:val="center"/>
              <w:rPr>
                <w:highlight w:val="none"/>
              </w:rPr>
            </w:pPr>
            <w:r>
              <w:rPr>
                <w:rFonts w:ascii="宋体" w:hAnsi="宋体" w:eastAsia="宋体" w:cs="宋体"/>
                <w:color w:val="000000"/>
                <w:sz w:val="21"/>
                <w:highlight w:val="white"/>
              </w:rPr>
              <w:t>主观分 (15)分</w:t>
            </w:r>
          </w:p>
        </w:tc>
        <w:tc>
          <w:tcPr>
            <w:vMerge w:val="continue"/>
            <w:vAlign w:val="center"/>
          </w:tcPr>
          <w:p w14:paraId="0B19BD1D">
            <w:pPr>
              <w:jc w:val="center"/>
              <w:rPr>
                <w:highlight w:val="none"/>
              </w:rPr>
            </w:pPr>
            <w:r>
              <w:rPr>
                <w:rFonts w:ascii="宋体" w:hAnsi="宋体" w:eastAsia="宋体" w:cs="宋体"/>
                <w:color w:val="000000"/>
                <w:sz w:val="21"/>
                <w:highlight w:val="white"/>
              </w:rPr>
              <w:t>技术和服务水平</w:t>
            </w:r>
          </w:p>
        </w:tc>
        <w:tc>
          <w:tcPr>
            <w:vAlign w:val="center"/>
          </w:tcPr>
          <w:p w14:paraId="0B38D4B8">
            <w:pPr>
              <w:jc w:val="center"/>
              <w:rPr>
                <w:highlight w:val="none"/>
              </w:rPr>
            </w:pPr>
            <w:r>
              <w:rPr>
                <w:rFonts w:ascii="宋体" w:hAnsi="宋体" w:eastAsia="宋体" w:cs="宋体"/>
                <w:color w:val="000000"/>
                <w:sz w:val="21"/>
                <w:highlight w:val="white"/>
              </w:rPr>
              <w:t>运维服务方案</w:t>
            </w:r>
          </w:p>
        </w:tc>
        <w:tc>
          <w:p w14:paraId="070F88A6">
            <w:pPr>
              <w:rPr>
                <w:highlight w:val="none"/>
              </w:rPr>
            </w:pPr>
            <w:r>
              <w:rPr>
                <w:rFonts w:ascii="宋体" w:hAnsi="宋体" w:eastAsia="宋体" w:cs="宋体"/>
                <w:color w:val="000000"/>
                <w:sz w:val="21"/>
                <w:highlight w:val="white"/>
              </w:rPr>
              <w:t>投标人提供的方案内容应包含1.服务方式；2.服务标准；3.服务管理制度。方案中每提供1项且内容完整、详细、完全符合本项目实际情况、可操作性强的得1分，最多得3分。否则不得分。</w:t>
            </w:r>
          </w:p>
        </w:tc>
        <w:tc>
          <w:tcPr>
            <w:vAlign w:val="center"/>
          </w:tcPr>
          <w:p w14:paraId="2485B397">
            <w:pPr>
              <w:jc w:val="center"/>
              <w:rPr>
                <w:highlight w:val="none"/>
              </w:rPr>
            </w:pPr>
            <w:r>
              <w:rPr>
                <w:rFonts w:ascii="宋体" w:hAnsi="宋体" w:eastAsia="宋体" w:cs="宋体"/>
                <w:color w:val="000000"/>
                <w:sz w:val="21"/>
                <w:highlight w:val="white"/>
              </w:rPr>
              <w:t>3</w:t>
            </w:r>
          </w:p>
        </w:tc>
      </w:tr>
      <w:tr w14:paraId="5554B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1752A59A">
            <w:pPr>
              <w:jc w:val="center"/>
              <w:rPr>
                <w:highlight w:val="none"/>
              </w:rPr>
            </w:pPr>
            <w:r>
              <w:rPr>
                <w:rFonts w:ascii="宋体" w:hAnsi="宋体" w:eastAsia="宋体" w:cs="宋体"/>
                <w:color w:val="000000"/>
                <w:sz w:val="21"/>
                <w:highlight w:val="white"/>
              </w:rPr>
              <w:t>9</w:t>
            </w:r>
          </w:p>
        </w:tc>
        <w:tc>
          <w:tcPr>
            <w:vMerge w:val="continue"/>
            <w:vAlign w:val="center"/>
          </w:tcPr>
          <w:p w14:paraId="634FEAFD">
            <w:pPr>
              <w:jc w:val="center"/>
              <w:rPr>
                <w:highlight w:val="none"/>
              </w:rPr>
            </w:pPr>
            <w:r>
              <w:rPr>
                <w:rFonts w:ascii="宋体" w:hAnsi="宋体" w:eastAsia="宋体" w:cs="宋体"/>
                <w:color w:val="000000"/>
                <w:sz w:val="21"/>
                <w:highlight w:val="white"/>
              </w:rPr>
              <w:t>主观分 (15)分</w:t>
            </w:r>
          </w:p>
        </w:tc>
        <w:tc>
          <w:tcPr>
            <w:vMerge w:val="continue"/>
            <w:vAlign w:val="center"/>
          </w:tcPr>
          <w:p w14:paraId="4F608DA5">
            <w:pPr>
              <w:jc w:val="center"/>
              <w:rPr>
                <w:highlight w:val="none"/>
              </w:rPr>
            </w:pPr>
            <w:r>
              <w:rPr>
                <w:rFonts w:ascii="宋体" w:hAnsi="宋体" w:eastAsia="宋体" w:cs="宋体"/>
                <w:color w:val="000000"/>
                <w:sz w:val="21"/>
                <w:highlight w:val="white"/>
              </w:rPr>
              <w:t>技术和服务水平</w:t>
            </w:r>
          </w:p>
        </w:tc>
        <w:tc>
          <w:tcPr>
            <w:vAlign w:val="center"/>
          </w:tcPr>
          <w:p w14:paraId="774B759E">
            <w:pPr>
              <w:jc w:val="center"/>
              <w:rPr>
                <w:highlight w:val="none"/>
              </w:rPr>
            </w:pPr>
            <w:r>
              <w:rPr>
                <w:rFonts w:ascii="宋体" w:hAnsi="宋体" w:eastAsia="宋体" w:cs="宋体"/>
                <w:color w:val="000000"/>
                <w:sz w:val="21"/>
                <w:highlight w:val="white"/>
              </w:rPr>
              <w:t>应急及安全保障方案</w:t>
            </w:r>
          </w:p>
        </w:tc>
        <w:tc>
          <w:p w14:paraId="634001C8">
            <w:pPr>
              <w:rPr>
                <w:highlight w:val="none"/>
              </w:rPr>
            </w:pPr>
            <w:r>
              <w:rPr>
                <w:rFonts w:ascii="宋体" w:hAnsi="宋体" w:eastAsia="宋体" w:cs="宋体"/>
                <w:color w:val="000000"/>
                <w:sz w:val="21"/>
                <w:highlight w:val="white"/>
              </w:rPr>
              <w:t>投标人提供的方案内容应包含1.安全保障方法；2.预警和预防机制；3.应急响应及处置措施。方案中每提供1项且内容完整、详细、完全符合本项目实际情况、可操作性强的得1分，最多得3分。否则不得分。</w:t>
            </w:r>
          </w:p>
        </w:tc>
        <w:tc>
          <w:tcPr>
            <w:vAlign w:val="center"/>
          </w:tcPr>
          <w:p w14:paraId="7FF8083B">
            <w:pPr>
              <w:jc w:val="center"/>
              <w:rPr>
                <w:highlight w:val="none"/>
              </w:rPr>
            </w:pPr>
            <w:r>
              <w:rPr>
                <w:rFonts w:ascii="宋体" w:hAnsi="宋体" w:eastAsia="宋体" w:cs="宋体"/>
                <w:color w:val="000000"/>
                <w:sz w:val="21"/>
                <w:highlight w:val="white"/>
              </w:rPr>
              <w:t>3</w:t>
            </w:r>
          </w:p>
        </w:tc>
      </w:tr>
      <w:tr w14:paraId="68A96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46B640E7">
            <w:pPr>
              <w:jc w:val="center"/>
              <w:rPr>
                <w:highlight w:val="none"/>
              </w:rPr>
            </w:pPr>
            <w:r>
              <w:rPr>
                <w:rFonts w:ascii="宋体" w:hAnsi="宋体" w:eastAsia="宋体" w:cs="宋体"/>
                <w:color w:val="000000"/>
                <w:sz w:val="21"/>
                <w:highlight w:val="white"/>
              </w:rPr>
              <w:t>10</w:t>
            </w:r>
          </w:p>
        </w:tc>
        <w:tc>
          <w:tcPr>
            <w:vMerge w:val="continue"/>
            <w:vAlign w:val="center"/>
          </w:tcPr>
          <w:p w14:paraId="086D3B00">
            <w:pPr>
              <w:jc w:val="center"/>
              <w:rPr>
                <w:highlight w:val="none"/>
              </w:rPr>
            </w:pPr>
            <w:r>
              <w:rPr>
                <w:rFonts w:ascii="宋体" w:hAnsi="宋体" w:eastAsia="宋体" w:cs="宋体"/>
                <w:color w:val="000000"/>
                <w:sz w:val="21"/>
                <w:highlight w:val="white"/>
              </w:rPr>
              <w:t>主观分 (15)分</w:t>
            </w:r>
          </w:p>
        </w:tc>
        <w:tc>
          <w:tcPr>
            <w:vMerge w:val="continue"/>
            <w:vAlign w:val="center"/>
          </w:tcPr>
          <w:p w14:paraId="2CE31731">
            <w:pPr>
              <w:jc w:val="center"/>
              <w:rPr>
                <w:highlight w:val="none"/>
              </w:rPr>
            </w:pPr>
            <w:r>
              <w:rPr>
                <w:rFonts w:ascii="宋体" w:hAnsi="宋体" w:eastAsia="宋体" w:cs="宋体"/>
                <w:color w:val="000000"/>
                <w:sz w:val="21"/>
                <w:highlight w:val="white"/>
              </w:rPr>
              <w:t>技术和服务水平</w:t>
            </w:r>
          </w:p>
        </w:tc>
        <w:tc>
          <w:tcPr>
            <w:vAlign w:val="center"/>
          </w:tcPr>
          <w:p w14:paraId="41DD9028">
            <w:pPr>
              <w:jc w:val="center"/>
              <w:rPr>
                <w:highlight w:val="none"/>
              </w:rPr>
            </w:pPr>
            <w:r>
              <w:rPr>
                <w:rFonts w:ascii="宋体" w:hAnsi="宋体" w:eastAsia="宋体" w:cs="宋体"/>
                <w:color w:val="000000"/>
                <w:sz w:val="21"/>
                <w:highlight w:val="white"/>
              </w:rPr>
              <w:t>升级改造方案</w:t>
            </w:r>
          </w:p>
        </w:tc>
        <w:tc>
          <w:p w14:paraId="1041813C">
            <w:pPr>
              <w:rPr>
                <w:highlight w:val="none"/>
              </w:rPr>
            </w:pPr>
            <w:r>
              <w:rPr>
                <w:rFonts w:ascii="宋体" w:hAnsi="宋体" w:eastAsia="宋体" w:cs="宋体"/>
                <w:color w:val="000000"/>
                <w:sz w:val="21"/>
                <w:highlight w:val="white"/>
              </w:rPr>
              <w:t>投标人提供的方案内容应包含1.需求分析；2.升级计划；3.技术评估及培训。方案中每提供1项且内容完整、详细、完全符合本项目实际情况、可操作性强的得1分，最多得3分。否则不得分。</w:t>
            </w:r>
          </w:p>
        </w:tc>
        <w:tc>
          <w:tcPr>
            <w:vAlign w:val="center"/>
          </w:tcPr>
          <w:p w14:paraId="161C4C4D">
            <w:pPr>
              <w:jc w:val="center"/>
              <w:rPr>
                <w:highlight w:val="none"/>
              </w:rPr>
            </w:pPr>
            <w:r>
              <w:rPr>
                <w:rFonts w:ascii="宋体" w:hAnsi="宋体" w:eastAsia="宋体" w:cs="宋体"/>
                <w:color w:val="000000"/>
                <w:sz w:val="21"/>
                <w:highlight w:val="white"/>
              </w:rPr>
              <w:t>3</w:t>
            </w:r>
          </w:p>
        </w:tc>
      </w:tr>
      <w:tr w14:paraId="19DA3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4025E6F4">
            <w:pPr>
              <w:jc w:val="center"/>
              <w:rPr>
                <w:highlight w:val="none"/>
              </w:rPr>
            </w:pPr>
            <w:r>
              <w:rPr>
                <w:rFonts w:ascii="宋体" w:hAnsi="宋体" w:eastAsia="宋体" w:cs="宋体"/>
                <w:color w:val="000000"/>
                <w:sz w:val="21"/>
                <w:highlight w:val="white"/>
              </w:rPr>
              <w:t>11</w:t>
            </w:r>
          </w:p>
        </w:tc>
        <w:tc>
          <w:tcPr>
            <w:vMerge w:val="continue"/>
            <w:vAlign w:val="center"/>
          </w:tcPr>
          <w:p w14:paraId="05FFB7EA">
            <w:pPr>
              <w:jc w:val="center"/>
              <w:rPr>
                <w:highlight w:val="none"/>
              </w:rPr>
            </w:pPr>
            <w:r>
              <w:rPr>
                <w:rFonts w:ascii="宋体" w:hAnsi="宋体" w:eastAsia="宋体" w:cs="宋体"/>
                <w:color w:val="000000"/>
                <w:sz w:val="21"/>
                <w:highlight w:val="white"/>
              </w:rPr>
              <w:t>主观分 (15)分</w:t>
            </w:r>
          </w:p>
        </w:tc>
        <w:tc>
          <w:tcPr>
            <w:vMerge w:val="continue"/>
            <w:vAlign w:val="center"/>
          </w:tcPr>
          <w:p w14:paraId="1B86C951">
            <w:pPr>
              <w:jc w:val="center"/>
              <w:rPr>
                <w:highlight w:val="none"/>
              </w:rPr>
            </w:pPr>
            <w:r>
              <w:rPr>
                <w:rFonts w:ascii="宋体" w:hAnsi="宋体" w:eastAsia="宋体" w:cs="宋体"/>
                <w:color w:val="000000"/>
                <w:sz w:val="21"/>
                <w:highlight w:val="white"/>
              </w:rPr>
              <w:t>技术和服务水平</w:t>
            </w:r>
          </w:p>
        </w:tc>
        <w:tc>
          <w:tcPr>
            <w:vAlign w:val="center"/>
          </w:tcPr>
          <w:p w14:paraId="5DDBAAEB">
            <w:pPr>
              <w:jc w:val="center"/>
              <w:rPr>
                <w:highlight w:val="none"/>
              </w:rPr>
            </w:pPr>
            <w:r>
              <w:rPr>
                <w:rFonts w:ascii="宋体" w:hAnsi="宋体" w:eastAsia="宋体" w:cs="宋体"/>
                <w:color w:val="000000"/>
                <w:sz w:val="21"/>
                <w:highlight w:val="white"/>
              </w:rPr>
              <w:t>验收方案</w:t>
            </w:r>
          </w:p>
        </w:tc>
        <w:tc>
          <w:p w14:paraId="7FF365E0">
            <w:pPr>
              <w:rPr>
                <w:highlight w:val="none"/>
              </w:rPr>
            </w:pPr>
            <w:r>
              <w:rPr>
                <w:rFonts w:ascii="宋体" w:hAnsi="宋体" w:eastAsia="宋体" w:cs="宋体"/>
                <w:color w:val="000000"/>
                <w:sz w:val="21"/>
                <w:highlight w:val="white"/>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vAlign w:val="center"/>
          </w:tcPr>
          <w:p w14:paraId="436F062A">
            <w:pPr>
              <w:jc w:val="center"/>
              <w:rPr>
                <w:highlight w:val="none"/>
              </w:rPr>
            </w:pPr>
            <w:r>
              <w:rPr>
                <w:rFonts w:ascii="宋体" w:hAnsi="宋体" w:eastAsia="宋体" w:cs="宋体"/>
                <w:color w:val="000000"/>
                <w:sz w:val="21"/>
                <w:highlight w:val="white"/>
              </w:rPr>
              <w:t>3</w:t>
            </w:r>
          </w:p>
        </w:tc>
      </w:tr>
      <w:tr w14:paraId="59125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5"/>
          </w:tcPr>
          <w:p w14:paraId="4040F43F">
            <w:pPr>
              <w:jc w:val="center"/>
              <w:rPr>
                <w:highlight w:val="none"/>
              </w:rPr>
            </w:pPr>
            <w:r>
              <w:rPr>
                <w:rFonts w:ascii="宋体" w:hAnsi="宋体" w:eastAsia="宋体" w:cs="宋体"/>
                <w:color w:val="000000"/>
                <w:sz w:val="21"/>
                <w:highlight w:val="white"/>
              </w:rPr>
              <w:t>合计</w:t>
            </w:r>
          </w:p>
        </w:tc>
        <w:tc>
          <w:p w14:paraId="6C47819C">
            <w:pPr>
              <w:jc w:val="center"/>
              <w:rPr>
                <w:highlight w:val="none"/>
              </w:rPr>
            </w:pPr>
            <w:r>
              <w:rPr>
                <w:rFonts w:ascii="宋体" w:hAnsi="宋体" w:eastAsia="宋体" w:cs="宋体"/>
                <w:color w:val="000000"/>
                <w:sz w:val="21"/>
                <w:highlight w:val="white"/>
              </w:rPr>
              <w:t>100分</w:t>
            </w:r>
          </w:p>
        </w:tc>
      </w:tr>
    </w:tbl>
    <w:p w14:paraId="3DAB8E27">
      <w:pPr>
        <w:bidi w:val="0"/>
        <w:rPr>
          <w:rFonts w:hint="eastAsia"/>
          <w:highlight w:val="none"/>
          <w:lang w:val="en-US" w:eastAsia="zh-CN"/>
        </w:rPr>
      </w:pPr>
    </w:p>
    <w:p w14:paraId="370144FD">
      <w:pPr>
        <w:pStyle w:val="3"/>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hint="eastAsia" w:ascii="Times New Roman" w:hAnsi="Times New Roman" w:eastAsia="宋体" w:cs="Times New Roman"/>
          <w:b/>
          <w:bCs/>
          <w:color w:val="auto"/>
          <w:kern w:val="44"/>
          <w:sz w:val="36"/>
          <w:szCs w:val="36"/>
          <w:highlight w:val="none"/>
          <w:lang w:val="en-US" w:eastAsia="zh-CN" w:bidi="ar-SA"/>
        </w:rPr>
      </w:pPr>
      <w:r>
        <w:rPr>
          <w:color w:val="000000"/>
          <w:highlight w:val="white"/>
        </w:rPr>
        <w:br w:type="page"/>
      </w:r>
      <w:r>
        <w:rPr>
          <w:rStyle w:val="39"/>
          <w:rFonts w:hint="eastAsia"/>
          <w:b/>
          <w:bCs/>
          <w:color w:val="000000"/>
          <w:highlight w:val="white"/>
          <w:lang w:val="en-US" w:eastAsia="zh-CN"/>
        </w:rPr>
        <w:t>第四章  政府采购合同文本</w:t>
      </w:r>
    </w:p>
    <w:p w14:paraId="4F3DB23B">
      <w:pPr>
        <w:pStyle w:val="18"/>
        <w:spacing w:line="360" w:lineRule="auto"/>
        <w:jc w:val="center"/>
        <w:rPr>
          <w:rFonts w:hAnsi="宋体" w:cs="宋体"/>
          <w:b/>
          <w:sz w:val="96"/>
          <w:szCs w:val="96"/>
          <w:highlight w:val="none"/>
        </w:rPr>
      </w:pPr>
      <w:r>
        <w:rPr>
          <w:rFonts w:hint="eastAsia" w:hAnsi="宋体" w:cs="宋体"/>
          <w:b/>
          <w:color w:val="000000"/>
          <w:sz w:val="96"/>
          <w:szCs w:val="96"/>
          <w:highlight w:val="white"/>
        </w:rPr>
        <w:t>合 同 书</w:t>
      </w:r>
    </w:p>
    <w:p w14:paraId="520EF5B5">
      <w:pPr>
        <w:pStyle w:val="18"/>
        <w:spacing w:line="360" w:lineRule="auto"/>
        <w:jc w:val="center"/>
        <w:rPr>
          <w:rFonts w:hAnsi="宋体" w:cs="宋体"/>
          <w:b/>
          <w:sz w:val="96"/>
          <w:szCs w:val="96"/>
          <w:highlight w:val="none"/>
        </w:rPr>
      </w:pPr>
    </w:p>
    <w:p w14:paraId="7993BF19">
      <w:pPr>
        <w:pStyle w:val="18"/>
        <w:spacing w:line="360" w:lineRule="auto"/>
        <w:rPr>
          <w:rFonts w:hAnsi="宋体" w:cs="宋体"/>
          <w:b/>
          <w:sz w:val="32"/>
          <w:szCs w:val="32"/>
          <w:highlight w:val="none"/>
        </w:rPr>
      </w:pPr>
    </w:p>
    <w:p w14:paraId="05699188">
      <w:pPr>
        <w:topLinePunct/>
        <w:autoSpaceDE w:val="0"/>
        <w:autoSpaceDN w:val="0"/>
        <w:snapToGrid w:val="0"/>
        <w:spacing w:line="360" w:lineRule="auto"/>
        <w:ind w:left="1600" w:hanging="1606" w:hangingChars="500"/>
        <w:rPr>
          <w:rFonts w:hint="eastAsia" w:hAnsi="宋体" w:cs="宋体"/>
          <w:b/>
          <w:color w:val="0000FF"/>
          <w:sz w:val="32"/>
          <w:szCs w:val="32"/>
          <w:highlight w:val="none"/>
        </w:rPr>
      </w:pPr>
      <w:r>
        <w:rPr>
          <w:rFonts w:hint="eastAsia" w:hAnsi="宋体" w:cs="宋体"/>
          <w:b/>
          <w:color w:val="000000"/>
          <w:sz w:val="32"/>
          <w:szCs w:val="32"/>
          <w:highlight w:val="white"/>
        </w:rPr>
        <w:t>项目名称：</w:t>
      </w:r>
      <w:r>
        <w:rPr>
          <w:rFonts w:hint="eastAsia" w:hAnsi="宋体" w:cs="宋体"/>
          <w:b/>
          <w:color w:val="000000"/>
          <w:sz w:val="32"/>
          <w:szCs w:val="32"/>
          <w:highlight w:val="white"/>
          <w:lang w:eastAsia="zh-CN"/>
        </w:rPr>
        <w:t>国家税务总局吉林省税务局管理决策支持系统(决策一包)及市场主体准入E窗通等系统运维及升级改造项目</w:t>
      </w:r>
    </w:p>
    <w:p w14:paraId="201DE760">
      <w:pPr>
        <w:topLinePunct/>
        <w:autoSpaceDE w:val="0"/>
        <w:autoSpaceDN w:val="0"/>
        <w:snapToGrid w:val="0"/>
        <w:spacing w:line="360" w:lineRule="auto"/>
        <w:rPr>
          <w:rFonts w:ascii="宋体"/>
          <w:b/>
          <w:bCs/>
          <w:sz w:val="28"/>
          <w:szCs w:val="28"/>
          <w:highlight w:val="none"/>
        </w:rPr>
      </w:pPr>
      <w:r>
        <w:rPr>
          <w:rFonts w:hint="eastAsia" w:hAnsi="宋体" w:cs="宋体"/>
          <w:b/>
          <w:color w:val="000000"/>
          <w:sz w:val="32"/>
          <w:szCs w:val="32"/>
          <w:highlight w:val="white"/>
        </w:rPr>
        <w:t>合同编号：</w:t>
      </w:r>
    </w:p>
    <w:p w14:paraId="4127D4F6">
      <w:pPr>
        <w:pStyle w:val="18"/>
        <w:spacing w:line="360" w:lineRule="auto"/>
        <w:rPr>
          <w:rFonts w:hAnsi="宋体" w:cs="宋体"/>
          <w:b/>
          <w:sz w:val="96"/>
          <w:szCs w:val="96"/>
          <w:highlight w:val="none"/>
        </w:rPr>
      </w:pPr>
    </w:p>
    <w:p w14:paraId="1AE0C2E0">
      <w:pPr>
        <w:pStyle w:val="18"/>
        <w:spacing w:line="360" w:lineRule="auto"/>
        <w:jc w:val="center"/>
        <w:rPr>
          <w:rFonts w:hAnsi="宋体" w:cs="宋体"/>
          <w:b/>
          <w:sz w:val="96"/>
          <w:szCs w:val="96"/>
          <w:highlight w:val="none"/>
        </w:rPr>
      </w:pPr>
    </w:p>
    <w:p w14:paraId="1B611B88">
      <w:pPr>
        <w:spacing w:line="300" w:lineRule="auto"/>
        <w:ind w:firstLine="1521" w:firstLineChars="541"/>
        <w:rPr>
          <w:rFonts w:ascii="宋体" w:hAnsi="宋体" w:cs="宋体"/>
          <w:b/>
          <w:bCs/>
          <w:sz w:val="28"/>
          <w:highlight w:val="none"/>
        </w:rPr>
      </w:pPr>
      <w:r>
        <w:rPr>
          <w:rFonts w:hint="eastAsia" w:ascii="宋体" w:hAnsi="宋体" w:cs="宋体"/>
          <w:b/>
          <w:bCs/>
          <w:color w:val="000000"/>
          <w:sz w:val="28"/>
          <w:highlight w:val="white"/>
        </w:rPr>
        <w:t xml:space="preserve">甲    方： </w:t>
      </w:r>
      <w:r>
        <w:rPr>
          <w:rFonts w:hint="eastAsia" w:ascii="宋体" w:hAnsi="宋体" w:cs="宋体"/>
          <w:b/>
          <w:bCs/>
          <w:color w:val="000000"/>
          <w:sz w:val="28"/>
          <w:highlight w:val="white"/>
          <w:u w:val="single"/>
        </w:rPr>
        <w:t xml:space="preserve">    国家税务总局吉林省税务局    </w:t>
      </w:r>
    </w:p>
    <w:p w14:paraId="79D01D4A">
      <w:pPr>
        <w:spacing w:line="300" w:lineRule="auto"/>
        <w:ind w:firstLine="1521" w:firstLineChars="541"/>
        <w:rPr>
          <w:rFonts w:ascii="宋体" w:hAnsi="宋体" w:cs="宋体"/>
          <w:b/>
          <w:bCs/>
          <w:sz w:val="28"/>
          <w:highlight w:val="none"/>
          <w:u w:val="single"/>
        </w:rPr>
      </w:pPr>
      <w:r>
        <w:rPr>
          <w:rFonts w:hint="eastAsia" w:ascii="宋体" w:hAnsi="宋体" w:cs="宋体"/>
          <w:b/>
          <w:bCs/>
          <w:color w:val="000000"/>
          <w:sz w:val="28"/>
          <w:highlight w:val="white"/>
        </w:rPr>
        <w:t xml:space="preserve">乙    方： </w:t>
      </w:r>
      <w:r>
        <w:rPr>
          <w:rFonts w:hint="eastAsia" w:ascii="宋体" w:hAnsi="宋体" w:cs="宋体"/>
          <w:b/>
          <w:bCs/>
          <w:color w:val="000000"/>
          <w:sz w:val="28"/>
          <w:highlight w:val="white"/>
          <w:u w:val="single"/>
        </w:rPr>
        <w:t xml:space="preserve">                                </w:t>
      </w:r>
    </w:p>
    <w:p w14:paraId="19998130">
      <w:pPr>
        <w:spacing w:line="300" w:lineRule="auto"/>
        <w:ind w:firstLine="1521" w:firstLineChars="541"/>
        <w:rPr>
          <w:rFonts w:ascii="宋体" w:hAnsi="宋体" w:cs="宋体"/>
          <w:b/>
          <w:bCs/>
          <w:sz w:val="28"/>
          <w:highlight w:val="none"/>
          <w:u w:val="single"/>
        </w:rPr>
      </w:pPr>
      <w:r>
        <w:rPr>
          <w:rFonts w:hint="eastAsia" w:ascii="宋体" w:hAnsi="宋体" w:cs="宋体"/>
          <w:b/>
          <w:bCs/>
          <w:color w:val="000000"/>
          <w:sz w:val="28"/>
          <w:highlight w:val="white"/>
        </w:rPr>
        <w:t xml:space="preserve">日    期： </w:t>
      </w:r>
      <w:r>
        <w:rPr>
          <w:rFonts w:hint="eastAsia" w:ascii="宋体" w:hAnsi="宋体" w:cs="宋体"/>
          <w:b/>
          <w:bCs/>
          <w:color w:val="000000"/>
          <w:sz w:val="28"/>
          <w:highlight w:val="white"/>
          <w:u w:val="single"/>
        </w:rPr>
        <w:t xml:space="preserve">        年  * 月                </w:t>
      </w:r>
    </w:p>
    <w:p w14:paraId="0B7AA5CD">
      <w:pPr>
        <w:pStyle w:val="30"/>
        <w:ind w:firstLine="562"/>
        <w:rPr>
          <w:rFonts w:ascii="宋体" w:hAnsi="宋体" w:cs="宋体"/>
          <w:b/>
          <w:bCs/>
          <w:sz w:val="28"/>
          <w:highlight w:val="none"/>
          <w:u w:val="single"/>
        </w:rPr>
      </w:pPr>
    </w:p>
    <w:p w14:paraId="1DA26F84">
      <w:pPr>
        <w:rPr>
          <w:highlight w:val="none"/>
        </w:rPr>
      </w:pPr>
    </w:p>
    <w:p w14:paraId="3E3B13A2">
      <w:pPr>
        <w:spacing w:line="300" w:lineRule="auto"/>
        <w:jc w:val="center"/>
        <w:rPr>
          <w:rFonts w:hint="eastAsia" w:ascii="宋体" w:hAnsi="宋体" w:cs="宋体"/>
          <w:b/>
          <w:sz w:val="28"/>
          <w:highlight w:val="none"/>
        </w:rPr>
      </w:pPr>
    </w:p>
    <w:p w14:paraId="399CC77F">
      <w:pPr>
        <w:spacing w:line="300" w:lineRule="auto"/>
        <w:jc w:val="center"/>
        <w:rPr>
          <w:rFonts w:hint="eastAsia" w:ascii="宋体" w:hAnsi="宋体" w:cs="宋体"/>
          <w:b/>
          <w:sz w:val="28"/>
          <w:highlight w:val="none"/>
        </w:rPr>
      </w:pPr>
    </w:p>
    <w:p w14:paraId="637DEF35">
      <w:pPr>
        <w:spacing w:line="300" w:lineRule="auto"/>
        <w:jc w:val="center"/>
        <w:rPr>
          <w:rFonts w:hint="eastAsia" w:ascii="宋体" w:hAnsi="宋体" w:cs="宋体"/>
          <w:b/>
          <w:sz w:val="28"/>
          <w:highlight w:val="none"/>
        </w:rPr>
      </w:pPr>
    </w:p>
    <w:p w14:paraId="33D01EAB">
      <w:pPr>
        <w:spacing w:line="300" w:lineRule="auto"/>
        <w:jc w:val="center"/>
        <w:rPr>
          <w:rFonts w:ascii="宋体" w:hAnsi="宋体" w:cs="宋体"/>
          <w:b/>
          <w:sz w:val="28"/>
          <w:highlight w:val="none"/>
        </w:rPr>
      </w:pPr>
      <w:r>
        <w:rPr>
          <w:rFonts w:hint="eastAsia" w:ascii="宋体" w:hAnsi="宋体" w:cs="宋体"/>
          <w:b/>
          <w:color w:val="000000"/>
          <w:sz w:val="28"/>
          <w:highlight w:val="white"/>
        </w:rPr>
        <w:t>合同条款前附表</w:t>
      </w:r>
    </w:p>
    <w:tbl>
      <w:tblPr>
        <w:tblStyle w:val="31"/>
        <w:tblW w:w="0" w:type="auto"/>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tblGrid>
      <w:tr w14:paraId="541B1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4C05CDF8">
            <w:pPr>
              <w:tabs>
                <w:tab w:val="left" w:pos="700"/>
              </w:tabs>
              <w:adjustRightInd w:val="0"/>
              <w:snapToGrid w:val="0"/>
              <w:spacing w:after="0" w:line="240" w:lineRule="auto"/>
              <w:jc w:val="center"/>
              <w:rPr>
                <w:rFonts w:ascii="宋体" w:hAnsi="宋体" w:cs="宋体"/>
                <w:b/>
                <w:szCs w:val="21"/>
                <w:highlight w:val="none"/>
              </w:rPr>
            </w:pPr>
            <w:r>
              <w:rPr>
                <w:rFonts w:hint="eastAsia" w:ascii="宋体" w:hAnsi="宋体" w:cs="宋体"/>
                <w:b/>
                <w:color w:val="000000"/>
                <w:szCs w:val="21"/>
                <w:highlight w:val="white"/>
              </w:rPr>
              <w:t>序号</w:t>
            </w:r>
          </w:p>
        </w:tc>
        <w:tc>
          <w:tcPr>
            <w:tcW w:w="8173" w:type="dxa"/>
            <w:gridSpan w:val="3"/>
            <w:tcBorders>
              <w:top w:val="single" w:color="auto" w:sz="4" w:space="0"/>
              <w:left w:val="single" w:color="auto" w:sz="4" w:space="0"/>
              <w:bottom w:val="single" w:color="auto" w:sz="4" w:space="0"/>
              <w:right w:val="single" w:color="auto" w:sz="4" w:space="0"/>
            </w:tcBorders>
            <w:vAlign w:val="center"/>
          </w:tcPr>
          <w:p w14:paraId="3CD7C853">
            <w:pPr>
              <w:tabs>
                <w:tab w:val="left" w:pos="700"/>
              </w:tabs>
              <w:adjustRightInd w:val="0"/>
              <w:snapToGrid w:val="0"/>
              <w:spacing w:after="0" w:line="240" w:lineRule="auto"/>
              <w:jc w:val="center"/>
              <w:rPr>
                <w:rFonts w:ascii="宋体" w:hAnsi="宋体" w:cs="宋体"/>
                <w:b/>
                <w:szCs w:val="21"/>
                <w:highlight w:val="none"/>
              </w:rPr>
            </w:pPr>
            <w:r>
              <w:rPr>
                <w:rFonts w:hint="eastAsia" w:ascii="宋体" w:hAnsi="宋体" w:cs="宋体"/>
                <w:b/>
                <w:color w:val="000000"/>
                <w:szCs w:val="21"/>
                <w:highlight w:val="white"/>
              </w:rPr>
              <w:t>内        容</w:t>
            </w:r>
          </w:p>
        </w:tc>
      </w:tr>
      <w:tr w14:paraId="728F6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trPr>
        <w:tc>
          <w:tcPr>
            <w:tcW w:w="655" w:type="dxa"/>
            <w:tcBorders>
              <w:top w:val="single" w:color="auto" w:sz="4" w:space="0"/>
              <w:left w:val="single" w:color="auto" w:sz="4" w:space="0"/>
              <w:bottom w:val="single" w:color="auto" w:sz="4" w:space="0"/>
              <w:right w:val="single" w:color="auto" w:sz="4" w:space="0"/>
            </w:tcBorders>
            <w:vAlign w:val="center"/>
          </w:tcPr>
          <w:p w14:paraId="4E26F500">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AD29F5D">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合同名称</w:t>
            </w:r>
          </w:p>
        </w:tc>
        <w:tc>
          <w:tcPr>
            <w:tcW w:w="6264" w:type="dxa"/>
            <w:tcBorders>
              <w:top w:val="single" w:color="auto" w:sz="4" w:space="0"/>
              <w:left w:val="single" w:color="auto" w:sz="4" w:space="0"/>
              <w:bottom w:val="single" w:color="auto" w:sz="4" w:space="0"/>
              <w:right w:val="single" w:color="auto" w:sz="4" w:space="0"/>
            </w:tcBorders>
            <w:vAlign w:val="center"/>
          </w:tcPr>
          <w:p w14:paraId="401811D5">
            <w:pPr>
              <w:tabs>
                <w:tab w:val="left" w:pos="700"/>
              </w:tabs>
              <w:adjustRightInd w:val="0"/>
              <w:snapToGrid w:val="0"/>
              <w:spacing w:after="0" w:line="240" w:lineRule="auto"/>
              <w:jc w:val="left"/>
              <w:rPr>
                <w:rFonts w:hint="eastAsia" w:ascii="宋体" w:hAnsi="宋体" w:cs="宋体"/>
                <w:szCs w:val="21"/>
                <w:highlight w:val="none"/>
              </w:rPr>
            </w:pPr>
            <w:r>
              <w:rPr>
                <w:rFonts w:hint="eastAsia" w:ascii="宋体" w:hAnsi="宋体" w:cs="宋体"/>
                <w:color w:val="000000"/>
                <w:szCs w:val="21"/>
                <w:highlight w:val="white"/>
                <w:lang w:eastAsia="zh-CN"/>
              </w:rPr>
              <w:t>国家税务总局吉林省税务局管理决策支持系统(决策一包)及市场主体准入E窗通等系统运维及升级改造项目</w:t>
            </w:r>
          </w:p>
        </w:tc>
      </w:tr>
      <w:tr w14:paraId="2ECD7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655" w:type="dxa"/>
            <w:tcBorders>
              <w:top w:val="single" w:color="auto" w:sz="4" w:space="0"/>
              <w:left w:val="single" w:color="auto" w:sz="4" w:space="0"/>
              <w:bottom w:val="single" w:color="auto" w:sz="4" w:space="0"/>
              <w:right w:val="single" w:color="auto" w:sz="4" w:space="0"/>
            </w:tcBorders>
            <w:vAlign w:val="center"/>
          </w:tcPr>
          <w:p w14:paraId="69806F62">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983C5C6">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合同编号</w:t>
            </w:r>
          </w:p>
        </w:tc>
        <w:tc>
          <w:tcPr>
            <w:tcW w:w="6264" w:type="dxa"/>
            <w:tcBorders>
              <w:top w:val="single" w:color="auto" w:sz="4" w:space="0"/>
              <w:left w:val="single" w:color="auto" w:sz="4" w:space="0"/>
              <w:bottom w:val="single" w:color="auto" w:sz="4" w:space="0"/>
              <w:right w:val="single" w:color="auto" w:sz="4" w:space="0"/>
            </w:tcBorders>
            <w:vAlign w:val="center"/>
          </w:tcPr>
          <w:p w14:paraId="4E1E0E4A">
            <w:pPr>
              <w:tabs>
                <w:tab w:val="left" w:pos="700"/>
              </w:tabs>
              <w:adjustRightInd w:val="0"/>
              <w:snapToGrid w:val="0"/>
              <w:spacing w:after="0" w:line="240" w:lineRule="auto"/>
              <w:rPr>
                <w:rFonts w:ascii="Wingdings 2" w:hAnsi="Wingdings 2" w:cs="宋体"/>
                <w:szCs w:val="21"/>
                <w:highlight w:val="none"/>
              </w:rPr>
            </w:pPr>
          </w:p>
        </w:tc>
      </w:tr>
      <w:tr w14:paraId="7F82B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exact"/>
        </w:trPr>
        <w:tc>
          <w:tcPr>
            <w:tcW w:w="655" w:type="dxa"/>
            <w:tcBorders>
              <w:top w:val="single" w:color="auto" w:sz="4" w:space="0"/>
              <w:left w:val="single" w:color="auto" w:sz="4" w:space="0"/>
              <w:bottom w:val="single" w:color="auto" w:sz="4" w:space="0"/>
              <w:right w:val="single" w:color="auto" w:sz="4" w:space="0"/>
            </w:tcBorders>
            <w:vAlign w:val="center"/>
          </w:tcPr>
          <w:p w14:paraId="05AC7E72">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5F84FF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合同类型</w:t>
            </w:r>
          </w:p>
        </w:tc>
        <w:tc>
          <w:tcPr>
            <w:tcW w:w="6264" w:type="dxa"/>
            <w:tcBorders>
              <w:top w:val="single" w:color="auto" w:sz="4" w:space="0"/>
              <w:left w:val="single" w:color="auto" w:sz="4" w:space="0"/>
              <w:bottom w:val="single" w:color="auto" w:sz="4" w:space="0"/>
              <w:right w:val="single" w:color="auto" w:sz="4" w:space="0"/>
            </w:tcBorders>
            <w:vAlign w:val="center"/>
          </w:tcPr>
          <w:p w14:paraId="353D95BD">
            <w:pPr>
              <w:tabs>
                <w:tab w:val="left" w:pos="2160"/>
              </w:tabs>
              <w:topLinePunct/>
              <w:autoSpaceDE w:val="0"/>
              <w:autoSpaceDN w:val="0"/>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技术合同</w:t>
            </w:r>
          </w:p>
        </w:tc>
      </w:tr>
      <w:tr w14:paraId="2F0EA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5B3E9D97">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BEFA4A2">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定价方式</w:t>
            </w:r>
          </w:p>
        </w:tc>
        <w:tc>
          <w:tcPr>
            <w:tcW w:w="6264" w:type="dxa"/>
            <w:tcBorders>
              <w:top w:val="single" w:color="auto" w:sz="4" w:space="0"/>
              <w:left w:val="single" w:color="auto" w:sz="4" w:space="0"/>
              <w:bottom w:val="single" w:color="auto" w:sz="4" w:space="0"/>
              <w:right w:val="single" w:color="auto" w:sz="4" w:space="0"/>
            </w:tcBorders>
            <w:vAlign w:val="center"/>
          </w:tcPr>
          <w:p w14:paraId="0A8EA6A9">
            <w:pPr>
              <w:tabs>
                <w:tab w:val="left" w:pos="2160"/>
              </w:tabs>
              <w:topLinePunct/>
              <w:autoSpaceDE w:val="0"/>
              <w:autoSpaceDN w:val="0"/>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固定总价</w:t>
            </w:r>
          </w:p>
        </w:tc>
      </w:tr>
      <w:tr w14:paraId="4296C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right w:val="single" w:color="auto" w:sz="4" w:space="0"/>
            </w:tcBorders>
            <w:vAlign w:val="center"/>
          </w:tcPr>
          <w:p w14:paraId="10EE075B">
            <w:pPr>
              <w:tabs>
                <w:tab w:val="left" w:pos="700"/>
              </w:tabs>
              <w:adjustRightInd w:val="0"/>
              <w:snapToGrid w:val="0"/>
              <w:spacing w:after="0" w:line="240" w:lineRule="auto"/>
              <w:jc w:val="center"/>
              <w:rPr>
                <w:rFonts w:ascii="宋体" w:hAnsi="宋体" w:cs="宋体"/>
                <w:szCs w:val="21"/>
                <w:highlight w:val="none"/>
              </w:rPr>
            </w:pPr>
            <w:r>
              <w:rPr>
                <w:rFonts w:ascii="宋体" w:hAnsi="宋体" w:cs="宋体"/>
                <w:color w:val="000000"/>
                <w:szCs w:val="21"/>
                <w:highlight w:val="white"/>
              </w:rPr>
              <w:t>5</w:t>
            </w:r>
          </w:p>
        </w:tc>
        <w:tc>
          <w:tcPr>
            <w:tcW w:w="1909" w:type="dxa"/>
            <w:gridSpan w:val="2"/>
            <w:tcBorders>
              <w:top w:val="single" w:color="auto" w:sz="4" w:space="0"/>
              <w:left w:val="single" w:color="auto" w:sz="4" w:space="0"/>
              <w:bottom w:val="single" w:color="auto" w:sz="6" w:space="0"/>
              <w:right w:val="single" w:color="auto" w:sz="6" w:space="0"/>
            </w:tcBorders>
            <w:vAlign w:val="center"/>
          </w:tcPr>
          <w:p w14:paraId="206F83B1">
            <w:pPr>
              <w:tabs>
                <w:tab w:val="left" w:pos="700"/>
              </w:tabs>
              <w:adjustRightInd w:val="0"/>
              <w:snapToGrid w:val="0"/>
              <w:spacing w:after="0" w:line="240" w:lineRule="auto"/>
              <w:jc w:val="center"/>
              <w:rPr>
                <w:rFonts w:ascii="宋体" w:hAnsi="宋体" w:cs="宋体"/>
                <w:szCs w:val="21"/>
                <w:highlight w:val="none"/>
              </w:rPr>
            </w:pPr>
            <w:r>
              <w:rPr>
                <w:rFonts w:ascii="宋体" w:hAnsi="宋体" w:cs="宋体"/>
                <w:color w:val="000000"/>
                <w:szCs w:val="21"/>
                <w:highlight w:val="white"/>
              </w:rPr>
              <w:t>项目类别</w:t>
            </w:r>
          </w:p>
        </w:tc>
        <w:tc>
          <w:tcPr>
            <w:tcW w:w="6264" w:type="dxa"/>
            <w:tcBorders>
              <w:top w:val="single" w:color="auto" w:sz="4" w:space="0"/>
              <w:left w:val="single" w:color="auto" w:sz="6" w:space="0"/>
              <w:bottom w:val="single" w:color="auto" w:sz="6" w:space="0"/>
              <w:right w:val="single" w:color="auto" w:sz="4" w:space="0"/>
            </w:tcBorders>
            <w:vAlign w:val="center"/>
          </w:tcPr>
          <w:p w14:paraId="4429D03E">
            <w:pPr>
              <w:tabs>
                <w:tab w:val="left" w:pos="2160"/>
              </w:tabs>
              <w:topLinePunct/>
              <w:autoSpaceDE w:val="0"/>
              <w:autoSpaceDN w:val="0"/>
              <w:adjustRightInd w:val="0"/>
              <w:snapToGrid w:val="0"/>
              <w:spacing w:before="100" w:beforeAutospacing="1" w:after="0" w:line="257" w:lineRule="auto"/>
              <w:rPr>
                <w:rFonts w:ascii="宋体" w:hAnsi="宋体" w:cs="宋体"/>
                <w:szCs w:val="21"/>
                <w:highlight w:val="none"/>
              </w:rPr>
            </w:pPr>
            <w:r>
              <w:rPr>
                <w:rFonts w:ascii="Wingdings 2" w:hAnsi="Wingdings 2" w:cs="宋体"/>
                <w:color w:val="000000"/>
                <w:szCs w:val="21"/>
                <w:highlight w:val="white"/>
              </w:rPr>
              <w:sym w:font="Wingdings 2" w:char="F052"/>
            </w:r>
            <w:r>
              <w:rPr>
                <w:rFonts w:hint="eastAsia" w:ascii="宋体" w:hAnsi="宋体" w:cs="宋体"/>
                <w:color w:val="000000"/>
                <w:szCs w:val="21"/>
                <w:highlight w:val="white"/>
              </w:rPr>
              <w:t xml:space="preserve">信息化项目      </w:t>
            </w:r>
            <w:r>
              <w:rPr>
                <w:rFonts w:ascii="Wingdings 2" w:hAnsi="Wingdings 2" w:cs="宋体"/>
                <w:color w:val="000000"/>
                <w:szCs w:val="21"/>
                <w:highlight w:val="white"/>
              </w:rPr>
              <w:sym w:font="Wingdings 2" w:char="F0A3"/>
            </w:r>
            <w:r>
              <w:rPr>
                <w:rFonts w:ascii="Wingdings 2" w:hAnsi="Wingdings 2" w:cs="宋体"/>
                <w:color w:val="000000"/>
                <w:szCs w:val="21"/>
                <w:highlight w:val="white"/>
              </w:rPr>
              <w:t>非信息化项目</w:t>
            </w:r>
          </w:p>
        </w:tc>
      </w:tr>
      <w:tr w14:paraId="73E6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right w:val="single" w:color="auto" w:sz="4" w:space="0"/>
            </w:tcBorders>
            <w:vAlign w:val="center"/>
          </w:tcPr>
          <w:p w14:paraId="5EEDA5C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6</w:t>
            </w:r>
          </w:p>
        </w:tc>
        <w:tc>
          <w:tcPr>
            <w:tcW w:w="1909" w:type="dxa"/>
            <w:gridSpan w:val="2"/>
            <w:tcBorders>
              <w:top w:val="single" w:color="auto" w:sz="4" w:space="0"/>
              <w:left w:val="single" w:color="auto" w:sz="4" w:space="0"/>
              <w:bottom w:val="single" w:color="auto" w:sz="6" w:space="0"/>
              <w:right w:val="single" w:color="auto" w:sz="6" w:space="0"/>
            </w:tcBorders>
            <w:vAlign w:val="center"/>
          </w:tcPr>
          <w:p w14:paraId="7AE7BB11">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甲方名称</w:t>
            </w:r>
          </w:p>
        </w:tc>
        <w:tc>
          <w:tcPr>
            <w:tcW w:w="6264" w:type="dxa"/>
            <w:tcBorders>
              <w:top w:val="single" w:color="auto" w:sz="4" w:space="0"/>
              <w:left w:val="single" w:color="auto" w:sz="6" w:space="0"/>
              <w:bottom w:val="single" w:color="auto" w:sz="6" w:space="0"/>
              <w:right w:val="single" w:color="auto" w:sz="4" w:space="0"/>
            </w:tcBorders>
            <w:vAlign w:val="center"/>
          </w:tcPr>
          <w:p w14:paraId="6FB31CF7">
            <w:pPr>
              <w:tabs>
                <w:tab w:val="left" w:pos="700"/>
              </w:tabs>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国家税务总局吉林省税务局</w:t>
            </w:r>
          </w:p>
        </w:tc>
      </w:tr>
      <w:tr w14:paraId="7E567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vAlign w:val="center"/>
          </w:tcPr>
          <w:p w14:paraId="769FF355">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6" w:space="0"/>
              <w:left w:val="single" w:color="auto" w:sz="4" w:space="0"/>
              <w:bottom w:val="single" w:color="auto" w:sz="6" w:space="0"/>
              <w:right w:val="single" w:color="auto" w:sz="6" w:space="0"/>
            </w:tcBorders>
            <w:vAlign w:val="center"/>
          </w:tcPr>
          <w:p w14:paraId="018C12FB">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甲方地址</w:t>
            </w:r>
          </w:p>
        </w:tc>
        <w:tc>
          <w:tcPr>
            <w:tcW w:w="6264" w:type="dxa"/>
            <w:tcBorders>
              <w:top w:val="single" w:color="auto" w:sz="6" w:space="0"/>
              <w:left w:val="single" w:color="auto" w:sz="6" w:space="0"/>
              <w:bottom w:val="single" w:color="auto" w:sz="6" w:space="0"/>
              <w:right w:val="single" w:color="auto" w:sz="4" w:space="0"/>
            </w:tcBorders>
            <w:vAlign w:val="center"/>
          </w:tcPr>
          <w:p w14:paraId="3C476825">
            <w:pPr>
              <w:tabs>
                <w:tab w:val="left" w:pos="700"/>
              </w:tabs>
              <w:adjustRightInd w:val="0"/>
              <w:snapToGrid w:val="0"/>
              <w:spacing w:after="0" w:line="240" w:lineRule="auto"/>
              <w:rPr>
                <w:highlight w:val="none"/>
              </w:rPr>
            </w:pPr>
            <w:r>
              <w:rPr>
                <w:rFonts w:hint="eastAsia"/>
                <w:color w:val="000000"/>
                <w:highlight w:val="white"/>
              </w:rPr>
              <w:t>吉林省长春市南关区南湖大路1518号</w:t>
            </w:r>
          </w:p>
          <w:p w14:paraId="40FC8E7B">
            <w:pPr>
              <w:pStyle w:val="16"/>
              <w:rPr>
                <w:rFonts w:ascii="宋体" w:hAnsi="宋体" w:cs="宋体"/>
                <w:szCs w:val="21"/>
                <w:highlight w:val="none"/>
              </w:rPr>
            </w:pPr>
          </w:p>
          <w:p w14:paraId="08875A3C">
            <w:pPr>
              <w:pStyle w:val="16"/>
              <w:rPr>
                <w:rFonts w:ascii="宋体" w:hAnsi="宋体" w:cs="宋体"/>
                <w:szCs w:val="21"/>
                <w:highlight w:val="none"/>
              </w:rPr>
            </w:pPr>
          </w:p>
          <w:p w14:paraId="7EDD7CFE">
            <w:pPr>
              <w:pStyle w:val="16"/>
              <w:rPr>
                <w:rFonts w:ascii="宋体" w:hAnsi="宋体" w:cs="宋体"/>
                <w:szCs w:val="21"/>
                <w:highlight w:val="none"/>
              </w:rPr>
            </w:pPr>
          </w:p>
          <w:p w14:paraId="781F5267">
            <w:pPr>
              <w:pStyle w:val="16"/>
              <w:rPr>
                <w:rFonts w:ascii="宋体" w:hAnsi="宋体" w:cs="宋体"/>
                <w:szCs w:val="21"/>
                <w:highlight w:val="none"/>
              </w:rPr>
            </w:pPr>
          </w:p>
        </w:tc>
      </w:tr>
      <w:tr w14:paraId="21D94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vAlign w:val="center"/>
          </w:tcPr>
          <w:p w14:paraId="28059F1F">
            <w:pPr>
              <w:widowControl/>
              <w:adjustRightInd w:val="0"/>
              <w:snapToGrid w:val="0"/>
              <w:spacing w:after="0" w:line="240" w:lineRule="auto"/>
              <w:rPr>
                <w:rFonts w:ascii="宋体" w:hAnsi="宋体" w:cs="宋体"/>
                <w:szCs w:val="21"/>
                <w:highlight w:val="none"/>
              </w:rPr>
            </w:pPr>
          </w:p>
        </w:tc>
        <w:tc>
          <w:tcPr>
            <w:tcW w:w="409" w:type="dxa"/>
            <w:tcBorders>
              <w:left w:val="single" w:color="auto" w:sz="4" w:space="0"/>
              <w:bottom w:val="single" w:color="auto" w:sz="4" w:space="0"/>
              <w:right w:val="nil"/>
            </w:tcBorders>
            <w:vAlign w:val="center"/>
          </w:tcPr>
          <w:p w14:paraId="2A7506F1">
            <w:pPr>
              <w:tabs>
                <w:tab w:val="left" w:pos="700"/>
              </w:tabs>
              <w:adjustRightInd w:val="0"/>
              <w:snapToGrid w:val="0"/>
              <w:spacing w:after="0" w:line="240" w:lineRule="auto"/>
              <w:jc w:val="center"/>
              <w:rPr>
                <w:rFonts w:ascii="宋体" w:hAnsi="宋体" w:cs="宋体"/>
                <w:szCs w:val="21"/>
                <w:highlight w:val="none"/>
              </w:rPr>
            </w:pPr>
          </w:p>
        </w:tc>
        <w:tc>
          <w:tcPr>
            <w:tcW w:w="1500" w:type="dxa"/>
            <w:tcBorders>
              <w:top w:val="single" w:color="auto" w:sz="6" w:space="0"/>
              <w:left w:val="nil"/>
              <w:bottom w:val="single" w:color="auto" w:sz="4" w:space="0"/>
              <w:right w:val="single" w:color="auto" w:sz="6" w:space="0"/>
            </w:tcBorders>
            <w:vAlign w:val="center"/>
          </w:tcPr>
          <w:p w14:paraId="0092BD7E">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联系人</w:t>
            </w:r>
          </w:p>
        </w:tc>
        <w:tc>
          <w:tcPr>
            <w:tcW w:w="6264" w:type="dxa"/>
            <w:tcBorders>
              <w:top w:val="single" w:color="auto" w:sz="6" w:space="0"/>
              <w:left w:val="single" w:color="auto" w:sz="6" w:space="0"/>
              <w:bottom w:val="single" w:color="auto" w:sz="4" w:space="0"/>
              <w:right w:val="single" w:color="auto" w:sz="4" w:space="0"/>
            </w:tcBorders>
            <w:vAlign w:val="center"/>
          </w:tcPr>
          <w:p w14:paraId="01DE3A58">
            <w:pPr>
              <w:tabs>
                <w:tab w:val="left" w:pos="700"/>
              </w:tabs>
              <w:adjustRightInd w:val="0"/>
              <w:snapToGrid w:val="0"/>
              <w:spacing w:after="0" w:line="240" w:lineRule="auto"/>
              <w:rPr>
                <w:rFonts w:ascii="宋体" w:hAnsi="宋体" w:cs="宋体"/>
                <w:szCs w:val="21"/>
                <w:highlight w:val="none"/>
              </w:rPr>
            </w:pPr>
          </w:p>
        </w:tc>
      </w:tr>
      <w:tr w14:paraId="63C5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bottom w:val="single" w:color="auto" w:sz="4" w:space="0"/>
              <w:right w:val="single" w:color="auto" w:sz="4" w:space="0"/>
            </w:tcBorders>
            <w:vAlign w:val="center"/>
          </w:tcPr>
          <w:p w14:paraId="1FAA2B73">
            <w:pPr>
              <w:widowControl/>
              <w:adjustRightInd w:val="0"/>
              <w:snapToGrid w:val="0"/>
              <w:spacing w:after="0" w:line="240" w:lineRule="auto"/>
              <w:rPr>
                <w:rFonts w:ascii="宋体" w:hAnsi="宋体" w:cs="宋体"/>
                <w:szCs w:val="21"/>
                <w:highlight w:val="none"/>
              </w:rPr>
            </w:pPr>
          </w:p>
        </w:tc>
        <w:tc>
          <w:tcPr>
            <w:tcW w:w="409" w:type="dxa"/>
            <w:tcBorders>
              <w:top w:val="single" w:color="auto" w:sz="4" w:space="0"/>
              <w:left w:val="single" w:color="auto" w:sz="4" w:space="0"/>
              <w:bottom w:val="single" w:color="auto" w:sz="4" w:space="0"/>
              <w:right w:val="nil"/>
            </w:tcBorders>
            <w:vAlign w:val="center"/>
          </w:tcPr>
          <w:p w14:paraId="0E72278E">
            <w:pPr>
              <w:tabs>
                <w:tab w:val="left" w:pos="700"/>
              </w:tabs>
              <w:adjustRightInd w:val="0"/>
              <w:snapToGrid w:val="0"/>
              <w:spacing w:after="0" w:line="240" w:lineRule="auto"/>
              <w:jc w:val="center"/>
              <w:rPr>
                <w:rFonts w:ascii="宋体" w:hAnsi="宋体" w:cs="宋体"/>
                <w:szCs w:val="21"/>
                <w:highlight w:val="none"/>
              </w:rPr>
            </w:pPr>
          </w:p>
        </w:tc>
        <w:tc>
          <w:tcPr>
            <w:tcW w:w="1500" w:type="dxa"/>
            <w:tcBorders>
              <w:top w:val="single" w:color="auto" w:sz="4" w:space="0"/>
              <w:left w:val="nil"/>
              <w:bottom w:val="single" w:color="auto" w:sz="4" w:space="0"/>
              <w:right w:val="single" w:color="auto" w:sz="6" w:space="0"/>
            </w:tcBorders>
            <w:vAlign w:val="center"/>
          </w:tcPr>
          <w:p w14:paraId="783E181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14:paraId="3A6DBE88">
            <w:pPr>
              <w:tabs>
                <w:tab w:val="left" w:pos="700"/>
              </w:tabs>
              <w:adjustRightInd w:val="0"/>
              <w:snapToGrid w:val="0"/>
              <w:spacing w:after="0" w:line="240" w:lineRule="auto"/>
              <w:rPr>
                <w:rFonts w:ascii="宋体" w:hAnsi="宋体" w:cs="宋体"/>
                <w:szCs w:val="21"/>
                <w:highlight w:val="none"/>
              </w:rPr>
            </w:pPr>
          </w:p>
        </w:tc>
      </w:tr>
      <w:tr w14:paraId="22324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bottom w:val="single" w:color="auto" w:sz="4" w:space="0"/>
              <w:right w:val="single" w:color="auto" w:sz="4" w:space="0"/>
            </w:tcBorders>
            <w:vAlign w:val="center"/>
          </w:tcPr>
          <w:p w14:paraId="1946F0BC">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7</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D4C69E5">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乙方名称</w:t>
            </w:r>
          </w:p>
        </w:tc>
        <w:tc>
          <w:tcPr>
            <w:tcW w:w="6264" w:type="dxa"/>
            <w:tcBorders>
              <w:top w:val="single" w:color="auto" w:sz="4" w:space="0"/>
              <w:left w:val="single" w:color="auto" w:sz="4" w:space="0"/>
              <w:bottom w:val="single" w:color="auto" w:sz="4" w:space="0"/>
              <w:right w:val="single" w:color="auto" w:sz="4" w:space="0"/>
            </w:tcBorders>
            <w:vAlign w:val="center"/>
          </w:tcPr>
          <w:p w14:paraId="586A859A">
            <w:pPr>
              <w:tabs>
                <w:tab w:val="left" w:pos="700"/>
              </w:tabs>
              <w:adjustRightInd w:val="0"/>
              <w:snapToGrid w:val="0"/>
              <w:spacing w:after="0" w:line="240" w:lineRule="auto"/>
              <w:rPr>
                <w:rFonts w:ascii="宋体" w:hAnsi="宋体" w:cs="宋体"/>
                <w:szCs w:val="21"/>
                <w:highlight w:val="none"/>
              </w:rPr>
            </w:pPr>
          </w:p>
        </w:tc>
      </w:tr>
      <w:tr w14:paraId="142C2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4A750151">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6CF04D08">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乙方企业性质</w:t>
            </w:r>
          </w:p>
        </w:tc>
        <w:tc>
          <w:tcPr>
            <w:tcW w:w="6264" w:type="dxa"/>
            <w:tcBorders>
              <w:top w:val="single" w:color="auto" w:sz="4" w:space="0"/>
              <w:left w:val="single" w:color="auto" w:sz="4" w:space="0"/>
              <w:bottom w:val="single" w:color="auto" w:sz="4" w:space="0"/>
              <w:right w:val="single" w:color="auto" w:sz="4" w:space="0"/>
            </w:tcBorders>
            <w:vAlign w:val="center"/>
          </w:tcPr>
          <w:p w14:paraId="4E2D16B2">
            <w:pPr>
              <w:tabs>
                <w:tab w:val="left" w:pos="700"/>
              </w:tabs>
              <w:adjustRightInd w:val="0"/>
              <w:snapToGrid w:val="0"/>
              <w:spacing w:after="0" w:line="240" w:lineRule="auto"/>
              <w:rPr>
                <w:rFonts w:ascii="宋体" w:hAnsi="宋体" w:cs="宋体"/>
                <w:highlight w:val="none"/>
              </w:rPr>
            </w:pPr>
            <w:r>
              <w:rPr>
                <w:rFonts w:hint="eastAsia" w:ascii="宋体" w:hAnsi="宋体" w:cs="宋体"/>
                <w:color w:val="000000"/>
                <w:highlight w:val="white"/>
              </w:rPr>
              <w:t xml:space="preserve">□ 中型企业     □ 小型企业            □ 微型企业    </w:t>
            </w:r>
          </w:p>
          <w:p w14:paraId="1D4E9E66">
            <w:pPr>
              <w:tabs>
                <w:tab w:val="left" w:pos="700"/>
              </w:tabs>
              <w:adjustRightInd w:val="0"/>
              <w:snapToGrid w:val="0"/>
              <w:spacing w:after="0" w:line="240" w:lineRule="auto"/>
              <w:rPr>
                <w:rFonts w:ascii="宋体" w:hAnsi="宋体" w:cs="宋体"/>
                <w:highlight w:val="none"/>
              </w:rPr>
            </w:pPr>
            <w:r>
              <w:rPr>
                <w:rFonts w:hint="eastAsia" w:ascii="宋体" w:hAnsi="宋体" w:cs="宋体"/>
                <w:color w:val="000000"/>
                <w:highlight w:val="white"/>
              </w:rPr>
              <w:t xml:space="preserve">□ 监狱企业     □ 残疾人福利性单位    </w:t>
            </w:r>
            <w:r>
              <w:rPr>
                <w:rFonts w:ascii="Wingdings 2" w:hAnsi="Wingdings 2" w:cs="宋体"/>
                <w:color w:val="000000"/>
                <w:highlight w:val="white"/>
              </w:rPr>
              <w:sym w:font="Wingdings 2" w:char="F0A3"/>
            </w:r>
            <w:r>
              <w:rPr>
                <w:rFonts w:hint="eastAsia" w:ascii="宋体" w:hAnsi="宋体" w:cs="宋体"/>
                <w:color w:val="000000"/>
                <w:highlight w:val="white"/>
              </w:rPr>
              <w:t xml:space="preserve"> 其他</w:t>
            </w:r>
          </w:p>
        </w:tc>
      </w:tr>
      <w:tr w14:paraId="319A6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0EA48CCE">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1DC9328">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乙方地址</w:t>
            </w:r>
          </w:p>
        </w:tc>
        <w:tc>
          <w:tcPr>
            <w:tcW w:w="6264" w:type="dxa"/>
            <w:tcBorders>
              <w:top w:val="single" w:color="auto" w:sz="4" w:space="0"/>
              <w:left w:val="single" w:color="auto" w:sz="4" w:space="0"/>
              <w:bottom w:val="single" w:color="auto" w:sz="4" w:space="0"/>
              <w:right w:val="single" w:color="auto" w:sz="4" w:space="0"/>
            </w:tcBorders>
            <w:vAlign w:val="center"/>
          </w:tcPr>
          <w:p w14:paraId="0C251151">
            <w:pPr>
              <w:tabs>
                <w:tab w:val="left" w:pos="700"/>
              </w:tabs>
              <w:adjustRightInd w:val="0"/>
              <w:snapToGrid w:val="0"/>
              <w:spacing w:after="0" w:line="240" w:lineRule="auto"/>
              <w:rPr>
                <w:rFonts w:ascii="宋体" w:hAnsi="宋体" w:cs="宋体"/>
                <w:szCs w:val="21"/>
                <w:highlight w:val="none"/>
              </w:rPr>
            </w:pPr>
          </w:p>
        </w:tc>
      </w:tr>
      <w:tr w14:paraId="44FBB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26E34221">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FA893A0">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乙方联系人</w:t>
            </w:r>
          </w:p>
        </w:tc>
        <w:tc>
          <w:tcPr>
            <w:tcW w:w="6264" w:type="dxa"/>
            <w:tcBorders>
              <w:top w:val="single" w:color="auto" w:sz="4" w:space="0"/>
              <w:left w:val="single" w:color="auto" w:sz="4" w:space="0"/>
              <w:bottom w:val="single" w:color="auto" w:sz="4" w:space="0"/>
              <w:right w:val="single" w:color="auto" w:sz="4" w:space="0"/>
            </w:tcBorders>
            <w:vAlign w:val="center"/>
          </w:tcPr>
          <w:p w14:paraId="3CF63189">
            <w:pPr>
              <w:tabs>
                <w:tab w:val="left" w:pos="700"/>
              </w:tabs>
              <w:adjustRightInd w:val="0"/>
              <w:snapToGrid w:val="0"/>
              <w:spacing w:after="0" w:line="240" w:lineRule="auto"/>
              <w:rPr>
                <w:rFonts w:ascii="宋体" w:hAnsi="宋体" w:cs="宋体"/>
                <w:szCs w:val="21"/>
                <w:highlight w:val="none"/>
              </w:rPr>
            </w:pPr>
          </w:p>
        </w:tc>
      </w:tr>
      <w:tr w14:paraId="409DC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6E1A8627">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78B6BCE">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联系电话</w:t>
            </w:r>
          </w:p>
        </w:tc>
        <w:tc>
          <w:tcPr>
            <w:tcW w:w="6264" w:type="dxa"/>
            <w:tcBorders>
              <w:top w:val="single" w:color="auto" w:sz="4" w:space="0"/>
              <w:left w:val="single" w:color="auto" w:sz="4" w:space="0"/>
              <w:bottom w:val="single" w:color="auto" w:sz="4" w:space="0"/>
              <w:right w:val="single" w:color="auto" w:sz="4" w:space="0"/>
            </w:tcBorders>
            <w:vAlign w:val="center"/>
          </w:tcPr>
          <w:p w14:paraId="168993C5">
            <w:pPr>
              <w:tabs>
                <w:tab w:val="left" w:pos="700"/>
              </w:tabs>
              <w:adjustRightInd w:val="0"/>
              <w:snapToGrid w:val="0"/>
              <w:spacing w:after="0" w:line="240" w:lineRule="auto"/>
              <w:rPr>
                <w:rFonts w:ascii="宋体" w:hAnsi="宋体" w:cs="宋体"/>
                <w:szCs w:val="21"/>
                <w:highlight w:val="none"/>
              </w:rPr>
            </w:pPr>
          </w:p>
        </w:tc>
      </w:tr>
      <w:tr w14:paraId="0E9A4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4E5057D7">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1618A36">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传真</w:t>
            </w:r>
          </w:p>
        </w:tc>
        <w:tc>
          <w:tcPr>
            <w:tcW w:w="6264" w:type="dxa"/>
            <w:tcBorders>
              <w:top w:val="single" w:color="auto" w:sz="4" w:space="0"/>
              <w:left w:val="single" w:color="auto" w:sz="4" w:space="0"/>
              <w:bottom w:val="single" w:color="auto" w:sz="4" w:space="0"/>
              <w:right w:val="single" w:color="auto" w:sz="4" w:space="0"/>
            </w:tcBorders>
            <w:vAlign w:val="center"/>
          </w:tcPr>
          <w:p w14:paraId="68CE62C0">
            <w:pPr>
              <w:tabs>
                <w:tab w:val="left" w:pos="700"/>
              </w:tabs>
              <w:adjustRightInd w:val="0"/>
              <w:snapToGrid w:val="0"/>
              <w:spacing w:after="0" w:line="240" w:lineRule="auto"/>
              <w:rPr>
                <w:rFonts w:ascii="宋体" w:hAnsi="宋体" w:cs="宋体"/>
                <w:szCs w:val="21"/>
                <w:highlight w:val="none"/>
              </w:rPr>
            </w:pPr>
          </w:p>
        </w:tc>
      </w:tr>
      <w:tr w14:paraId="23E6B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655" w:type="dxa"/>
            <w:tcBorders>
              <w:top w:val="single" w:color="auto" w:sz="4" w:space="0"/>
              <w:left w:val="single" w:color="auto" w:sz="4" w:space="0"/>
              <w:bottom w:val="single" w:color="auto" w:sz="4" w:space="0"/>
              <w:right w:val="single" w:color="auto" w:sz="4" w:space="0"/>
            </w:tcBorders>
            <w:vAlign w:val="center"/>
          </w:tcPr>
          <w:p w14:paraId="7BFFC5CD">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8</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D22B832">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合同金额</w:t>
            </w:r>
          </w:p>
        </w:tc>
        <w:tc>
          <w:tcPr>
            <w:tcW w:w="6264" w:type="dxa"/>
            <w:tcBorders>
              <w:top w:val="single" w:color="auto" w:sz="4" w:space="0"/>
              <w:left w:val="single" w:color="auto" w:sz="4" w:space="0"/>
              <w:bottom w:val="single" w:color="auto" w:sz="4" w:space="0"/>
              <w:right w:val="single" w:color="auto" w:sz="4" w:space="0"/>
            </w:tcBorders>
            <w:vAlign w:val="center"/>
          </w:tcPr>
          <w:p w14:paraId="1085AB3D">
            <w:pPr>
              <w:tabs>
                <w:tab w:val="left" w:pos="700"/>
              </w:tabs>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人民币</w:t>
            </w:r>
            <w:r>
              <w:rPr>
                <w:rFonts w:hint="eastAsia" w:ascii="宋体" w:hAnsi="宋体" w:cs="宋体"/>
                <w:color w:val="000000"/>
                <w:szCs w:val="21"/>
                <w:highlight w:val="white"/>
                <w:u w:val="single"/>
              </w:rPr>
              <w:t xml:space="preserve">        </w:t>
            </w:r>
            <w:r>
              <w:rPr>
                <w:rFonts w:hint="eastAsia" w:ascii="宋体" w:hAnsi="宋体" w:cs="宋体"/>
                <w:color w:val="000000"/>
                <w:szCs w:val="21"/>
                <w:highlight w:val="white"/>
              </w:rPr>
              <w:t>元整（¥</w:t>
            </w:r>
            <w:r>
              <w:rPr>
                <w:rFonts w:hint="eastAsia" w:ascii="宋体" w:hAnsi="宋体" w:cs="宋体"/>
                <w:color w:val="000000"/>
                <w:szCs w:val="21"/>
                <w:highlight w:val="white"/>
                <w:u w:val="single"/>
              </w:rPr>
              <w:t xml:space="preserve">           </w:t>
            </w:r>
            <w:r>
              <w:rPr>
                <w:rFonts w:hint="eastAsia" w:ascii="宋体" w:hAnsi="宋体" w:cs="宋体"/>
                <w:color w:val="000000"/>
                <w:szCs w:val="21"/>
                <w:highlight w:val="white"/>
              </w:rPr>
              <w:t>）。</w:t>
            </w:r>
          </w:p>
        </w:tc>
      </w:tr>
      <w:tr w14:paraId="681C3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trPr>
        <w:tc>
          <w:tcPr>
            <w:tcW w:w="655" w:type="dxa"/>
            <w:tcBorders>
              <w:top w:val="single" w:color="auto" w:sz="4" w:space="0"/>
              <w:left w:val="single" w:color="auto" w:sz="4" w:space="0"/>
              <w:bottom w:val="single" w:color="auto" w:sz="4" w:space="0"/>
              <w:right w:val="single" w:color="auto" w:sz="4" w:space="0"/>
            </w:tcBorders>
            <w:vAlign w:val="center"/>
          </w:tcPr>
          <w:p w14:paraId="332508B9">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9</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3858A3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服务内容</w:t>
            </w:r>
          </w:p>
        </w:tc>
        <w:tc>
          <w:tcPr>
            <w:tcW w:w="6264" w:type="dxa"/>
            <w:tcBorders>
              <w:top w:val="single" w:color="auto" w:sz="4" w:space="0"/>
              <w:left w:val="single" w:color="auto" w:sz="4" w:space="0"/>
              <w:bottom w:val="single" w:color="auto" w:sz="4" w:space="0"/>
              <w:right w:val="single" w:color="auto" w:sz="4" w:space="0"/>
            </w:tcBorders>
          </w:tcPr>
          <w:p w14:paraId="52C4EBCE">
            <w:pPr>
              <w:numPr>
                <w:ilvl w:val="0"/>
                <w:numId w:val="0"/>
              </w:numPr>
              <w:snapToGrid w:val="0"/>
              <w:spacing w:line="240" w:lineRule="auto"/>
              <w:rPr>
                <w:rFonts w:ascii="宋体" w:hAnsi="宋体" w:cs="宋体"/>
                <w:color w:val="0000FF"/>
                <w:szCs w:val="21"/>
                <w:highlight w:val="none"/>
              </w:rPr>
            </w:pPr>
            <w:r>
              <w:rPr>
                <w:rFonts w:hint="eastAsia" w:ascii="宋体" w:hAnsi="宋体" w:cs="宋体"/>
                <w:color w:val="000000"/>
                <w:szCs w:val="21"/>
                <w:highlight w:val="white"/>
                <w:lang w:val="zh-CN" w:eastAsia="zh-CN"/>
              </w:rPr>
              <w:t>主要包括以下内容</w:t>
            </w:r>
            <w:r>
              <w:rPr>
                <w:rFonts w:hint="eastAsia" w:ascii="宋体" w:hAnsi="宋体" w:cs="宋体"/>
                <w:color w:val="000000"/>
                <w:szCs w:val="21"/>
                <w:highlight w:val="white"/>
                <w:lang w:val="en-US" w:eastAsia="zh-CN"/>
              </w:rPr>
              <w:t>:</w:t>
            </w:r>
            <w:r>
              <w:rPr>
                <w:rFonts w:hint="eastAsia" w:ascii="宋体" w:hAnsi="宋体" w:cs="宋体"/>
                <w:color w:val="000000"/>
                <w:szCs w:val="21"/>
                <w:highlight w:val="white"/>
                <w:lang w:val="zh-CN" w:eastAsia="zh-CN"/>
              </w:rPr>
              <w:t>（</w:t>
            </w:r>
            <w:r>
              <w:rPr>
                <w:rFonts w:hint="eastAsia" w:ascii="宋体" w:hAnsi="宋体" w:cs="宋体"/>
                <w:color w:val="000000"/>
                <w:szCs w:val="21"/>
                <w:highlight w:val="white"/>
                <w:lang w:val="en-US" w:eastAsia="zh-CN"/>
              </w:rPr>
              <w:t>1</w:t>
            </w:r>
            <w:r>
              <w:rPr>
                <w:rFonts w:hint="eastAsia" w:ascii="宋体" w:hAnsi="宋体" w:cs="宋体"/>
                <w:color w:val="000000"/>
                <w:szCs w:val="21"/>
                <w:highlight w:val="white"/>
                <w:lang w:val="zh-CN" w:eastAsia="zh-CN"/>
              </w:rPr>
              <w:t>）管理决策支持核算与分析系统(决策一包)等延续性项目进行运维；</w:t>
            </w:r>
            <w:r>
              <w:rPr>
                <w:rFonts w:hint="eastAsia" w:ascii="宋体" w:hAnsi="宋体" w:cs="宋体"/>
                <w:color w:val="000000"/>
                <w:szCs w:val="21"/>
                <w:highlight w:val="white"/>
              </w:rPr>
              <w:t>（</w:t>
            </w:r>
            <w:r>
              <w:rPr>
                <w:rFonts w:hint="eastAsia" w:ascii="宋体" w:hAnsi="宋体" w:cs="宋体"/>
                <w:color w:val="000000"/>
                <w:szCs w:val="21"/>
                <w:highlight w:val="white"/>
                <w:lang w:val="en-US" w:eastAsia="zh-CN"/>
              </w:rPr>
              <w:t>2</w:t>
            </w:r>
            <w:r>
              <w:rPr>
                <w:rFonts w:hint="eastAsia" w:ascii="宋体" w:hAnsi="宋体" w:cs="宋体"/>
                <w:color w:val="000000"/>
                <w:szCs w:val="21"/>
                <w:highlight w:val="white"/>
              </w:rPr>
              <w:t>）金税四期多云运维平台新增类项目</w:t>
            </w:r>
            <w:r>
              <w:rPr>
                <w:rFonts w:hint="eastAsia" w:ascii="宋体" w:hAnsi="宋体" w:cs="宋体"/>
                <w:color w:val="000000"/>
                <w:szCs w:val="21"/>
                <w:highlight w:val="white"/>
                <w:lang w:eastAsia="zh-CN"/>
              </w:rPr>
              <w:t>进行</w:t>
            </w:r>
            <w:r>
              <w:rPr>
                <w:rFonts w:hint="eastAsia" w:ascii="宋体" w:hAnsi="宋体" w:cs="宋体"/>
                <w:color w:val="000000"/>
                <w:szCs w:val="21"/>
                <w:highlight w:val="white"/>
              </w:rPr>
              <w:t>运维</w:t>
            </w:r>
            <w:r>
              <w:rPr>
                <w:rFonts w:hint="eastAsia" w:ascii="宋体" w:hAnsi="宋体" w:cs="宋体"/>
                <w:color w:val="000000"/>
                <w:szCs w:val="21"/>
                <w:highlight w:val="white"/>
                <w:lang w:eastAsia="zh-CN"/>
              </w:rPr>
              <w:t>；</w:t>
            </w:r>
            <w:r>
              <w:rPr>
                <w:rFonts w:hint="eastAsia" w:ascii="宋体" w:hAnsi="宋体" w:cs="宋体"/>
                <w:color w:val="000000"/>
                <w:szCs w:val="21"/>
                <w:highlight w:val="white"/>
              </w:rPr>
              <w:t>（</w:t>
            </w:r>
            <w:r>
              <w:rPr>
                <w:rFonts w:hint="eastAsia" w:ascii="宋体" w:hAnsi="宋体" w:cs="宋体"/>
                <w:color w:val="000000"/>
                <w:szCs w:val="21"/>
                <w:highlight w:val="white"/>
                <w:lang w:val="en-US" w:eastAsia="zh-CN"/>
              </w:rPr>
              <w:t>3</w:t>
            </w:r>
            <w:r>
              <w:rPr>
                <w:rFonts w:hint="eastAsia" w:ascii="宋体" w:hAnsi="宋体" w:cs="宋体"/>
                <w:color w:val="000000"/>
                <w:szCs w:val="21"/>
                <w:highlight w:val="white"/>
              </w:rPr>
              <w:t>）市场主体准入E窗通子系统、与民政部门信息交换系统等</w:t>
            </w:r>
            <w:r>
              <w:rPr>
                <w:rFonts w:hint="eastAsia" w:ascii="宋体" w:hAnsi="宋体" w:cs="宋体"/>
                <w:color w:val="000000"/>
                <w:szCs w:val="21"/>
                <w:highlight w:val="white"/>
                <w:lang w:eastAsia="zh-CN"/>
              </w:rPr>
              <w:t>进行</w:t>
            </w:r>
            <w:r>
              <w:rPr>
                <w:rFonts w:hint="eastAsia" w:ascii="宋体" w:hAnsi="宋体" w:cs="宋体"/>
                <w:color w:val="000000"/>
                <w:szCs w:val="21"/>
                <w:highlight w:val="white"/>
              </w:rPr>
              <w:t>升级改造</w:t>
            </w:r>
            <w:r>
              <w:rPr>
                <w:rFonts w:hint="eastAsia" w:ascii="宋体" w:hAnsi="宋体" w:cs="宋体"/>
                <w:color w:val="000000"/>
                <w:szCs w:val="21"/>
                <w:highlight w:val="white"/>
                <w:lang w:eastAsia="zh-CN"/>
              </w:rPr>
              <w:t>。</w:t>
            </w:r>
          </w:p>
        </w:tc>
      </w:tr>
      <w:tr w14:paraId="5788D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655" w:type="dxa"/>
            <w:tcBorders>
              <w:top w:val="single" w:color="auto" w:sz="4" w:space="0"/>
              <w:left w:val="single" w:color="auto" w:sz="4" w:space="0"/>
              <w:bottom w:val="single" w:color="auto" w:sz="4" w:space="0"/>
              <w:right w:val="single" w:color="auto" w:sz="4" w:space="0"/>
            </w:tcBorders>
            <w:vAlign w:val="center"/>
          </w:tcPr>
          <w:p w14:paraId="15B7617A">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10</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A8B6DF4">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合同付款</w:t>
            </w:r>
          </w:p>
        </w:tc>
        <w:tc>
          <w:tcPr>
            <w:tcW w:w="6264" w:type="dxa"/>
            <w:tcBorders>
              <w:top w:val="single" w:color="auto" w:sz="4" w:space="0"/>
              <w:left w:val="single" w:color="auto" w:sz="4" w:space="0"/>
              <w:bottom w:val="single" w:color="auto" w:sz="4" w:space="0"/>
              <w:right w:val="single" w:color="auto" w:sz="4" w:space="0"/>
            </w:tcBorders>
            <w:vAlign w:val="center"/>
          </w:tcPr>
          <w:p w14:paraId="20D883A1">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付款安排:</w:t>
            </w:r>
          </w:p>
          <w:p w14:paraId="3E97E955">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1.</w:t>
            </w:r>
            <w:r>
              <w:rPr>
                <w:rFonts w:hint="eastAsia" w:cs="宋体"/>
                <w:color w:val="000000"/>
                <w:highlight w:val="white"/>
                <w:lang w:eastAsia="zh-CN"/>
              </w:rPr>
              <w:t>延续运维类服务</w:t>
            </w:r>
          </w:p>
          <w:p w14:paraId="37D8CCF1">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第一次付款：2025年3月底前，</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提出付款申请并出具合法等额发票后10日内支付合同金额中</w:t>
            </w:r>
            <w:r>
              <w:rPr>
                <w:rFonts w:hint="eastAsia" w:cs="宋体"/>
                <w:color w:val="000000"/>
                <w:highlight w:val="white"/>
                <w:lang w:eastAsia="zh-CN"/>
              </w:rPr>
              <w:t>延续运维类服务</w:t>
            </w:r>
            <w:r>
              <w:rPr>
                <w:rFonts w:hint="eastAsia" w:cs="宋体"/>
                <w:color w:val="000000"/>
                <w:highlight w:val="white"/>
                <w:lang w:val="zh-CN" w:eastAsia="zh-CN"/>
              </w:rPr>
              <w:t>部分</w:t>
            </w:r>
            <w:r>
              <w:rPr>
                <w:rFonts w:hint="eastAsia" w:cs="宋体"/>
                <w:color w:val="000000"/>
                <w:highlight w:val="white"/>
                <w:lang w:val="en-US" w:eastAsia="zh-CN"/>
              </w:rPr>
              <w:t>的30%；</w:t>
            </w:r>
          </w:p>
          <w:p w14:paraId="2F5EC114">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第二次付款：2025年9月底前，项目验收合格后，</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提出付款申请并出具合法等额发票后10日内支付合同金额中</w:t>
            </w:r>
            <w:r>
              <w:rPr>
                <w:rFonts w:hint="eastAsia" w:cs="宋体"/>
                <w:color w:val="000000"/>
                <w:highlight w:val="white"/>
                <w:lang w:eastAsia="zh-CN"/>
              </w:rPr>
              <w:t>延续运维类服务</w:t>
            </w:r>
            <w:r>
              <w:rPr>
                <w:rFonts w:hint="eastAsia" w:cs="宋体"/>
                <w:color w:val="000000"/>
                <w:highlight w:val="white"/>
                <w:lang w:val="zh-CN" w:eastAsia="zh-CN"/>
              </w:rPr>
              <w:t>部分</w:t>
            </w:r>
            <w:r>
              <w:rPr>
                <w:rFonts w:hint="eastAsia" w:cs="宋体"/>
                <w:color w:val="000000"/>
                <w:highlight w:val="white"/>
                <w:lang w:val="en-US" w:eastAsia="zh-CN"/>
              </w:rPr>
              <w:t>的70%；</w:t>
            </w:r>
          </w:p>
          <w:p w14:paraId="085589AC">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第三次付款：按照第一年服务期合同金额中</w:t>
            </w:r>
            <w:r>
              <w:rPr>
                <w:rFonts w:hint="eastAsia" w:cs="宋体"/>
                <w:color w:val="000000"/>
                <w:highlight w:val="white"/>
                <w:lang w:eastAsia="zh-CN"/>
              </w:rPr>
              <w:t>延续运维类服务</w:t>
            </w:r>
            <w:r>
              <w:rPr>
                <w:rFonts w:hint="eastAsia" w:cs="宋体"/>
                <w:color w:val="000000"/>
                <w:highlight w:val="white"/>
                <w:lang w:val="zh-CN" w:eastAsia="zh-CN"/>
              </w:rPr>
              <w:t>部分</w:t>
            </w:r>
            <w:r>
              <w:rPr>
                <w:rFonts w:hint="eastAsia" w:cs="宋体"/>
                <w:color w:val="000000"/>
                <w:highlight w:val="white"/>
                <w:lang w:val="en-US" w:eastAsia="zh-CN"/>
              </w:rPr>
              <w:t>的月金额*8个月计算第二年期</w:t>
            </w:r>
            <w:r>
              <w:rPr>
                <w:rFonts w:hint="eastAsia" w:cs="宋体"/>
                <w:color w:val="000000"/>
                <w:highlight w:val="white"/>
                <w:lang w:eastAsia="zh-CN"/>
              </w:rPr>
              <w:t>延续运维类服务</w:t>
            </w:r>
            <w:r>
              <w:rPr>
                <w:rFonts w:hint="eastAsia" w:cs="宋体"/>
                <w:color w:val="000000"/>
                <w:highlight w:val="white"/>
                <w:lang w:val="en-US" w:eastAsia="zh-CN"/>
              </w:rPr>
              <w:t>金额。服务期满，项目验收合格后，</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提出付款申请并出具合法等额发票后10日内支付第二年期合同金额中</w:t>
            </w:r>
            <w:r>
              <w:rPr>
                <w:rFonts w:hint="eastAsia" w:cs="宋体"/>
                <w:color w:val="000000"/>
                <w:highlight w:val="white"/>
                <w:lang w:eastAsia="zh-CN"/>
              </w:rPr>
              <w:t>延续运维类项服务</w:t>
            </w:r>
            <w:r>
              <w:rPr>
                <w:rFonts w:hint="eastAsia" w:cs="宋体"/>
                <w:color w:val="000000"/>
                <w:highlight w:val="white"/>
                <w:lang w:val="zh-CN" w:eastAsia="zh-CN"/>
              </w:rPr>
              <w:t>部分的</w:t>
            </w:r>
            <w:r>
              <w:rPr>
                <w:rFonts w:hint="eastAsia" w:cs="宋体"/>
                <w:color w:val="000000"/>
                <w:highlight w:val="white"/>
                <w:lang w:val="en-US" w:eastAsia="zh-CN"/>
              </w:rPr>
              <w:t>100%。</w:t>
            </w:r>
          </w:p>
          <w:p w14:paraId="0EAF8586">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2.</w:t>
            </w:r>
            <w:r>
              <w:rPr>
                <w:rFonts w:hint="eastAsia" w:cs="宋体"/>
                <w:color w:val="000000"/>
                <w:highlight w:val="white"/>
                <w:lang w:eastAsia="zh-CN"/>
              </w:rPr>
              <w:t>新增运维类服务</w:t>
            </w:r>
          </w:p>
          <w:p w14:paraId="2CAB4F16">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第一次付款：2025年3月底前，</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提出付款申请并出具合法等额发票后10日内支付合同金额中</w:t>
            </w:r>
            <w:r>
              <w:rPr>
                <w:rFonts w:hint="eastAsia" w:cs="宋体"/>
                <w:color w:val="000000"/>
                <w:highlight w:val="white"/>
                <w:lang w:eastAsia="zh-CN"/>
              </w:rPr>
              <w:t>新增运维类服务</w:t>
            </w:r>
            <w:r>
              <w:rPr>
                <w:rFonts w:hint="eastAsia" w:cs="宋体"/>
                <w:color w:val="000000"/>
                <w:highlight w:val="white"/>
                <w:lang w:val="zh-CN" w:eastAsia="zh-CN"/>
              </w:rPr>
              <w:t>部分</w:t>
            </w:r>
            <w:r>
              <w:rPr>
                <w:rFonts w:hint="eastAsia" w:cs="宋体"/>
                <w:color w:val="000000"/>
                <w:highlight w:val="white"/>
                <w:lang w:val="en-US" w:eastAsia="zh-CN"/>
              </w:rPr>
              <w:t>的30%；</w:t>
            </w:r>
          </w:p>
          <w:p w14:paraId="0C596FA7">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第二次付款：2025年9月底前，项目验收合格后，</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提出付款申请并出具合法等额发票后10日内支付合同金额中</w:t>
            </w:r>
            <w:r>
              <w:rPr>
                <w:rFonts w:hint="eastAsia" w:cs="宋体"/>
                <w:color w:val="000000"/>
                <w:highlight w:val="white"/>
                <w:lang w:eastAsia="zh-CN"/>
              </w:rPr>
              <w:t>新增运维类服务</w:t>
            </w:r>
            <w:r>
              <w:rPr>
                <w:rFonts w:hint="eastAsia" w:cs="宋体"/>
                <w:color w:val="000000"/>
                <w:highlight w:val="white"/>
                <w:lang w:val="zh-CN" w:eastAsia="zh-CN"/>
              </w:rPr>
              <w:t>部分</w:t>
            </w:r>
            <w:r>
              <w:rPr>
                <w:rFonts w:hint="eastAsia" w:cs="宋体"/>
                <w:color w:val="000000"/>
                <w:highlight w:val="white"/>
                <w:lang w:val="en-US" w:eastAsia="zh-CN"/>
              </w:rPr>
              <w:t>的70%；</w:t>
            </w:r>
          </w:p>
          <w:p w14:paraId="66C81ADF">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第三次付款：按照第一年服务期合同金额中</w:t>
            </w:r>
            <w:r>
              <w:rPr>
                <w:rFonts w:hint="eastAsia" w:cs="宋体"/>
                <w:color w:val="000000"/>
                <w:highlight w:val="white"/>
                <w:lang w:eastAsia="zh-CN"/>
              </w:rPr>
              <w:t>新增运维类服务</w:t>
            </w:r>
            <w:r>
              <w:rPr>
                <w:rFonts w:hint="eastAsia" w:cs="宋体"/>
                <w:color w:val="000000"/>
                <w:highlight w:val="white"/>
                <w:lang w:val="zh-CN" w:eastAsia="zh-CN"/>
              </w:rPr>
              <w:t>部分</w:t>
            </w:r>
            <w:r>
              <w:rPr>
                <w:rFonts w:hint="eastAsia" w:cs="宋体"/>
                <w:color w:val="000000"/>
                <w:highlight w:val="white"/>
                <w:lang w:val="en-US" w:eastAsia="zh-CN"/>
              </w:rPr>
              <w:t>的月金额*7个月计算第二年期</w:t>
            </w:r>
            <w:r>
              <w:rPr>
                <w:rFonts w:hint="eastAsia" w:cs="宋体"/>
                <w:color w:val="000000"/>
                <w:highlight w:val="white"/>
                <w:lang w:eastAsia="zh-CN"/>
              </w:rPr>
              <w:t>新增运维类服务</w:t>
            </w:r>
            <w:r>
              <w:rPr>
                <w:rFonts w:hint="eastAsia" w:cs="宋体"/>
                <w:color w:val="000000"/>
                <w:highlight w:val="white"/>
                <w:lang w:val="en-US" w:eastAsia="zh-CN"/>
              </w:rPr>
              <w:t>金额。服务期满，项目验收合格后，</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提出付款申请并出具合法等额发票后10日内支付第二年期合同金额中</w:t>
            </w:r>
            <w:r>
              <w:rPr>
                <w:rFonts w:hint="eastAsia" w:cs="宋体"/>
                <w:color w:val="000000"/>
                <w:highlight w:val="white"/>
                <w:lang w:eastAsia="zh-CN"/>
              </w:rPr>
              <w:t>新增运维类项服务</w:t>
            </w:r>
            <w:r>
              <w:rPr>
                <w:rFonts w:hint="eastAsia" w:cs="宋体"/>
                <w:color w:val="000000"/>
                <w:highlight w:val="white"/>
                <w:lang w:val="zh-CN" w:eastAsia="zh-CN"/>
              </w:rPr>
              <w:t>部分的</w:t>
            </w:r>
            <w:r>
              <w:rPr>
                <w:rFonts w:hint="eastAsia" w:cs="宋体"/>
                <w:color w:val="000000"/>
                <w:highlight w:val="white"/>
                <w:lang w:val="en-US" w:eastAsia="zh-CN"/>
              </w:rPr>
              <w:t>100%。</w:t>
            </w:r>
          </w:p>
          <w:p w14:paraId="306E4B2E">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3.升级改造类服务</w:t>
            </w:r>
          </w:p>
          <w:p w14:paraId="52B48A87">
            <w:pPr>
              <w:numPr>
                <w:ilvl w:val="0"/>
                <w:numId w:val="0"/>
              </w:numPr>
              <w:snapToGrid w:val="0"/>
              <w:spacing w:line="240" w:lineRule="auto"/>
              <w:rPr>
                <w:rFonts w:hint="eastAsia" w:cs="宋体"/>
                <w:color w:val="0000FF"/>
                <w:highlight w:val="none"/>
              </w:rPr>
            </w:pPr>
            <w:r>
              <w:rPr>
                <w:rFonts w:hint="eastAsia" w:cs="宋体"/>
                <w:color w:val="000000"/>
                <w:highlight w:val="white"/>
              </w:rPr>
              <w:t>第一次付款：合同签订后30个工作日内，中标供应商提出付款申请并出具合法等额发票后支付合同中系统升级改造</w:t>
            </w:r>
            <w:r>
              <w:rPr>
                <w:rFonts w:hint="eastAsia" w:cs="宋体"/>
                <w:color w:val="000000"/>
                <w:highlight w:val="white"/>
                <w:lang w:eastAsia="zh-CN"/>
              </w:rPr>
              <w:t>部分</w:t>
            </w:r>
            <w:r>
              <w:rPr>
                <w:rFonts w:hint="eastAsia" w:cs="宋体"/>
                <w:color w:val="000000"/>
                <w:highlight w:val="white"/>
              </w:rPr>
              <w:t>的50%；</w:t>
            </w:r>
          </w:p>
          <w:p w14:paraId="5C84CCB4">
            <w:pPr>
              <w:numPr>
                <w:ilvl w:val="0"/>
                <w:numId w:val="0"/>
              </w:numPr>
              <w:snapToGrid w:val="0"/>
              <w:spacing w:line="240" w:lineRule="auto"/>
              <w:rPr>
                <w:rFonts w:cs="宋体"/>
                <w:color w:val="0000FF"/>
                <w:highlight w:val="none"/>
              </w:rPr>
            </w:pPr>
            <w:r>
              <w:rPr>
                <w:rFonts w:hint="eastAsia" w:cs="宋体"/>
                <w:color w:val="000000"/>
                <w:highlight w:val="white"/>
              </w:rPr>
              <w:t>第二次付款：在完成项目系统升级改造服务并终验合格后，中标供应商提出付款申请并出具合法等额发票后支付合同中系统升级改造</w:t>
            </w:r>
            <w:r>
              <w:rPr>
                <w:rFonts w:hint="eastAsia" w:cs="宋体"/>
                <w:color w:val="000000"/>
                <w:highlight w:val="white"/>
                <w:lang w:eastAsia="zh-CN"/>
              </w:rPr>
              <w:t>部分</w:t>
            </w:r>
            <w:r>
              <w:rPr>
                <w:rFonts w:hint="eastAsia" w:cs="宋体"/>
                <w:color w:val="000000"/>
                <w:highlight w:val="white"/>
              </w:rPr>
              <w:t>的50%。</w:t>
            </w:r>
          </w:p>
        </w:tc>
      </w:tr>
      <w:tr w14:paraId="738B1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vAlign w:val="center"/>
          </w:tcPr>
          <w:p w14:paraId="0B1E60B8">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11</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4135DEEC">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履约保证金及返还</w:t>
            </w:r>
          </w:p>
        </w:tc>
        <w:tc>
          <w:tcPr>
            <w:tcW w:w="6264" w:type="dxa"/>
            <w:tcBorders>
              <w:top w:val="single" w:color="auto" w:sz="4" w:space="0"/>
              <w:left w:val="single" w:color="auto" w:sz="4" w:space="0"/>
              <w:bottom w:val="single" w:color="auto" w:sz="4" w:space="0"/>
              <w:right w:val="single" w:color="auto" w:sz="4" w:space="0"/>
            </w:tcBorders>
            <w:vAlign w:val="center"/>
          </w:tcPr>
          <w:p w14:paraId="62D46CA3">
            <w:pPr>
              <w:tabs>
                <w:tab w:val="left" w:pos="700"/>
              </w:tabs>
              <w:adjustRightInd w:val="0"/>
              <w:snapToGrid w:val="0"/>
              <w:spacing w:after="0" w:line="260" w:lineRule="auto"/>
              <w:rPr>
                <w:rFonts w:ascii="宋体" w:hAnsi="宋体" w:cs="宋体"/>
                <w:szCs w:val="21"/>
                <w:highlight w:val="none"/>
              </w:rPr>
            </w:pPr>
            <w:r>
              <w:rPr>
                <w:rFonts w:ascii="Wingdings 2" w:hAnsi="Wingdings 2" w:cs="宋体"/>
                <w:color w:val="000000"/>
                <w:highlight w:val="white"/>
              </w:rPr>
              <w:sym w:font="Wingdings 2" w:char="F052"/>
            </w:r>
            <w:r>
              <w:rPr>
                <w:rFonts w:hint="eastAsia" w:ascii="宋体" w:hAnsi="宋体" w:cs="宋体"/>
                <w:color w:val="000000"/>
                <w:highlight w:val="white"/>
              </w:rPr>
              <w:t xml:space="preserve"> </w:t>
            </w:r>
            <w:r>
              <w:rPr>
                <w:rFonts w:hint="eastAsia" w:ascii="宋体" w:hAnsi="宋体" w:cs="宋体"/>
                <w:color w:val="000000"/>
                <w:szCs w:val="21"/>
                <w:highlight w:val="white"/>
              </w:rPr>
              <w:t>不要求提供</w:t>
            </w:r>
          </w:p>
          <w:p w14:paraId="77D7E8AD">
            <w:pPr>
              <w:tabs>
                <w:tab w:val="left" w:pos="700"/>
              </w:tabs>
              <w:adjustRightInd w:val="0"/>
              <w:snapToGrid w:val="0"/>
              <w:spacing w:after="0" w:line="260" w:lineRule="auto"/>
              <w:rPr>
                <w:rFonts w:ascii="宋体" w:hAnsi="宋体" w:cs="宋体"/>
                <w:szCs w:val="21"/>
                <w:highlight w:val="none"/>
              </w:rPr>
            </w:pPr>
            <w:r>
              <w:rPr>
                <w:rFonts w:hint="eastAsia" w:ascii="宋体" w:hAnsi="宋体" w:cs="宋体"/>
                <w:color w:val="000000"/>
                <w:highlight w:val="white"/>
              </w:rPr>
              <w:t xml:space="preserve">□ </w:t>
            </w:r>
            <w:r>
              <w:rPr>
                <w:rFonts w:hint="eastAsia" w:ascii="宋体" w:hAnsi="宋体" w:cs="宋体"/>
                <w:color w:val="000000"/>
                <w:szCs w:val="21"/>
                <w:highlight w:val="white"/>
              </w:rPr>
              <w:t>要求提供，履约保证金为合同总金额5%，即人民币</w:t>
            </w:r>
            <w:r>
              <w:rPr>
                <w:rFonts w:ascii="宋体" w:hAnsi="宋体" w:cs="宋体"/>
                <w:color w:val="000000"/>
                <w:szCs w:val="21"/>
                <w:highlight w:val="white"/>
                <w:u w:val="single"/>
              </w:rPr>
              <w:t xml:space="preserve">  </w:t>
            </w:r>
            <w:r>
              <w:rPr>
                <w:rFonts w:hint="eastAsia" w:ascii="宋体" w:hAnsi="宋体" w:cs="宋体"/>
                <w:color w:val="000000"/>
                <w:szCs w:val="21"/>
                <w:highlight w:val="white"/>
                <w:u w:val="single"/>
              </w:rPr>
              <w:t xml:space="preserve">  </w:t>
            </w:r>
            <w:r>
              <w:rPr>
                <w:rFonts w:ascii="宋体" w:hAnsi="宋体" w:cs="宋体"/>
                <w:color w:val="000000"/>
                <w:szCs w:val="21"/>
                <w:highlight w:val="white"/>
                <w:u w:val="single"/>
              </w:rPr>
              <w:t xml:space="preserve">   </w:t>
            </w:r>
            <w:r>
              <w:rPr>
                <w:rFonts w:hint="eastAsia" w:ascii="宋体" w:hAnsi="宋体" w:cs="宋体"/>
                <w:color w:val="000000"/>
                <w:szCs w:val="21"/>
                <w:highlight w:val="white"/>
              </w:rPr>
              <w:t>元整（¥</w:t>
            </w:r>
            <w:r>
              <w:rPr>
                <w:rFonts w:ascii="宋体" w:hAnsi="宋体" w:cs="宋体"/>
                <w:color w:val="000000"/>
                <w:szCs w:val="21"/>
                <w:highlight w:val="white"/>
                <w:u w:val="single"/>
              </w:rPr>
              <w:t xml:space="preserve">      </w:t>
            </w:r>
            <w:r>
              <w:rPr>
                <w:rFonts w:hint="eastAsia" w:ascii="宋体" w:hAnsi="宋体" w:cs="宋体"/>
                <w:color w:val="000000"/>
                <w:szCs w:val="21"/>
                <w:highlight w:val="white"/>
                <w:u w:val="single"/>
              </w:rPr>
              <w:t xml:space="preserve"> </w:t>
            </w:r>
            <w:r>
              <w:rPr>
                <w:rFonts w:hint="eastAsia" w:ascii="宋体" w:hAnsi="宋体" w:cs="宋体"/>
                <w:color w:val="000000"/>
                <w:szCs w:val="21"/>
                <w:highlight w:val="white"/>
              </w:rPr>
              <w:t>），乙方应在合同签订之日起30日内提交甲方，提交方式为银行电汇、金融机构或担保机构出具的保函。</w:t>
            </w:r>
          </w:p>
          <w:p w14:paraId="3F48F868">
            <w:pPr>
              <w:tabs>
                <w:tab w:val="left" w:pos="700"/>
              </w:tabs>
              <w:adjustRightInd w:val="0"/>
              <w:snapToGrid w:val="0"/>
              <w:spacing w:after="0" w:line="260" w:lineRule="auto"/>
              <w:rPr>
                <w:rFonts w:ascii="宋体" w:hAnsi="宋体" w:cs="宋体"/>
                <w:szCs w:val="21"/>
                <w:highlight w:val="none"/>
              </w:rPr>
            </w:pPr>
            <w:r>
              <w:rPr>
                <w:rFonts w:hint="eastAsia" w:ascii="宋体" w:hAnsi="宋体" w:cs="宋体"/>
                <w:color w:val="000000"/>
                <w:szCs w:val="21"/>
                <w:highlight w:val="white"/>
              </w:rPr>
              <w:t>履约保证金到期后转为质保金，1年后设备运行正常，扣除应扣除的款项（如有）且双方无争议后，无息返还。</w:t>
            </w:r>
          </w:p>
          <w:p w14:paraId="22394491">
            <w:pPr>
              <w:tabs>
                <w:tab w:val="left" w:pos="700"/>
              </w:tabs>
              <w:adjustRightInd w:val="0"/>
              <w:snapToGrid w:val="0"/>
              <w:spacing w:after="0" w:line="260" w:lineRule="auto"/>
              <w:ind w:firstLine="420" w:firstLineChars="200"/>
              <w:rPr>
                <w:rFonts w:ascii="宋体" w:hAnsi="宋体" w:cs="宋体"/>
                <w:szCs w:val="21"/>
                <w:highlight w:val="none"/>
              </w:rPr>
            </w:pPr>
            <w:r>
              <w:rPr>
                <w:rFonts w:hint="eastAsia" w:ascii="宋体" w:hAnsi="宋体" w:cs="宋体"/>
                <w:color w:val="000000"/>
                <w:szCs w:val="21"/>
                <w:highlight w:val="white"/>
              </w:rPr>
              <w:t>办理返还履约保证金时，乙方应提供履约保证金返还申请（格式另附）、合同关键页复印件、合同约定的其他资料。涉及验收的，应同时提交甲方实施部门出具的项目终验意见或质量保障期（服务期）满验收意见。</w:t>
            </w:r>
          </w:p>
          <w:p w14:paraId="0250D548">
            <w:pPr>
              <w:tabs>
                <w:tab w:val="left" w:pos="700"/>
              </w:tabs>
              <w:adjustRightInd w:val="0"/>
              <w:snapToGrid w:val="0"/>
              <w:spacing w:after="0" w:line="240" w:lineRule="auto"/>
              <w:ind w:firstLine="420" w:firstLineChars="200"/>
              <w:rPr>
                <w:rFonts w:ascii="宋体" w:hAnsi="宋体" w:cs="宋体"/>
                <w:szCs w:val="21"/>
                <w:highlight w:val="none"/>
              </w:rPr>
            </w:pPr>
            <w:r>
              <w:rPr>
                <w:rFonts w:hint="eastAsia" w:ascii="宋体" w:hAnsi="宋体" w:cs="宋体"/>
                <w:color w:val="000000"/>
                <w:szCs w:val="21"/>
                <w:highlight w:val="white"/>
              </w:rPr>
              <w:t>满足履约保证金返还条件的，甲方在收到返还相关信息等合同约定资料后，进行核实。对核实结果无异议的，自完成核实之日起30日内，以电汇方式返还履约保证金或退回保函。</w:t>
            </w:r>
          </w:p>
        </w:tc>
      </w:tr>
      <w:tr w14:paraId="09117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655" w:type="dxa"/>
            <w:tcBorders>
              <w:top w:val="single" w:color="auto" w:sz="4" w:space="0"/>
              <w:left w:val="single" w:color="auto" w:sz="4" w:space="0"/>
              <w:bottom w:val="single" w:color="auto" w:sz="4" w:space="0"/>
              <w:right w:val="single" w:color="auto" w:sz="4" w:space="0"/>
            </w:tcBorders>
            <w:vAlign w:val="center"/>
          </w:tcPr>
          <w:p w14:paraId="571D49F4">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12</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24D0835A">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highlight w:val="white"/>
              </w:rPr>
              <w:t>合同履行期限</w:t>
            </w:r>
          </w:p>
        </w:tc>
        <w:tc>
          <w:tcPr>
            <w:tcW w:w="6264" w:type="dxa"/>
            <w:tcBorders>
              <w:top w:val="single" w:color="auto" w:sz="4" w:space="0"/>
              <w:left w:val="single" w:color="auto" w:sz="4" w:space="0"/>
              <w:bottom w:val="single" w:color="auto" w:sz="4" w:space="0"/>
              <w:right w:val="single" w:color="auto" w:sz="4" w:space="0"/>
            </w:tcBorders>
            <w:vAlign w:val="center"/>
          </w:tcPr>
          <w:p w14:paraId="0CC961A5">
            <w:pPr>
              <w:tabs>
                <w:tab w:val="left" w:pos="700"/>
              </w:tabs>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自合同签订之日起至合同全部权利义务履行完毕之日止</w:t>
            </w:r>
          </w:p>
        </w:tc>
      </w:tr>
      <w:tr w14:paraId="79519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55" w:type="dxa"/>
            <w:tcBorders>
              <w:top w:val="single" w:color="auto" w:sz="4" w:space="0"/>
              <w:left w:val="single" w:color="auto" w:sz="4" w:space="0"/>
              <w:bottom w:val="single" w:color="auto" w:sz="4" w:space="0"/>
              <w:right w:val="single" w:color="auto" w:sz="4" w:space="0"/>
            </w:tcBorders>
            <w:vAlign w:val="center"/>
          </w:tcPr>
          <w:p w14:paraId="053EDB2D">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13</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7D4C0A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highlight w:val="white"/>
              </w:rPr>
              <w:t>服务期</w:t>
            </w:r>
          </w:p>
        </w:tc>
        <w:tc>
          <w:tcPr>
            <w:tcW w:w="6264" w:type="dxa"/>
            <w:tcBorders>
              <w:top w:val="single" w:color="auto" w:sz="4" w:space="0"/>
              <w:left w:val="single" w:color="auto" w:sz="4" w:space="0"/>
              <w:bottom w:val="single" w:color="auto" w:sz="4" w:space="0"/>
              <w:right w:val="single" w:color="auto" w:sz="4" w:space="0"/>
            </w:tcBorders>
            <w:vAlign w:val="center"/>
          </w:tcPr>
          <w:p w14:paraId="15BAC018">
            <w:pPr>
              <w:tabs>
                <w:tab w:val="left" w:pos="700"/>
              </w:tabs>
              <w:adjustRightInd w:val="0"/>
              <w:snapToGrid w:val="0"/>
              <w:spacing w:after="0" w:line="240" w:lineRule="auto"/>
              <w:rPr>
                <w:rFonts w:hint="eastAsia" w:ascii="宋体" w:hAnsi="宋体" w:cs="宋体"/>
                <w:color w:val="0000FF"/>
                <w:szCs w:val="21"/>
                <w:highlight w:val="none"/>
              </w:rPr>
            </w:pPr>
            <w:r>
              <w:rPr>
                <w:rFonts w:hint="eastAsia" w:ascii="宋体" w:hAnsi="宋体" w:eastAsia="宋体" w:cs="宋体"/>
                <w:color w:val="000000"/>
                <w:kern w:val="2"/>
                <w:sz w:val="21"/>
                <w:szCs w:val="21"/>
                <w:highlight w:val="white"/>
                <w:lang w:val="en-US" w:eastAsia="zh-CN" w:bidi="ar-SA"/>
              </w:rPr>
              <w:t>本项目一定二年，合同一年一签。</w:t>
            </w:r>
            <w:r>
              <w:rPr>
                <w:rFonts w:hint="eastAsia" w:ascii="宋体" w:hAnsi="宋体" w:cs="宋体"/>
                <w:color w:val="000000"/>
                <w:kern w:val="2"/>
                <w:sz w:val="21"/>
                <w:szCs w:val="21"/>
                <w:highlight w:val="white"/>
                <w:lang w:val="en-US" w:eastAsia="zh-CN" w:bidi="ar-SA"/>
              </w:rPr>
              <w:t>1.</w:t>
            </w:r>
            <w:r>
              <w:rPr>
                <w:rFonts w:hint="eastAsia" w:ascii="宋体" w:hAnsi="宋体" w:eastAsia="宋体" w:cs="宋体"/>
                <w:color w:val="000000"/>
                <w:kern w:val="2"/>
                <w:sz w:val="21"/>
                <w:szCs w:val="21"/>
                <w:highlight w:val="white"/>
                <w:lang w:val="en-US" w:eastAsia="zh-CN" w:bidi="ar-SA"/>
              </w:rPr>
              <w:t>延续运维类服务:第一年自合同签定之日起至2025年11月30日，第二年服务期自2025年12月1日至2026年7月31日；</w:t>
            </w:r>
            <w:r>
              <w:rPr>
                <w:rFonts w:hint="eastAsia" w:ascii="宋体" w:hAnsi="宋体" w:cs="宋体"/>
                <w:color w:val="000000"/>
                <w:kern w:val="2"/>
                <w:sz w:val="21"/>
                <w:szCs w:val="21"/>
                <w:highlight w:val="white"/>
                <w:lang w:val="en-US" w:eastAsia="zh-CN" w:bidi="ar-SA"/>
              </w:rPr>
              <w:t>2.</w:t>
            </w:r>
            <w:r>
              <w:rPr>
                <w:rFonts w:hint="eastAsia" w:ascii="宋体" w:hAnsi="宋体" w:eastAsia="宋体" w:cs="宋体"/>
                <w:color w:val="000000"/>
                <w:kern w:val="2"/>
                <w:sz w:val="21"/>
                <w:szCs w:val="21"/>
                <w:highlight w:val="white"/>
                <w:lang w:val="en-US" w:eastAsia="zh-CN" w:bidi="ar-SA"/>
              </w:rPr>
              <w:t>新增运维类服务:第一年自2025年1月1日至2025年12月31日，第二年自2026年1月1日至2026年7月31日；</w:t>
            </w:r>
            <w:r>
              <w:rPr>
                <w:rFonts w:hint="eastAsia" w:ascii="宋体" w:hAnsi="宋体" w:cs="宋体"/>
                <w:color w:val="000000"/>
                <w:kern w:val="2"/>
                <w:sz w:val="21"/>
                <w:szCs w:val="21"/>
                <w:highlight w:val="white"/>
                <w:lang w:val="en-US" w:eastAsia="zh-CN" w:bidi="ar-SA"/>
              </w:rPr>
              <w:t>3.</w:t>
            </w:r>
            <w:r>
              <w:rPr>
                <w:rFonts w:hint="eastAsia" w:ascii="宋体" w:hAnsi="宋体" w:eastAsia="宋体" w:cs="宋体"/>
                <w:color w:val="000000"/>
                <w:kern w:val="2"/>
                <w:sz w:val="21"/>
                <w:szCs w:val="21"/>
                <w:highlight w:val="white"/>
                <w:lang w:val="en-US" w:eastAsia="zh-CN" w:bidi="ar-SA"/>
              </w:rPr>
              <w:t>升级改造类服务：自合同签订之日起3个月完成上线部署实施，保证系统稳定运行。升级改造部分免费运维服务期限自验收通过之日起一年。</w:t>
            </w:r>
          </w:p>
        </w:tc>
      </w:tr>
      <w:tr w14:paraId="50901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vAlign w:val="center"/>
          </w:tcPr>
          <w:p w14:paraId="04C52176">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14</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724077D6">
            <w:pPr>
              <w:tabs>
                <w:tab w:val="left" w:pos="700"/>
              </w:tabs>
              <w:adjustRightInd w:val="0"/>
              <w:snapToGrid w:val="0"/>
              <w:spacing w:after="0" w:line="240" w:lineRule="auto"/>
              <w:jc w:val="center"/>
              <w:rPr>
                <w:rFonts w:ascii="宋体" w:hAnsi="宋体" w:cs="宋体"/>
                <w:highlight w:val="none"/>
              </w:rPr>
            </w:pPr>
            <w:r>
              <w:rPr>
                <w:rFonts w:hint="eastAsia" w:ascii="宋体" w:hAnsi="宋体" w:cs="宋体"/>
                <w:color w:val="000000"/>
                <w:highlight w:val="white"/>
              </w:rPr>
              <w:t>合同履约地点</w:t>
            </w:r>
          </w:p>
        </w:tc>
        <w:tc>
          <w:tcPr>
            <w:tcW w:w="6264" w:type="dxa"/>
            <w:tcBorders>
              <w:top w:val="single" w:color="auto" w:sz="4" w:space="0"/>
              <w:left w:val="single" w:color="auto" w:sz="4" w:space="0"/>
              <w:bottom w:val="single" w:color="auto" w:sz="4" w:space="0"/>
              <w:right w:val="single" w:color="auto" w:sz="4" w:space="0"/>
            </w:tcBorders>
            <w:vAlign w:val="center"/>
          </w:tcPr>
          <w:p w14:paraId="75FFBC46">
            <w:pPr>
              <w:tabs>
                <w:tab w:val="left" w:pos="700"/>
              </w:tabs>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合同约定地点或甲方指定地点</w:t>
            </w:r>
          </w:p>
        </w:tc>
      </w:tr>
    </w:tbl>
    <w:p w14:paraId="622546E6">
      <w:pPr>
        <w:tabs>
          <w:tab w:val="left" w:pos="700"/>
        </w:tabs>
        <w:topLinePunct/>
        <w:autoSpaceDE w:val="0"/>
        <w:autoSpaceDN w:val="0"/>
        <w:spacing w:line="460" w:lineRule="exact"/>
        <w:rPr>
          <w:rFonts w:ascii="宋体" w:hAnsi="宋体" w:cs="宋体"/>
          <w:b/>
          <w:highlight w:val="none"/>
        </w:rPr>
      </w:pPr>
      <w:r>
        <w:rPr>
          <w:rFonts w:hint="eastAsia" w:ascii="宋体" w:hAnsi="宋体" w:cs="宋体"/>
          <w:b/>
          <w:color w:val="000000"/>
          <w:sz w:val="28"/>
          <w:highlight w:val="white"/>
        </w:rPr>
        <w:br w:type="page"/>
      </w:r>
    </w:p>
    <w:p w14:paraId="77B6F514">
      <w:pPr>
        <w:tabs>
          <w:tab w:val="left" w:pos="0"/>
        </w:tabs>
        <w:topLinePunct/>
        <w:autoSpaceDE w:val="0"/>
        <w:autoSpaceDN w:val="0"/>
        <w:spacing w:line="460" w:lineRule="exact"/>
        <w:jc w:val="center"/>
        <w:rPr>
          <w:rFonts w:ascii="宋体" w:hAnsi="宋体" w:cs="宋体"/>
          <w:b/>
          <w:highlight w:val="none"/>
        </w:rPr>
      </w:pPr>
      <w:r>
        <w:rPr>
          <w:rFonts w:hint="eastAsia" w:ascii="宋体" w:hAnsi="宋体" w:cs="宋体"/>
          <w:b/>
          <w:color w:val="000000"/>
          <w:sz w:val="24"/>
          <w:highlight w:val="white"/>
        </w:rPr>
        <w:t xml:space="preserve">一   合  同 </w:t>
      </w:r>
    </w:p>
    <w:p w14:paraId="6002558D">
      <w:pPr>
        <w:tabs>
          <w:tab w:val="left" w:pos="540"/>
        </w:tabs>
        <w:topLinePunct/>
        <w:autoSpaceDE w:val="0"/>
        <w:autoSpaceDN w:val="0"/>
        <w:spacing w:line="460" w:lineRule="exact"/>
        <w:rPr>
          <w:rFonts w:ascii="宋体" w:hAnsi="宋体" w:cs="宋体"/>
          <w:bCs/>
          <w:highlight w:val="none"/>
        </w:rPr>
      </w:pPr>
    </w:p>
    <w:p w14:paraId="5AFE60E9">
      <w:pPr>
        <w:pStyle w:val="27"/>
        <w:spacing w:before="0" w:beforeAutospacing="0" w:afterAutospacing="0" w:line="360" w:lineRule="auto"/>
        <w:ind w:firstLine="480" w:firstLineChars="200"/>
        <w:jc w:val="both"/>
        <w:rPr>
          <w:rFonts w:ascii="宋体" w:hAnsi="宋体" w:cs="宋体"/>
          <w:bCs/>
          <w:highlight w:val="none"/>
        </w:rPr>
      </w:pPr>
      <w:r>
        <w:rPr>
          <w:rFonts w:hint="eastAsia" w:ascii="宋体" w:hAnsi="宋体" w:cs="宋体"/>
          <w:bCs/>
          <w:color w:val="000000"/>
          <w:highlight w:val="white"/>
        </w:rPr>
        <w:t>国家税务总局吉林省税务局（以下简称“甲方”）通过公开招标方式采购，确定_____（以下简称“乙方”）为“</w:t>
      </w:r>
      <w:r>
        <w:rPr>
          <w:rFonts w:hint="eastAsia" w:ascii="宋体" w:hAnsi="宋体" w:cs="宋体"/>
          <w:color w:val="000000"/>
          <w:szCs w:val="21"/>
          <w:highlight w:val="white"/>
          <w:lang w:eastAsia="zh-CN"/>
        </w:rPr>
        <w:t>国家税务总局吉林省税务局管理决策支持系统(决策一包)及市场主体准入E窗通等系统运维及升级改造项目</w:t>
      </w:r>
      <w:r>
        <w:rPr>
          <w:rFonts w:hint="eastAsia" w:ascii="宋体" w:hAnsi="宋体" w:cs="宋体"/>
          <w:bCs/>
          <w:color w:val="000000"/>
          <w:highlight w:val="white"/>
        </w:rPr>
        <w:t>”中标供应商。甲乙双方同意按照该项目招标文件约定的内容，签署《</w:t>
      </w:r>
      <w:r>
        <w:rPr>
          <w:rFonts w:hint="eastAsia" w:ascii="宋体" w:hAnsi="宋体" w:cs="宋体"/>
          <w:color w:val="000000"/>
          <w:szCs w:val="21"/>
          <w:highlight w:val="white"/>
          <w:lang w:eastAsia="zh-CN"/>
        </w:rPr>
        <w:t>国家税务总局吉林省税务局管理决策支持系统(决策一包)及市场主体准入E窗通等系统运维及升级改造项目</w:t>
      </w:r>
      <w:r>
        <w:rPr>
          <w:rFonts w:hint="eastAsia" w:ascii="宋体" w:hAnsi="宋体" w:cs="宋体"/>
          <w:bCs/>
          <w:color w:val="000000"/>
          <w:highlight w:val="white"/>
        </w:rPr>
        <w:t>》（合同编号：********，以下简称“合同”)。</w:t>
      </w:r>
    </w:p>
    <w:p w14:paraId="7594BCDB">
      <w:pPr>
        <w:topLinePunct/>
        <w:autoSpaceDE w:val="0"/>
        <w:autoSpaceDN w:val="0"/>
        <w:snapToGrid w:val="0"/>
        <w:spacing w:after="0" w:line="360" w:lineRule="auto"/>
        <w:ind w:left="482"/>
        <w:rPr>
          <w:rFonts w:ascii="宋体" w:hAnsi="宋体" w:cs="宋体"/>
          <w:bCs/>
          <w:highlight w:val="none"/>
        </w:rPr>
      </w:pPr>
    </w:p>
    <w:p w14:paraId="77415890">
      <w:pPr>
        <w:topLinePunct/>
        <w:autoSpaceDE w:val="0"/>
        <w:autoSpaceDN w:val="0"/>
        <w:snapToGrid w:val="0"/>
        <w:spacing w:after="0" w:line="360" w:lineRule="auto"/>
        <w:ind w:left="482"/>
        <w:rPr>
          <w:rFonts w:ascii="宋体" w:hAnsi="宋体" w:cs="宋体"/>
          <w:b/>
          <w:highlight w:val="none"/>
        </w:rPr>
      </w:pPr>
      <w:r>
        <w:rPr>
          <w:rFonts w:hint="eastAsia" w:ascii="宋体" w:hAnsi="宋体" w:cs="宋体"/>
          <w:b/>
          <w:color w:val="000000"/>
          <w:sz w:val="24"/>
          <w:highlight w:val="white"/>
        </w:rPr>
        <w:t>1. 合同文件</w:t>
      </w:r>
    </w:p>
    <w:p w14:paraId="0E4CC172">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本合同所附下列文件是构成本合同不可分割的部分：</w:t>
      </w:r>
    </w:p>
    <w:p w14:paraId="56673C70">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（1）合同通用条款；</w:t>
      </w:r>
    </w:p>
    <w:p w14:paraId="4F9BD9C8">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（2）报价表（开标一览表、总报价表和分项报价表）；</w:t>
      </w:r>
    </w:p>
    <w:p w14:paraId="64D89859">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（3）</w:t>
      </w:r>
      <w:r>
        <w:rPr>
          <w:rFonts w:hint="eastAsia" w:ascii="宋体" w:hAnsi="宋体" w:cs="宋体"/>
          <w:color w:val="000000"/>
          <w:sz w:val="24"/>
          <w:highlight w:val="white"/>
        </w:rPr>
        <w:t>招标（采购）文件</w:t>
      </w:r>
      <w:r>
        <w:rPr>
          <w:rFonts w:hint="eastAsia" w:ascii="宋体" w:hAnsi="宋体" w:cs="宋体"/>
          <w:bCs/>
          <w:color w:val="000000"/>
          <w:sz w:val="24"/>
          <w:highlight w:val="white"/>
        </w:rPr>
        <w:t>；</w:t>
      </w:r>
    </w:p>
    <w:p w14:paraId="7A93A773">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（4）投标（响应）文件。</w:t>
      </w:r>
    </w:p>
    <w:p w14:paraId="388E2001">
      <w:pPr>
        <w:tabs>
          <w:tab w:val="left" w:pos="700"/>
        </w:tabs>
        <w:topLinePunct/>
        <w:autoSpaceDE w:val="0"/>
        <w:autoSpaceDN w:val="0"/>
        <w:snapToGrid w:val="0"/>
        <w:spacing w:after="0" w:line="360" w:lineRule="auto"/>
        <w:ind w:firstLine="420" w:firstLineChars="200"/>
        <w:rPr>
          <w:rFonts w:ascii="宋体" w:hAnsi="宋体" w:cs="宋体"/>
          <w:highlight w:val="none"/>
        </w:rPr>
      </w:pPr>
    </w:p>
    <w:p w14:paraId="37DCF823">
      <w:pPr>
        <w:topLinePunct/>
        <w:autoSpaceDE w:val="0"/>
        <w:autoSpaceDN w:val="0"/>
        <w:snapToGrid w:val="0"/>
        <w:spacing w:after="0" w:line="360" w:lineRule="auto"/>
        <w:ind w:left="482"/>
        <w:rPr>
          <w:rFonts w:ascii="宋体" w:hAnsi="宋体" w:cs="宋体"/>
          <w:b/>
          <w:highlight w:val="none"/>
        </w:rPr>
      </w:pPr>
      <w:r>
        <w:rPr>
          <w:rFonts w:hint="eastAsia" w:ascii="宋体" w:hAnsi="宋体" w:cs="宋体"/>
          <w:b/>
          <w:color w:val="000000"/>
          <w:sz w:val="24"/>
          <w:highlight w:val="white"/>
        </w:rPr>
        <w:t>2. 合同范围和条件</w:t>
      </w:r>
    </w:p>
    <w:p w14:paraId="09C78A3D">
      <w:pPr>
        <w:tabs>
          <w:tab w:val="left" w:pos="700"/>
        </w:tabs>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本合同的范围和条件应与上述合同文件的规定相一致。</w:t>
      </w:r>
    </w:p>
    <w:p w14:paraId="6123ACB7">
      <w:pPr>
        <w:tabs>
          <w:tab w:val="left" w:pos="700"/>
        </w:tabs>
        <w:topLinePunct/>
        <w:autoSpaceDE w:val="0"/>
        <w:autoSpaceDN w:val="0"/>
        <w:snapToGrid w:val="0"/>
        <w:spacing w:after="0" w:line="360" w:lineRule="auto"/>
        <w:ind w:firstLine="411" w:firstLineChars="196"/>
        <w:rPr>
          <w:rFonts w:ascii="宋体" w:hAnsi="宋体" w:cs="宋体"/>
          <w:highlight w:val="none"/>
        </w:rPr>
      </w:pPr>
    </w:p>
    <w:p w14:paraId="27D83E23">
      <w:pPr>
        <w:tabs>
          <w:tab w:val="left" w:pos="700"/>
        </w:tabs>
        <w:topLinePunct/>
        <w:autoSpaceDE w:val="0"/>
        <w:autoSpaceDN w:val="0"/>
        <w:snapToGrid w:val="0"/>
        <w:spacing w:after="0" w:line="360" w:lineRule="auto"/>
        <w:ind w:firstLine="472" w:firstLineChars="196"/>
        <w:rPr>
          <w:rFonts w:ascii="宋体" w:hAnsi="宋体" w:cs="宋体"/>
          <w:b/>
          <w:highlight w:val="none"/>
        </w:rPr>
      </w:pPr>
      <w:r>
        <w:rPr>
          <w:rFonts w:hint="eastAsia" w:ascii="宋体" w:hAnsi="宋体" w:cs="宋体"/>
          <w:b/>
          <w:color w:val="000000"/>
          <w:sz w:val="24"/>
          <w:highlight w:val="white"/>
        </w:rPr>
        <w:t>3. 合同金额</w:t>
      </w:r>
    </w:p>
    <w:p w14:paraId="7A293DA1">
      <w:pPr>
        <w:tabs>
          <w:tab w:val="left" w:pos="700"/>
        </w:tabs>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本合同金额为人民币</w:t>
      </w:r>
      <w:r>
        <w:rPr>
          <w:rFonts w:hint="eastAsia" w:ascii="宋体" w:hAnsi="宋体" w:cs="宋体"/>
          <w:color w:val="000000"/>
          <w:sz w:val="24"/>
          <w:highlight w:val="white"/>
          <w:u w:val="single"/>
        </w:rPr>
        <w:t xml:space="preserve">        </w:t>
      </w:r>
      <w:r>
        <w:rPr>
          <w:rFonts w:hint="eastAsia" w:ascii="宋体" w:hAnsi="宋体" w:cs="宋体"/>
          <w:color w:val="000000"/>
          <w:sz w:val="24"/>
          <w:highlight w:val="white"/>
        </w:rPr>
        <w:t>元整（¥</w:t>
      </w:r>
      <w:r>
        <w:rPr>
          <w:rFonts w:hint="eastAsia" w:ascii="宋体" w:hAnsi="宋体" w:cs="宋体"/>
          <w:color w:val="000000"/>
          <w:sz w:val="24"/>
          <w:highlight w:val="white"/>
          <w:u w:val="single"/>
        </w:rPr>
        <w:t xml:space="preserve">          </w:t>
      </w:r>
      <w:r>
        <w:rPr>
          <w:rFonts w:hint="eastAsia" w:ascii="宋体" w:hAnsi="宋体" w:cs="宋体"/>
          <w:color w:val="000000"/>
          <w:sz w:val="24"/>
          <w:highlight w:val="white"/>
        </w:rPr>
        <w:t>）。</w:t>
      </w:r>
    </w:p>
    <w:p w14:paraId="7CE2778F">
      <w:pPr>
        <w:tabs>
          <w:tab w:val="left" w:pos="700"/>
        </w:tabs>
        <w:topLinePunct/>
        <w:autoSpaceDE w:val="0"/>
        <w:autoSpaceDN w:val="0"/>
        <w:snapToGrid w:val="0"/>
        <w:spacing w:after="0" w:line="360" w:lineRule="auto"/>
        <w:ind w:firstLine="514" w:firstLineChars="245"/>
        <w:rPr>
          <w:rFonts w:ascii="宋体" w:hAnsi="宋体" w:cs="宋体"/>
          <w:highlight w:val="none"/>
        </w:rPr>
      </w:pPr>
    </w:p>
    <w:p w14:paraId="00EF8867">
      <w:pPr>
        <w:tabs>
          <w:tab w:val="left" w:pos="700"/>
        </w:tabs>
        <w:topLinePunct/>
        <w:autoSpaceDE w:val="0"/>
        <w:autoSpaceDN w:val="0"/>
        <w:snapToGrid w:val="0"/>
        <w:spacing w:after="0" w:line="360" w:lineRule="auto"/>
        <w:ind w:firstLine="482" w:firstLineChars="200"/>
        <w:rPr>
          <w:rFonts w:ascii="宋体" w:hAnsi="宋体" w:cs="宋体"/>
          <w:b/>
          <w:color w:val="0000FF"/>
          <w:highlight w:val="none"/>
        </w:rPr>
      </w:pPr>
      <w:r>
        <w:rPr>
          <w:rFonts w:ascii="宋体" w:hAnsi="宋体" w:cs="宋体"/>
          <w:b/>
          <w:color w:val="000000"/>
          <w:sz w:val="24"/>
          <w:highlight w:val="white"/>
        </w:rPr>
        <w:t>4.</w:t>
      </w:r>
      <w:r>
        <w:rPr>
          <w:rFonts w:hint="eastAsia" w:ascii="宋体" w:hAnsi="宋体" w:cs="宋体"/>
          <w:b/>
          <w:color w:val="000000"/>
          <w:sz w:val="24"/>
          <w:highlight w:val="white"/>
        </w:rPr>
        <w:t>付款条件</w:t>
      </w:r>
    </w:p>
    <w:p w14:paraId="3353BCEF">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付款安排:</w:t>
      </w:r>
    </w:p>
    <w:p w14:paraId="76143FA1">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1.</w:t>
      </w:r>
      <w:r>
        <w:rPr>
          <w:rFonts w:hint="eastAsia" w:ascii="宋体" w:hAnsi="宋体" w:cs="宋体"/>
          <w:b w:val="0"/>
          <w:bCs/>
          <w:color w:val="000000"/>
          <w:sz w:val="24"/>
          <w:highlight w:val="white"/>
          <w:lang w:eastAsia="zh-CN"/>
        </w:rPr>
        <w:t>延续运维类服务</w:t>
      </w:r>
    </w:p>
    <w:p w14:paraId="452B842C">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第一次付款：2025年3月底前，</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提出付款申请并出具合法等额发票后10日内支付合同金额中</w:t>
      </w:r>
      <w:r>
        <w:rPr>
          <w:rFonts w:hint="eastAsia" w:ascii="宋体" w:hAnsi="宋体" w:cs="宋体"/>
          <w:b w:val="0"/>
          <w:bCs/>
          <w:color w:val="000000"/>
          <w:sz w:val="24"/>
          <w:highlight w:val="white"/>
          <w:lang w:eastAsia="zh-CN"/>
        </w:rPr>
        <w:t>延续运维类服务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的30%；</w:t>
      </w:r>
    </w:p>
    <w:p w14:paraId="202A9AAA">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第二次付款：2025年9月底前，项目验收合格后，</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提出付款申请并出具合法等额发票后10日内支付合同金额中</w:t>
      </w:r>
      <w:r>
        <w:rPr>
          <w:rFonts w:hint="eastAsia" w:ascii="宋体" w:hAnsi="宋体" w:cs="宋体"/>
          <w:b w:val="0"/>
          <w:bCs/>
          <w:color w:val="000000"/>
          <w:sz w:val="24"/>
          <w:highlight w:val="white"/>
          <w:lang w:eastAsia="zh-CN"/>
        </w:rPr>
        <w:t>延续运维类服务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的70%；</w:t>
      </w:r>
    </w:p>
    <w:p w14:paraId="2E606521">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第三次付款：按照第一年服务期合同金额中</w:t>
      </w:r>
      <w:r>
        <w:rPr>
          <w:rFonts w:hint="eastAsia" w:ascii="宋体" w:hAnsi="宋体" w:cs="宋体"/>
          <w:b w:val="0"/>
          <w:bCs/>
          <w:color w:val="000000"/>
          <w:sz w:val="24"/>
          <w:highlight w:val="white"/>
          <w:lang w:eastAsia="zh-CN"/>
        </w:rPr>
        <w:t>延续运维类服务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的月金额*8个月计算第二年期</w:t>
      </w:r>
      <w:r>
        <w:rPr>
          <w:rFonts w:hint="eastAsia" w:ascii="宋体" w:hAnsi="宋体" w:cs="宋体"/>
          <w:b w:val="0"/>
          <w:bCs/>
          <w:color w:val="000000"/>
          <w:sz w:val="24"/>
          <w:highlight w:val="white"/>
          <w:lang w:eastAsia="zh-CN"/>
        </w:rPr>
        <w:t>延续运维类服务</w:t>
      </w:r>
      <w:r>
        <w:rPr>
          <w:rFonts w:hint="eastAsia" w:ascii="宋体" w:hAnsi="宋体" w:cs="宋体"/>
          <w:b w:val="0"/>
          <w:bCs/>
          <w:color w:val="000000"/>
          <w:sz w:val="24"/>
          <w:highlight w:val="white"/>
          <w:lang w:val="en-US" w:eastAsia="zh-CN"/>
        </w:rPr>
        <w:t>金额。服务期满，项目验收合格后，</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提出付款申请并出具合法等额发票后10日内支付第二年期合同金额中</w:t>
      </w:r>
      <w:r>
        <w:rPr>
          <w:rFonts w:hint="eastAsia" w:ascii="宋体" w:hAnsi="宋体" w:cs="宋体"/>
          <w:b w:val="0"/>
          <w:bCs/>
          <w:color w:val="000000"/>
          <w:sz w:val="24"/>
          <w:highlight w:val="white"/>
          <w:lang w:eastAsia="zh-CN"/>
        </w:rPr>
        <w:t>延续运维类项服务</w:t>
      </w:r>
      <w:r>
        <w:rPr>
          <w:rFonts w:hint="eastAsia" w:ascii="宋体" w:hAnsi="宋体" w:cs="宋体"/>
          <w:b w:val="0"/>
          <w:bCs/>
          <w:color w:val="000000"/>
          <w:sz w:val="24"/>
          <w:highlight w:val="white"/>
          <w:lang w:val="zh-CN" w:eastAsia="zh-CN"/>
        </w:rPr>
        <w:t>部分的</w:t>
      </w:r>
      <w:r>
        <w:rPr>
          <w:rFonts w:hint="eastAsia" w:ascii="宋体" w:hAnsi="宋体" w:cs="宋体"/>
          <w:b w:val="0"/>
          <w:bCs/>
          <w:color w:val="000000"/>
          <w:sz w:val="24"/>
          <w:highlight w:val="white"/>
          <w:lang w:val="en-US" w:eastAsia="zh-CN"/>
        </w:rPr>
        <w:t>100%。</w:t>
      </w:r>
    </w:p>
    <w:p w14:paraId="49201FE6">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2.</w:t>
      </w:r>
      <w:r>
        <w:rPr>
          <w:rFonts w:hint="eastAsia" w:ascii="宋体" w:hAnsi="宋体" w:cs="宋体"/>
          <w:b w:val="0"/>
          <w:bCs/>
          <w:color w:val="000000"/>
          <w:sz w:val="24"/>
          <w:highlight w:val="white"/>
          <w:lang w:eastAsia="zh-CN"/>
        </w:rPr>
        <w:t>新增运维类服务</w:t>
      </w:r>
    </w:p>
    <w:p w14:paraId="0FAA438E">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第一次付款：2025年3月底前，</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提出付款申请并出具合法等额发票后10日内支付合同金额中</w:t>
      </w:r>
      <w:r>
        <w:rPr>
          <w:rFonts w:hint="eastAsia" w:ascii="宋体" w:hAnsi="宋体" w:cs="宋体"/>
          <w:b w:val="0"/>
          <w:bCs/>
          <w:color w:val="000000"/>
          <w:sz w:val="24"/>
          <w:highlight w:val="white"/>
          <w:lang w:eastAsia="zh-CN"/>
        </w:rPr>
        <w:t>新增运维类服务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的30%；</w:t>
      </w:r>
    </w:p>
    <w:p w14:paraId="69C9C2F3">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第二次付款：2025年9月底前，项目验收合格后，</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提出付款申请并出具合法等额发票后10日内支付合同金额中</w:t>
      </w:r>
      <w:r>
        <w:rPr>
          <w:rFonts w:hint="eastAsia" w:ascii="宋体" w:hAnsi="宋体" w:cs="宋体"/>
          <w:b w:val="0"/>
          <w:bCs/>
          <w:color w:val="000000"/>
          <w:sz w:val="24"/>
          <w:highlight w:val="white"/>
          <w:lang w:eastAsia="zh-CN"/>
        </w:rPr>
        <w:t>新增运维类服务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的70%；</w:t>
      </w:r>
    </w:p>
    <w:p w14:paraId="189DE455">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第三次付款：按照第一年服务期合同金额中</w:t>
      </w:r>
      <w:r>
        <w:rPr>
          <w:rFonts w:hint="eastAsia" w:ascii="宋体" w:hAnsi="宋体" w:cs="宋体"/>
          <w:b w:val="0"/>
          <w:bCs/>
          <w:color w:val="000000"/>
          <w:sz w:val="24"/>
          <w:highlight w:val="white"/>
          <w:lang w:eastAsia="zh-CN"/>
        </w:rPr>
        <w:t>新增运维类服务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的月金额*7个月计算第二年期</w:t>
      </w:r>
      <w:r>
        <w:rPr>
          <w:rFonts w:hint="eastAsia" w:ascii="宋体" w:hAnsi="宋体" w:cs="宋体"/>
          <w:b w:val="0"/>
          <w:bCs/>
          <w:color w:val="000000"/>
          <w:sz w:val="24"/>
          <w:highlight w:val="white"/>
          <w:lang w:eastAsia="zh-CN"/>
        </w:rPr>
        <w:t>新增运维类服务</w:t>
      </w:r>
      <w:r>
        <w:rPr>
          <w:rFonts w:hint="eastAsia" w:ascii="宋体" w:hAnsi="宋体" w:cs="宋体"/>
          <w:b w:val="0"/>
          <w:bCs/>
          <w:color w:val="000000"/>
          <w:sz w:val="24"/>
          <w:highlight w:val="white"/>
          <w:lang w:val="en-US" w:eastAsia="zh-CN"/>
        </w:rPr>
        <w:t>金额。服务期满，项目验收合格后，</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提出付款申请并出具合法等额发票后10日内支付第二年期合同金额中</w:t>
      </w:r>
      <w:r>
        <w:rPr>
          <w:rFonts w:hint="eastAsia" w:ascii="宋体" w:hAnsi="宋体" w:cs="宋体"/>
          <w:b w:val="0"/>
          <w:bCs/>
          <w:color w:val="000000"/>
          <w:sz w:val="24"/>
          <w:highlight w:val="white"/>
          <w:lang w:eastAsia="zh-CN"/>
        </w:rPr>
        <w:t>新增运维类项服务</w:t>
      </w:r>
      <w:r>
        <w:rPr>
          <w:rFonts w:hint="eastAsia" w:ascii="宋体" w:hAnsi="宋体" w:cs="宋体"/>
          <w:b w:val="0"/>
          <w:bCs/>
          <w:color w:val="000000"/>
          <w:sz w:val="24"/>
          <w:highlight w:val="white"/>
          <w:lang w:val="zh-CN" w:eastAsia="zh-CN"/>
        </w:rPr>
        <w:t>部分的</w:t>
      </w:r>
      <w:r>
        <w:rPr>
          <w:rFonts w:hint="eastAsia" w:ascii="宋体" w:hAnsi="宋体" w:cs="宋体"/>
          <w:b w:val="0"/>
          <w:bCs/>
          <w:color w:val="000000"/>
          <w:sz w:val="24"/>
          <w:highlight w:val="white"/>
          <w:lang w:val="en-US" w:eastAsia="zh-CN"/>
        </w:rPr>
        <w:t>100%。</w:t>
      </w:r>
    </w:p>
    <w:p w14:paraId="6CC54640">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3.升级改造类服务</w:t>
      </w:r>
    </w:p>
    <w:p w14:paraId="198CD75B">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rPr>
        <w:t>第一次付款：合同签订后30个工作日内，中标供应商提出付款申请并出具合法等额发票后支付合同中系统升级改造</w:t>
      </w:r>
      <w:r>
        <w:rPr>
          <w:rFonts w:hint="eastAsia" w:ascii="宋体" w:hAnsi="宋体" w:cs="宋体"/>
          <w:b w:val="0"/>
          <w:bCs/>
          <w:color w:val="000000"/>
          <w:sz w:val="24"/>
          <w:highlight w:val="white"/>
          <w:lang w:eastAsia="zh-CN"/>
        </w:rPr>
        <w:t>部分</w:t>
      </w:r>
      <w:r>
        <w:rPr>
          <w:rFonts w:hint="eastAsia" w:ascii="宋体" w:hAnsi="宋体" w:cs="宋体"/>
          <w:b w:val="0"/>
          <w:bCs/>
          <w:color w:val="000000"/>
          <w:sz w:val="24"/>
          <w:highlight w:val="white"/>
        </w:rPr>
        <w:t>的50%；</w:t>
      </w:r>
    </w:p>
    <w:p w14:paraId="6973E781">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rPr>
        <w:t>第二次付款：在完成项目系统升级改造服务并终验合格后，中标供应商提出付款申请并出具合法等额发票后支付合同中系统升级改造</w:t>
      </w:r>
      <w:r>
        <w:rPr>
          <w:rFonts w:hint="eastAsia" w:ascii="宋体" w:hAnsi="宋体" w:cs="宋体"/>
          <w:b w:val="0"/>
          <w:bCs/>
          <w:color w:val="000000"/>
          <w:sz w:val="24"/>
          <w:highlight w:val="white"/>
          <w:lang w:eastAsia="zh-CN"/>
        </w:rPr>
        <w:t>部分</w:t>
      </w:r>
      <w:r>
        <w:rPr>
          <w:rFonts w:hint="eastAsia" w:ascii="宋体" w:hAnsi="宋体" w:cs="宋体"/>
          <w:b w:val="0"/>
          <w:bCs/>
          <w:color w:val="000000"/>
          <w:sz w:val="24"/>
          <w:highlight w:val="white"/>
        </w:rPr>
        <w:t>的50%。</w:t>
      </w:r>
    </w:p>
    <w:p w14:paraId="12531BFE">
      <w:pPr>
        <w:tabs>
          <w:tab w:val="left" w:pos="709"/>
          <w:tab w:val="left" w:pos="840"/>
        </w:tabs>
        <w:adjustRightInd w:val="0"/>
        <w:spacing w:after="0" w:line="360" w:lineRule="auto"/>
        <w:ind w:firstLine="482" w:firstLineChars="200"/>
        <w:jc w:val="left"/>
        <w:rPr>
          <w:rFonts w:ascii="宋体" w:hAnsi="宋体" w:cs="宋体"/>
          <w:kern w:val="0"/>
          <w:highlight w:val="none"/>
        </w:rPr>
      </w:pPr>
      <w:r>
        <w:rPr>
          <w:rFonts w:hint="eastAsia" w:ascii="宋体" w:hAnsi="宋体" w:cs="宋体"/>
          <w:b/>
          <w:color w:val="000000"/>
          <w:sz w:val="24"/>
          <w:highlight w:val="white"/>
        </w:rPr>
        <w:t xml:space="preserve">5. </w:t>
      </w:r>
      <w:r>
        <w:rPr>
          <w:rFonts w:hint="eastAsia" w:ascii="宋体" w:hAnsi="宋体" w:cs="宋体"/>
          <w:b/>
          <w:bCs/>
          <w:color w:val="000000"/>
          <w:kern w:val="0"/>
          <w:sz w:val="24"/>
          <w:highlight w:val="white"/>
        </w:rPr>
        <w:t>合同签订</w:t>
      </w:r>
    </w:p>
    <w:p w14:paraId="32316D6B">
      <w:pPr>
        <w:pStyle w:val="78"/>
        <w:numPr>
          <w:ilvl w:val="0"/>
          <w:numId w:val="0"/>
        </w:numPr>
        <w:tabs>
          <w:tab w:val="left" w:pos="709"/>
          <w:tab w:val="left" w:pos="840"/>
          <w:tab w:val="clear" w:pos="900"/>
        </w:tabs>
        <w:spacing w:line="360" w:lineRule="auto"/>
        <w:ind w:left="239" w:leftChars="114" w:firstLine="240" w:firstLineChars="100"/>
        <w:rPr>
          <w:rFonts w:cs="宋体"/>
          <w:sz w:val="24"/>
          <w:szCs w:val="24"/>
          <w:highlight w:val="none"/>
        </w:rPr>
      </w:pPr>
      <w:r>
        <w:rPr>
          <w:rFonts w:hint="eastAsia" w:cs="宋体"/>
          <w:color w:val="000000"/>
          <w:sz w:val="24"/>
          <w:szCs w:val="24"/>
          <w:highlight w:val="white"/>
        </w:rPr>
        <w:t>本合同由甲乙双方法定代表人或授权代表签字并加盖公章，乙方由法定代表人签订合同的，乙方应提供身份证复印件；乙方由授权代表签订合同的，乙方授权代表应提供授权书和身份证复印件。</w:t>
      </w:r>
    </w:p>
    <w:p w14:paraId="528697E7">
      <w:pPr>
        <w:topLinePunct/>
        <w:autoSpaceDE w:val="0"/>
        <w:autoSpaceDN w:val="0"/>
        <w:spacing w:line="460" w:lineRule="exact"/>
        <w:ind w:left="482"/>
        <w:rPr>
          <w:rFonts w:ascii="宋体" w:hAnsi="宋体" w:cs="宋体"/>
          <w:b/>
          <w:highlight w:val="none"/>
        </w:rPr>
      </w:pPr>
      <w:r>
        <w:rPr>
          <w:rFonts w:hint="eastAsia" w:ascii="宋体" w:hAnsi="宋体" w:cs="宋体"/>
          <w:b/>
          <w:color w:val="000000"/>
          <w:sz w:val="24"/>
          <w:highlight w:val="white"/>
        </w:rPr>
        <w:t>6. 合同生效</w:t>
      </w:r>
    </w:p>
    <w:p w14:paraId="0D2CCF86">
      <w:pPr>
        <w:tabs>
          <w:tab w:val="left" w:pos="700"/>
        </w:tabs>
        <w:topLinePunct/>
        <w:autoSpaceDE w:val="0"/>
        <w:autoSpaceDN w:val="0"/>
        <w:spacing w:line="460" w:lineRule="exact"/>
        <w:ind w:firstLine="480" w:firstLineChars="200"/>
        <w:rPr>
          <w:rFonts w:ascii="宋体" w:hAnsi="宋体" w:cs="宋体"/>
          <w:highlight w:val="none"/>
        </w:rPr>
      </w:pPr>
      <w:r>
        <w:rPr>
          <w:rFonts w:hint="eastAsia" w:ascii="宋体" w:hAnsi="宋体" w:cs="宋体"/>
          <w:color w:val="000000"/>
          <w:sz w:val="24"/>
          <w:highlight w:val="white"/>
        </w:rPr>
        <w:t>本合同一式肆份，甲方执贰份，乙方执贰份，具有同等法律效力。在甲乙双方法定代表人或授权代表签字并加盖公章后生效。</w:t>
      </w:r>
    </w:p>
    <w:p w14:paraId="76762983">
      <w:pPr>
        <w:tabs>
          <w:tab w:val="left" w:pos="700"/>
        </w:tabs>
        <w:topLinePunct/>
        <w:autoSpaceDE w:val="0"/>
        <w:autoSpaceDN w:val="0"/>
        <w:snapToGrid w:val="0"/>
        <w:spacing w:line="360" w:lineRule="auto"/>
        <w:ind w:firstLine="420" w:firstLineChars="200"/>
        <w:rPr>
          <w:rFonts w:ascii="宋体" w:hAnsi="宋体" w:cs="宋体"/>
          <w:highlight w:val="none"/>
        </w:rPr>
      </w:pPr>
    </w:p>
    <w:p w14:paraId="31C3B527">
      <w:pPr>
        <w:tabs>
          <w:tab w:val="left" w:pos="700"/>
        </w:tabs>
        <w:topLinePunct/>
        <w:autoSpaceDE w:val="0"/>
        <w:autoSpaceDN w:val="0"/>
        <w:snapToGrid w:val="0"/>
        <w:spacing w:line="360" w:lineRule="auto"/>
        <w:rPr>
          <w:rFonts w:ascii="宋体" w:hAnsi="宋体" w:cs="宋体"/>
          <w:highlight w:val="none"/>
        </w:rPr>
      </w:pPr>
    </w:p>
    <w:p w14:paraId="032A7005">
      <w:pPr>
        <w:tabs>
          <w:tab w:val="left" w:pos="700"/>
        </w:tabs>
        <w:topLinePunct/>
        <w:autoSpaceDE w:val="0"/>
        <w:autoSpaceDN w:val="0"/>
        <w:snapToGrid w:val="0"/>
        <w:spacing w:line="480" w:lineRule="auto"/>
        <w:ind w:left="360"/>
        <w:rPr>
          <w:rFonts w:ascii="宋体" w:hAnsi="宋体" w:cs="宋体"/>
          <w:highlight w:val="none"/>
        </w:rPr>
      </w:pPr>
      <w:r>
        <w:rPr>
          <w:rFonts w:hint="eastAsia" w:ascii="宋体" w:hAnsi="宋体" w:cs="宋体"/>
          <w:color w:val="000000"/>
          <w:sz w:val="24"/>
          <w:highlight w:val="white"/>
        </w:rPr>
        <w:t>甲方：国家税务总局吉林省税务局</w:t>
      </w:r>
      <w:r>
        <w:rPr>
          <w:rFonts w:hint="eastAsia" w:ascii="宋体" w:hAnsi="宋体" w:cs="宋体"/>
          <w:color w:val="000000"/>
          <w:sz w:val="24"/>
          <w:highlight w:val="white"/>
        </w:rPr>
        <w:tab/>
      </w:r>
      <w:r>
        <w:rPr>
          <w:rFonts w:hint="eastAsia" w:ascii="宋体" w:hAnsi="宋体" w:cs="宋体"/>
          <w:color w:val="000000"/>
          <w:sz w:val="24"/>
          <w:highlight w:val="white"/>
        </w:rPr>
        <w:t xml:space="preserve">      乙方：</w:t>
      </w:r>
    </w:p>
    <w:p w14:paraId="5FCB40FE">
      <w:pPr>
        <w:tabs>
          <w:tab w:val="left" w:pos="700"/>
        </w:tabs>
        <w:topLinePunct/>
        <w:autoSpaceDE w:val="0"/>
        <w:autoSpaceDN w:val="0"/>
        <w:snapToGrid w:val="0"/>
        <w:spacing w:line="480" w:lineRule="auto"/>
        <w:ind w:left="360"/>
        <w:rPr>
          <w:rFonts w:ascii="宋体" w:hAnsi="宋体" w:cs="宋体"/>
          <w:highlight w:val="none"/>
        </w:rPr>
      </w:pPr>
      <w:r>
        <w:rPr>
          <w:rFonts w:hint="eastAsia" w:ascii="宋体" w:hAnsi="宋体" w:cs="宋体"/>
          <w:color w:val="000000"/>
          <w:sz w:val="24"/>
          <w:highlight w:val="white"/>
        </w:rPr>
        <w:t xml:space="preserve">盖章：                                 盖章： </w:t>
      </w:r>
    </w:p>
    <w:p w14:paraId="614AAF0A">
      <w:pPr>
        <w:tabs>
          <w:tab w:val="left" w:pos="700"/>
        </w:tabs>
        <w:topLinePunct/>
        <w:autoSpaceDE w:val="0"/>
        <w:autoSpaceDN w:val="0"/>
        <w:snapToGrid w:val="0"/>
        <w:spacing w:line="480" w:lineRule="auto"/>
        <w:ind w:left="360"/>
        <w:rPr>
          <w:rFonts w:ascii="宋体" w:hAnsi="宋体" w:cs="宋体"/>
          <w:highlight w:val="none"/>
        </w:rPr>
      </w:pPr>
      <w:r>
        <w:rPr>
          <w:rFonts w:hint="eastAsia" w:ascii="宋体" w:hAnsi="宋体" w:cs="宋体"/>
          <w:color w:val="000000"/>
          <w:sz w:val="24"/>
          <w:highlight w:val="white"/>
        </w:rPr>
        <w:t>法定代表人或授权代表人：              法定代表人或授权代表人：</w:t>
      </w:r>
    </w:p>
    <w:p w14:paraId="23732052">
      <w:pPr>
        <w:tabs>
          <w:tab w:val="left" w:pos="700"/>
        </w:tabs>
        <w:topLinePunct/>
        <w:autoSpaceDE w:val="0"/>
        <w:autoSpaceDN w:val="0"/>
        <w:snapToGrid w:val="0"/>
        <w:spacing w:line="480" w:lineRule="auto"/>
        <w:ind w:left="360"/>
        <w:rPr>
          <w:rFonts w:ascii="宋体" w:hAnsi="宋体" w:cs="宋体"/>
          <w:highlight w:val="none"/>
        </w:rPr>
      </w:pPr>
      <w:r>
        <w:rPr>
          <w:rFonts w:hint="eastAsia" w:ascii="宋体" w:hAnsi="宋体" w:cs="宋体"/>
          <w:color w:val="000000"/>
          <w:sz w:val="24"/>
          <w:highlight w:val="white"/>
        </w:rPr>
        <w:t>日期：    年    月    日               日期：     年   月   日</w:t>
      </w:r>
    </w:p>
    <w:p w14:paraId="46A9B615">
      <w:pPr>
        <w:topLinePunct/>
        <w:autoSpaceDE w:val="0"/>
        <w:autoSpaceDN w:val="0"/>
        <w:spacing w:line="460" w:lineRule="exact"/>
        <w:rPr>
          <w:rFonts w:ascii="宋体" w:hAnsi="宋体" w:cs="宋体"/>
          <w:b/>
          <w:highlight w:val="none"/>
        </w:rPr>
      </w:pPr>
    </w:p>
    <w:p w14:paraId="7C488711">
      <w:pPr>
        <w:topLinePunct/>
        <w:autoSpaceDE w:val="0"/>
        <w:autoSpaceDN w:val="0"/>
        <w:snapToGrid w:val="0"/>
        <w:spacing w:after="0" w:line="360" w:lineRule="auto"/>
        <w:jc w:val="center"/>
        <w:rPr>
          <w:rFonts w:ascii="宋体" w:hAnsi="宋体" w:cs="宋体"/>
          <w:b/>
          <w:highlight w:val="none"/>
        </w:rPr>
      </w:pPr>
      <w:r>
        <w:rPr>
          <w:rFonts w:ascii="宋体" w:hAnsi="宋体" w:cs="宋体"/>
          <w:b/>
          <w:color w:val="000000"/>
          <w:sz w:val="24"/>
          <w:highlight w:val="white"/>
        </w:rPr>
        <w:br w:type="page"/>
      </w:r>
      <w:r>
        <w:rPr>
          <w:rFonts w:hint="eastAsia" w:ascii="宋体" w:hAnsi="宋体" w:cs="宋体"/>
          <w:b/>
          <w:color w:val="000000"/>
          <w:sz w:val="24"/>
          <w:highlight w:val="white"/>
        </w:rPr>
        <w:t>二   合 同 通 用 条 款</w:t>
      </w:r>
    </w:p>
    <w:p w14:paraId="3EC8A6D9">
      <w:pPr>
        <w:topLinePunct/>
        <w:autoSpaceDE w:val="0"/>
        <w:autoSpaceDN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 定义</w:t>
      </w:r>
    </w:p>
    <w:p w14:paraId="2016746C">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本合同下列术语应解释为：</w:t>
      </w:r>
    </w:p>
    <w:p w14:paraId="7BC82B0C">
      <w:pPr>
        <w:tabs>
          <w:tab w:val="left" w:pos="70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1.1“甲方”是指国家税务总局吉林省税务局。</w:t>
      </w:r>
    </w:p>
    <w:p w14:paraId="1B72E34B">
      <w:pPr>
        <w:tabs>
          <w:tab w:val="left" w:pos="70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1.2“乙方”见“合同条款前附表”第7项“乙方名称”。</w:t>
      </w:r>
    </w:p>
    <w:p w14:paraId="5D1B6000">
      <w:pPr>
        <w:tabs>
          <w:tab w:val="left" w:pos="70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 “合同”系指甲乙双方签订的、合同格式中载明的甲乙双方所达成的协议，包括所有的附件、附录和上述文件所提到的构成合同的所有文件。</w:t>
      </w:r>
    </w:p>
    <w:p w14:paraId="118CFBDD">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1.4 “天”除非特别指出，“天”均为自然天。</w:t>
      </w:r>
    </w:p>
    <w:p w14:paraId="4AFF167C">
      <w:pPr>
        <w:topLinePunct/>
        <w:autoSpaceDE w:val="0"/>
        <w:autoSpaceDN w:val="0"/>
        <w:snapToGrid w:val="0"/>
        <w:spacing w:after="0" w:line="360" w:lineRule="auto"/>
        <w:ind w:left="480"/>
        <w:rPr>
          <w:rFonts w:ascii="宋体" w:hAnsi="宋体" w:cs="宋体"/>
          <w:highlight w:val="none"/>
        </w:rPr>
      </w:pPr>
    </w:p>
    <w:p w14:paraId="737D2C19">
      <w:pPr>
        <w:topLinePunct/>
        <w:autoSpaceDE w:val="0"/>
        <w:autoSpaceDN w:val="0"/>
        <w:snapToGrid w:val="0"/>
        <w:spacing w:after="0" w:line="360" w:lineRule="auto"/>
        <w:ind w:firstLine="482" w:firstLineChars="200"/>
        <w:rPr>
          <w:rFonts w:ascii="宋体" w:hAnsi="宋体" w:cs="宋体"/>
          <w:b/>
          <w:bCs/>
          <w:highlight w:val="none"/>
        </w:rPr>
      </w:pPr>
      <w:r>
        <w:rPr>
          <w:rFonts w:hint="eastAsia" w:ascii="宋体" w:hAnsi="宋体" w:cs="宋体"/>
          <w:b/>
          <w:bCs/>
          <w:color w:val="000000"/>
          <w:sz w:val="24"/>
          <w:highlight w:val="white"/>
        </w:rPr>
        <w:t>2. 标准</w:t>
      </w:r>
    </w:p>
    <w:p w14:paraId="06F10BEE">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2.1 乙方为甲方交付或提供的服务应符合招标（采购）文件所述的标准，如果没有提及适用标准，则应符合相应的国家标准。这些标准必须是有关机构发布的最新版本的标准。</w:t>
      </w:r>
    </w:p>
    <w:p w14:paraId="74FE64D1">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2.2 除非技术要求中另有规定，计量单位均采用中华人民共和国法定计量单位。</w:t>
      </w:r>
    </w:p>
    <w:p w14:paraId="20CDC18D">
      <w:pPr>
        <w:snapToGrid w:val="0"/>
        <w:spacing w:after="0" w:line="360" w:lineRule="auto"/>
        <w:ind w:firstLine="420" w:firstLineChars="200"/>
        <w:rPr>
          <w:rFonts w:ascii="宋体" w:hAnsi="宋体" w:cs="宋体"/>
          <w:highlight w:val="none"/>
        </w:rPr>
      </w:pPr>
    </w:p>
    <w:p w14:paraId="471ED285">
      <w:pPr>
        <w:snapToGrid w:val="0"/>
        <w:spacing w:after="0" w:line="360" w:lineRule="auto"/>
        <w:ind w:firstLine="482" w:firstLineChars="200"/>
        <w:rPr>
          <w:rFonts w:ascii="宋体" w:hAnsi="宋体" w:cs="宋体"/>
          <w:b/>
          <w:bCs/>
          <w:highlight w:val="none"/>
        </w:rPr>
      </w:pPr>
      <w:r>
        <w:rPr>
          <w:rFonts w:hint="eastAsia" w:ascii="宋体" w:hAnsi="宋体" w:cs="宋体"/>
          <w:b/>
          <w:bCs/>
          <w:color w:val="000000"/>
          <w:sz w:val="24"/>
          <w:highlight w:val="white"/>
        </w:rPr>
        <w:t>3. 服务</w:t>
      </w:r>
    </w:p>
    <w:p w14:paraId="28EC6201">
      <w:pPr>
        <w:tabs>
          <w:tab w:val="left" w:pos="70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3.1 本项目的“服务”见“合同条款前附表”第9项“服务内容”。</w:t>
      </w:r>
    </w:p>
    <w:p w14:paraId="5C3E6A62">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3.2 乙方应保证所提供的服务符合合同规定的技术要求。如不符时，乙方应负全责并在限期内尽快处理解决，由此造成的损失和相关费用由乙方承担，甲方保留解除合同及索赔的权利。</w:t>
      </w:r>
    </w:p>
    <w:p w14:paraId="08FE3572">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3.3 乙方应保证通过执行合同中全部方案后，可以取得本合同约定的结果，达到本合同约定的预期目标。对任何情况下出现的问题，应在限期内尽快提出解决方案。</w:t>
      </w:r>
    </w:p>
    <w:p w14:paraId="565B49A5">
      <w:pPr>
        <w:tabs>
          <w:tab w:val="left" w:pos="0"/>
          <w:tab w:val="left" w:pos="54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3.4 如果乙方提供的服务和解决方案不符合甲方要求，或在规定的时间内没有弥补缺陷，甲方有权采取一切必要的补救措施，由此产生的费用和甲方的损失全部由乙方负责。</w:t>
      </w:r>
    </w:p>
    <w:p w14:paraId="78850FE6">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3.5 除合同条款另行规定外，伴随服务的费用已全部含在合同总金额中，不单独进行支付。</w:t>
      </w:r>
    </w:p>
    <w:p w14:paraId="5AFE5B60">
      <w:pPr>
        <w:snapToGrid w:val="0"/>
        <w:spacing w:after="0" w:line="360" w:lineRule="auto"/>
        <w:rPr>
          <w:rFonts w:ascii="宋体" w:hAnsi="宋体" w:cs="宋体"/>
          <w:highlight w:val="none"/>
        </w:rPr>
      </w:pPr>
    </w:p>
    <w:p w14:paraId="184077E1">
      <w:pPr>
        <w:tabs>
          <w:tab w:val="left" w:pos="0"/>
          <w:tab w:val="left" w:pos="540"/>
        </w:tabs>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4. 知识产权</w:t>
      </w:r>
    </w:p>
    <w:p w14:paraId="6EE9F274">
      <w:pPr>
        <w:snapToGrid w:val="0"/>
        <w:spacing w:after="0" w:line="360" w:lineRule="auto"/>
        <w:ind w:firstLine="480" w:firstLineChars="200"/>
        <w:rPr>
          <w:rFonts w:ascii="宋体" w:hAnsi="宋体"/>
          <w:highlight w:val="none"/>
        </w:rPr>
      </w:pPr>
      <w:r>
        <w:rPr>
          <w:rFonts w:hint="eastAsia" w:ascii="宋体" w:hAnsi="宋体"/>
          <w:color w:val="000000"/>
          <w:sz w:val="24"/>
          <w:highlight w:val="white"/>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14:paraId="0E464AEE">
      <w:pPr>
        <w:tabs>
          <w:tab w:val="left" w:pos="0"/>
          <w:tab w:val="left" w:pos="540"/>
        </w:tabs>
        <w:topLinePunct/>
        <w:autoSpaceDE w:val="0"/>
        <w:autoSpaceDN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14:paraId="499480A3">
      <w:pPr>
        <w:tabs>
          <w:tab w:val="left" w:pos="0"/>
          <w:tab w:val="left" w:pos="540"/>
        </w:tabs>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s="宋体"/>
          <w:color w:val="000000"/>
          <w:sz w:val="24"/>
          <w:highlight w:val="white"/>
        </w:rPr>
        <w:t>4.3 乙方不得利用</w:t>
      </w:r>
      <w:r>
        <w:rPr>
          <w:rFonts w:hint="eastAsia" w:ascii="宋体" w:hAnsi="宋体" w:cs="宋体"/>
          <w:bCs/>
          <w:color w:val="000000"/>
          <w:sz w:val="24"/>
          <w:highlight w:val="white"/>
        </w:rPr>
        <w:t>本项目实施过程中</w:t>
      </w:r>
      <w:r>
        <w:rPr>
          <w:rFonts w:hint="eastAsia" w:ascii="宋体" w:hAnsi="宋体" w:cs="宋体"/>
          <w:color w:val="000000"/>
          <w:sz w:val="24"/>
          <w:highlight w:val="white"/>
        </w:rPr>
        <w:t>所产生的成果（包括发明、发现、可运行系统、源代码及相关技术资料、文档等），另行自行开发本合同业务范围内供纳税人缴费人使用的软件或产品，不得利用开发便利变相收费或搭车收费。</w:t>
      </w:r>
    </w:p>
    <w:p w14:paraId="5F695857">
      <w:pPr>
        <w:topLinePunct/>
        <w:autoSpaceDE w:val="0"/>
        <w:autoSpaceDN w:val="0"/>
        <w:snapToGrid w:val="0"/>
        <w:spacing w:after="0" w:line="360" w:lineRule="auto"/>
        <w:rPr>
          <w:rFonts w:ascii="宋体" w:hAnsi="宋体" w:cs="宋体"/>
          <w:highlight w:val="none"/>
        </w:rPr>
      </w:pPr>
    </w:p>
    <w:p w14:paraId="5F1004A7">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5. 保密条款</w:t>
      </w:r>
    </w:p>
    <w:p w14:paraId="2F17E7B3">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5.1 甲乙双方应对在本合同签订或履行过程中所接触的对方信息，包括但不限于知识产权、技术资料、技术诀窍、内部管理及其他相关信息，负有保密义务。</w:t>
      </w:r>
    </w:p>
    <w:p w14:paraId="62AF18CD">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14:paraId="64E60AB2">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 应以审慎态度避免泄漏、公开或传播甲方的信息；</w:t>
      </w:r>
    </w:p>
    <w:p w14:paraId="27E1799E">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（2） 在开发过程中对数据的处理方式应事先得到甲方的许可；</w:t>
      </w:r>
    </w:p>
    <w:p w14:paraId="6904DCD9">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 未经甲方书面许可，不得对有关信息进行修改、补充、复制；</w:t>
      </w:r>
    </w:p>
    <w:p w14:paraId="1ACDEF54">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（4） 未经甲方书面许可，不得将信息以任何方式（如E-mail）携带出甲方场所；</w:t>
      </w:r>
    </w:p>
    <w:p w14:paraId="18AFEEE5">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 xml:space="preserve">（5） 未经甲方书面许可，不得将信息透露给任何其他人； </w:t>
      </w:r>
    </w:p>
    <w:p w14:paraId="327E0D14">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（6） 严禁在提交的软件产品中设置远程维护接口和后门程序；</w:t>
      </w:r>
    </w:p>
    <w:p w14:paraId="41D972FD">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（7） 不得进行系统软硬件设备的远程维护；</w:t>
      </w:r>
    </w:p>
    <w:p w14:paraId="04BB6EF8">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 甲方以书面形式提出的其他保密措施。</w:t>
      </w:r>
    </w:p>
    <w:p w14:paraId="227934D0">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5.3 保密期限不受合同有效期的限制，在合同有效期结束后，信息接受方仍应承担保密义务，直至该等信息成为公开信息。</w:t>
      </w:r>
    </w:p>
    <w:p w14:paraId="432EDDE3">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5.4 甲乙双方如出现泄密行为，泄密方应承担相关的法律责任，包括但不限于对由此给对方造成的经济损失进行赔偿。</w:t>
      </w:r>
    </w:p>
    <w:p w14:paraId="449A4818">
      <w:pPr>
        <w:snapToGrid w:val="0"/>
        <w:spacing w:after="0" w:line="360" w:lineRule="auto"/>
        <w:ind w:firstLine="420" w:firstLineChars="200"/>
        <w:rPr>
          <w:rFonts w:ascii="宋体" w:hAnsi="宋体" w:cs="宋体"/>
          <w:highlight w:val="none"/>
        </w:rPr>
      </w:pPr>
    </w:p>
    <w:p w14:paraId="49F98890">
      <w:pPr>
        <w:numPr>
          <w:ilvl w:val="0"/>
          <w:numId w:val="6"/>
        </w:numPr>
        <w:topLinePunct/>
        <w:autoSpaceDE w:val="0"/>
        <w:autoSpaceDN w:val="0"/>
        <w:adjustRightInd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项目管理</w:t>
      </w:r>
    </w:p>
    <w:p w14:paraId="1C051D4A">
      <w:pPr>
        <w:adjustRightInd w:val="0"/>
        <w:snapToGrid w:val="0"/>
        <w:spacing w:after="0" w:line="360" w:lineRule="auto"/>
        <w:rPr>
          <w:rFonts w:ascii="宋体" w:hAnsi="宋体" w:cs="宋体"/>
          <w:highlight w:val="none"/>
        </w:rPr>
      </w:pPr>
      <w:r>
        <w:rPr>
          <w:rFonts w:hint="eastAsia" w:ascii="宋体" w:hAnsi="宋体" w:cs="宋体"/>
          <w:color w:val="000000"/>
          <w:sz w:val="24"/>
          <w:highlight w:val="white"/>
        </w:rPr>
        <w:t xml:space="preserve">    6.1 乙方应按照甲方项目整编归档内容、整理标准质量、移交时间等档案管理要求，对项目相关文件进行收集、整理、归档并移交。</w:t>
      </w:r>
    </w:p>
    <w:p w14:paraId="72F8036D">
      <w:pPr>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6.2 乙方应按甲方要求，配合做好政务信息系统安全检查、评测、审计、工程监理等监督管理工作及</w:t>
      </w:r>
      <w:r>
        <w:rPr>
          <w:rFonts w:ascii="宋体" w:hAnsi="宋体" w:cs="宋体"/>
          <w:color w:val="000000"/>
          <w:sz w:val="24"/>
          <w:highlight w:val="white"/>
        </w:rPr>
        <w:t>系统间数据交互和衔接</w:t>
      </w:r>
      <w:r>
        <w:rPr>
          <w:rFonts w:hint="eastAsia" w:ascii="宋体" w:hAnsi="宋体" w:cs="宋体"/>
          <w:color w:val="000000"/>
          <w:sz w:val="24"/>
          <w:highlight w:val="white"/>
        </w:rPr>
        <w:t>工作，如实、完整提供政务信息系统建设、运营、维护和政务数据安全管理相关情况，不得拒绝、隐匿、瞒报。</w:t>
      </w:r>
    </w:p>
    <w:p w14:paraId="4F1BF6E3">
      <w:pPr>
        <w:snapToGrid w:val="0"/>
        <w:spacing w:after="0" w:line="360" w:lineRule="auto"/>
        <w:ind w:firstLine="420" w:firstLineChars="200"/>
        <w:rPr>
          <w:rFonts w:ascii="宋体" w:hAnsi="宋体" w:cs="宋体"/>
          <w:highlight w:val="none"/>
        </w:rPr>
      </w:pPr>
    </w:p>
    <w:p w14:paraId="568EC78B">
      <w:pPr>
        <w:topLinePunct/>
        <w:autoSpaceDE w:val="0"/>
        <w:autoSpaceDN w:val="0"/>
        <w:snapToGrid w:val="0"/>
        <w:spacing w:after="0" w:line="360" w:lineRule="auto"/>
        <w:ind w:firstLine="482" w:firstLineChars="200"/>
        <w:rPr>
          <w:rFonts w:ascii="宋体" w:hAnsi="宋体" w:cs="宋体"/>
          <w:b/>
          <w:highlight w:val="none"/>
        </w:rPr>
      </w:pPr>
      <w:r>
        <w:rPr>
          <w:rFonts w:ascii="宋体" w:hAnsi="宋体" w:cs="宋体"/>
          <w:b/>
          <w:color w:val="000000"/>
          <w:sz w:val="24"/>
          <w:highlight w:val="white"/>
        </w:rPr>
        <w:t>7</w:t>
      </w:r>
      <w:r>
        <w:rPr>
          <w:rFonts w:hint="eastAsia" w:ascii="宋体" w:hAnsi="宋体" w:cs="宋体"/>
          <w:b/>
          <w:color w:val="000000"/>
          <w:sz w:val="24"/>
          <w:highlight w:val="white"/>
        </w:rPr>
        <w:t>. 履约验收</w:t>
      </w:r>
    </w:p>
    <w:p w14:paraId="4899281C">
      <w:pPr>
        <w:snapToGrid w:val="0"/>
        <w:spacing w:after="0" w:line="360" w:lineRule="auto"/>
        <w:ind w:firstLine="480" w:firstLineChars="200"/>
        <w:rPr>
          <w:rFonts w:ascii="宋体" w:hAnsi="宋体" w:cs="宋体"/>
          <w:highlight w:val="none"/>
        </w:rPr>
      </w:pPr>
      <w:r>
        <w:rPr>
          <w:rFonts w:ascii="宋体" w:hAnsi="宋体" w:cs="宋体"/>
          <w:color w:val="000000"/>
          <w:sz w:val="24"/>
          <w:highlight w:val="white"/>
        </w:rPr>
        <w:t>7</w:t>
      </w:r>
      <w:r>
        <w:rPr>
          <w:rFonts w:hint="eastAsia" w:ascii="宋体" w:hAnsi="宋体" w:cs="宋体"/>
          <w:color w:val="000000"/>
          <w:sz w:val="24"/>
          <w:highlight w:val="white"/>
        </w:rPr>
        <w:t>.1 甲方实施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14:paraId="5DAF5590">
      <w:pPr>
        <w:snapToGrid w:val="0"/>
        <w:spacing w:after="0" w:line="360" w:lineRule="auto"/>
        <w:ind w:firstLine="480" w:firstLineChars="200"/>
        <w:rPr>
          <w:rFonts w:ascii="宋体" w:hAnsi="宋体" w:cs="宋体"/>
          <w:highlight w:val="none"/>
        </w:rPr>
      </w:pPr>
      <w:r>
        <w:rPr>
          <w:rFonts w:ascii="宋体" w:hAnsi="宋体" w:cs="宋体"/>
          <w:color w:val="000000"/>
          <w:sz w:val="24"/>
          <w:highlight w:val="white"/>
        </w:rPr>
        <w:t>7</w:t>
      </w:r>
      <w:r>
        <w:rPr>
          <w:rFonts w:hint="eastAsia" w:ascii="宋体" w:hAnsi="宋体" w:cs="宋体"/>
          <w:color w:val="000000"/>
          <w:sz w:val="24"/>
          <w:highlight w:val="white"/>
        </w:rPr>
        <w:t>.2 具体履约验收要求及验收方案详见招标（采购）文件。</w:t>
      </w:r>
    </w:p>
    <w:p w14:paraId="38AB458A">
      <w:pPr>
        <w:spacing w:after="120"/>
        <w:rPr>
          <w:highlight w:val="none"/>
        </w:rPr>
      </w:pPr>
    </w:p>
    <w:p w14:paraId="560A2992">
      <w:pPr>
        <w:tabs>
          <w:tab w:val="left" w:pos="0"/>
          <w:tab w:val="left" w:pos="540"/>
        </w:tabs>
        <w:adjustRightInd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8. 履约保证金</w:t>
      </w:r>
    </w:p>
    <w:p w14:paraId="311D87C9">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8.1 需提交履约保证金的项目，乙方应按照“合同条款前附表”第11项“履约保证金及返还”提交履约保证金。</w:t>
      </w:r>
    </w:p>
    <w:p w14:paraId="082C483D">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8.2 履约保证金的金额可用于补偿甲方因乙方不能完成其合同义务而蒙受的损失。</w:t>
      </w:r>
    </w:p>
    <w:p w14:paraId="51E66161">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14:paraId="39871A5C">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8.4 乙方不履行合同、或者履行合同义务不符合约定使得合同目的不能实现，履约保证金不予退还，并应按合同约定支付违约金、赔偿金等。</w:t>
      </w:r>
    </w:p>
    <w:p w14:paraId="72C58B44">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8.5 履约保证金在合同履行期满后，扣除相应款项（如有）且双方无争议后，凭返还申请等资料一次性无息返还，详见“合同条款前附表”第11项“履约保证金及返还”。</w:t>
      </w:r>
    </w:p>
    <w:p w14:paraId="001329F6">
      <w:pPr>
        <w:topLinePunct/>
        <w:autoSpaceDE w:val="0"/>
        <w:autoSpaceDN w:val="0"/>
        <w:snapToGrid w:val="0"/>
        <w:spacing w:after="0" w:line="360" w:lineRule="auto"/>
        <w:rPr>
          <w:rFonts w:ascii="宋体" w:hAnsi="宋体" w:cs="宋体"/>
          <w:b/>
          <w:highlight w:val="none"/>
        </w:rPr>
      </w:pPr>
    </w:p>
    <w:p w14:paraId="018826F9">
      <w:pPr>
        <w:tabs>
          <w:tab w:val="left" w:pos="0"/>
          <w:tab w:val="left" w:pos="540"/>
        </w:tabs>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9．履约延误</w:t>
      </w:r>
    </w:p>
    <w:p w14:paraId="3C6ACF9F">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9.1 乙方应按照本合同的规定提供服务。</w:t>
      </w:r>
    </w:p>
    <w:p w14:paraId="796865F1">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14:paraId="4EFEE68E">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14:paraId="3F1F9372">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9.4 除不可抗力和根据合同规定延期取得甲方同意而不收取误期违约金之外，乙方延误工期，将按合同规定被收取误期违约金。</w:t>
      </w:r>
    </w:p>
    <w:p w14:paraId="77A6C835">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14:paraId="7A3D12E7">
      <w:pPr>
        <w:topLinePunct/>
        <w:autoSpaceDE w:val="0"/>
        <w:autoSpaceDN w:val="0"/>
        <w:snapToGrid w:val="0"/>
        <w:spacing w:after="0" w:line="360" w:lineRule="auto"/>
        <w:ind w:firstLine="420" w:firstLineChars="200"/>
        <w:rPr>
          <w:rFonts w:ascii="宋体" w:hAnsi="宋体" w:cs="宋体"/>
          <w:highlight w:val="none"/>
        </w:rPr>
      </w:pPr>
    </w:p>
    <w:p w14:paraId="1747E6CC">
      <w:pPr>
        <w:topLinePunct/>
        <w:autoSpaceDE w:val="0"/>
        <w:autoSpaceDN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10 违约责任</w:t>
      </w:r>
    </w:p>
    <w:p w14:paraId="3DADA9B7">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10</w:t>
      </w:r>
      <w:r>
        <w:rPr>
          <w:rFonts w:ascii="宋体" w:hAnsi="宋体"/>
          <w:color w:val="000000"/>
          <w:sz w:val="24"/>
          <w:highlight w:val="white"/>
        </w:rPr>
        <w:t>.1</w:t>
      </w:r>
      <w:r>
        <w:rPr>
          <w:rFonts w:hint="eastAsia" w:ascii="宋体" w:hAnsi="宋体"/>
          <w:color w:val="000000"/>
          <w:sz w:val="24"/>
          <w:highlight w:val="white"/>
        </w:rPr>
        <w:t xml:space="preserve"> 除本合同另有约定外，乙方</w:t>
      </w:r>
      <w:r>
        <w:rPr>
          <w:rFonts w:ascii="宋体" w:hAnsi="宋体"/>
          <w:color w:val="000000"/>
          <w:sz w:val="24"/>
          <w:highlight w:val="white"/>
        </w:rPr>
        <w:t>不履行合同义务或者履行合同义务不符合</w:t>
      </w:r>
      <w:r>
        <w:rPr>
          <w:rFonts w:hint="eastAsia" w:ascii="宋体" w:hAnsi="宋体"/>
          <w:color w:val="000000"/>
          <w:sz w:val="24"/>
          <w:highlight w:val="white"/>
        </w:rPr>
        <w:t>合同</w:t>
      </w:r>
      <w:r>
        <w:rPr>
          <w:rFonts w:ascii="宋体" w:hAnsi="宋体"/>
          <w:color w:val="000000"/>
          <w:sz w:val="24"/>
          <w:highlight w:val="white"/>
        </w:rPr>
        <w:t>约定的，</w:t>
      </w:r>
      <w:r>
        <w:rPr>
          <w:rFonts w:hint="eastAsia" w:ascii="宋体" w:hAnsi="宋体" w:cs="宋体"/>
          <w:color w:val="000000"/>
          <w:sz w:val="24"/>
          <w:highlight w:val="white"/>
        </w:rPr>
        <w:t>按每违反一次从应付款项中扣除合同总金额的百分之一（1%）作为违约金；此外，</w:t>
      </w:r>
      <w:r>
        <w:rPr>
          <w:rFonts w:ascii="宋体" w:hAnsi="宋体"/>
          <w:color w:val="000000"/>
          <w:sz w:val="24"/>
          <w:highlight w:val="white"/>
        </w:rPr>
        <w:t>应当承担继续履行、采取补救措施</w:t>
      </w:r>
      <w:r>
        <w:rPr>
          <w:rFonts w:hint="eastAsia" w:ascii="宋体" w:hAnsi="宋体"/>
          <w:color w:val="000000"/>
          <w:sz w:val="24"/>
          <w:highlight w:val="white"/>
        </w:rPr>
        <w:t>或者</w:t>
      </w:r>
      <w:r>
        <w:rPr>
          <w:rFonts w:ascii="宋体" w:hAnsi="宋体"/>
          <w:color w:val="000000"/>
          <w:sz w:val="24"/>
          <w:highlight w:val="white"/>
        </w:rPr>
        <w:t>赔偿损失等违约责任。</w:t>
      </w:r>
    </w:p>
    <w:p w14:paraId="27603A06">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乙方支付的上述违约金、赔偿金等不足以弥补甲方损失的，应继续承担赔偿责任。本合同约定的损失，包括但不限于：直接损失、调查取证费、诉讼费、律师费等。</w:t>
      </w:r>
    </w:p>
    <w:p w14:paraId="3947A625">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10</w:t>
      </w:r>
      <w:r>
        <w:rPr>
          <w:rFonts w:ascii="宋体" w:hAnsi="宋体"/>
          <w:color w:val="000000"/>
          <w:sz w:val="24"/>
          <w:highlight w:val="white"/>
        </w:rPr>
        <w:t>.2</w:t>
      </w:r>
      <w:r>
        <w:rPr>
          <w:rFonts w:hint="eastAsia" w:ascii="宋体" w:hAnsi="宋体"/>
          <w:color w:val="000000"/>
          <w:sz w:val="24"/>
          <w:highlight w:val="white"/>
        </w:rPr>
        <w:t xml:space="preserve"> 乙方没有按照时限要求提供服务，且在甲方指定的延长期限内没有</w:t>
      </w:r>
      <w:r>
        <w:rPr>
          <w:rFonts w:ascii="宋体" w:hAnsi="宋体"/>
          <w:color w:val="000000"/>
          <w:sz w:val="24"/>
          <w:highlight w:val="white"/>
        </w:rPr>
        <w:t>采取补救措施</w:t>
      </w:r>
      <w:r>
        <w:rPr>
          <w:rFonts w:hint="eastAsia" w:ascii="宋体" w:hAnsi="宋体"/>
          <w:color w:val="000000"/>
          <w:sz w:val="24"/>
          <w:highlight w:val="white"/>
        </w:rPr>
        <w:t>，甲方有权自行采取其他方式进行补救，乙方除按合同第9条约定向甲方支付误期违约金外，另外甲方所发生的一切费用和甲方损失，甲方有权从应付的乙方的合同款项中扣除，不足扣除的乙方应另行支付。</w:t>
      </w:r>
    </w:p>
    <w:p w14:paraId="1C5AC3DF">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10</w:t>
      </w:r>
      <w:r>
        <w:rPr>
          <w:rFonts w:ascii="宋体" w:hAnsi="宋体"/>
          <w:color w:val="000000"/>
          <w:sz w:val="24"/>
          <w:highlight w:val="white"/>
        </w:rPr>
        <w:t>.</w:t>
      </w:r>
      <w:r>
        <w:rPr>
          <w:rFonts w:hint="eastAsia" w:ascii="宋体" w:hAnsi="宋体"/>
          <w:color w:val="000000"/>
          <w:sz w:val="24"/>
          <w:highlight w:val="white"/>
        </w:rPr>
        <w:t>3</w:t>
      </w:r>
      <w:r>
        <w:rPr>
          <w:rFonts w:ascii="宋体" w:hAnsi="宋体"/>
          <w:color w:val="000000"/>
          <w:sz w:val="24"/>
          <w:highlight w:val="white"/>
        </w:rPr>
        <w:t xml:space="preserve"> </w:t>
      </w:r>
      <w:r>
        <w:rPr>
          <w:rFonts w:hint="eastAsia" w:ascii="宋体" w:hAnsi="宋体"/>
          <w:color w:val="000000"/>
          <w:sz w:val="24"/>
          <w:highlight w:val="white"/>
        </w:rPr>
        <w:t>除应支付甲方违约金等外，甲方有权根据合同或有关部门出具的检验证书向乙方提出索赔。</w:t>
      </w:r>
    </w:p>
    <w:p w14:paraId="0E4DD059">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10.4</w:t>
      </w:r>
      <w:r>
        <w:rPr>
          <w:rFonts w:ascii="宋体" w:hAnsi="宋体"/>
          <w:color w:val="000000"/>
          <w:sz w:val="24"/>
          <w:highlight w:val="white"/>
        </w:rPr>
        <w:t xml:space="preserve"> </w:t>
      </w:r>
      <w:r>
        <w:rPr>
          <w:rFonts w:hint="eastAsia" w:ascii="宋体" w:hAnsi="宋体"/>
          <w:color w:val="000000"/>
          <w:sz w:val="24"/>
          <w:highlight w:val="white"/>
        </w:rPr>
        <w:t>如果乙方对差异负有责任而甲方提出索赔，乙方同意按照下列方式解决索赔事宜：</w:t>
      </w:r>
    </w:p>
    <w:p w14:paraId="29D46FD7">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如果在甲方发出索赔通知后</w:t>
      </w:r>
      <w:r>
        <w:rPr>
          <w:rFonts w:ascii="宋体" w:hAnsi="宋体"/>
          <w:color w:val="000000"/>
          <w:sz w:val="24"/>
          <w:highlight w:val="white"/>
        </w:rPr>
        <w:t>5</w:t>
      </w:r>
      <w:r>
        <w:rPr>
          <w:rFonts w:hint="eastAsia" w:ascii="宋体" w:hAnsi="宋体"/>
          <w:color w:val="000000"/>
          <w:sz w:val="24"/>
          <w:highlight w:val="white"/>
        </w:rPr>
        <w:t>个工作日内，乙方未作书面答复，上述索赔应视为已被乙方接受。如乙方未能在甲方发出索赔通知后</w:t>
      </w:r>
      <w:r>
        <w:rPr>
          <w:rFonts w:ascii="宋体" w:hAnsi="宋体"/>
          <w:color w:val="000000"/>
          <w:sz w:val="24"/>
          <w:highlight w:val="white"/>
        </w:rPr>
        <w:t>5</w:t>
      </w:r>
      <w:r>
        <w:rPr>
          <w:rFonts w:hint="eastAsia" w:ascii="宋体" w:hAnsi="宋体"/>
          <w:color w:val="000000"/>
          <w:sz w:val="24"/>
          <w:highlight w:val="white"/>
        </w:rPr>
        <w:t>个工作日内或甲方同意的延长期限内着手解决索赔事宜，甲方有权从应付乙方的合同款项中扣除索赔金额。</w:t>
      </w:r>
    </w:p>
    <w:p w14:paraId="0BC17DF5">
      <w:pPr>
        <w:tabs>
          <w:tab w:val="left" w:pos="0"/>
          <w:tab w:val="left" w:pos="54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10.5 乙方利用</w:t>
      </w:r>
      <w:r>
        <w:rPr>
          <w:rFonts w:hint="eastAsia" w:ascii="宋体" w:hAnsi="宋体" w:cs="宋体"/>
          <w:bCs/>
          <w:color w:val="000000"/>
          <w:sz w:val="24"/>
          <w:highlight w:val="white"/>
        </w:rPr>
        <w:t>本项目实施过程中</w:t>
      </w:r>
      <w:r>
        <w:rPr>
          <w:rFonts w:hint="eastAsia" w:ascii="宋体" w:hAnsi="宋体" w:cs="宋体"/>
          <w:color w:val="000000"/>
          <w:sz w:val="24"/>
          <w:highlight w:val="white"/>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14:paraId="4F0986D0">
      <w:pPr>
        <w:tabs>
          <w:tab w:val="left" w:pos="0"/>
          <w:tab w:val="left" w:pos="54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对于影响恶劣的严重违法失信行为，推送财政部纳入政府采购严重违法失信行为记录名单。</w:t>
      </w:r>
    </w:p>
    <w:p w14:paraId="739B5822">
      <w:pPr>
        <w:adjustRightInd w:val="0"/>
        <w:snapToGrid w:val="0"/>
        <w:spacing w:after="0" w:line="360" w:lineRule="auto"/>
        <w:ind w:firstLine="540"/>
        <w:rPr>
          <w:rFonts w:ascii="宋体" w:hAnsi="宋体" w:cs="宋体"/>
          <w:highlight w:val="none"/>
        </w:rPr>
      </w:pPr>
      <w:r>
        <w:rPr>
          <w:rFonts w:hint="eastAsia" w:ascii="宋体" w:hAnsi="宋体" w:cs="宋体"/>
          <w:color w:val="000000"/>
          <w:sz w:val="24"/>
          <w:highlight w:val="white"/>
        </w:rPr>
        <w:t>10.6 乙方在</w:t>
      </w:r>
      <w:r>
        <w:rPr>
          <w:rFonts w:hint="eastAsia" w:ascii="宋体" w:hAnsi="宋体" w:cs="宋体"/>
          <w:bCs/>
          <w:color w:val="000000"/>
          <w:sz w:val="24"/>
          <w:highlight w:val="white"/>
        </w:rPr>
        <w:t>本项目实施过程中</w:t>
      </w:r>
      <w:r>
        <w:rPr>
          <w:rFonts w:hint="eastAsia" w:ascii="宋体" w:hAnsi="宋体" w:cs="宋体"/>
          <w:color w:val="000000"/>
          <w:sz w:val="24"/>
          <w:highlight w:val="white"/>
        </w:rPr>
        <w:t>发生违反网络安全规定行为，造成数据失窃或丢失、敏感信息泄露、主要业务系统瘫痪等不良后果的，自甲方通报之日起三年内，税务系统各单位可以拒绝乙方参与税务系统政府采购活动。</w:t>
      </w:r>
    </w:p>
    <w:p w14:paraId="7BEC624D">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 信息化服务商聘用离职税务人员的风险控制</w:t>
      </w:r>
    </w:p>
    <w:p w14:paraId="10A4F267">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10.7.1 信息化服务商是指为税务总局、各省（自治区、直辖市和计划单列市）税务局提供信息化项目承建、运维、咨询、监理服务或参加相关采购活动的单位或个人。</w:t>
      </w:r>
    </w:p>
    <w:p w14:paraId="5C1D1723">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10.7.2乙方应建立防止违法违规聘用离职税务人员的风险控制制度。如乙方未建立上述风险控制制度，甲方有权要求乙方限期纠正。</w:t>
      </w:r>
    </w:p>
    <w:p w14:paraId="41F760DF">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10.7.3本合同履行期间，乙方不得聘用3年内离职的原从事过税收信息化及相关信息系统业务条线的税务人员。原从事过，是指离职前3年内从事过税收信息化工作及相关信息系统业务条线工作。如果乙方有前述违约行为，甲方有权要求乙方承担下列违约责任：</w:t>
      </w:r>
    </w:p>
    <w:p w14:paraId="5DB05078">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10.7.3.1要求乙方限期改正并从应付款项中扣除合同总金额的百分之一（1%）作为违约金；</w:t>
      </w:r>
    </w:p>
    <w:p w14:paraId="143AA060">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10.7.3.2自甲方</w:t>
      </w:r>
      <w:r>
        <w:rPr>
          <w:rFonts w:hint="eastAsia" w:ascii="宋体" w:hAnsi="宋体" w:cs="宋体"/>
          <w:color w:val="000000"/>
          <w:sz w:val="24"/>
          <w:highlight w:val="white"/>
        </w:rPr>
        <w:t>通报</w:t>
      </w:r>
      <w:r>
        <w:rPr>
          <w:rFonts w:hint="eastAsia" w:ascii="宋体" w:hAnsi="宋体" w:cs="宋体"/>
          <w:bCs/>
          <w:color w:val="000000"/>
          <w:sz w:val="24"/>
          <w:highlight w:val="white"/>
        </w:rPr>
        <w:t>之日起三年内，所聘税务人员原单位及下属单位可以拒绝乙方参与信息化项目政府采购活动。</w:t>
      </w:r>
    </w:p>
    <w:p w14:paraId="4E36F40A">
      <w:pPr>
        <w:adjustRightInd w:val="0"/>
        <w:snapToGrid w:val="0"/>
        <w:spacing w:after="0" w:line="360" w:lineRule="auto"/>
        <w:ind w:firstLine="540"/>
        <w:rPr>
          <w:rFonts w:ascii="宋体" w:hAnsi="宋体" w:cs="宋体"/>
          <w:color w:val="000000"/>
          <w:highlight w:val="none"/>
        </w:rPr>
      </w:pPr>
      <w:r>
        <w:rPr>
          <w:rFonts w:hint="eastAsia" w:ascii="宋体" w:hAnsi="宋体" w:cs="宋体"/>
          <w:color w:val="000000"/>
          <w:sz w:val="24"/>
          <w:highlight w:val="white"/>
        </w:rPr>
        <w:t>10.8 乙方在本合同履行期间存在“围猎”甲方税务人员行为的（指以获取不正当利益为目的，采取馈赠礼品礼金、邀请娱乐旅游消费、提供便利条件等非正常交往手段“围猎”相关税务人员及亲属），自甲方认定或通报之日起三年内，甲方可以拒绝乙方参与其政府采购活动。</w:t>
      </w:r>
    </w:p>
    <w:p w14:paraId="6CF68CF6">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10.9 甲方认定乙方在本合同履行期间存在失信行为的，自甲方</w:t>
      </w:r>
      <w:r>
        <w:rPr>
          <w:rFonts w:hint="eastAsia" w:ascii="宋体" w:hAnsi="宋体" w:cs="宋体"/>
          <w:color w:val="000000"/>
          <w:sz w:val="24"/>
          <w:highlight w:val="white"/>
        </w:rPr>
        <w:t>做出认定并通报</w:t>
      </w:r>
      <w:r>
        <w:rPr>
          <w:rFonts w:hint="eastAsia" w:ascii="宋体" w:hAnsi="宋体" w:cs="宋体"/>
          <w:bCs/>
          <w:color w:val="000000"/>
          <w:sz w:val="24"/>
          <w:highlight w:val="white"/>
        </w:rPr>
        <w:t>之日起三年内，税务系统各单位可以拒绝乙方参与信息化项目政府采购活动。</w:t>
      </w:r>
    </w:p>
    <w:p w14:paraId="36BC2AAA">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10.10 对于本协议未约定的、招标（采购）文件（技术部分）中约定的违约处理条款，按招标（采购）文件（技术部分）相关约定执行；对本协议与招标（采购）文件（技术部分）约定不同的违约处理条款，以本协议约定为准。</w:t>
      </w:r>
    </w:p>
    <w:p w14:paraId="7DDFCC3B">
      <w:pPr>
        <w:topLinePunct/>
        <w:autoSpaceDE w:val="0"/>
        <w:autoSpaceDN w:val="0"/>
        <w:snapToGrid w:val="0"/>
        <w:spacing w:after="0" w:line="360" w:lineRule="auto"/>
        <w:ind w:firstLine="422" w:firstLineChars="200"/>
        <w:rPr>
          <w:rFonts w:ascii="宋体" w:hAnsi="宋体" w:cs="宋体"/>
          <w:b/>
          <w:highlight w:val="none"/>
        </w:rPr>
      </w:pPr>
    </w:p>
    <w:p w14:paraId="017EBF7E">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11. 不可抗力及其他</w:t>
      </w:r>
    </w:p>
    <w:p w14:paraId="3ACD090F">
      <w:pPr>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11</w:t>
      </w:r>
      <w:r>
        <w:rPr>
          <w:rFonts w:ascii="宋体" w:hAnsi="宋体"/>
          <w:color w:val="000000"/>
          <w:sz w:val="24"/>
          <w:highlight w:val="white"/>
        </w:rPr>
        <w:t xml:space="preserve">.1 </w:t>
      </w:r>
      <w:r>
        <w:rPr>
          <w:rFonts w:hint="eastAsia" w:ascii="宋体" w:hAnsi="宋体"/>
          <w:color w:val="000000"/>
          <w:sz w:val="24"/>
          <w:highlight w:val="white"/>
        </w:rPr>
        <w:t>如果乙方因不可抗力而导致合同实施延误或不能履行合同义务，不应承担误期赔偿或终止合同的责任。</w:t>
      </w:r>
    </w:p>
    <w:p w14:paraId="483BC211">
      <w:pPr>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11</w:t>
      </w:r>
      <w:r>
        <w:rPr>
          <w:rFonts w:ascii="宋体" w:hAnsi="宋体"/>
          <w:color w:val="000000"/>
          <w:sz w:val="24"/>
          <w:highlight w:val="white"/>
        </w:rPr>
        <w:t>.2</w:t>
      </w:r>
      <w:r>
        <w:rPr>
          <w:rFonts w:hint="eastAsia" w:ascii="宋体" w:hAnsi="宋体"/>
          <w:color w:val="000000"/>
          <w:sz w:val="24"/>
          <w:highlight w:val="white"/>
        </w:rPr>
        <w:t xml:space="preserve"> 本条所述的“不可抗力”系指双方不可预见、不可避免、不可克服的客观情况，但不包括双方的违约或疏忽。这些事件包括但不限于：战争、严重火灾、洪水、台风、地震、疫情等。</w:t>
      </w:r>
    </w:p>
    <w:p w14:paraId="370C5F57">
      <w:pPr>
        <w:snapToGrid w:val="0"/>
        <w:spacing w:after="0" w:line="360" w:lineRule="auto"/>
        <w:ind w:firstLine="480" w:firstLineChars="200"/>
        <w:rPr>
          <w:rFonts w:ascii="宋体" w:hAnsi="宋体" w:cs="宋体"/>
          <w:highlight w:val="none"/>
        </w:rPr>
      </w:pPr>
      <w:r>
        <w:rPr>
          <w:rFonts w:hint="eastAsia" w:ascii="宋体" w:hAnsi="宋体"/>
          <w:color w:val="000000"/>
          <w:sz w:val="24"/>
          <w:highlight w:val="white"/>
        </w:rPr>
        <w:t>11</w:t>
      </w:r>
      <w:r>
        <w:rPr>
          <w:rFonts w:ascii="宋体" w:hAnsi="宋体"/>
          <w:color w:val="000000"/>
          <w:sz w:val="24"/>
          <w:highlight w:val="white"/>
        </w:rPr>
        <w:t>.3</w:t>
      </w:r>
      <w:r>
        <w:rPr>
          <w:rFonts w:hint="eastAsia" w:ascii="宋体" w:hAnsi="宋体"/>
          <w:color w:val="000000"/>
          <w:sz w:val="24"/>
          <w:highlight w:val="white"/>
        </w:rPr>
        <w:t xml:space="preserve"> 在不可抗力事件发生后，当事方应及时将不可抗力情况通知合同对方，在不可抗力事件结束后</w:t>
      </w:r>
      <w:r>
        <w:rPr>
          <w:rFonts w:ascii="宋体" w:hAnsi="宋体"/>
          <w:color w:val="000000"/>
          <w:sz w:val="24"/>
          <w:highlight w:val="white"/>
        </w:rPr>
        <w:t>3</w:t>
      </w:r>
      <w:r>
        <w:rPr>
          <w:rFonts w:hint="eastAsia" w:ascii="宋体" w:hAnsi="宋体"/>
          <w:color w:val="000000"/>
          <w:sz w:val="24"/>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14:paraId="117E9727">
      <w:pPr>
        <w:snapToGrid w:val="0"/>
        <w:spacing w:after="0" w:line="360" w:lineRule="auto"/>
        <w:ind w:firstLine="480" w:firstLineChars="200"/>
        <w:rPr>
          <w:rFonts w:ascii="宋体" w:hAnsi="宋体" w:cs="宋体"/>
          <w:b/>
          <w:highlight w:val="none"/>
        </w:rPr>
      </w:pPr>
      <w:r>
        <w:rPr>
          <w:rFonts w:hint="eastAsia" w:ascii="宋体" w:hAnsi="宋体" w:cs="宋体"/>
          <w:bCs/>
          <w:color w:val="000000"/>
          <w:sz w:val="24"/>
          <w:highlight w:val="white"/>
        </w:rPr>
        <w:t>11.</w:t>
      </w:r>
      <w:r>
        <w:rPr>
          <w:rFonts w:ascii="宋体" w:hAnsi="宋体" w:cs="宋体"/>
          <w:bCs/>
          <w:color w:val="000000"/>
          <w:sz w:val="24"/>
          <w:highlight w:val="white"/>
        </w:rPr>
        <w:t>4</w:t>
      </w:r>
      <w:r>
        <w:rPr>
          <w:rFonts w:hint="eastAsia" w:ascii="宋体" w:hAnsi="宋体" w:cs="宋体"/>
          <w:bCs/>
          <w:color w:val="000000"/>
          <w:sz w:val="24"/>
          <w:highlight w:val="white"/>
        </w:rPr>
        <w:t>如因</w:t>
      </w:r>
      <w:r>
        <w:rPr>
          <w:rFonts w:hint="eastAsia" w:ascii="宋体" w:hAnsi="宋体" w:cs="宋体"/>
          <w:color w:val="000000"/>
          <w:sz w:val="24"/>
          <w:highlight w:val="white"/>
        </w:rPr>
        <w:t>国家政策变化、技术实施所需的客观环境发生变化、重大技术变化、国家调减预算、</w:t>
      </w:r>
      <w:r>
        <w:rPr>
          <w:rFonts w:hint="eastAsia" w:ascii="宋体" w:hAnsi="宋体"/>
          <w:color w:val="000000"/>
          <w:sz w:val="24"/>
          <w:highlight w:val="white"/>
        </w:rPr>
        <w:t>乙方在执行合同的过程中发生对履行合同有直接影响的重大事故或变故、</w:t>
      </w:r>
      <w:r>
        <w:rPr>
          <w:rFonts w:hint="eastAsia" w:ascii="宋体" w:hAnsi="宋体" w:cs="宋体"/>
          <w:color w:val="000000"/>
          <w:sz w:val="24"/>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14:paraId="22C69B1E">
      <w:pPr>
        <w:snapToGrid w:val="0"/>
        <w:spacing w:after="0" w:line="360" w:lineRule="auto"/>
        <w:ind w:firstLine="422" w:firstLineChars="200"/>
        <w:rPr>
          <w:rFonts w:ascii="宋体" w:hAnsi="宋体" w:cs="宋体"/>
          <w:b/>
          <w:highlight w:val="none"/>
        </w:rPr>
      </w:pPr>
    </w:p>
    <w:p w14:paraId="04F4C6A5">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12. 争端的解决</w:t>
      </w:r>
    </w:p>
    <w:p w14:paraId="223B6576">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.1 </w:t>
      </w:r>
      <w:r>
        <w:rPr>
          <w:rFonts w:hint="eastAsia" w:ascii="宋体" w:hAnsi="宋体"/>
          <w:color w:val="000000"/>
          <w:sz w:val="24"/>
          <w:highlight w:val="white"/>
        </w:rPr>
        <w:t>甲乙双方应通过友好协商，解决在执行本合同中所发生的或与本合同有关的一切争端。如从协商开始</w:t>
      </w:r>
      <w:r>
        <w:rPr>
          <w:rFonts w:ascii="宋体" w:hAnsi="宋体"/>
          <w:color w:val="000000"/>
          <w:sz w:val="24"/>
          <w:highlight w:val="white"/>
        </w:rPr>
        <w:t>30</w:t>
      </w:r>
      <w:r>
        <w:rPr>
          <w:rFonts w:hint="eastAsia" w:ascii="宋体" w:hAnsi="宋体"/>
          <w:color w:val="000000"/>
          <w:sz w:val="24"/>
          <w:highlight w:val="white"/>
        </w:rPr>
        <w:t>天内仍不能解决，则应提请仲裁。</w:t>
      </w:r>
    </w:p>
    <w:p w14:paraId="578D679F">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.2 </w:t>
      </w:r>
      <w:r>
        <w:rPr>
          <w:rFonts w:hint="eastAsia" w:ascii="宋体" w:hAnsi="宋体"/>
          <w:color w:val="000000"/>
          <w:sz w:val="24"/>
          <w:highlight w:val="white"/>
        </w:rPr>
        <w:t>仲裁应由长春仲裁委员会根据其仲裁程序在长春进行仲裁。</w:t>
      </w:r>
    </w:p>
    <w:p w14:paraId="11939467">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.3 </w:t>
      </w:r>
      <w:r>
        <w:rPr>
          <w:rFonts w:hint="eastAsia" w:ascii="宋体" w:hAnsi="宋体"/>
          <w:color w:val="000000"/>
          <w:sz w:val="24"/>
          <w:highlight w:val="white"/>
        </w:rPr>
        <w:t>仲裁裁决应为最终裁决，对双方均具有约束力。</w:t>
      </w:r>
    </w:p>
    <w:p w14:paraId="46A97150">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.4 </w:t>
      </w:r>
      <w:r>
        <w:rPr>
          <w:rFonts w:hint="eastAsia" w:ascii="宋体" w:hAnsi="宋体"/>
          <w:color w:val="000000"/>
          <w:sz w:val="24"/>
          <w:highlight w:val="white"/>
        </w:rPr>
        <w:t>仲裁费除仲裁机关另有裁决外应由败诉方负担。</w:t>
      </w:r>
    </w:p>
    <w:p w14:paraId="7B66EA18">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.5 </w:t>
      </w:r>
      <w:r>
        <w:rPr>
          <w:rFonts w:hint="eastAsia" w:ascii="宋体" w:hAnsi="宋体"/>
          <w:color w:val="000000"/>
          <w:sz w:val="24"/>
          <w:highlight w:val="white"/>
        </w:rPr>
        <w:t>在仲裁期间，除正在进行仲裁部分外，本合同的其它部分应继续执行。</w:t>
      </w:r>
    </w:p>
    <w:p w14:paraId="2712A2AF">
      <w:pPr>
        <w:snapToGrid w:val="0"/>
        <w:spacing w:after="0" w:line="360" w:lineRule="auto"/>
        <w:ind w:firstLine="422" w:firstLineChars="200"/>
        <w:rPr>
          <w:rFonts w:ascii="宋体" w:hAnsi="宋体" w:cs="宋体"/>
          <w:b/>
          <w:highlight w:val="none"/>
        </w:rPr>
      </w:pPr>
    </w:p>
    <w:p w14:paraId="5E2DBCEE">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13. 违约解除合同</w:t>
      </w:r>
    </w:p>
    <w:p w14:paraId="34E98A79">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 xml:space="preserve">.1 </w:t>
      </w:r>
      <w:r>
        <w:rPr>
          <w:rFonts w:hint="eastAsia" w:ascii="宋体" w:hAnsi="宋体"/>
          <w:color w:val="000000"/>
          <w:sz w:val="24"/>
          <w:highlight w:val="white"/>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14:paraId="6905EFFE">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13.1.1 乙方不履行合同义务或者履行合同义务不符合合同约定，累计达2次的；</w:t>
      </w:r>
    </w:p>
    <w:p w14:paraId="205022C1">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2 如果乙方未能在合同规定的期限或甲方同意延长的期限内提供货物或服务，迟延累计达20日的；</w:t>
      </w:r>
    </w:p>
    <w:p w14:paraId="6F2E2CA9">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3 因乙方人员自身技术能力、经验不足等问题造成甲方发生重大紧急故障，带来重大影响和损失的；</w:t>
      </w:r>
    </w:p>
    <w:p w14:paraId="01B1FD41">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4 乙方对重大紧急故障没有及时响应，或不能在规定时间内解决处理故障、恢复正常运行的；</w:t>
      </w:r>
    </w:p>
    <w:p w14:paraId="112BB6D4">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5 不能满足本项目技术需求的管理要求和规范，且经2次整改无明显改进的；</w:t>
      </w:r>
    </w:p>
    <w:p w14:paraId="2C4A90D4">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13.1.6 在合同服务期内，同一个应用系统在升级完善、运行维护支持服务过程中，出现5次经甲乙双方确认的用户投诉的；</w:t>
      </w:r>
    </w:p>
    <w:p w14:paraId="4302F24B">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14:paraId="4EFA63EC">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13.1.8 乙方在本项目实施过程中发生违反网络安全规定行为造成不良后果的；</w:t>
      </w:r>
    </w:p>
    <w:p w14:paraId="6ADBED7E">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13.1.9 乙方拒不修复或更换有缺陷的、损坏的货物的；</w:t>
      </w:r>
    </w:p>
    <w:p w14:paraId="106901B5">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13.1.10 乙方提供的货物侵犯甲方、第三方知识产权等合法权益的；</w:t>
      </w:r>
    </w:p>
    <w:p w14:paraId="495C76FE">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13.1.11 乙方提供的货物造成甲方或第三方经济损失而拒不赔偿的；</w:t>
      </w:r>
    </w:p>
    <w:p w14:paraId="374A9750">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13.1.12 乙方转让其应履行的合同义务，或未经甲方同意采取分包方式履行合同的；</w:t>
      </w:r>
    </w:p>
    <w:p w14:paraId="54344E0D">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13.1.13 乙方对政务信息系统建设、运营、维护项目的主体和关键部分采取转包、分包方式履行合同的；</w:t>
      </w:r>
    </w:p>
    <w:p w14:paraId="07DFE8CD">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13.1.14 乙方不配合政务信息系统安全检查、评测、审计、工程监理及</w:t>
      </w:r>
      <w:r>
        <w:rPr>
          <w:rFonts w:ascii="宋体" w:hAnsi="宋体" w:cs="宋体"/>
          <w:color w:val="000000"/>
          <w:sz w:val="24"/>
          <w:highlight w:val="white"/>
        </w:rPr>
        <w:t>系统间数据交互和衔接</w:t>
      </w:r>
      <w:r>
        <w:rPr>
          <w:rFonts w:hint="eastAsia" w:ascii="宋体" w:hAnsi="宋体" w:cs="宋体"/>
          <w:color w:val="000000"/>
          <w:sz w:val="24"/>
          <w:highlight w:val="white"/>
        </w:rPr>
        <w:t>等工作，不如实、完整提供政务信息系统建设、运营、维护和政务数据安全管理相关情况的；</w:t>
      </w:r>
    </w:p>
    <w:p w14:paraId="19511099">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13.1.15 乙方违反协议10.7.2的规定，且未按甲方要求在限期内改正或者拒不改正的；</w:t>
      </w:r>
    </w:p>
    <w:p w14:paraId="53DDA755">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13.1.16 乙方违反协议10.7.3的规定，且未按甲方要求在限期内改正或拒不改正或拒不支付违约金的；</w:t>
      </w:r>
    </w:p>
    <w:p w14:paraId="2C97DA50">
      <w:pPr>
        <w:topLinePunct/>
        <w:autoSpaceDE w:val="0"/>
        <w:autoSpaceDN w:val="0"/>
        <w:adjustRightInd w:val="0"/>
        <w:snapToGrid w:val="0"/>
        <w:spacing w:after="0" w:line="360" w:lineRule="auto"/>
        <w:ind w:firstLine="480" w:firstLineChars="200"/>
        <w:rPr>
          <w:highlight w:val="none"/>
        </w:rPr>
      </w:pPr>
      <w:r>
        <w:rPr>
          <w:rFonts w:hint="eastAsia" w:ascii="宋体" w:hAnsi="宋体" w:cs="宋体"/>
          <w:color w:val="000000"/>
          <w:sz w:val="24"/>
          <w:highlight w:val="white"/>
        </w:rPr>
        <w:t>13.1.17 乙方在本合同履行过程中存在“围猎”税务人员行为的。</w:t>
      </w:r>
    </w:p>
    <w:p w14:paraId="246BC220">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13.1.18 乙方有其他严重违约行为的。</w:t>
      </w:r>
    </w:p>
    <w:p w14:paraId="26FF3D07">
      <w:pPr>
        <w:adjustRightInd w:val="0"/>
        <w:snapToGrid w:val="0"/>
        <w:spacing w:after="0" w:line="360" w:lineRule="auto"/>
        <w:ind w:firstLine="504" w:firstLineChars="21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 xml:space="preserve">.2 </w:t>
      </w:r>
      <w:r>
        <w:rPr>
          <w:rFonts w:hint="eastAsia" w:ascii="宋体" w:hAnsi="宋体"/>
          <w:color w:val="000000"/>
          <w:sz w:val="24"/>
          <w:highlight w:val="white"/>
        </w:rPr>
        <w:t>如果甲方根据上述第</w:t>
      </w: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14:paraId="2AA9CB42">
      <w:pPr>
        <w:snapToGrid w:val="0"/>
        <w:spacing w:after="0" w:line="360" w:lineRule="auto"/>
        <w:ind w:firstLine="540"/>
        <w:rPr>
          <w:rFonts w:ascii="宋体" w:hAnsi="宋体" w:cs="宋体"/>
          <w:highlight w:val="none"/>
        </w:rPr>
      </w:pPr>
    </w:p>
    <w:p w14:paraId="398D0B75">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14. 破产终止合同</w:t>
      </w:r>
    </w:p>
    <w:p w14:paraId="43374EB5">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4</w:t>
      </w:r>
      <w:r>
        <w:rPr>
          <w:rFonts w:ascii="宋体" w:hAnsi="宋体"/>
          <w:color w:val="000000"/>
          <w:sz w:val="24"/>
          <w:highlight w:val="white"/>
        </w:rPr>
        <w:t xml:space="preserve">.1 </w:t>
      </w:r>
      <w:r>
        <w:rPr>
          <w:rFonts w:hint="eastAsia" w:ascii="宋体" w:hAnsi="宋体"/>
          <w:color w:val="000000"/>
          <w:sz w:val="24"/>
          <w:highlight w:val="white"/>
        </w:rPr>
        <w:t>如果乙方破产或无清偿能力，甲方可在任何时候以书面形式通知乙方终止合同而不给乙方补偿。</w:t>
      </w:r>
    </w:p>
    <w:p w14:paraId="4170644A">
      <w:pPr>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14.2 该终止合同将不损害或影响甲方已经采取或将要采取的任何行动或补救措施的权利。</w:t>
      </w:r>
    </w:p>
    <w:p w14:paraId="4962ECDF">
      <w:pPr>
        <w:topLinePunct/>
        <w:autoSpaceDE w:val="0"/>
        <w:autoSpaceDN w:val="0"/>
        <w:snapToGrid w:val="0"/>
        <w:spacing w:after="0" w:line="360" w:lineRule="auto"/>
        <w:rPr>
          <w:rFonts w:ascii="宋体" w:hAnsi="宋体" w:cs="宋体"/>
          <w:highlight w:val="none"/>
        </w:rPr>
      </w:pPr>
    </w:p>
    <w:p w14:paraId="7C6BB0C9">
      <w:pPr>
        <w:tabs>
          <w:tab w:val="left" w:pos="700"/>
        </w:tabs>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15. 合同修改或变更</w:t>
      </w:r>
    </w:p>
    <w:p w14:paraId="17CF7574">
      <w:pPr>
        <w:snapToGrid w:val="0"/>
        <w:spacing w:after="0" w:line="360" w:lineRule="auto"/>
        <w:ind w:firstLine="482"/>
        <w:rPr>
          <w:rFonts w:ascii="宋体" w:hAnsi="宋体" w:cs="宋体"/>
          <w:highlight w:val="none"/>
        </w:rPr>
      </w:pPr>
      <w:r>
        <w:rPr>
          <w:rFonts w:hint="eastAsia" w:ascii="宋体" w:hAnsi="宋体" w:cs="宋体"/>
          <w:color w:val="000000"/>
          <w:sz w:val="24"/>
          <w:highlight w:val="white"/>
        </w:rPr>
        <w:t>15.1 合同如有未尽事宜，须经甲乙双方共同协商，做出补充约定，并签订书面补充合同或变更协议。补充合同或变更协议作为本合同的一部分，与本合同具有同等效力。</w:t>
      </w:r>
    </w:p>
    <w:p w14:paraId="60457544">
      <w:pPr>
        <w:topLinePunct/>
        <w:autoSpaceDE w:val="0"/>
        <w:autoSpaceDN w:val="0"/>
        <w:snapToGrid w:val="0"/>
        <w:spacing w:after="0" w:line="360" w:lineRule="auto"/>
        <w:ind w:firstLine="480" w:firstLineChars="200"/>
        <w:rPr>
          <w:rFonts w:ascii="宋体" w:hAnsi="宋体" w:cs="宋体"/>
          <w:b/>
          <w:highlight w:val="none"/>
        </w:rPr>
      </w:pPr>
      <w:r>
        <w:rPr>
          <w:rFonts w:hint="eastAsia" w:ascii="宋体" w:hAnsi="宋体" w:cs="宋体"/>
          <w:color w:val="000000"/>
          <w:sz w:val="24"/>
          <w:highlight w:val="white"/>
        </w:rPr>
        <w:t>15.2 除了双方签署书面修改或变更协议，并成为本合同不可分割的一部分的情况之外，本合同的条款不得有任何变化或修改。</w:t>
      </w:r>
    </w:p>
    <w:p w14:paraId="31F3F604">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15.3 由于甲方项目统一规划等原因导致本项目停止部分服务的，甲方将与乙方协商处理。</w:t>
      </w:r>
    </w:p>
    <w:p w14:paraId="4A19FE9F">
      <w:pPr>
        <w:snapToGrid w:val="0"/>
        <w:spacing w:after="0" w:line="360" w:lineRule="auto"/>
        <w:rPr>
          <w:rFonts w:ascii="宋体" w:hAnsi="宋体" w:cs="宋体"/>
          <w:highlight w:val="none"/>
        </w:rPr>
      </w:pPr>
    </w:p>
    <w:p w14:paraId="76C2CFD6">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16. 转让和分包</w:t>
      </w:r>
    </w:p>
    <w:p w14:paraId="41C838C8">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6</w:t>
      </w:r>
      <w:r>
        <w:rPr>
          <w:rFonts w:ascii="宋体" w:hAnsi="宋体"/>
          <w:color w:val="000000"/>
          <w:sz w:val="24"/>
          <w:highlight w:val="white"/>
        </w:rPr>
        <w:t>.1</w:t>
      </w:r>
      <w:r>
        <w:rPr>
          <w:rFonts w:hint="eastAsia" w:ascii="宋体" w:hAnsi="宋体"/>
          <w:color w:val="000000"/>
          <w:sz w:val="24"/>
          <w:highlight w:val="white"/>
        </w:rPr>
        <w:t xml:space="preserve"> 乙方不得部分转让或全部转让其应履行的合同义务。</w:t>
      </w:r>
    </w:p>
    <w:p w14:paraId="4D3AD593">
      <w:pPr>
        <w:snapToGrid w:val="0"/>
        <w:spacing w:after="0" w:line="360" w:lineRule="auto"/>
        <w:ind w:firstLine="480" w:firstLineChars="200"/>
        <w:rPr>
          <w:rFonts w:ascii="宋体" w:hAnsi="宋体" w:cs="宋体"/>
          <w:highlight w:val="none"/>
        </w:rPr>
      </w:pPr>
      <w:r>
        <w:rPr>
          <w:rFonts w:hint="eastAsia" w:ascii="宋体" w:hAnsi="宋体"/>
          <w:color w:val="000000"/>
          <w:sz w:val="24"/>
          <w:highlight w:val="white"/>
        </w:rPr>
        <w:t xml:space="preserve">16.2 </w:t>
      </w:r>
      <w:r>
        <w:rPr>
          <w:rFonts w:hint="eastAsia" w:ascii="宋体" w:hAnsi="宋体" w:cs="宋体"/>
          <w:color w:val="000000"/>
          <w:sz w:val="24"/>
          <w:highlight w:val="white"/>
        </w:rPr>
        <w:t>未经甲方同意，乙方不得采取分包方式履行合同。经甲方同意分包履行合同的，乙方就采购项目及分包项目向甲方负责，分包供应商就分包项目承担责任。</w:t>
      </w:r>
    </w:p>
    <w:p w14:paraId="305678BE">
      <w:pPr>
        <w:snapToGrid w:val="0"/>
        <w:spacing w:after="0" w:line="360" w:lineRule="auto"/>
        <w:ind w:firstLine="480"/>
        <w:rPr>
          <w:rFonts w:ascii="宋体" w:hAnsi="宋体" w:cs="宋体"/>
          <w:highlight w:val="none"/>
        </w:rPr>
      </w:pPr>
      <w:r>
        <w:rPr>
          <w:rFonts w:ascii="宋体" w:hAnsi="宋体" w:cs="宋体"/>
          <w:color w:val="000000"/>
          <w:sz w:val="24"/>
          <w:highlight w:val="white"/>
        </w:rPr>
        <w:t>1</w:t>
      </w:r>
      <w:r>
        <w:rPr>
          <w:rFonts w:hint="eastAsia" w:ascii="宋体" w:hAnsi="宋体" w:cs="宋体"/>
          <w:color w:val="000000"/>
          <w:sz w:val="24"/>
          <w:highlight w:val="white"/>
        </w:rPr>
        <w:t>6</w:t>
      </w:r>
      <w:r>
        <w:rPr>
          <w:rFonts w:ascii="宋体" w:hAnsi="宋体" w:cs="宋体"/>
          <w:color w:val="000000"/>
          <w:sz w:val="24"/>
          <w:highlight w:val="white"/>
        </w:rPr>
        <w:t xml:space="preserve">.3 </w:t>
      </w:r>
      <w:r>
        <w:rPr>
          <w:rFonts w:hint="eastAsia" w:ascii="宋体" w:hAnsi="宋体" w:cs="宋体"/>
          <w:color w:val="000000"/>
          <w:sz w:val="24"/>
          <w:highlight w:val="white"/>
        </w:rPr>
        <w:t>乙方不得对政务信息系统建设、运营、维护项目的主体和关键部分采取分包方式履行合同。</w:t>
      </w:r>
    </w:p>
    <w:p w14:paraId="11BC138E">
      <w:pPr>
        <w:snapToGrid w:val="0"/>
        <w:spacing w:after="0" w:line="360" w:lineRule="auto"/>
        <w:ind w:firstLine="480"/>
        <w:rPr>
          <w:rFonts w:ascii="宋体" w:hAnsi="宋体" w:cs="宋体"/>
          <w:highlight w:val="none"/>
        </w:rPr>
      </w:pPr>
    </w:p>
    <w:p w14:paraId="6874E96C">
      <w:pPr>
        <w:topLinePunct/>
        <w:autoSpaceDE w:val="0"/>
        <w:autoSpaceDN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17. 合同语言</w:t>
      </w:r>
    </w:p>
    <w:p w14:paraId="750F6DE0">
      <w:pPr>
        <w:topLinePunct/>
        <w:autoSpaceDE w:val="0"/>
        <w:autoSpaceDN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7</w:t>
      </w:r>
      <w:r>
        <w:rPr>
          <w:rFonts w:ascii="宋体" w:hAnsi="宋体"/>
          <w:color w:val="000000"/>
          <w:sz w:val="24"/>
          <w:highlight w:val="white"/>
        </w:rPr>
        <w:t xml:space="preserve">.1 </w:t>
      </w:r>
      <w:r>
        <w:rPr>
          <w:rFonts w:hint="eastAsia" w:ascii="宋体" w:hAnsi="宋体"/>
          <w:color w:val="000000"/>
          <w:sz w:val="24"/>
          <w:highlight w:val="white"/>
        </w:rPr>
        <w:t>本合同语言为中文。</w:t>
      </w:r>
    </w:p>
    <w:p w14:paraId="2F28C345">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7</w:t>
      </w:r>
      <w:r>
        <w:rPr>
          <w:rFonts w:ascii="宋体" w:hAnsi="宋体"/>
          <w:color w:val="000000"/>
          <w:sz w:val="24"/>
          <w:highlight w:val="white"/>
        </w:rPr>
        <w:t xml:space="preserve">.2 </w:t>
      </w:r>
      <w:r>
        <w:rPr>
          <w:rFonts w:hint="eastAsia" w:ascii="宋体" w:hAnsi="宋体"/>
          <w:color w:val="000000"/>
          <w:sz w:val="24"/>
          <w:highlight w:val="white"/>
        </w:rPr>
        <w:t>双方交换的与合同有关的信件和其他文件应用合同语言书写。</w:t>
      </w:r>
    </w:p>
    <w:p w14:paraId="26DF3D13">
      <w:pPr>
        <w:snapToGrid w:val="0"/>
        <w:spacing w:after="0" w:line="360" w:lineRule="auto"/>
        <w:ind w:firstLine="420" w:firstLineChars="200"/>
        <w:rPr>
          <w:rFonts w:ascii="宋体" w:hAnsi="宋体" w:cs="宋体"/>
          <w:highlight w:val="none"/>
        </w:rPr>
      </w:pPr>
    </w:p>
    <w:p w14:paraId="02EEFB6B">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18. 适用法律</w:t>
      </w:r>
    </w:p>
    <w:p w14:paraId="19184297">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18.1 本合同按照中华人民共和国现行法律进行解释。</w:t>
      </w:r>
    </w:p>
    <w:p w14:paraId="51166427">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18.2 本合同的履行、违约责任和解决争议的方法等适用《中华人民共和国民法典（合同编）》。</w:t>
      </w:r>
    </w:p>
    <w:p w14:paraId="684CBB02">
      <w:pPr>
        <w:snapToGrid w:val="0"/>
        <w:spacing w:after="0" w:line="360" w:lineRule="auto"/>
        <w:ind w:firstLine="482"/>
        <w:rPr>
          <w:rFonts w:ascii="宋体" w:hAnsi="宋体" w:cs="宋体"/>
          <w:highlight w:val="none"/>
        </w:rPr>
      </w:pPr>
    </w:p>
    <w:p w14:paraId="2A29AEC4">
      <w:pPr>
        <w:topLinePunct/>
        <w:autoSpaceDE w:val="0"/>
        <w:autoSpaceDN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19. 税费</w:t>
      </w:r>
    </w:p>
    <w:p w14:paraId="10D01C4F">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19.1 乙方应依法缴纳的合同货物及服务相关税费，均已包含于合同总金额中，甲方不再另行支付。</w:t>
      </w:r>
    </w:p>
    <w:p w14:paraId="3C5E23FA">
      <w:pPr>
        <w:tabs>
          <w:tab w:val="left" w:pos="700"/>
        </w:tabs>
        <w:snapToGrid w:val="0"/>
        <w:spacing w:after="0" w:line="360" w:lineRule="auto"/>
        <w:rPr>
          <w:rFonts w:ascii="宋体" w:hAnsi="宋体" w:cs="宋体"/>
          <w:b/>
          <w:highlight w:val="none"/>
        </w:rPr>
      </w:pPr>
    </w:p>
    <w:p w14:paraId="60E0E407">
      <w:pPr>
        <w:tabs>
          <w:tab w:val="left" w:pos="700"/>
        </w:tabs>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20. 合同生效</w:t>
      </w:r>
    </w:p>
    <w:p w14:paraId="5329BAFF">
      <w:pPr>
        <w:tabs>
          <w:tab w:val="left" w:pos="700"/>
        </w:tabs>
        <w:topLinePunct/>
        <w:autoSpaceDE w:val="0"/>
        <w:autoSpaceDN w:val="0"/>
        <w:spacing w:line="460" w:lineRule="exact"/>
        <w:ind w:firstLine="480" w:firstLineChars="200"/>
        <w:rPr>
          <w:rFonts w:ascii="宋体" w:hAnsi="宋体" w:cs="宋体"/>
          <w:highlight w:val="none"/>
        </w:rPr>
      </w:pPr>
      <w:r>
        <w:rPr>
          <w:rFonts w:hint="eastAsia" w:ascii="宋体" w:hAnsi="宋体" w:cs="宋体"/>
          <w:color w:val="000000"/>
          <w:sz w:val="24"/>
          <w:highlight w:val="white"/>
        </w:rPr>
        <w:t>20.1 本合同一式肆份，甲方执贰份，乙方执贰份，具有同等法律效力。在甲乙双方法定代表人或授权代表签字并加盖公章后生效。</w:t>
      </w:r>
    </w:p>
    <w:p w14:paraId="28809841">
      <w:pPr>
        <w:topLinePunct/>
        <w:autoSpaceDE w:val="0"/>
        <w:autoSpaceDN w:val="0"/>
        <w:snapToGrid w:val="0"/>
        <w:spacing w:after="0" w:line="360" w:lineRule="auto"/>
        <w:ind w:firstLine="420" w:firstLineChars="200"/>
        <w:rPr>
          <w:highlight w:val="none"/>
        </w:rPr>
      </w:pPr>
    </w:p>
    <w:p w14:paraId="3EAA3F9B">
      <w:pPr>
        <w:topLinePunct/>
        <w:autoSpaceDE w:val="0"/>
        <w:autoSpaceDN w:val="0"/>
        <w:adjustRightInd w:val="0"/>
        <w:snapToGrid w:val="0"/>
        <w:spacing w:after="0" w:line="360" w:lineRule="auto"/>
        <w:ind w:firstLine="482" w:firstLineChars="200"/>
        <w:jc w:val="left"/>
        <w:rPr>
          <w:rFonts w:ascii="宋体" w:hAnsi="宋体" w:cs="宋体"/>
          <w:b/>
          <w:highlight w:val="none"/>
        </w:rPr>
      </w:pPr>
      <w:r>
        <w:rPr>
          <w:rFonts w:hint="eastAsia" w:ascii="宋体" w:hAnsi="宋体" w:cs="宋体"/>
          <w:b/>
          <w:color w:val="000000"/>
          <w:sz w:val="24"/>
          <w:highlight w:val="white"/>
        </w:rPr>
        <w:t>21. 通知送达</w:t>
      </w:r>
    </w:p>
    <w:p w14:paraId="631A9A1C">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14:paraId="39244288">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21.2任何一方变更地址、联系人、联系电话或电子邮箱的，应当及时向另一方通知变更事项，未及时通知的，另一方按原信息送达的通知视为有效送达。</w:t>
      </w:r>
    </w:p>
    <w:p w14:paraId="60A255F6">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21.3通知与送达信息如下：</w:t>
      </w:r>
    </w:p>
    <w:p w14:paraId="3AB60E87">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甲方的收件地址为：吉林省长春市南关区南湖大路1518号</w:t>
      </w:r>
    </w:p>
    <w:p w14:paraId="4B9F9F5D">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 xml:space="preserve">联系人：      ；联系电话：  。 </w:t>
      </w:r>
    </w:p>
    <w:p w14:paraId="3220F99A">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乙方的收件地址为：。</w:t>
      </w:r>
    </w:p>
    <w:p w14:paraId="30B4A5D1">
      <w:pPr>
        <w:snapToGrid w:val="0"/>
        <w:spacing w:after="0" w:line="360" w:lineRule="auto"/>
        <w:ind w:firstLine="480" w:firstLineChars="200"/>
        <w:jc w:val="left"/>
        <w:rPr>
          <w:highlight w:val="none"/>
        </w:rPr>
      </w:pPr>
      <w:r>
        <w:rPr>
          <w:rFonts w:hint="eastAsia"/>
          <w:color w:val="000000"/>
          <w:sz w:val="24"/>
          <w:highlight w:val="white"/>
        </w:rPr>
        <w:t>联系人：      ；联系电话：  。</w:t>
      </w:r>
    </w:p>
    <w:p w14:paraId="646CFA77">
      <w:pPr>
        <w:pStyle w:val="18"/>
        <w:spacing w:line="360" w:lineRule="auto"/>
        <w:jc w:val="both"/>
        <w:rPr>
          <w:rFonts w:hint="default" w:hAnsi="宋体" w:eastAsia="宋体" w:cs="宋体"/>
          <w:b w:val="0"/>
          <w:bCs/>
          <w:color w:val="auto"/>
          <w:sz w:val="24"/>
          <w:szCs w:val="24"/>
          <w:highlight w:val="none"/>
          <w:lang w:val="en-US" w:eastAsia="zh-CN"/>
        </w:rPr>
      </w:pPr>
    </w:p>
    <w:p w14:paraId="2D131EC5">
      <w:pPr>
        <w:rPr>
          <w:rStyle w:val="39"/>
          <w:rFonts w:hint="eastAsia"/>
          <w:highlight w:val="none"/>
          <w:lang w:val="en-US" w:eastAsia="zh-CN"/>
        </w:rPr>
      </w:pPr>
      <w:r>
        <w:rPr>
          <w:rStyle w:val="39"/>
          <w:rFonts w:hint="eastAsia"/>
          <w:color w:val="000000"/>
          <w:highlight w:val="white"/>
          <w:lang w:val="en-US" w:eastAsia="zh-CN"/>
        </w:rPr>
        <w:br w:type="page"/>
      </w:r>
    </w:p>
    <w:p w14:paraId="5CFF9453">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r>
        <w:rPr>
          <w:rStyle w:val="39"/>
          <w:rFonts w:hint="eastAsia"/>
          <w:color w:val="000000"/>
          <w:highlight w:val="white"/>
          <w:lang w:val="en-US" w:eastAsia="zh-CN"/>
        </w:rPr>
        <w:t>第五章　投标文件格式</w:t>
      </w:r>
    </w:p>
    <w:p w14:paraId="53B5C35E">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投标人必须按下列文本格式，如实提供具有法律效力的资格证明文件</w:t>
      </w:r>
      <w:r>
        <w:rPr>
          <w:rFonts w:hint="eastAsia" w:ascii="宋体" w:hAnsi="宋体" w:cs="宋体"/>
          <w:strike w:val="0"/>
          <w:dstrike w:val="0"/>
          <w:color w:val="000000"/>
          <w:sz w:val="24"/>
          <w:highlight w:val="white"/>
          <w:lang w:eastAsia="zh-CN"/>
        </w:rPr>
        <w:t>和真实有效的其他文件资料</w:t>
      </w:r>
      <w:r>
        <w:rPr>
          <w:rFonts w:hint="eastAsia" w:ascii="宋体" w:hAnsi="宋体" w:cs="宋体"/>
          <w:color w:val="000000"/>
          <w:sz w:val="24"/>
          <w:highlight w:val="white"/>
        </w:rPr>
        <w:t>，任何不按下列文本格式提供或有实质性变更将由投标人承担风险。</w:t>
      </w:r>
    </w:p>
    <w:p w14:paraId="0EA3908A">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1.投标人应严格按照本章规定填写和提交全部格式文件以及其他有关资料，混乱的编排导致</w:t>
      </w:r>
      <w:r>
        <w:rPr>
          <w:rFonts w:hint="eastAsia" w:ascii="宋体" w:hAnsi="宋体" w:cs="宋体"/>
          <w:color w:val="000000"/>
          <w:sz w:val="24"/>
          <w:highlight w:val="white"/>
          <w:lang w:eastAsia="zh-CN"/>
        </w:rPr>
        <w:t>投标</w:t>
      </w:r>
      <w:r>
        <w:rPr>
          <w:rFonts w:hint="eastAsia" w:ascii="宋体" w:hAnsi="宋体" w:cs="宋体"/>
          <w:color w:val="000000"/>
          <w:sz w:val="24"/>
          <w:highlight w:val="white"/>
        </w:rPr>
        <w:t>文件被误读</w:t>
      </w:r>
      <w:r>
        <w:rPr>
          <w:rFonts w:hint="eastAsia" w:ascii="宋体" w:hAnsi="宋体" w:cs="宋体"/>
          <w:strike w:val="0"/>
          <w:dstrike w:val="0"/>
          <w:color w:val="000000"/>
          <w:sz w:val="24"/>
          <w:highlight w:val="white"/>
        </w:rPr>
        <w:t>或查找不到</w:t>
      </w:r>
      <w:r>
        <w:rPr>
          <w:rFonts w:hint="eastAsia" w:ascii="宋体" w:hAnsi="宋体" w:cs="宋体"/>
          <w:color w:val="000000"/>
          <w:sz w:val="24"/>
          <w:highlight w:val="white"/>
        </w:rPr>
        <w:t>，后果由投标人承担。</w:t>
      </w:r>
    </w:p>
    <w:p w14:paraId="364B8DC2">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2.所附表格中要求回答的全部问题和信息都必须正面回答。</w:t>
      </w:r>
    </w:p>
    <w:p w14:paraId="0430BD87">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3.资格声明文件的签字人应保证全部声明和问题的回答是真实的和准确的。</w:t>
      </w:r>
    </w:p>
    <w:p w14:paraId="41C3C2D8">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4.评标委员会将应用投标人提交的资料并根据自己的判断，决定投标人履行合同的合格性及能力。</w:t>
      </w:r>
    </w:p>
    <w:p w14:paraId="7CDA3BBC">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5.全部文件应按投标人须知中规定的语言提交。</w:t>
      </w:r>
    </w:p>
    <w:p w14:paraId="19215880">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6.以下格式文件为要求填写内容的固定格式，投标人不得擅自修改格式，其他未提供格式的文件和资料由</w:t>
      </w:r>
      <w:r>
        <w:rPr>
          <w:rFonts w:hint="eastAsia" w:ascii="宋体" w:hAnsi="宋体" w:cs="宋体"/>
          <w:color w:val="000000"/>
          <w:sz w:val="24"/>
          <w:highlight w:val="white"/>
          <w:lang w:eastAsia="zh-CN"/>
        </w:rPr>
        <w:t>投标人</w:t>
      </w:r>
      <w:r>
        <w:rPr>
          <w:rFonts w:hint="eastAsia" w:ascii="宋体" w:hAnsi="宋体" w:cs="宋体"/>
          <w:color w:val="000000"/>
          <w:sz w:val="24"/>
          <w:highlight w:val="white"/>
        </w:rPr>
        <w:t>自行设计编制格式填写。</w:t>
      </w:r>
    </w:p>
    <w:p w14:paraId="78F38213">
      <w:pPr>
        <w:adjustRightInd w:val="0"/>
        <w:snapToGrid w:val="0"/>
        <w:spacing w:before="62" w:beforeLines="20" w:after="4" w:line="360" w:lineRule="auto"/>
        <w:ind w:firstLine="422" w:firstLineChars="200"/>
        <w:jc w:val="center"/>
        <w:rPr>
          <w:b/>
          <w:bCs/>
          <w:color w:val="auto"/>
          <w:highlight w:val="none"/>
        </w:rPr>
      </w:pPr>
    </w:p>
    <w:p w14:paraId="25327128">
      <w:pPr>
        <w:ind w:firstLine="422" w:firstLineChars="200"/>
        <w:jc w:val="center"/>
        <w:rPr>
          <w:b/>
          <w:bCs/>
          <w:color w:val="auto"/>
          <w:highlight w:val="none"/>
        </w:rPr>
      </w:pPr>
    </w:p>
    <w:p w14:paraId="275754AA">
      <w:pPr>
        <w:ind w:firstLine="422" w:firstLineChars="200"/>
        <w:jc w:val="center"/>
        <w:rPr>
          <w:b/>
          <w:bCs/>
          <w:color w:val="auto"/>
          <w:highlight w:val="none"/>
        </w:rPr>
      </w:pPr>
    </w:p>
    <w:p w14:paraId="6A612AEB">
      <w:pPr>
        <w:rPr>
          <w:b/>
          <w:bCs/>
          <w:color w:val="auto"/>
          <w:highlight w:val="none"/>
        </w:rPr>
      </w:pPr>
    </w:p>
    <w:p w14:paraId="43DB0305">
      <w:pPr>
        <w:adjustRightInd w:val="0"/>
        <w:snapToGrid w:val="0"/>
        <w:spacing w:after="0" w:line="360" w:lineRule="auto"/>
        <w:jc w:val="both"/>
        <w:rPr>
          <w:rFonts w:hint="eastAsia"/>
          <w:b/>
          <w:bCs/>
          <w:color w:val="auto"/>
          <w:highlight w:val="none"/>
        </w:rPr>
      </w:pPr>
      <w:r>
        <w:rPr>
          <w:rFonts w:hint="eastAsia"/>
          <w:b/>
          <w:bCs/>
          <w:color w:val="000000"/>
          <w:highlight w:val="white"/>
        </w:rPr>
        <w:br w:type="page"/>
      </w:r>
    </w:p>
    <w:p w14:paraId="02804D2B">
      <w:pPr>
        <w:adjustRightInd w:val="0"/>
        <w:snapToGrid w:val="0"/>
        <w:spacing w:after="0" w:line="360" w:lineRule="auto"/>
        <w:jc w:val="center"/>
        <w:rPr>
          <w:rFonts w:hint="eastAsia" w:ascii="Times New Roman" w:hAnsi="Times New Roman" w:eastAsia="宋体" w:cs="Times New Roman"/>
          <w:b/>
          <w:bCs/>
          <w:color w:val="auto"/>
          <w:sz w:val="36"/>
          <w:szCs w:val="36"/>
          <w:highlight w:val="none"/>
        </w:rPr>
      </w:pPr>
      <w:r>
        <w:rPr>
          <w:rFonts w:hint="eastAsia" w:ascii="Times New Roman" w:hAnsi="Times New Roman" w:eastAsia="宋体" w:cs="Times New Roman"/>
          <w:b/>
          <w:bCs/>
          <w:color w:val="000000"/>
          <w:sz w:val="36"/>
          <w:szCs w:val="36"/>
          <w:highlight w:val="white"/>
        </w:rPr>
        <w:t>投标文件商务部分文件格式</w:t>
      </w:r>
    </w:p>
    <w:p w14:paraId="5EAB2F64">
      <w:pPr>
        <w:adjustRightInd w:val="0"/>
        <w:snapToGrid w:val="0"/>
        <w:spacing w:after="0" w:line="360" w:lineRule="auto"/>
        <w:jc w:val="center"/>
        <w:rPr>
          <w:rFonts w:ascii="宋体" w:hAnsi="宋体" w:cs="宋体"/>
          <w:highlight w:val="none"/>
        </w:rPr>
      </w:pPr>
      <w:r>
        <w:rPr>
          <w:rFonts w:ascii="宋体" w:hAnsi="宋体" w:cs="宋体"/>
          <w:b/>
          <w:bCs/>
          <w:color w:val="000000"/>
          <w:sz w:val="36"/>
          <w:szCs w:val="36"/>
          <w:highlight w:val="white"/>
        </w:rPr>
        <w:t>格式1 法定代表人授权委托书</w:t>
      </w:r>
    </w:p>
    <w:p w14:paraId="4F5AC497">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本授权书声明：注册于___________ （投标人住址）的___________  （投标人名称）法定代表人 _______（姓名、职务）代表本公司授权_______（被授权投标代表姓名、职务）为本公司的合法投标代表，就贵方组织的《</w:t>
      </w:r>
      <w:r>
        <w:rPr>
          <w:rFonts w:hint="eastAsia" w:ascii="宋体" w:hAnsi="宋体" w:cs="宋体"/>
          <w:color w:val="000000"/>
          <w:sz w:val="24"/>
          <w:highlight w:val="white"/>
          <w:u w:val="single"/>
        </w:rPr>
        <w:t xml:space="preserve">          项目</w:t>
      </w:r>
      <w:r>
        <w:rPr>
          <w:rFonts w:hint="eastAsia" w:ascii="宋体" w:hAnsi="宋体" w:cs="宋体"/>
          <w:color w:val="000000"/>
          <w:sz w:val="24"/>
          <w:highlight w:val="white"/>
        </w:rPr>
        <w:t>》（项目编号：）投标、合同的执行，以本公司名义处理一切与之有关的事务。</w:t>
      </w:r>
    </w:p>
    <w:p w14:paraId="051F6305">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本授权书于______年______月_____日生效，特此声明。</w:t>
      </w:r>
    </w:p>
    <w:p w14:paraId="37154BB3">
      <w:pPr>
        <w:pStyle w:val="18"/>
        <w:adjustRightInd w:val="0"/>
        <w:snapToGrid w:val="0"/>
        <w:spacing w:line="360" w:lineRule="auto"/>
        <w:ind w:firstLine="480" w:firstLineChars="200"/>
        <w:rPr>
          <w:rFonts w:hAnsi="宋体" w:cs="宋体"/>
          <w:sz w:val="24"/>
          <w:szCs w:val="24"/>
          <w:highlight w:val="none"/>
        </w:rPr>
      </w:pPr>
      <w:r>
        <w:rPr>
          <w:rFonts w:hint="eastAsia" w:hAnsi="宋体" w:cs="宋体"/>
          <w:color w:val="000000"/>
          <w:sz w:val="24"/>
          <w:szCs w:val="24"/>
          <w:highlight w:val="white"/>
        </w:rPr>
        <w:t>被授权投标代表无转委托权。</w:t>
      </w:r>
    </w:p>
    <w:tbl>
      <w:tblPr>
        <w:tblStyle w:val="31"/>
        <w:tblpPr w:leftFromText="180" w:rightFromText="180" w:vertAnchor="text" w:horzAnchor="page" w:tblpX="2017" w:tblpY="158"/>
        <w:tblOverlap w:val="never"/>
        <w:tblW w:w="8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23"/>
        <w:gridCol w:w="4323"/>
      </w:tblGrid>
      <w:tr w14:paraId="2F28D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4323" w:type="dxa"/>
            <w:noWrap/>
            <w:vAlign w:val="center"/>
          </w:tcPr>
          <w:p w14:paraId="4A1EEDCF">
            <w:pPr>
              <w:pStyle w:val="18"/>
              <w:adjustRightInd w:val="0"/>
              <w:snapToGrid w:val="0"/>
              <w:spacing w:line="360" w:lineRule="auto"/>
              <w:jc w:val="center"/>
              <w:rPr>
                <w:rFonts w:hAnsi="宋体" w:cs="宋体"/>
                <w:highlight w:val="none"/>
              </w:rPr>
            </w:pPr>
          </w:p>
          <w:p w14:paraId="014EFFBE">
            <w:pPr>
              <w:pStyle w:val="18"/>
              <w:adjustRightInd w:val="0"/>
              <w:snapToGrid w:val="0"/>
              <w:spacing w:line="360" w:lineRule="auto"/>
              <w:jc w:val="center"/>
              <w:rPr>
                <w:rFonts w:hAnsi="宋体" w:cs="宋体"/>
                <w:highlight w:val="none"/>
              </w:rPr>
            </w:pPr>
          </w:p>
          <w:p w14:paraId="6FAA6DCD">
            <w:pPr>
              <w:pStyle w:val="18"/>
              <w:adjustRightInd w:val="0"/>
              <w:snapToGrid w:val="0"/>
              <w:spacing w:line="360" w:lineRule="auto"/>
              <w:jc w:val="center"/>
              <w:rPr>
                <w:rFonts w:hAnsi="宋体" w:cs="宋体"/>
                <w:highlight w:val="none"/>
              </w:rPr>
            </w:pPr>
          </w:p>
          <w:p w14:paraId="16B627ED">
            <w:pPr>
              <w:pStyle w:val="18"/>
              <w:adjustRightInd w:val="0"/>
              <w:snapToGrid w:val="0"/>
              <w:spacing w:line="360" w:lineRule="auto"/>
              <w:jc w:val="center"/>
              <w:rPr>
                <w:rFonts w:hAnsi="宋体" w:cs="宋体"/>
                <w:highlight w:val="none"/>
              </w:rPr>
            </w:pPr>
          </w:p>
          <w:p w14:paraId="7FF8FA53">
            <w:pPr>
              <w:pStyle w:val="18"/>
              <w:adjustRightInd w:val="0"/>
              <w:snapToGrid w:val="0"/>
              <w:spacing w:line="360" w:lineRule="auto"/>
              <w:jc w:val="center"/>
              <w:rPr>
                <w:rFonts w:hAnsi="宋体" w:cs="宋体"/>
                <w:highlight w:val="none"/>
              </w:rPr>
            </w:pPr>
            <w:r>
              <w:rPr>
                <w:rFonts w:hint="eastAsia" w:hAnsi="宋体" w:cs="宋体"/>
                <w:color w:val="000000"/>
                <w:highlight w:val="white"/>
              </w:rPr>
              <w:t>法定代表人身份证复印件</w:t>
            </w:r>
          </w:p>
          <w:p w14:paraId="1FD6038A">
            <w:pPr>
              <w:pStyle w:val="18"/>
              <w:adjustRightInd w:val="0"/>
              <w:snapToGrid w:val="0"/>
              <w:spacing w:line="360" w:lineRule="auto"/>
              <w:jc w:val="center"/>
              <w:rPr>
                <w:rFonts w:hAnsi="宋体" w:cs="宋体"/>
                <w:highlight w:val="none"/>
              </w:rPr>
            </w:pPr>
          </w:p>
          <w:p w14:paraId="567E8B46">
            <w:pPr>
              <w:pStyle w:val="18"/>
              <w:adjustRightInd w:val="0"/>
              <w:snapToGrid w:val="0"/>
              <w:spacing w:line="360" w:lineRule="auto"/>
              <w:jc w:val="center"/>
              <w:rPr>
                <w:rFonts w:hAnsi="宋体" w:cs="宋体"/>
                <w:highlight w:val="none"/>
              </w:rPr>
            </w:pPr>
          </w:p>
          <w:p w14:paraId="6EFB26D2">
            <w:pPr>
              <w:pStyle w:val="18"/>
              <w:adjustRightInd w:val="0"/>
              <w:snapToGrid w:val="0"/>
              <w:spacing w:line="360" w:lineRule="auto"/>
              <w:jc w:val="center"/>
              <w:rPr>
                <w:rFonts w:hAnsi="宋体" w:cs="宋体"/>
                <w:highlight w:val="none"/>
              </w:rPr>
            </w:pPr>
          </w:p>
        </w:tc>
        <w:tc>
          <w:tcPr>
            <w:tcW w:w="4323" w:type="dxa"/>
            <w:noWrap/>
            <w:vAlign w:val="center"/>
          </w:tcPr>
          <w:p w14:paraId="392856E9">
            <w:pPr>
              <w:pStyle w:val="18"/>
              <w:adjustRightInd w:val="0"/>
              <w:snapToGrid w:val="0"/>
              <w:spacing w:line="360" w:lineRule="auto"/>
              <w:jc w:val="center"/>
              <w:rPr>
                <w:rFonts w:hAnsi="宋体" w:cs="宋体"/>
                <w:highlight w:val="none"/>
              </w:rPr>
            </w:pPr>
          </w:p>
          <w:p w14:paraId="1C5216CD">
            <w:pPr>
              <w:pStyle w:val="18"/>
              <w:adjustRightInd w:val="0"/>
              <w:snapToGrid w:val="0"/>
              <w:spacing w:line="360" w:lineRule="auto"/>
              <w:jc w:val="center"/>
              <w:rPr>
                <w:rFonts w:hAnsi="宋体" w:cs="宋体"/>
                <w:highlight w:val="none"/>
              </w:rPr>
            </w:pPr>
            <w:r>
              <w:rPr>
                <w:rFonts w:hint="eastAsia" w:hAnsi="宋体" w:cs="宋体"/>
                <w:color w:val="000000"/>
                <w:highlight w:val="white"/>
              </w:rPr>
              <w:t>被授权投标代表身份证复印件</w:t>
            </w:r>
          </w:p>
        </w:tc>
      </w:tr>
    </w:tbl>
    <w:p w14:paraId="3806F286">
      <w:pPr>
        <w:pStyle w:val="18"/>
        <w:adjustRightInd w:val="0"/>
        <w:snapToGrid w:val="0"/>
        <w:spacing w:line="360" w:lineRule="auto"/>
        <w:rPr>
          <w:rFonts w:hAnsi="宋体" w:cs="宋体"/>
          <w:highlight w:val="none"/>
        </w:rPr>
      </w:pPr>
    </w:p>
    <w:p w14:paraId="6B4D230C">
      <w:pPr>
        <w:pStyle w:val="18"/>
        <w:adjustRightInd w:val="0"/>
        <w:snapToGrid w:val="0"/>
        <w:spacing w:line="360" w:lineRule="auto"/>
        <w:jc w:val="left"/>
        <w:rPr>
          <w:rFonts w:hAnsi="宋体" w:cs="宋体"/>
          <w:highlight w:val="none"/>
        </w:rPr>
      </w:pPr>
    </w:p>
    <w:p w14:paraId="2BB0B044">
      <w:pPr>
        <w:tabs>
          <w:tab w:val="left" w:pos="1230"/>
        </w:tabs>
        <w:topLinePunct/>
        <w:autoSpaceDE w:val="0"/>
        <w:autoSpaceDN w:val="0"/>
        <w:adjustRightInd w:val="0"/>
        <w:snapToGrid w:val="0"/>
        <w:spacing w:after="0" w:line="360" w:lineRule="auto"/>
        <w:ind w:left="360"/>
        <w:rPr>
          <w:rFonts w:ascii="宋体" w:hAnsi="宋体" w:cs="宋体"/>
          <w:highlight w:val="none"/>
        </w:rPr>
      </w:pPr>
    </w:p>
    <w:p w14:paraId="2BA105A1">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投标人名称（公章）：________________</w:t>
      </w:r>
    </w:p>
    <w:p w14:paraId="4C2FCC38">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法定代表人（签字或签章）：________________</w:t>
      </w:r>
    </w:p>
    <w:p w14:paraId="7D0C3239">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被授权投标代表（签字）：________________</w:t>
      </w:r>
    </w:p>
    <w:p w14:paraId="4A66D57B">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被授权投标代表联系电话：____________</w:t>
      </w:r>
    </w:p>
    <w:p w14:paraId="59CF4671">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日期：____________</w:t>
      </w:r>
    </w:p>
    <w:p w14:paraId="15B2DC84">
      <w:pPr>
        <w:topLinePunct/>
        <w:autoSpaceDE w:val="0"/>
        <w:autoSpaceDN w:val="0"/>
        <w:adjustRightInd w:val="0"/>
        <w:snapToGrid w:val="0"/>
        <w:spacing w:after="0" w:line="360" w:lineRule="auto"/>
        <w:jc w:val="left"/>
        <w:rPr>
          <w:rFonts w:ascii="宋体" w:hAnsi="宋体" w:cs="宋体"/>
          <w:highlight w:val="none"/>
        </w:rPr>
      </w:pPr>
    </w:p>
    <w:p w14:paraId="2FB991FF">
      <w:pPr>
        <w:topLinePunct/>
        <w:autoSpaceDE w:val="0"/>
        <w:autoSpaceDN w:val="0"/>
        <w:adjustRightInd w:val="0"/>
        <w:snapToGrid w:val="0"/>
        <w:spacing w:after="0" w:line="360" w:lineRule="auto"/>
        <w:jc w:val="left"/>
        <w:rPr>
          <w:rFonts w:ascii="宋体" w:hAnsi="宋体" w:cs="宋体"/>
          <w:i/>
          <w:iCs/>
          <w:highlight w:val="none"/>
        </w:rPr>
      </w:pPr>
      <w:r>
        <w:rPr>
          <w:rFonts w:hint="eastAsia" w:ascii="宋体" w:hAnsi="宋体" w:cs="宋体"/>
          <w:color w:val="000000"/>
          <w:highlight w:val="white"/>
        </w:rPr>
        <w:t>特别说明:</w:t>
      </w:r>
    </w:p>
    <w:p w14:paraId="0388913A">
      <w:pPr>
        <w:tabs>
          <w:tab w:val="left" w:pos="312"/>
        </w:tabs>
        <w:topLinePunct/>
        <w:autoSpaceDE w:val="0"/>
        <w:autoSpaceDN w:val="0"/>
        <w:adjustRightInd w:val="0"/>
        <w:snapToGrid w:val="0"/>
        <w:spacing w:after="0" w:line="360" w:lineRule="auto"/>
        <w:ind w:firstLine="420" w:firstLineChars="200"/>
        <w:rPr>
          <w:rFonts w:ascii="宋体" w:hAnsi="宋体" w:cs="宋体"/>
          <w:highlight w:val="none"/>
        </w:rPr>
      </w:pPr>
      <w:r>
        <w:rPr>
          <w:rFonts w:hint="eastAsia" w:ascii="宋体" w:hAnsi="宋体" w:cs="宋体"/>
          <w:color w:val="000000"/>
          <w:highlight w:val="white"/>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14:paraId="5CB0F34F">
      <w:pPr>
        <w:ind w:firstLine="420" w:firstLineChars="200"/>
        <w:rPr>
          <w:highlight w:val="none"/>
        </w:rPr>
      </w:pPr>
      <w:r>
        <w:rPr>
          <w:rFonts w:hint="eastAsia" w:ascii="宋体" w:hAnsi="宋体" w:cs="宋体"/>
          <w:color w:val="000000"/>
          <w:highlight w:val="white"/>
        </w:rPr>
        <w:t>2.</w:t>
      </w:r>
      <w:r>
        <w:rPr>
          <w:rFonts w:hint="eastAsia" w:ascii="宋体" w:hAnsi="宋体" w:cs="宋体"/>
          <w:b/>
          <w:bCs/>
          <w:color w:val="000000"/>
          <w:highlight w:val="white"/>
        </w:rPr>
        <w:t>投标人如由法定代表人作为投标代表参与投标活动的，仅须提供法定代表人身份证复印件。</w:t>
      </w:r>
    </w:p>
    <w:p w14:paraId="28C0DACD">
      <w:pPr>
        <w:rPr>
          <w:highlight w:val="none"/>
        </w:rPr>
      </w:pPr>
    </w:p>
    <w:p w14:paraId="655CD7DC">
      <w:pPr>
        <w:topLinePunct/>
        <w:autoSpaceDE w:val="0"/>
        <w:autoSpaceDN w:val="0"/>
        <w:adjustRightInd w:val="0"/>
        <w:snapToGrid w:val="0"/>
        <w:spacing w:after="0" w:line="360" w:lineRule="auto"/>
        <w:jc w:val="center"/>
        <w:rPr>
          <w:rFonts w:hAnsi="宋体" w:cs="宋体"/>
          <w:color w:val="auto"/>
          <w:highlight w:val="none"/>
        </w:rPr>
      </w:pPr>
      <w:r>
        <w:rPr>
          <w:color w:val="000000"/>
          <w:highlight w:val="white"/>
        </w:rPr>
        <w:br w:type="page"/>
      </w:r>
      <w:r>
        <w:rPr>
          <w:rFonts w:hint="eastAsia" w:ascii="宋体" w:hAnsi="宋体" w:cs="宋体"/>
          <w:b/>
          <w:bCs/>
          <w:color w:val="000000"/>
          <w:sz w:val="36"/>
          <w:szCs w:val="36"/>
          <w:highlight w:val="white"/>
        </w:rPr>
        <w:t>格式2 投标函</w:t>
      </w:r>
    </w:p>
    <w:p w14:paraId="1194B55C">
      <w:pPr>
        <w:pStyle w:val="18"/>
        <w:topLinePunct/>
        <w:autoSpaceDE w:val="0"/>
        <w:autoSpaceDN w:val="0"/>
        <w:adjustRightInd w:val="0"/>
        <w:snapToGrid w:val="0"/>
        <w:spacing w:line="360" w:lineRule="auto"/>
        <w:rPr>
          <w:rFonts w:hint="eastAsia" w:hAnsi="宋体" w:cs="宋体"/>
          <w:color w:val="auto"/>
          <w:sz w:val="24"/>
          <w:highlight w:val="none"/>
        </w:rPr>
      </w:pPr>
    </w:p>
    <w:p w14:paraId="62E8C8AA">
      <w:pPr>
        <w:pStyle w:val="18"/>
        <w:keepNext w:val="0"/>
        <w:keepLines w:val="0"/>
        <w:pageBreakBefore w:val="0"/>
        <w:widowControl w:val="0"/>
        <w:kinsoku/>
        <w:wordWrap/>
        <w:overflowPunct/>
        <w:topLinePunct/>
        <w:autoSpaceDE w:val="0"/>
        <w:autoSpaceDN w:val="0"/>
        <w:bidi w:val="0"/>
        <w:adjustRightInd w:val="0"/>
        <w:snapToGrid w:val="0"/>
        <w:spacing w:after="0" w:line="360" w:lineRule="auto"/>
        <w:ind w:firstLine="0" w:firstLineChars="0"/>
        <w:textAlignment w:val="auto"/>
        <w:rPr>
          <w:rFonts w:hint="eastAsia" w:hAnsi="宋体"/>
          <w:color w:val="auto"/>
          <w:sz w:val="24"/>
          <w:highlight w:val="none"/>
        </w:rPr>
      </w:pPr>
      <w:r>
        <w:rPr>
          <w:rFonts w:hint="eastAsia" w:hAnsi="宋体" w:cs="宋体"/>
          <w:color w:val="000000"/>
          <w:sz w:val="24"/>
          <w:highlight w:val="white"/>
        </w:rPr>
        <w:t>致：</w:t>
      </w:r>
      <w:r>
        <w:rPr>
          <w:rFonts w:hint="eastAsia" w:hAnsi="宋体"/>
          <w:color w:val="000000"/>
          <w:sz w:val="24"/>
          <w:highlight w:val="white"/>
          <w:u w:val="single"/>
        </w:rPr>
        <w:t xml:space="preserve">        </w:t>
      </w:r>
      <w:r>
        <w:rPr>
          <w:rFonts w:hint="eastAsia" w:hAnsi="宋体"/>
          <w:color w:val="000000"/>
          <w:sz w:val="24"/>
          <w:highlight w:val="white"/>
          <w:lang w:eastAsia="zh-CN"/>
        </w:rPr>
        <w:t>（采购人名称）</w:t>
      </w:r>
    </w:p>
    <w:p w14:paraId="33800848">
      <w:pPr>
        <w:pStyle w:val="18"/>
        <w:keepNext w:val="0"/>
        <w:keepLines w:val="0"/>
        <w:pageBreakBefore w:val="0"/>
        <w:widowControl w:val="0"/>
        <w:kinsoku/>
        <w:wordWrap/>
        <w:overflowPunct/>
        <w:topLinePunct/>
        <w:autoSpaceDE w:val="0"/>
        <w:autoSpaceDN w:val="0"/>
        <w:bidi w:val="0"/>
        <w:adjustRightInd w:val="0"/>
        <w:snapToGrid w:val="0"/>
        <w:spacing w:beforeAutospacing="0" w:line="360" w:lineRule="auto"/>
        <w:ind w:firstLine="480" w:firstLineChars="200"/>
        <w:textAlignment w:val="auto"/>
        <w:rPr>
          <w:rFonts w:hAnsi="宋体" w:cs="宋体"/>
          <w:color w:val="auto"/>
          <w:sz w:val="24"/>
          <w:highlight w:val="none"/>
        </w:rPr>
      </w:pPr>
      <w:r>
        <w:rPr>
          <w:rFonts w:hint="eastAsia" w:hAnsi="宋体" w:cs="宋体"/>
          <w:color w:val="000000"/>
          <w:sz w:val="24"/>
          <w:highlight w:val="white"/>
        </w:rPr>
        <w:t>根据______（项目名称）（项目编号：______）的招标公告，______（姓名、职务）代表投标人______（投标人名称、地址）参加项目招标的有关活动。据此函，作如下承诺：</w:t>
      </w:r>
    </w:p>
    <w:p w14:paraId="43F1A9B2">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1.同意在本项目招标文件中规定的开标日起</w:t>
      </w:r>
      <w:r>
        <w:rPr>
          <w:rFonts w:hint="eastAsia" w:cs="宋体"/>
          <w:color w:val="000000"/>
          <w:sz w:val="24"/>
          <w:highlight w:val="white"/>
          <w:u w:val="single"/>
        </w:rPr>
        <w:t>120天</w:t>
      </w:r>
      <w:r>
        <w:rPr>
          <w:rFonts w:hint="eastAsia" w:cs="宋体"/>
          <w:color w:val="000000"/>
          <w:sz w:val="24"/>
          <w:highlight w:val="white"/>
        </w:rPr>
        <w:t>遵守本投标文件中的承诺，且在期满之前均具有约束力。</w:t>
      </w:r>
    </w:p>
    <w:p w14:paraId="0D04D9F2">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2.具备政府采购相关法律法规规定的参加政府采购活动的供应商应当具备的条件：</w:t>
      </w:r>
    </w:p>
    <w:p w14:paraId="36E6A4BB">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（1）具有独立承担民事责任的能力；</w:t>
      </w:r>
    </w:p>
    <w:p w14:paraId="0C3B88CE">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（2）具有良好的商业信誉和健全的财务会计制度；</w:t>
      </w:r>
    </w:p>
    <w:p w14:paraId="00D49F4B">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（3）具有履行合同所必需的设备和专业技术能力；</w:t>
      </w:r>
    </w:p>
    <w:p w14:paraId="5F1EA751">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（4）有依法缴纳税收和社会保障资金的良好记录；</w:t>
      </w:r>
    </w:p>
    <w:p w14:paraId="7D35F652">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（5）参加此项采购活动前三年内，在经营活动中没有重大违法记录。</w:t>
      </w:r>
    </w:p>
    <w:p w14:paraId="01272C8E">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 xml:space="preserve">（6）法律、行政法规规定的其他条件。 </w:t>
      </w:r>
    </w:p>
    <w:p w14:paraId="5A6BF323">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3.具备本项目招标文件中规定的其他要求和资质条件。</w:t>
      </w:r>
    </w:p>
    <w:p w14:paraId="377DE708">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4.提供投标人须知规定的全部投标文件。</w:t>
      </w:r>
    </w:p>
    <w:p w14:paraId="22662415">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5.已详细审阅全部招标文件（包括招标文件澄清函），理解投标人须知的所有条款。</w:t>
      </w:r>
    </w:p>
    <w:p w14:paraId="35843333">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6.完全理解贵方“最低报价不能作为中标的保证”的规定。</w:t>
      </w:r>
    </w:p>
    <w:p w14:paraId="383BDC30">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7.接受招标文件中全部合同条款，且无任何异议；保证忠实地执行双方所签订的合同，并承担合同规定的责任和义务。</w:t>
      </w:r>
    </w:p>
    <w:p w14:paraId="64BD9C22">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8.完全满足和响应招标文件中的各项商务和技术要求，若有偏差，已在投标文件中明确说明。</w:t>
      </w:r>
    </w:p>
    <w:p w14:paraId="43FABA73">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9.愿意提供任何与投标有关的数据、情况和技术资料等。若贵方需要，愿意提供一切证明材料。</w:t>
      </w:r>
    </w:p>
    <w:p w14:paraId="16001B72">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10.我方已详细审核全部投标文件、参考资料及有关附件，确认无误。</w:t>
      </w:r>
    </w:p>
    <w:p w14:paraId="78F5E7AD">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hint="eastAsia" w:cs="宋体"/>
          <w:color w:val="auto"/>
          <w:sz w:val="24"/>
          <w:highlight w:val="none"/>
        </w:rPr>
      </w:pPr>
      <w:r>
        <w:rPr>
          <w:rFonts w:hint="eastAsia" w:cs="宋体"/>
          <w:color w:val="000000"/>
          <w:sz w:val="24"/>
          <w:highlight w:val="white"/>
        </w:rPr>
        <w:t>11.对本次招标内容及与本项目有关的知识产权、技术资料、商业秘密及相关信息保密。</w:t>
      </w:r>
    </w:p>
    <w:p w14:paraId="5E46833E">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eastAsia" w:ascii="宋体" w:hAnsi="宋体" w:cs="宋体"/>
          <w:color w:val="auto"/>
          <w:highlight w:val="none"/>
        </w:rPr>
      </w:pPr>
      <w:r>
        <w:rPr>
          <w:rFonts w:hint="eastAsia" w:ascii="宋体" w:hAnsi="宋体" w:eastAsia="宋体" w:cs="宋体"/>
          <w:color w:val="000000"/>
          <w:sz w:val="24"/>
          <w:highlight w:val="white"/>
        </w:rPr>
        <w:t>12.</w:t>
      </w:r>
      <w:r>
        <w:rPr>
          <w:rFonts w:hint="eastAsia" w:ascii="宋体" w:hAnsi="宋体" w:eastAsia="宋体" w:cs="宋体"/>
          <w:color w:val="000000"/>
          <w:sz w:val="24"/>
          <w:highlight w:val="white"/>
          <w:lang w:val="en-US" w:eastAsia="zh-CN"/>
        </w:rPr>
        <w:t>已知悉并承诺遵守《税务系统信息化服务商失信行为记录名单制度(试行) 》关于失信行为进行记录和结果应用的相关规定，以及对于发生《政府采购合同文本》“违约责任”中所列失信行为的，将被限制参加税务系统政府采购活动的相关规定。</w:t>
      </w:r>
    </w:p>
    <w:p w14:paraId="4885E0E2">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default" w:ascii="宋体" w:hAnsi="宋体" w:cs="宋体"/>
          <w:color w:val="auto"/>
          <w:highlight w:val="none"/>
        </w:rPr>
      </w:pPr>
      <w:r>
        <w:rPr>
          <w:rFonts w:hint="default" w:ascii="宋体" w:hAnsi="宋体" w:eastAsia="宋体" w:cs="宋体"/>
          <w:color w:val="000000"/>
          <w:sz w:val="24"/>
          <w:highlight w:val="white"/>
        </w:rPr>
        <w:t>13.</w:t>
      </w:r>
      <w:r>
        <w:rPr>
          <w:rFonts w:hint="eastAsia" w:ascii="宋体" w:hAnsi="宋体" w:eastAsia="宋体" w:cs="宋体"/>
          <w:color w:val="000000"/>
          <w:sz w:val="24"/>
          <w:highlight w:val="white"/>
        </w:rPr>
        <w:t>已知悉并承诺遵守</w:t>
      </w:r>
      <w:r>
        <w:rPr>
          <w:rFonts w:hint="default" w:ascii="宋体" w:hAnsi="宋体" w:eastAsia="宋体" w:cs="宋体"/>
          <w:color w:val="000000"/>
          <w:sz w:val="24"/>
          <w:highlight w:val="white"/>
        </w:rPr>
        <w:t>采购文件中关于供应链安全管理的全部要求。</w:t>
      </w:r>
    </w:p>
    <w:p w14:paraId="10DC410C">
      <w:pPr>
        <w:pStyle w:val="27"/>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leftChars="0" w:right="0" w:firstLine="480" w:firstLineChars="200"/>
        <w:jc w:val="both"/>
        <w:rPr>
          <w:rFonts w:cs="宋体"/>
          <w:color w:val="auto"/>
          <w:highlight w:val="none"/>
        </w:rPr>
      </w:pPr>
      <w:r>
        <w:rPr>
          <w:rFonts w:hint="eastAsia" w:ascii="宋体" w:hAnsi="宋体" w:eastAsia="宋体" w:cs="宋体"/>
          <w:color w:val="000000"/>
          <w:kern w:val="0"/>
          <w:sz w:val="24"/>
          <w:szCs w:val="24"/>
          <w:highlight w:val="white"/>
          <w:lang w:val="en-US" w:eastAsia="zh-CN" w:bidi="ar"/>
        </w:rPr>
        <w:t>14.我方提交的投标文件真实有效，承诺公平参与市场竞争，不存在围标串标行为。</w:t>
      </w:r>
    </w:p>
    <w:p w14:paraId="48ADB074">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p>
    <w:p w14:paraId="749AA93D">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p>
    <w:p w14:paraId="43F5BBB6">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投标人名称（公章）：____________</w:t>
      </w:r>
    </w:p>
    <w:p w14:paraId="45DA5078">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法定代表人（签字或签章）/被授权投标代表（签字）：____________</w:t>
      </w:r>
    </w:p>
    <w:p w14:paraId="013E3E75">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投标人地址：____________</w:t>
      </w:r>
    </w:p>
    <w:p w14:paraId="5E1F82F4">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邮编：____________</w:t>
      </w:r>
    </w:p>
    <w:p w14:paraId="05C857F7">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电话：____________</w:t>
      </w:r>
    </w:p>
    <w:p w14:paraId="4B17277E">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传真：____________</w:t>
      </w:r>
    </w:p>
    <w:p w14:paraId="033FB5D3">
      <w:pPr>
        <w:pStyle w:val="78"/>
        <w:numPr>
          <w:ilvl w:val="0"/>
          <w:numId w:val="0"/>
        </w:numPr>
        <w:tabs>
          <w:tab w:val="left" w:pos="420"/>
          <w:tab w:val="clear" w:pos="900"/>
        </w:tabs>
        <w:topLinePunct/>
        <w:autoSpaceDE w:val="0"/>
        <w:autoSpaceDN w:val="0"/>
        <w:snapToGrid w:val="0"/>
        <w:spacing w:after="0" w:line="360" w:lineRule="auto"/>
        <w:ind w:left="480"/>
        <w:rPr>
          <w:rFonts w:cs="宋体"/>
          <w:color w:val="auto"/>
          <w:highlight w:val="none"/>
        </w:rPr>
      </w:pPr>
      <w:r>
        <w:rPr>
          <w:rFonts w:hint="eastAsia" w:cs="宋体"/>
          <w:color w:val="000000"/>
          <w:sz w:val="24"/>
          <w:highlight w:val="white"/>
        </w:rPr>
        <w:t xml:space="preserve">日  期：____________          </w:t>
      </w:r>
    </w:p>
    <w:p w14:paraId="58CE254B">
      <w:pPr>
        <w:tabs>
          <w:tab w:val="left" w:pos="1230"/>
        </w:tabs>
        <w:topLinePunct/>
        <w:autoSpaceDE w:val="0"/>
        <w:autoSpaceDN w:val="0"/>
        <w:snapToGrid w:val="0"/>
        <w:spacing w:line="400" w:lineRule="exact"/>
        <w:ind w:left="360"/>
        <w:rPr>
          <w:rFonts w:ascii="宋体" w:hAnsi="宋体" w:cs="宋体"/>
          <w:color w:val="auto"/>
          <w:highlight w:val="none"/>
        </w:rPr>
      </w:pPr>
    </w:p>
    <w:p w14:paraId="2E1BB05A">
      <w:pPr>
        <w:ind w:firstLine="420" w:firstLineChars="200"/>
        <w:rPr>
          <w:rFonts w:hAnsi="宋体" w:eastAsia="Times New Roman" w:cs="宋体"/>
          <w:color w:val="auto"/>
          <w:highlight w:val="none"/>
        </w:rPr>
      </w:pPr>
    </w:p>
    <w:p w14:paraId="2808A6E3">
      <w:pPr>
        <w:adjustRightInd w:val="0"/>
        <w:snapToGrid w:val="0"/>
        <w:spacing w:after="0" w:line="360" w:lineRule="auto"/>
        <w:ind w:firstLine="0" w:firstLineChars="0"/>
        <w:jc w:val="both"/>
        <w:rPr>
          <w:rFonts w:hint="eastAsia" w:ascii="宋体" w:hAnsi="宋体" w:cs="宋体"/>
          <w:color w:val="auto"/>
          <w:highlight w:val="none"/>
        </w:rPr>
      </w:pPr>
      <w:r>
        <w:rPr>
          <w:rFonts w:hint="eastAsia" w:ascii="宋体" w:hAnsi="宋体" w:cs="宋体"/>
          <w:color w:val="000000"/>
          <w:highlight w:val="white"/>
        </w:rPr>
        <w:t>特别说明：</w:t>
      </w:r>
    </w:p>
    <w:p w14:paraId="77198AAA">
      <w:pPr>
        <w:adjustRightInd w:val="0"/>
        <w:snapToGrid w:val="0"/>
        <w:spacing w:after="0" w:line="360" w:lineRule="auto"/>
        <w:ind w:firstLine="420" w:firstLineChars="200"/>
        <w:jc w:val="left"/>
        <w:rPr>
          <w:rFonts w:hint="eastAsia" w:ascii="宋体" w:hAnsi="宋体" w:cs="宋体"/>
          <w:color w:val="auto"/>
          <w:szCs w:val="21"/>
          <w:highlight w:val="none"/>
        </w:rPr>
      </w:pPr>
      <w:r>
        <w:rPr>
          <w:rFonts w:hint="eastAsia" w:ascii="宋体" w:hAnsi="宋体" w:cs="宋体"/>
          <w:b w:val="0"/>
          <w:bCs w:val="0"/>
          <w:color w:val="000000"/>
          <w:sz w:val="21"/>
          <w:szCs w:val="21"/>
          <w:highlight w:val="white"/>
          <w:lang w:eastAsia="zh-CN"/>
        </w:rPr>
        <w:t>投标人</w:t>
      </w:r>
      <w:r>
        <w:rPr>
          <w:rFonts w:hint="eastAsia" w:ascii="宋体" w:hAnsi="宋体" w:cs="宋体"/>
          <w:color w:val="000000"/>
          <w:sz w:val="21"/>
          <w:szCs w:val="21"/>
          <w:highlight w:val="white"/>
        </w:rPr>
        <w:t>应当按</w:t>
      </w:r>
      <w:r>
        <w:rPr>
          <w:rFonts w:hint="eastAsia" w:ascii="宋体" w:hAnsi="宋体" w:cs="宋体"/>
          <w:color w:val="000000"/>
          <w:sz w:val="21"/>
          <w:szCs w:val="21"/>
          <w:highlight w:val="white"/>
          <w:lang w:eastAsia="zh-CN"/>
        </w:rPr>
        <w:t>上述</w:t>
      </w:r>
      <w:r>
        <w:rPr>
          <w:rFonts w:hint="eastAsia" w:ascii="宋体" w:hAnsi="宋体" w:cs="宋体"/>
          <w:color w:val="000000"/>
          <w:sz w:val="21"/>
          <w:szCs w:val="21"/>
          <w:highlight w:val="white"/>
        </w:rPr>
        <w:t>格式要求加盖与投标人名称全称一致的标准公章，并签署法定代表人或</w:t>
      </w:r>
      <w:r>
        <w:rPr>
          <w:rFonts w:hint="eastAsia" w:ascii="宋体" w:hAnsi="宋体" w:cs="宋体"/>
          <w:b w:val="0"/>
          <w:bCs/>
          <w:color w:val="000000"/>
          <w:sz w:val="21"/>
          <w:szCs w:val="21"/>
          <w:highlight w:val="white"/>
        </w:rPr>
        <w:t>被授权投标代表</w:t>
      </w:r>
      <w:r>
        <w:rPr>
          <w:rFonts w:hint="eastAsia" w:ascii="宋体" w:hAnsi="宋体" w:cs="宋体"/>
          <w:color w:val="000000"/>
          <w:sz w:val="21"/>
          <w:szCs w:val="21"/>
          <w:highlight w:val="white"/>
        </w:rPr>
        <w:t>的全名或加盖名章</w:t>
      </w:r>
      <w:r>
        <w:rPr>
          <w:rFonts w:hint="eastAsia" w:ascii="宋体" w:hAnsi="宋体" w:cs="宋体"/>
          <w:color w:val="000000"/>
          <w:sz w:val="21"/>
          <w:szCs w:val="21"/>
          <w:highlight w:val="white"/>
          <w:lang w:eastAsia="zh-CN"/>
        </w:rPr>
        <w:t>之后，上传扫描件。</w:t>
      </w:r>
    </w:p>
    <w:p w14:paraId="3AE6C478">
      <w:pPr>
        <w:adjustRightInd w:val="0"/>
        <w:snapToGrid w:val="0"/>
        <w:spacing w:after="0" w:line="360" w:lineRule="auto"/>
        <w:ind w:firstLine="420" w:firstLineChars="200"/>
        <w:jc w:val="left"/>
        <w:rPr>
          <w:highlight w:val="none"/>
        </w:rPr>
      </w:pPr>
    </w:p>
    <w:p w14:paraId="5C53D552">
      <w:pPr>
        <w:spacing w:line="360" w:lineRule="auto"/>
        <w:jc w:val="center"/>
        <w:rPr>
          <w:rFonts w:ascii="宋体" w:hAnsi="宋体" w:cs="宋体"/>
          <w:b/>
          <w:bCs/>
          <w:color w:val="auto"/>
          <w:sz w:val="36"/>
          <w:szCs w:val="36"/>
          <w:highlight w:val="none"/>
        </w:rPr>
      </w:pPr>
      <w:r>
        <w:rPr>
          <w:color w:val="000000"/>
          <w:highlight w:val="white"/>
        </w:rPr>
        <w:br w:type="page"/>
      </w:r>
      <w:r>
        <w:rPr>
          <w:rFonts w:hint="eastAsia" w:ascii="宋体" w:hAnsi="宋体" w:cs="宋体"/>
          <w:b/>
          <w:bCs/>
          <w:color w:val="000000"/>
          <w:sz w:val="36"/>
          <w:szCs w:val="36"/>
          <w:highlight w:val="white"/>
        </w:rPr>
        <w:t>格式3 商务条款偏离表</w:t>
      </w:r>
    </w:p>
    <w:p w14:paraId="7D0E97C3">
      <w:pPr>
        <w:topLinePunct/>
        <w:autoSpaceDE w:val="0"/>
        <w:autoSpaceDN w:val="0"/>
        <w:spacing w:line="460" w:lineRule="exact"/>
        <w:jc w:val="center"/>
        <w:rPr>
          <w:rFonts w:ascii="宋体" w:hAnsi="宋体" w:cs="宋体"/>
          <w:color w:val="auto"/>
          <w:highlight w:val="none"/>
        </w:rPr>
      </w:pP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14:paraId="0F7C5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19510A5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序号</w:t>
            </w:r>
          </w:p>
        </w:tc>
        <w:tc>
          <w:tcPr>
            <w:tcW w:w="1999" w:type="dxa"/>
            <w:tcBorders>
              <w:top w:val="single" w:color="auto" w:sz="4" w:space="0"/>
              <w:left w:val="single" w:color="auto" w:sz="4" w:space="0"/>
              <w:bottom w:val="single" w:color="auto" w:sz="4" w:space="0"/>
              <w:right w:val="single" w:color="auto" w:sz="4" w:space="0"/>
            </w:tcBorders>
            <w:vAlign w:val="center"/>
          </w:tcPr>
          <w:p w14:paraId="4B0CE255">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14:paraId="35415AD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招标文件</w:t>
            </w:r>
          </w:p>
          <w:p w14:paraId="096E5F2D">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14:paraId="5C9739A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投标文件</w:t>
            </w:r>
          </w:p>
          <w:p w14:paraId="3FD772A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14:paraId="71AFABF2">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偏离</w:t>
            </w:r>
          </w:p>
          <w:p w14:paraId="7334B253">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（无/正/负）</w:t>
            </w:r>
          </w:p>
        </w:tc>
        <w:tc>
          <w:tcPr>
            <w:tcW w:w="546" w:type="dxa"/>
            <w:tcBorders>
              <w:top w:val="single" w:color="auto" w:sz="4" w:space="0"/>
              <w:left w:val="single" w:color="auto" w:sz="4" w:space="0"/>
              <w:bottom w:val="single" w:color="auto" w:sz="4" w:space="0"/>
              <w:right w:val="single" w:color="auto" w:sz="4" w:space="0"/>
            </w:tcBorders>
            <w:vAlign w:val="center"/>
          </w:tcPr>
          <w:p w14:paraId="5638E5F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说明</w:t>
            </w:r>
          </w:p>
        </w:tc>
      </w:tr>
      <w:tr w14:paraId="1AE40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6DCBF4D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1</w:t>
            </w:r>
          </w:p>
        </w:tc>
        <w:tc>
          <w:tcPr>
            <w:tcW w:w="1999" w:type="dxa"/>
            <w:tcBorders>
              <w:top w:val="single" w:color="auto" w:sz="4" w:space="0"/>
              <w:left w:val="single" w:color="auto" w:sz="4" w:space="0"/>
              <w:bottom w:val="single" w:color="auto" w:sz="4" w:space="0"/>
              <w:right w:val="single" w:color="auto" w:sz="4" w:space="0"/>
            </w:tcBorders>
          </w:tcPr>
          <w:p w14:paraId="1E169E9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4EFBD325">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7272EAB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290699E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2AD6BF1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r w14:paraId="27208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0E692F84">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2</w:t>
            </w:r>
          </w:p>
        </w:tc>
        <w:tc>
          <w:tcPr>
            <w:tcW w:w="1999" w:type="dxa"/>
            <w:tcBorders>
              <w:top w:val="single" w:color="auto" w:sz="4" w:space="0"/>
              <w:left w:val="single" w:color="auto" w:sz="4" w:space="0"/>
              <w:bottom w:val="single" w:color="auto" w:sz="4" w:space="0"/>
              <w:right w:val="single" w:color="auto" w:sz="4" w:space="0"/>
            </w:tcBorders>
          </w:tcPr>
          <w:p w14:paraId="73F70DD9">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0B6D11A9">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4B4D9019">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37FFF7E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4B427ECC">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r w14:paraId="565FC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40DDDE3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3</w:t>
            </w:r>
          </w:p>
        </w:tc>
        <w:tc>
          <w:tcPr>
            <w:tcW w:w="1999" w:type="dxa"/>
            <w:tcBorders>
              <w:top w:val="single" w:color="auto" w:sz="4" w:space="0"/>
              <w:left w:val="single" w:color="auto" w:sz="4" w:space="0"/>
              <w:bottom w:val="single" w:color="auto" w:sz="4" w:space="0"/>
              <w:right w:val="single" w:color="auto" w:sz="4" w:space="0"/>
            </w:tcBorders>
          </w:tcPr>
          <w:p w14:paraId="19237D8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056803B4">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0FF5BE2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003BB2D0">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2F98CDA7">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r w14:paraId="419B8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0D577640">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4</w:t>
            </w:r>
          </w:p>
        </w:tc>
        <w:tc>
          <w:tcPr>
            <w:tcW w:w="1999" w:type="dxa"/>
            <w:tcBorders>
              <w:top w:val="single" w:color="auto" w:sz="4" w:space="0"/>
              <w:left w:val="single" w:color="auto" w:sz="4" w:space="0"/>
              <w:bottom w:val="single" w:color="auto" w:sz="4" w:space="0"/>
              <w:right w:val="single" w:color="auto" w:sz="4" w:space="0"/>
            </w:tcBorders>
          </w:tcPr>
          <w:p w14:paraId="21F5CB9C">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54448EDD">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375334F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46B4DC5D">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43A5285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r w14:paraId="6311F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0A3E8FB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highlight w:val="white"/>
              </w:rPr>
              <w:t>……</w:t>
            </w:r>
          </w:p>
        </w:tc>
        <w:tc>
          <w:tcPr>
            <w:tcW w:w="1999" w:type="dxa"/>
            <w:tcBorders>
              <w:top w:val="single" w:color="auto" w:sz="4" w:space="0"/>
              <w:left w:val="single" w:color="auto" w:sz="4" w:space="0"/>
              <w:bottom w:val="single" w:color="auto" w:sz="4" w:space="0"/>
              <w:right w:val="single" w:color="auto" w:sz="4" w:space="0"/>
            </w:tcBorders>
          </w:tcPr>
          <w:p w14:paraId="0FECEEC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04631D2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3B23B65B">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116D66C4">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3C696F92">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bl>
    <w:p w14:paraId="69BC4CB2">
      <w:pPr>
        <w:tabs>
          <w:tab w:val="left" w:pos="1230"/>
        </w:tabs>
        <w:topLinePunct/>
        <w:autoSpaceDE w:val="0"/>
        <w:autoSpaceDN w:val="0"/>
        <w:spacing w:after="0" w:line="360" w:lineRule="auto"/>
        <w:rPr>
          <w:rFonts w:hint="eastAsia" w:ascii="宋体" w:hAnsi="宋体" w:cs="宋体"/>
          <w:color w:val="auto"/>
          <w:szCs w:val="21"/>
          <w:highlight w:val="none"/>
        </w:rPr>
      </w:pPr>
    </w:p>
    <w:p w14:paraId="128BFABF">
      <w:pPr>
        <w:tabs>
          <w:tab w:val="left" w:pos="1230"/>
        </w:tabs>
        <w:topLinePunct/>
        <w:autoSpaceDE w:val="0"/>
        <w:autoSpaceDN w:val="0"/>
        <w:spacing w:after="0" w:line="360" w:lineRule="auto"/>
        <w:rPr>
          <w:rFonts w:ascii="宋体" w:hAnsi="宋体" w:cs="宋体"/>
          <w:color w:val="auto"/>
          <w:szCs w:val="21"/>
          <w:highlight w:val="none"/>
        </w:rPr>
      </w:pPr>
      <w:r>
        <w:rPr>
          <w:rFonts w:hint="eastAsia" w:ascii="宋体" w:hAnsi="宋体" w:cs="宋体"/>
          <w:color w:val="000000"/>
          <w:szCs w:val="21"/>
          <w:highlight w:val="white"/>
        </w:rPr>
        <w:t>特别说明：</w:t>
      </w:r>
    </w:p>
    <w:p w14:paraId="0BB17A58">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color w:val="auto"/>
          <w:szCs w:val="21"/>
          <w:highlight w:val="none"/>
        </w:rPr>
      </w:pPr>
      <w:r>
        <w:rPr>
          <w:rFonts w:hint="eastAsia" w:ascii="宋体" w:hAnsi="宋体" w:cs="宋体"/>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14:paraId="072DD1D0">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ascii="宋体" w:hAnsi="宋体" w:cs="宋体"/>
          <w:bCs/>
          <w:color w:val="000000"/>
          <w:szCs w:val="21"/>
          <w:highlight w:val="white"/>
        </w:rPr>
        <w:t>2.如《招标文件-商务部分》中有标注★号的，则为实质性要求，必须满足，如应答为“负偏离”，将导致投标无效。</w:t>
      </w:r>
    </w:p>
    <w:p w14:paraId="60365BE4">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hint="eastAsia" w:ascii="宋体" w:hAnsi="宋体" w:cs="宋体"/>
          <w:bCs/>
          <w:color w:val="000000"/>
          <w:szCs w:val="21"/>
          <w:highlight w:val="white"/>
          <w:lang w:val="en-US" w:eastAsia="zh-CN"/>
        </w:rPr>
        <w:t>3</w:t>
      </w:r>
      <w:r>
        <w:rPr>
          <w:rFonts w:ascii="宋体" w:hAnsi="宋体" w:cs="宋体"/>
          <w:bCs/>
          <w:color w:val="000000"/>
          <w:szCs w:val="21"/>
          <w:highlight w:val="white"/>
        </w:rPr>
        <w:t>.本表可扩展。</w:t>
      </w:r>
    </w:p>
    <w:p w14:paraId="0C8FE0A5">
      <w:pPr>
        <w:topLinePunct/>
        <w:autoSpaceDE w:val="0"/>
        <w:autoSpaceDN w:val="0"/>
        <w:spacing w:line="500" w:lineRule="exact"/>
        <w:rPr>
          <w:rFonts w:hAnsi="宋体"/>
          <w:color w:val="auto"/>
          <w:highlight w:val="none"/>
        </w:rPr>
      </w:pPr>
    </w:p>
    <w:p w14:paraId="641BEF56">
      <w:pPr>
        <w:tabs>
          <w:tab w:val="left" w:pos="1230"/>
        </w:tabs>
        <w:topLinePunct/>
        <w:autoSpaceDE w:val="0"/>
        <w:autoSpaceDN w:val="0"/>
        <w:spacing w:after="0" w:line="480" w:lineRule="auto"/>
        <w:ind w:firstLine="480" w:firstLineChars="200"/>
        <w:rPr>
          <w:rFonts w:ascii="宋体" w:hAnsi="宋体" w:cs="宋体"/>
          <w:color w:val="auto"/>
          <w:highlight w:val="none"/>
        </w:rPr>
      </w:pPr>
      <w:r>
        <w:rPr>
          <w:rFonts w:hint="eastAsia" w:ascii="宋体" w:hAnsi="宋体" w:cs="宋体"/>
          <w:color w:val="000000"/>
          <w:sz w:val="24"/>
          <w:highlight w:val="white"/>
        </w:rPr>
        <w:t>投标人名称（电子签章）：</w:t>
      </w:r>
    </w:p>
    <w:p w14:paraId="1B095827">
      <w:pPr>
        <w:spacing w:after="0" w:line="480" w:lineRule="auto"/>
        <w:ind w:firstLine="480" w:firstLineChars="200"/>
        <w:rPr>
          <w:rFonts w:hAnsi="宋体" w:cs="宋体"/>
          <w:color w:val="auto"/>
          <w:highlight w:val="none"/>
          <w:u w:val="single"/>
        </w:rPr>
      </w:pPr>
      <w:r>
        <w:rPr>
          <w:rFonts w:hint="eastAsia" w:hAnsi="宋体" w:cs="宋体"/>
          <w:color w:val="000000"/>
          <w:sz w:val="24"/>
          <w:highlight w:val="white"/>
        </w:rPr>
        <w:t>日期：</w:t>
      </w:r>
    </w:p>
    <w:p w14:paraId="63F33CBD">
      <w:pPr>
        <w:rPr>
          <w:highlight w:val="none"/>
        </w:rPr>
      </w:pPr>
    </w:p>
    <w:p w14:paraId="4429904A">
      <w:pPr>
        <w:widowControl/>
        <w:autoSpaceDE w:val="0"/>
        <w:jc w:val="center"/>
        <w:rPr>
          <w:rFonts w:ascii="宋体" w:hAnsi="宋体"/>
          <w:b/>
          <w:bCs/>
          <w:sz w:val="36"/>
          <w:szCs w:val="36"/>
          <w:highlight w:val="none"/>
        </w:rPr>
      </w:pPr>
      <w:r>
        <w:rPr>
          <w:color w:val="000000"/>
          <w:highlight w:val="white"/>
        </w:rPr>
        <w:br w:type="page"/>
      </w:r>
      <w:r>
        <w:rPr>
          <w:rFonts w:hint="eastAsia" w:ascii="宋体" w:hAnsi="宋体"/>
          <w:b/>
          <w:bCs/>
          <w:color w:val="000000"/>
          <w:sz w:val="36"/>
          <w:szCs w:val="36"/>
          <w:highlight w:val="white"/>
        </w:rPr>
        <w:t>格式4 中小企业声明函（货物）</w:t>
      </w:r>
    </w:p>
    <w:p w14:paraId="750AA429">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采购活动，提供的货物全部由符合政策要求的中小企业制造。相关企业（含联合体中的中小企业、签订分包意向协议的中小企业）的具体情况如下：</w:t>
      </w:r>
    </w:p>
    <w:p w14:paraId="0C4EEC04">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1. </w:t>
      </w:r>
      <w:r>
        <w:rPr>
          <w:rFonts w:hint="eastAsia" w:hAnsi="宋体"/>
          <w:i/>
          <w:iCs/>
          <w:color w:val="000000"/>
          <w:sz w:val="24"/>
          <w:szCs w:val="24"/>
          <w:highlight w:val="white"/>
          <w:u w:val="single"/>
        </w:rPr>
        <w:t xml:space="preserve">（标的名称）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14:paraId="13881368">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2. </w:t>
      </w:r>
      <w:r>
        <w:rPr>
          <w:rFonts w:hint="eastAsia" w:hAnsi="宋体"/>
          <w:i/>
          <w:iCs/>
          <w:color w:val="000000"/>
          <w:sz w:val="24"/>
          <w:szCs w:val="24"/>
          <w:highlight w:val="white"/>
          <w:u w:val="single"/>
        </w:rPr>
        <w:t>（标的名称）</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14:paraId="3B469EF4">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w:t>
      </w:r>
    </w:p>
    <w:p w14:paraId="7CA5B438">
      <w:pPr>
        <w:widowControl/>
        <w:autoSpaceDE w:val="0"/>
        <w:spacing w:after="0" w:line="360" w:lineRule="auto"/>
        <w:ind w:firstLine="480" w:firstLineChars="200"/>
        <w:jc w:val="left"/>
        <w:rPr>
          <w:rFonts w:ascii="宋体" w:hAnsi="宋体"/>
          <w:highlight w:val="none"/>
        </w:rPr>
      </w:pPr>
      <w:r>
        <w:rPr>
          <w:rFonts w:hint="eastAsia" w:ascii="宋体" w:hAnsi="宋体"/>
          <w:color w:val="000000"/>
          <w:kern w:val="0"/>
          <w:sz w:val="24"/>
          <w:highlight w:val="white"/>
        </w:rPr>
        <w:t>以上企业，不属于大企业的分支机构，不存在控股股东为大企业的情形，也不存在与大企业的负责人为同一人的情形。</w:t>
      </w:r>
    </w:p>
    <w:p w14:paraId="55A47950">
      <w:pPr>
        <w:widowControl/>
        <w:autoSpaceDE w:val="0"/>
        <w:spacing w:after="0" w:line="360" w:lineRule="auto"/>
        <w:ind w:firstLine="480" w:firstLineChars="200"/>
        <w:jc w:val="left"/>
        <w:rPr>
          <w:rFonts w:ascii="宋体" w:hAnsi="宋体"/>
          <w:highlight w:val="none"/>
        </w:rPr>
      </w:pPr>
      <w:r>
        <w:rPr>
          <w:rFonts w:hint="eastAsia" w:ascii="宋体" w:hAnsi="宋体"/>
          <w:color w:val="000000"/>
          <w:kern w:val="0"/>
          <w:sz w:val="24"/>
          <w:highlight w:val="white"/>
        </w:rPr>
        <w:t xml:space="preserve">本企业对上述声明内容的真实性负责。如有虚假，将依法承担相应责任。 </w:t>
      </w:r>
    </w:p>
    <w:p w14:paraId="1E3CDE93">
      <w:pPr>
        <w:widowControl/>
        <w:autoSpaceDE w:val="0"/>
        <w:spacing w:after="0" w:line="360" w:lineRule="auto"/>
        <w:ind w:firstLine="1920" w:firstLineChars="800"/>
        <w:jc w:val="left"/>
        <w:rPr>
          <w:rFonts w:ascii="宋体" w:hAnsi="宋体"/>
          <w:kern w:val="0"/>
          <w:highlight w:val="none"/>
        </w:rPr>
      </w:pPr>
      <w:r>
        <w:rPr>
          <w:rFonts w:hint="eastAsia" w:ascii="宋体" w:hAnsi="宋体"/>
          <w:color w:val="000000"/>
          <w:kern w:val="0"/>
          <w:sz w:val="24"/>
          <w:highlight w:val="white"/>
        </w:rPr>
        <w:t xml:space="preserve"> </w:t>
      </w:r>
    </w:p>
    <w:p w14:paraId="2B4D2F16">
      <w:pPr>
        <w:widowControl/>
        <w:autoSpaceDE w:val="0"/>
        <w:spacing w:after="0" w:line="360" w:lineRule="auto"/>
        <w:ind w:firstLine="4560" w:firstLineChars="1900"/>
        <w:jc w:val="left"/>
        <w:rPr>
          <w:rFonts w:ascii="宋体" w:hAnsi="宋体"/>
          <w:highlight w:val="none"/>
        </w:rPr>
      </w:pPr>
      <w:r>
        <w:rPr>
          <w:rFonts w:hint="eastAsia" w:ascii="宋体" w:hAnsi="宋体"/>
          <w:color w:val="000000"/>
          <w:kern w:val="0"/>
          <w:sz w:val="24"/>
          <w:highlight w:val="white"/>
        </w:rPr>
        <w:t xml:space="preserve">企业名称（电子签章）： </w:t>
      </w:r>
    </w:p>
    <w:p w14:paraId="30B1D04C">
      <w:pPr>
        <w:widowControl/>
        <w:autoSpaceDE w:val="0"/>
        <w:spacing w:after="0" w:line="360" w:lineRule="auto"/>
        <w:ind w:firstLine="4560" w:firstLineChars="1900"/>
        <w:jc w:val="left"/>
        <w:rPr>
          <w:rFonts w:ascii="宋体" w:hAnsi="宋体"/>
          <w:kern w:val="0"/>
          <w:highlight w:val="none"/>
        </w:rPr>
      </w:pPr>
      <w:r>
        <w:rPr>
          <w:rFonts w:hint="eastAsia" w:ascii="宋体" w:hAnsi="宋体"/>
          <w:color w:val="000000"/>
          <w:kern w:val="0"/>
          <w:sz w:val="24"/>
          <w:highlight w:val="white"/>
        </w:rPr>
        <w:t>日 期：</w:t>
      </w:r>
    </w:p>
    <w:p w14:paraId="64A9698E">
      <w:pPr>
        <w:widowControl/>
        <w:autoSpaceDE w:val="0"/>
        <w:ind w:firstLine="3120" w:firstLineChars="1300"/>
        <w:rPr>
          <w:rFonts w:ascii="宋体" w:hAnsi="宋体"/>
          <w:highlight w:val="none"/>
        </w:rPr>
      </w:pPr>
      <w:r>
        <w:rPr>
          <w:rFonts w:hint="eastAsia" w:ascii="宋体" w:hAnsi="宋体"/>
          <w:color w:val="000000"/>
          <w:kern w:val="0"/>
          <w:sz w:val="24"/>
          <w:highlight w:val="white"/>
        </w:rPr>
        <w:t xml:space="preserve"> </w:t>
      </w:r>
    </w:p>
    <w:p w14:paraId="4B0E1A4A">
      <w:pPr>
        <w:widowControl/>
        <w:autoSpaceDE w:val="0"/>
        <w:rPr>
          <w:szCs w:val="21"/>
          <w:highlight w:val="none"/>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14:paraId="72BDE0B6">
      <w:pPr>
        <w:widowControl/>
        <w:autoSpaceDE w:val="0"/>
        <w:jc w:val="left"/>
        <w:rPr>
          <w:highlight w:val="none"/>
        </w:rPr>
      </w:pPr>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14:paraId="39D5CEAE">
      <w:pPr>
        <w:widowControl/>
        <w:autoSpaceDE w:val="0"/>
        <w:ind w:firstLine="540" w:firstLineChars="300"/>
        <w:jc w:val="left"/>
        <w:rPr>
          <w:rFonts w:ascii="宋体" w:hAnsi="宋体"/>
          <w:kern w:val="0"/>
          <w:sz w:val="18"/>
          <w:szCs w:val="18"/>
          <w:highlight w:val="none"/>
        </w:rPr>
      </w:pPr>
      <w:r>
        <w:rPr>
          <w:rFonts w:hint="eastAsia" w:ascii="宋体" w:hAnsi="宋体"/>
          <w:color w:val="000000"/>
          <w:kern w:val="0"/>
          <w:sz w:val="18"/>
          <w:szCs w:val="18"/>
          <w:highlight w:val="white"/>
        </w:rPr>
        <w:t xml:space="preserve"> </w:t>
      </w:r>
    </w:p>
    <w:p w14:paraId="718BBF83">
      <w:pPr>
        <w:widowControl/>
        <w:autoSpaceDE w:val="0"/>
        <w:ind w:firstLine="540" w:firstLineChars="300"/>
        <w:jc w:val="left"/>
        <w:rPr>
          <w:rFonts w:ascii="宋体" w:hAnsi="宋体"/>
          <w:kern w:val="0"/>
          <w:sz w:val="18"/>
          <w:szCs w:val="18"/>
          <w:highlight w:val="none"/>
        </w:rPr>
      </w:pPr>
      <w:r>
        <w:rPr>
          <w:rFonts w:hint="eastAsia" w:ascii="宋体" w:hAnsi="宋体"/>
          <w:color w:val="000000"/>
          <w:kern w:val="0"/>
          <w:sz w:val="18"/>
          <w:szCs w:val="18"/>
          <w:highlight w:val="white"/>
        </w:rPr>
        <w:t xml:space="preserve"> </w:t>
      </w:r>
    </w:p>
    <w:p w14:paraId="01FA3B7E">
      <w:pPr>
        <w:rPr>
          <w:rFonts w:ascii="宋体" w:hAnsi="宋体"/>
          <w:b/>
          <w:bCs/>
          <w:sz w:val="36"/>
          <w:szCs w:val="36"/>
          <w:highlight w:val="none"/>
        </w:rPr>
      </w:pPr>
      <w:r>
        <w:rPr>
          <w:rFonts w:hint="eastAsia" w:ascii="宋体" w:hAnsi="宋体"/>
          <w:b/>
          <w:bCs/>
          <w:color w:val="000000"/>
          <w:sz w:val="36"/>
          <w:szCs w:val="36"/>
          <w:highlight w:val="white"/>
        </w:rPr>
        <w:br w:type="page"/>
      </w:r>
    </w:p>
    <w:p w14:paraId="09D41451">
      <w:pPr>
        <w:snapToGrid w:val="0"/>
        <w:spacing w:after="0" w:line="360" w:lineRule="auto"/>
        <w:jc w:val="center"/>
        <w:rPr>
          <w:rFonts w:ascii="宋体" w:hAnsi="宋体"/>
          <w:b/>
          <w:bCs/>
          <w:sz w:val="36"/>
          <w:szCs w:val="36"/>
          <w:highlight w:val="none"/>
        </w:rPr>
      </w:pPr>
      <w:r>
        <w:rPr>
          <w:rFonts w:hint="eastAsia" w:ascii="宋体" w:hAnsi="宋体"/>
          <w:b/>
          <w:bCs/>
          <w:color w:val="000000"/>
          <w:sz w:val="36"/>
          <w:szCs w:val="36"/>
          <w:highlight w:val="white"/>
        </w:rPr>
        <w:t>中小企业声明函（服务）</w:t>
      </w:r>
    </w:p>
    <w:p w14:paraId="40FF7B83">
      <w:pPr>
        <w:widowControl/>
        <w:autoSpaceDE w:val="0"/>
        <w:spacing w:after="0" w:line="360" w:lineRule="auto"/>
        <w:ind w:firstLine="480" w:firstLineChars="200"/>
        <w:jc w:val="left"/>
        <w:rPr>
          <w:rFonts w:ascii="宋体" w:hAnsi="宋体"/>
          <w:kern w:val="0"/>
          <w:highlight w:val="none"/>
        </w:rPr>
      </w:pPr>
      <w:r>
        <w:rPr>
          <w:rFonts w:hint="eastAsia" w:ascii="宋体" w:hAnsi="宋体"/>
          <w:color w:val="000000"/>
          <w:kern w:val="0"/>
          <w:sz w:val="24"/>
          <w:highlight w:val="white"/>
        </w:rPr>
        <w:t xml:space="preserve"> </w:t>
      </w:r>
    </w:p>
    <w:p w14:paraId="46637F57">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采购活动，服务全部由符合政策要求的中小企业承接。相关企业（含联合体中的中小企业、签订分包意向协议的中小企业）的具体情况如下：</w:t>
      </w:r>
    </w:p>
    <w:p w14:paraId="3C940869">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1.</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14:paraId="311F364C">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2.</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14:paraId="60DA6D8A">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w:t>
      </w:r>
    </w:p>
    <w:p w14:paraId="0917AB52">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以上企业，不属于大企业的分支机构，不存在控股股东为大企业的情形，也不存在与大企业的负责人为同一人的情形。</w:t>
      </w:r>
    </w:p>
    <w:p w14:paraId="29A7DE12">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本企业对上述声明内容的真实性负责。如有虚假，将依法承担相应责任。 </w:t>
      </w:r>
    </w:p>
    <w:p w14:paraId="571727A7">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 </w:t>
      </w:r>
    </w:p>
    <w:p w14:paraId="5522FB81">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 </w:t>
      </w:r>
    </w:p>
    <w:p w14:paraId="48AF19F0">
      <w:pPr>
        <w:pStyle w:val="18"/>
        <w:snapToGrid w:val="0"/>
        <w:spacing w:line="360" w:lineRule="auto"/>
        <w:ind w:firstLine="4560" w:firstLineChars="1900"/>
        <w:rPr>
          <w:rFonts w:hAnsi="宋体"/>
          <w:sz w:val="24"/>
          <w:szCs w:val="24"/>
          <w:highlight w:val="none"/>
        </w:rPr>
      </w:pPr>
      <w:r>
        <w:rPr>
          <w:rFonts w:hint="eastAsia" w:hAnsi="宋体"/>
          <w:color w:val="000000"/>
          <w:sz w:val="24"/>
          <w:szCs w:val="24"/>
          <w:highlight w:val="white"/>
        </w:rPr>
        <w:t xml:space="preserve">企业名称（电子签章）： </w:t>
      </w:r>
    </w:p>
    <w:p w14:paraId="33BA588B">
      <w:pPr>
        <w:pStyle w:val="18"/>
        <w:snapToGrid w:val="0"/>
        <w:spacing w:line="360" w:lineRule="auto"/>
        <w:ind w:firstLine="4560" w:firstLineChars="1900"/>
        <w:rPr>
          <w:rFonts w:hAnsi="宋体"/>
          <w:sz w:val="24"/>
          <w:szCs w:val="24"/>
          <w:highlight w:val="none"/>
        </w:rPr>
      </w:pPr>
      <w:r>
        <w:rPr>
          <w:rFonts w:hint="eastAsia" w:hAnsi="宋体"/>
          <w:color w:val="000000"/>
          <w:sz w:val="24"/>
          <w:szCs w:val="24"/>
          <w:highlight w:val="white"/>
        </w:rPr>
        <w:t>日 期：</w:t>
      </w:r>
    </w:p>
    <w:p w14:paraId="6F97D606">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 </w:t>
      </w:r>
    </w:p>
    <w:p w14:paraId="0439C61D">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                     </w:t>
      </w:r>
    </w:p>
    <w:p w14:paraId="34D26566">
      <w:pPr>
        <w:widowControl/>
        <w:autoSpaceDE w:val="0"/>
        <w:rPr>
          <w:szCs w:val="21"/>
          <w:highlight w:val="none"/>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14:paraId="32892FDA">
      <w:pPr>
        <w:widowControl/>
        <w:autoSpaceDE w:val="0"/>
        <w:jc w:val="left"/>
        <w:rPr>
          <w:highlight w:val="none"/>
        </w:rPr>
      </w:pPr>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14:paraId="6FF32E53">
      <w:pPr>
        <w:snapToGrid w:val="0"/>
        <w:spacing w:after="0" w:line="360" w:lineRule="auto"/>
        <w:jc w:val="center"/>
        <w:rPr>
          <w:rFonts w:ascii="宋体" w:hAnsi="宋体" w:cs="宋体"/>
          <w:b/>
          <w:bCs/>
          <w:sz w:val="36"/>
          <w:szCs w:val="36"/>
          <w:highlight w:val="none"/>
        </w:rPr>
      </w:pPr>
      <w:r>
        <w:rPr>
          <w:color w:val="000000"/>
          <w:highlight w:val="white"/>
        </w:rPr>
        <w:br w:type="page"/>
      </w:r>
      <w:r>
        <w:rPr>
          <w:rFonts w:hint="eastAsia" w:ascii="宋体" w:hAnsi="宋体" w:cs="宋体"/>
          <w:b/>
          <w:bCs/>
          <w:color w:val="000000"/>
          <w:sz w:val="36"/>
          <w:szCs w:val="36"/>
          <w:highlight w:val="white"/>
        </w:rPr>
        <w:t>格式5 参加本次政府采购活动前三年内在经营活动中</w:t>
      </w:r>
    </w:p>
    <w:p w14:paraId="1D3EA7D5">
      <w:pPr>
        <w:snapToGrid w:val="0"/>
        <w:spacing w:after="0" w:line="360" w:lineRule="auto"/>
        <w:jc w:val="center"/>
        <w:rPr>
          <w:rFonts w:ascii="宋体" w:hAnsi="宋体" w:cs="宋体"/>
          <w:b/>
          <w:bCs/>
          <w:sz w:val="36"/>
          <w:szCs w:val="36"/>
          <w:highlight w:val="none"/>
        </w:rPr>
      </w:pPr>
      <w:r>
        <w:rPr>
          <w:rFonts w:hint="eastAsia" w:ascii="宋体" w:hAnsi="宋体" w:cs="宋体"/>
          <w:b/>
          <w:bCs/>
          <w:color w:val="000000"/>
          <w:sz w:val="36"/>
          <w:szCs w:val="36"/>
          <w:highlight w:val="white"/>
        </w:rPr>
        <w:t>没有重大违法记录的书面声明</w:t>
      </w:r>
    </w:p>
    <w:p w14:paraId="119A946A">
      <w:pPr>
        <w:pStyle w:val="18"/>
        <w:topLinePunct/>
        <w:autoSpaceDE w:val="0"/>
        <w:autoSpaceDN w:val="0"/>
        <w:snapToGrid w:val="0"/>
        <w:spacing w:line="360" w:lineRule="auto"/>
        <w:jc w:val="center"/>
        <w:rPr>
          <w:rFonts w:hAnsi="宋体" w:cs="宋体"/>
          <w:b/>
          <w:w w:val="150"/>
          <w:sz w:val="24"/>
          <w:highlight w:val="none"/>
        </w:rPr>
      </w:pPr>
    </w:p>
    <w:p w14:paraId="4E083751">
      <w:pPr>
        <w:pStyle w:val="18"/>
        <w:snapToGrid w:val="0"/>
        <w:spacing w:line="360" w:lineRule="auto"/>
        <w:rPr>
          <w:rFonts w:hAnsi="宋体" w:cs="宋体"/>
          <w:sz w:val="24"/>
          <w:szCs w:val="24"/>
          <w:highlight w:val="none"/>
        </w:rPr>
      </w:pPr>
      <w:r>
        <w:rPr>
          <w:rFonts w:hint="eastAsia" w:hAnsi="宋体" w:cs="宋体"/>
          <w:color w:val="000000"/>
          <w:sz w:val="24"/>
          <w:szCs w:val="24"/>
          <w:highlight w:val="white"/>
        </w:rPr>
        <w:t>致________（采购人）：</w:t>
      </w:r>
    </w:p>
    <w:p w14:paraId="44DE765E">
      <w:pPr>
        <w:pStyle w:val="18"/>
        <w:snapToGrid w:val="0"/>
        <w:spacing w:line="360" w:lineRule="auto"/>
        <w:ind w:firstLine="480" w:firstLineChars="200"/>
        <w:rPr>
          <w:rFonts w:hAnsi="宋体" w:cs="宋体"/>
          <w:sz w:val="24"/>
          <w:szCs w:val="24"/>
          <w:highlight w:val="none"/>
        </w:rPr>
      </w:pPr>
      <w:r>
        <w:rPr>
          <w:rFonts w:hint="eastAsia" w:hAnsi="宋体" w:cs="宋体"/>
          <w:color w:val="000000"/>
          <w:sz w:val="24"/>
          <w:szCs w:val="24"/>
          <w:highlight w:val="white"/>
        </w:rPr>
        <w:t>我单位在参加本次采购活动前三年内在经营活动中没有《政府采购法》第二十二条第一款第（五）项所称重大违法记录，包括：</w:t>
      </w:r>
    </w:p>
    <w:p w14:paraId="6CFF0AC3">
      <w:pPr>
        <w:pStyle w:val="18"/>
        <w:snapToGrid w:val="0"/>
        <w:spacing w:line="360" w:lineRule="auto"/>
        <w:ind w:firstLine="480" w:firstLineChars="200"/>
        <w:rPr>
          <w:rFonts w:hAnsi="宋体" w:cs="宋体"/>
          <w:sz w:val="24"/>
          <w:szCs w:val="24"/>
          <w:highlight w:val="none"/>
        </w:rPr>
      </w:pPr>
      <w:r>
        <w:rPr>
          <w:rFonts w:hint="eastAsia" w:hAnsi="宋体" w:cs="宋体"/>
          <w:color w:val="000000"/>
          <w:sz w:val="24"/>
          <w:szCs w:val="24"/>
          <w:highlight w:val="white"/>
        </w:rPr>
        <w:t>我单位未因经营活动中的违法行为受到刑事处罚或者责令停产停业、吊销许可证或者执照、较大数额罚款等行政处罚。</w:t>
      </w:r>
    </w:p>
    <w:p w14:paraId="2C8E53AF">
      <w:pPr>
        <w:pStyle w:val="18"/>
        <w:snapToGrid w:val="0"/>
        <w:spacing w:line="360" w:lineRule="auto"/>
        <w:ind w:firstLine="480" w:firstLineChars="200"/>
        <w:rPr>
          <w:rFonts w:hAnsi="宋体" w:cs="宋体"/>
          <w:sz w:val="24"/>
          <w:szCs w:val="24"/>
          <w:highlight w:val="none"/>
        </w:rPr>
      </w:pPr>
      <w:r>
        <w:rPr>
          <w:rFonts w:hint="eastAsia" w:hAnsi="宋体" w:cs="宋体"/>
          <w:color w:val="000000"/>
          <w:sz w:val="24"/>
          <w:szCs w:val="24"/>
          <w:highlight w:val="white"/>
        </w:rPr>
        <w:t>特此声明！</w:t>
      </w:r>
    </w:p>
    <w:p w14:paraId="5FEDFF65">
      <w:pPr>
        <w:snapToGrid w:val="0"/>
        <w:spacing w:after="0" w:line="360" w:lineRule="auto"/>
        <w:ind w:firstLine="420" w:firstLineChars="200"/>
        <w:rPr>
          <w:rFonts w:hAnsi="宋体"/>
          <w:highlight w:val="none"/>
        </w:rPr>
      </w:pPr>
    </w:p>
    <w:p w14:paraId="45DED4C0">
      <w:pPr>
        <w:snapToGrid w:val="0"/>
        <w:spacing w:after="0" w:line="360" w:lineRule="auto"/>
        <w:ind w:firstLine="420" w:firstLineChars="200"/>
        <w:rPr>
          <w:rFonts w:hAnsi="宋体"/>
          <w:highlight w:val="none"/>
        </w:rPr>
      </w:pPr>
    </w:p>
    <w:p w14:paraId="1F9528C2">
      <w:pPr>
        <w:snapToGrid w:val="0"/>
        <w:spacing w:after="0" w:line="360" w:lineRule="auto"/>
        <w:ind w:firstLine="420" w:firstLineChars="200"/>
        <w:rPr>
          <w:rFonts w:hAnsi="宋体"/>
          <w:highlight w:val="none"/>
        </w:rPr>
      </w:pPr>
    </w:p>
    <w:p w14:paraId="76231A6D">
      <w:pPr>
        <w:snapToGrid w:val="0"/>
        <w:spacing w:after="0" w:line="360" w:lineRule="auto"/>
        <w:ind w:firstLine="420" w:firstLineChars="200"/>
        <w:rPr>
          <w:rFonts w:hAnsi="宋体" w:cs="MingLiU_HKSCS"/>
          <w:highlight w:val="none"/>
        </w:rPr>
      </w:pPr>
    </w:p>
    <w:p w14:paraId="28F2A50D">
      <w:pPr>
        <w:snapToGrid w:val="0"/>
        <w:spacing w:after="0" w:line="360" w:lineRule="auto"/>
        <w:ind w:firstLine="4080" w:firstLineChars="1700"/>
        <w:rPr>
          <w:rFonts w:hAnsi="宋体" w:cs="宋体"/>
          <w:highlight w:val="none"/>
        </w:rPr>
      </w:pPr>
      <w:r>
        <w:rPr>
          <w:rFonts w:hint="eastAsia" w:hAnsi="宋体" w:cs="宋体"/>
          <w:color w:val="000000"/>
          <w:sz w:val="24"/>
          <w:highlight w:val="white"/>
        </w:rPr>
        <w:t>单位名称（电子签章</w:t>
      </w:r>
      <w:r>
        <w:rPr>
          <w:rFonts w:hint="eastAsia" w:hAnsi="宋体" w:cs="宋体"/>
          <w:color w:val="000000"/>
          <w:sz w:val="24"/>
          <w:highlight w:val="white"/>
          <w:lang w:eastAsia="zh-CN"/>
        </w:rPr>
        <w:t>）</w:t>
      </w:r>
      <w:r>
        <w:rPr>
          <w:rFonts w:hint="eastAsia" w:hAnsi="宋体" w:cs="宋体"/>
          <w:color w:val="000000"/>
          <w:sz w:val="24"/>
          <w:highlight w:val="white"/>
        </w:rPr>
        <w:t>：</w:t>
      </w:r>
    </w:p>
    <w:p w14:paraId="72F28BD6">
      <w:pPr>
        <w:snapToGrid w:val="0"/>
        <w:spacing w:after="0" w:line="360" w:lineRule="auto"/>
        <w:ind w:firstLine="6000" w:firstLineChars="2500"/>
        <w:rPr>
          <w:rFonts w:hAnsi="宋体" w:cs="宋体"/>
          <w:highlight w:val="none"/>
        </w:rPr>
      </w:pPr>
      <w:r>
        <w:rPr>
          <w:rFonts w:hint="eastAsia" w:hAnsi="宋体" w:cs="宋体"/>
          <w:color w:val="000000"/>
          <w:sz w:val="24"/>
          <w:highlight w:val="white"/>
        </w:rPr>
        <w:t>日期：</w:t>
      </w:r>
    </w:p>
    <w:p w14:paraId="20B98D9E">
      <w:pPr>
        <w:rPr>
          <w:rFonts w:hint="eastAsia"/>
          <w:highlight w:val="none"/>
        </w:rPr>
      </w:pPr>
    </w:p>
    <w:p w14:paraId="6F15A940">
      <w:pPr>
        <w:pStyle w:val="18"/>
        <w:topLinePunct/>
        <w:autoSpaceDE w:val="0"/>
        <w:autoSpaceDN w:val="0"/>
        <w:spacing w:line="460" w:lineRule="exact"/>
        <w:jc w:val="center"/>
        <w:rPr>
          <w:rFonts w:hAnsi="宋体" w:cs="宋体"/>
          <w:b/>
          <w:bCs/>
          <w:color w:val="auto"/>
          <w:sz w:val="36"/>
          <w:szCs w:val="36"/>
          <w:highlight w:val="none"/>
        </w:rPr>
      </w:pPr>
      <w:r>
        <w:rPr>
          <w:rFonts w:ascii="Times New Roman" w:hAnsi="Times New Roman" w:eastAsia="Times New Roman"/>
          <w:color w:val="000000"/>
          <w:sz w:val="24"/>
          <w:szCs w:val="24"/>
          <w:highlight w:val="white"/>
          <w:lang w:eastAsia="en-US"/>
        </w:rPr>
        <w:br w:type="page"/>
      </w:r>
      <w:r>
        <w:rPr>
          <w:rFonts w:hint="eastAsia" w:hAnsi="宋体" w:cs="宋体"/>
          <w:b/>
          <w:bCs/>
          <w:color w:val="000000"/>
          <w:sz w:val="36"/>
          <w:szCs w:val="36"/>
          <w:highlight w:val="white"/>
        </w:rPr>
        <w:t>格式6 残疾人福利性单位声明函</w:t>
      </w:r>
    </w:p>
    <w:p w14:paraId="25F61768">
      <w:pPr>
        <w:spacing w:line="588" w:lineRule="exact"/>
        <w:rPr>
          <w:rFonts w:ascii="宋体" w:hAnsi="宋体" w:cs="宋体"/>
          <w:b/>
          <w:color w:val="auto"/>
          <w:spacing w:val="6"/>
          <w:sz w:val="30"/>
          <w:szCs w:val="30"/>
          <w:highlight w:val="none"/>
        </w:rPr>
      </w:pPr>
    </w:p>
    <w:p w14:paraId="35EAE3A1">
      <w:pPr>
        <w:spacing w:line="588" w:lineRule="exact"/>
        <w:ind w:firstLine="504" w:firstLineChars="200"/>
        <w:rPr>
          <w:rFonts w:ascii="宋体" w:hAnsi="宋体" w:cs="宋体"/>
          <w:color w:val="auto"/>
          <w:spacing w:val="6"/>
          <w:highlight w:val="none"/>
        </w:rPr>
      </w:pPr>
      <w:r>
        <w:rPr>
          <w:rFonts w:hint="eastAsia" w:ascii="宋体" w:hAnsi="宋体" w:cs="宋体"/>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9C994E7">
      <w:pPr>
        <w:spacing w:line="588" w:lineRule="exact"/>
        <w:ind w:firstLine="504" w:firstLineChars="200"/>
        <w:rPr>
          <w:rFonts w:ascii="宋体" w:hAnsi="宋体" w:cs="宋体"/>
          <w:color w:val="auto"/>
          <w:spacing w:val="6"/>
          <w:highlight w:val="none"/>
        </w:rPr>
      </w:pPr>
      <w:r>
        <w:rPr>
          <w:rFonts w:hint="eastAsia" w:ascii="宋体" w:hAnsi="宋体" w:cs="宋体"/>
          <w:color w:val="000000"/>
          <w:spacing w:val="6"/>
          <w:sz w:val="24"/>
          <w:highlight w:val="white"/>
        </w:rPr>
        <w:t>本单位对上述声明的真实性负责。如有虚假，将依法承担相应责任。</w:t>
      </w:r>
    </w:p>
    <w:p w14:paraId="1324CD0A">
      <w:pPr>
        <w:spacing w:line="588" w:lineRule="exact"/>
        <w:ind w:firstLine="444" w:firstLineChars="200"/>
        <w:rPr>
          <w:rFonts w:ascii="宋体" w:hAnsi="宋体"/>
          <w:color w:val="auto"/>
          <w:spacing w:val="6"/>
          <w:highlight w:val="none"/>
        </w:rPr>
      </w:pPr>
    </w:p>
    <w:p w14:paraId="08B3351C">
      <w:pPr>
        <w:spacing w:line="588" w:lineRule="exact"/>
        <w:ind w:firstLine="444" w:firstLineChars="200"/>
        <w:rPr>
          <w:rFonts w:ascii="宋体" w:hAnsi="宋体"/>
          <w:color w:val="auto"/>
          <w:spacing w:val="6"/>
          <w:highlight w:val="none"/>
        </w:rPr>
      </w:pPr>
    </w:p>
    <w:p w14:paraId="67F4D952">
      <w:pPr>
        <w:spacing w:line="588" w:lineRule="exact"/>
        <w:ind w:firstLine="3654" w:firstLineChars="1450"/>
        <w:rPr>
          <w:rFonts w:ascii="宋体" w:hAnsi="宋体"/>
          <w:color w:val="auto"/>
          <w:spacing w:val="6"/>
          <w:highlight w:val="none"/>
        </w:rPr>
      </w:pPr>
      <w:r>
        <w:rPr>
          <w:rFonts w:hint="eastAsia" w:ascii="宋体" w:hAnsi="宋体"/>
          <w:color w:val="000000"/>
          <w:spacing w:val="6"/>
          <w:sz w:val="24"/>
          <w:highlight w:val="white"/>
        </w:rPr>
        <w:t>单位名称（</w:t>
      </w:r>
      <w:r>
        <w:rPr>
          <w:rFonts w:hint="eastAsia" w:hAnsi="宋体" w:cs="宋体"/>
          <w:color w:val="000000"/>
          <w:sz w:val="24"/>
          <w:highlight w:val="white"/>
        </w:rPr>
        <w:t>电子签章</w:t>
      </w:r>
      <w:r>
        <w:rPr>
          <w:rFonts w:hint="eastAsia" w:ascii="宋体" w:hAnsi="宋体"/>
          <w:color w:val="000000"/>
          <w:spacing w:val="6"/>
          <w:sz w:val="24"/>
          <w:highlight w:val="white"/>
        </w:rPr>
        <w:t>）：</w:t>
      </w:r>
    </w:p>
    <w:p w14:paraId="7A7A2AED">
      <w:pPr>
        <w:spacing w:line="588" w:lineRule="exact"/>
        <w:ind w:firstLine="3780" w:firstLineChars="1500"/>
        <w:rPr>
          <w:rFonts w:ascii="宋体" w:hAnsi="宋体"/>
          <w:color w:val="auto"/>
          <w:spacing w:val="6"/>
          <w:highlight w:val="none"/>
        </w:rPr>
      </w:pPr>
      <w:r>
        <w:rPr>
          <w:rFonts w:hint="eastAsia" w:ascii="宋体" w:hAnsi="宋体"/>
          <w:color w:val="000000"/>
          <w:spacing w:val="6"/>
          <w:sz w:val="24"/>
          <w:highlight w:val="white"/>
        </w:rPr>
        <w:t>日期：</w:t>
      </w:r>
    </w:p>
    <w:p w14:paraId="125C519B">
      <w:pPr>
        <w:rPr>
          <w:highlight w:val="none"/>
        </w:rPr>
      </w:pPr>
      <w:r>
        <w:rPr>
          <w:rFonts w:hint="eastAsia" w:ascii="宋体" w:hAnsi="宋体"/>
          <w:color w:val="000000"/>
          <w:spacing w:val="6"/>
          <w:sz w:val="24"/>
          <w:highlight w:val="white"/>
        </w:rPr>
        <w:t>：</w:t>
      </w:r>
    </w:p>
    <w:p w14:paraId="0ED3730F">
      <w:pPr>
        <w:pStyle w:val="18"/>
        <w:topLinePunct/>
        <w:autoSpaceDE w:val="0"/>
        <w:autoSpaceDN w:val="0"/>
        <w:spacing w:line="460" w:lineRule="exact"/>
        <w:ind w:left="2"/>
        <w:jc w:val="center"/>
        <w:rPr>
          <w:rFonts w:hint="eastAsia" w:hAnsi="宋体" w:cs="宋体"/>
          <w:b/>
          <w:bCs/>
          <w:sz w:val="28"/>
          <w:szCs w:val="28"/>
          <w:highlight w:val="none"/>
        </w:rPr>
      </w:pPr>
      <w:r>
        <w:rPr>
          <w:rFonts w:ascii="Times New Roman" w:hAnsi="Times New Roman" w:eastAsia="Times New Roman"/>
          <w:color w:val="000000"/>
          <w:sz w:val="24"/>
          <w:szCs w:val="24"/>
          <w:highlight w:val="white"/>
          <w:lang w:eastAsia="en-US"/>
        </w:rPr>
        <w:br w:type="page"/>
      </w:r>
      <w:r>
        <w:rPr>
          <w:rFonts w:hint="eastAsia" w:hAnsi="宋体" w:cs="宋体"/>
          <w:b/>
          <w:bCs/>
          <w:color w:val="000000"/>
          <w:sz w:val="28"/>
          <w:szCs w:val="28"/>
          <w:highlight w:val="white"/>
        </w:rPr>
        <w:t>格式7 1.1分项报价表</w:t>
      </w:r>
    </w:p>
    <w:p w14:paraId="6866AF1F">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分项报价表-延续运维类服务费用</w:t>
      </w:r>
    </w:p>
    <w:tbl>
      <w:tblPr>
        <w:tblStyle w:val="31"/>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14:paraId="017AB632">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57317B08">
            <w:pPr>
              <w:widowControl/>
              <w:spacing w:after="0" w:line="240" w:lineRule="auto"/>
              <w:jc w:val="center"/>
              <w:rPr>
                <w:rFonts w:ascii="宋体" w:hAnsi="宋体" w:cs="宋体"/>
                <w:b/>
                <w:highlight w:val="none"/>
              </w:rPr>
            </w:pPr>
            <w:r>
              <w:rPr>
                <w:rFonts w:hint="eastAsia" w:ascii="宋体" w:hAnsi="宋体" w:cs="宋体"/>
                <w:b/>
                <w:color w:val="000000"/>
                <w:highlight w:val="white"/>
              </w:rPr>
              <w:t>序号</w:t>
            </w:r>
          </w:p>
        </w:tc>
        <w:tc>
          <w:tcPr>
            <w:tcW w:w="1692" w:type="dxa"/>
            <w:tcBorders>
              <w:top w:val="single" w:color="auto" w:sz="4" w:space="0"/>
              <w:left w:val="nil"/>
              <w:bottom w:val="single" w:color="auto" w:sz="4" w:space="0"/>
              <w:right w:val="single" w:color="auto" w:sz="4" w:space="0"/>
            </w:tcBorders>
            <w:noWrap/>
            <w:vAlign w:val="center"/>
          </w:tcPr>
          <w:p w14:paraId="1D88EA43">
            <w:pPr>
              <w:widowControl/>
              <w:spacing w:after="0" w:line="240" w:lineRule="auto"/>
              <w:ind w:left="-84" w:leftChars="-40" w:firstLine="82" w:firstLineChars="39"/>
              <w:jc w:val="center"/>
              <w:rPr>
                <w:rFonts w:ascii="宋体" w:hAnsi="宋体" w:cs="宋体"/>
                <w:b/>
                <w:highlight w:val="none"/>
              </w:rPr>
            </w:pPr>
            <w:r>
              <w:rPr>
                <w:rFonts w:hint="eastAsia" w:ascii="宋体" w:hAnsi="宋体" w:cs="宋体"/>
                <w:b/>
                <w:color w:val="000000"/>
                <w:highlight w:val="white"/>
              </w:rPr>
              <w:t>具体工作名称</w:t>
            </w:r>
          </w:p>
        </w:tc>
        <w:tc>
          <w:tcPr>
            <w:tcW w:w="1528" w:type="dxa"/>
            <w:tcBorders>
              <w:top w:val="single" w:color="auto" w:sz="4" w:space="0"/>
              <w:left w:val="nil"/>
              <w:bottom w:val="single" w:color="auto" w:sz="4" w:space="0"/>
              <w:right w:val="single" w:color="auto" w:sz="4" w:space="0"/>
            </w:tcBorders>
            <w:noWrap/>
            <w:vAlign w:val="center"/>
          </w:tcPr>
          <w:p w14:paraId="181A9FB2">
            <w:pPr>
              <w:widowControl/>
              <w:spacing w:after="0" w:line="240" w:lineRule="auto"/>
              <w:jc w:val="center"/>
              <w:rPr>
                <w:rFonts w:ascii="宋体" w:hAnsi="宋体" w:cs="宋体"/>
                <w:b/>
                <w:highlight w:val="none"/>
              </w:rPr>
            </w:pPr>
            <w:r>
              <w:rPr>
                <w:rFonts w:hint="eastAsia" w:ascii="宋体" w:hAnsi="宋体" w:cs="宋体"/>
                <w:b/>
                <w:color w:val="000000"/>
                <w:highlight w:val="white"/>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14:paraId="2F91942C">
            <w:pPr>
              <w:widowControl/>
              <w:spacing w:after="0" w:line="240" w:lineRule="auto"/>
              <w:jc w:val="center"/>
              <w:rPr>
                <w:rFonts w:ascii="宋体" w:hAnsi="宋体" w:cs="宋体"/>
                <w:b/>
                <w:highlight w:val="none"/>
              </w:rPr>
            </w:pPr>
            <w:r>
              <w:rPr>
                <w:rFonts w:hint="eastAsia" w:ascii="宋体" w:hAnsi="宋体" w:cs="宋体"/>
                <w:b/>
                <w:color w:val="000000"/>
                <w:highlight w:val="white"/>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14:paraId="02D66453">
            <w:pPr>
              <w:widowControl/>
              <w:spacing w:after="0" w:line="240" w:lineRule="auto"/>
              <w:jc w:val="center"/>
              <w:rPr>
                <w:rFonts w:ascii="宋体" w:hAnsi="宋体" w:cs="宋体"/>
                <w:b/>
                <w:highlight w:val="none"/>
              </w:rPr>
            </w:pPr>
            <w:r>
              <w:rPr>
                <w:rFonts w:hint="eastAsia" w:ascii="宋体" w:hAnsi="宋体" w:cs="宋体"/>
                <w:b/>
                <w:color w:val="000000"/>
                <w:highlight w:val="white"/>
              </w:rPr>
              <w:t>人员</w:t>
            </w:r>
          </w:p>
          <w:p w14:paraId="6081145D">
            <w:pPr>
              <w:widowControl/>
              <w:spacing w:after="0" w:line="240" w:lineRule="auto"/>
              <w:jc w:val="center"/>
              <w:rPr>
                <w:rFonts w:ascii="宋体" w:hAnsi="宋体" w:cs="宋体"/>
                <w:b/>
                <w:highlight w:val="none"/>
              </w:rPr>
            </w:pPr>
            <w:r>
              <w:rPr>
                <w:rFonts w:hint="eastAsia" w:ascii="宋体" w:hAnsi="宋体" w:cs="宋体"/>
                <w:b/>
                <w:color w:val="000000"/>
                <w:highlight w:val="white"/>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14:paraId="4DAD910A">
            <w:pPr>
              <w:widowControl/>
              <w:spacing w:after="0" w:line="240" w:lineRule="auto"/>
              <w:jc w:val="center"/>
              <w:rPr>
                <w:rFonts w:ascii="宋体" w:hAnsi="宋体" w:cs="宋体"/>
                <w:b/>
                <w:highlight w:val="none"/>
              </w:rPr>
            </w:pPr>
            <w:r>
              <w:rPr>
                <w:rFonts w:hint="eastAsia" w:ascii="宋体" w:hAnsi="宋体" w:cs="宋体"/>
                <w:b/>
                <w:color w:val="000000"/>
                <w:highlight w:val="white"/>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14:paraId="137B6107">
            <w:pPr>
              <w:widowControl/>
              <w:spacing w:after="0" w:line="240" w:lineRule="auto"/>
              <w:jc w:val="center"/>
              <w:rPr>
                <w:rFonts w:ascii="宋体" w:hAnsi="宋体" w:cs="宋体"/>
                <w:b/>
                <w:highlight w:val="none"/>
              </w:rPr>
            </w:pPr>
            <w:r>
              <w:rPr>
                <w:rFonts w:hint="eastAsia" w:ascii="宋体" w:hAnsi="宋体" w:cs="宋体"/>
                <w:b/>
                <w:color w:val="000000"/>
                <w:highlight w:val="white"/>
              </w:rPr>
              <w:t>单价</w:t>
            </w:r>
          </w:p>
          <w:p w14:paraId="340B3625">
            <w:pPr>
              <w:widowControl/>
              <w:spacing w:after="0" w:line="240" w:lineRule="auto"/>
              <w:jc w:val="center"/>
              <w:rPr>
                <w:rFonts w:ascii="宋体" w:hAnsi="宋体" w:cs="宋体"/>
                <w:b/>
                <w:highlight w:val="none"/>
              </w:rPr>
            </w:pPr>
            <w:r>
              <w:rPr>
                <w:rFonts w:hint="eastAsia" w:ascii="宋体" w:hAnsi="宋体" w:cs="宋体"/>
                <w:b/>
                <w:color w:val="000000"/>
                <w:highlight w:val="white"/>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14:paraId="10B8BD1D">
            <w:pPr>
              <w:widowControl/>
              <w:spacing w:after="0" w:line="240" w:lineRule="auto"/>
              <w:jc w:val="center"/>
              <w:rPr>
                <w:rFonts w:ascii="宋体" w:hAnsi="宋体" w:cs="宋体"/>
                <w:b/>
                <w:highlight w:val="none"/>
              </w:rPr>
            </w:pPr>
            <w:r>
              <w:rPr>
                <w:rFonts w:hint="eastAsia" w:ascii="宋体" w:hAnsi="宋体" w:cs="宋体"/>
                <w:b/>
                <w:color w:val="000000"/>
                <w:highlight w:val="white"/>
              </w:rPr>
              <w:t>小计</w:t>
            </w:r>
          </w:p>
          <w:p w14:paraId="65C3F9FD">
            <w:pPr>
              <w:widowControl/>
              <w:spacing w:after="0" w:line="240" w:lineRule="auto"/>
              <w:jc w:val="center"/>
              <w:rPr>
                <w:rFonts w:ascii="宋体" w:hAnsi="宋体" w:cs="宋体"/>
                <w:b/>
                <w:highlight w:val="none"/>
              </w:rPr>
            </w:pPr>
            <w:r>
              <w:rPr>
                <w:rFonts w:hint="eastAsia" w:ascii="宋体" w:hAnsi="宋体" w:cs="宋体"/>
                <w:b/>
                <w:color w:val="000000"/>
                <w:highlight w:val="white"/>
              </w:rPr>
              <w:t>（元）</w:t>
            </w:r>
          </w:p>
        </w:tc>
        <w:tc>
          <w:tcPr>
            <w:tcW w:w="643" w:type="dxa"/>
            <w:tcBorders>
              <w:top w:val="single" w:color="auto" w:sz="4" w:space="0"/>
              <w:left w:val="nil"/>
              <w:bottom w:val="single" w:color="auto" w:sz="4" w:space="0"/>
              <w:right w:val="single" w:color="auto" w:sz="4" w:space="0"/>
            </w:tcBorders>
            <w:noWrap/>
            <w:vAlign w:val="center"/>
          </w:tcPr>
          <w:p w14:paraId="6858B13D">
            <w:pPr>
              <w:spacing w:after="0" w:line="240" w:lineRule="auto"/>
              <w:jc w:val="center"/>
              <w:rPr>
                <w:rFonts w:ascii="宋体" w:hAnsi="宋体" w:cs="宋体"/>
                <w:b/>
                <w:highlight w:val="none"/>
              </w:rPr>
            </w:pPr>
            <w:r>
              <w:rPr>
                <w:rFonts w:hint="eastAsia" w:ascii="宋体" w:hAnsi="宋体" w:cs="宋体"/>
                <w:b/>
                <w:color w:val="000000"/>
                <w:highlight w:val="white"/>
              </w:rPr>
              <w:t>备注</w:t>
            </w:r>
          </w:p>
        </w:tc>
      </w:tr>
      <w:tr w14:paraId="31796272">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52F0206">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1</w:t>
            </w:r>
          </w:p>
        </w:tc>
        <w:tc>
          <w:tcPr>
            <w:tcW w:w="1692" w:type="dxa"/>
            <w:tcBorders>
              <w:top w:val="single" w:color="auto" w:sz="4" w:space="0"/>
              <w:left w:val="nil"/>
              <w:bottom w:val="single" w:color="auto" w:sz="4" w:space="0"/>
              <w:right w:val="single" w:color="auto" w:sz="4" w:space="0"/>
            </w:tcBorders>
            <w:noWrap/>
            <w:vAlign w:val="center"/>
          </w:tcPr>
          <w:p w14:paraId="21AFF934">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383399C5">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09FA97E4">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1CAA9956">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1230AF58">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D966FF2">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64D6A45F">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2A9E84FC">
            <w:pPr>
              <w:tabs>
                <w:tab w:val="left" w:pos="425"/>
              </w:tabs>
              <w:snapToGrid w:val="0"/>
              <w:spacing w:after="0" w:line="240" w:lineRule="auto"/>
              <w:jc w:val="center"/>
              <w:rPr>
                <w:rFonts w:ascii="宋体" w:hAnsi="宋体" w:cs="宋体"/>
                <w:highlight w:val="none"/>
              </w:rPr>
            </w:pPr>
          </w:p>
        </w:tc>
      </w:tr>
      <w:tr w14:paraId="59B837A0">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1EB29DA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2</w:t>
            </w:r>
          </w:p>
        </w:tc>
        <w:tc>
          <w:tcPr>
            <w:tcW w:w="1692" w:type="dxa"/>
            <w:tcBorders>
              <w:top w:val="single" w:color="auto" w:sz="4" w:space="0"/>
              <w:left w:val="nil"/>
              <w:bottom w:val="single" w:color="auto" w:sz="4" w:space="0"/>
              <w:right w:val="single" w:color="auto" w:sz="4" w:space="0"/>
            </w:tcBorders>
            <w:noWrap/>
            <w:vAlign w:val="center"/>
          </w:tcPr>
          <w:p w14:paraId="0CFFD58E">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4AEC4AE">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2BBD42ED">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38CC6018">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16571955">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AD16665">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9B69FC5">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04D0920A">
            <w:pPr>
              <w:tabs>
                <w:tab w:val="left" w:pos="425"/>
              </w:tabs>
              <w:snapToGrid w:val="0"/>
              <w:spacing w:after="0" w:line="240" w:lineRule="auto"/>
              <w:jc w:val="center"/>
              <w:rPr>
                <w:rFonts w:ascii="宋体" w:hAnsi="宋体" w:cs="宋体"/>
                <w:highlight w:val="none"/>
              </w:rPr>
            </w:pPr>
          </w:p>
        </w:tc>
      </w:tr>
      <w:tr w14:paraId="5041660D">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37B5919">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3</w:t>
            </w:r>
          </w:p>
        </w:tc>
        <w:tc>
          <w:tcPr>
            <w:tcW w:w="1692" w:type="dxa"/>
            <w:tcBorders>
              <w:top w:val="single" w:color="auto" w:sz="4" w:space="0"/>
              <w:left w:val="nil"/>
              <w:bottom w:val="single" w:color="auto" w:sz="4" w:space="0"/>
              <w:right w:val="single" w:color="auto" w:sz="4" w:space="0"/>
            </w:tcBorders>
            <w:noWrap/>
            <w:vAlign w:val="center"/>
          </w:tcPr>
          <w:p w14:paraId="267EB7FD">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52813B76">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06BBB1E4">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0C016CAA">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34434362">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6596A14B">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223355EC">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6B398E7E">
            <w:pPr>
              <w:tabs>
                <w:tab w:val="left" w:pos="425"/>
              </w:tabs>
              <w:snapToGrid w:val="0"/>
              <w:spacing w:after="0" w:line="240" w:lineRule="auto"/>
              <w:jc w:val="center"/>
              <w:rPr>
                <w:rFonts w:ascii="宋体" w:hAnsi="宋体" w:cs="宋体"/>
                <w:highlight w:val="none"/>
              </w:rPr>
            </w:pPr>
          </w:p>
        </w:tc>
      </w:tr>
      <w:tr w14:paraId="7933B987">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14:paraId="442D06D7">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4</w:t>
            </w:r>
          </w:p>
        </w:tc>
        <w:tc>
          <w:tcPr>
            <w:tcW w:w="1692" w:type="dxa"/>
            <w:tcBorders>
              <w:top w:val="nil"/>
              <w:left w:val="nil"/>
              <w:bottom w:val="single" w:color="auto" w:sz="4" w:space="0"/>
              <w:right w:val="single" w:color="auto" w:sz="4" w:space="0"/>
            </w:tcBorders>
            <w:noWrap/>
            <w:vAlign w:val="center"/>
          </w:tcPr>
          <w:p w14:paraId="68321B2B">
            <w:pPr>
              <w:spacing w:after="0" w:line="240" w:lineRule="auto"/>
              <w:jc w:val="center"/>
              <w:rPr>
                <w:rFonts w:ascii="宋体" w:hAnsi="宋体" w:cs="宋体"/>
                <w:highlight w:val="none"/>
              </w:rPr>
            </w:pPr>
          </w:p>
        </w:tc>
        <w:tc>
          <w:tcPr>
            <w:tcW w:w="1528" w:type="dxa"/>
            <w:tcBorders>
              <w:top w:val="nil"/>
              <w:left w:val="nil"/>
              <w:bottom w:val="single" w:color="auto" w:sz="4" w:space="0"/>
              <w:right w:val="single" w:color="auto" w:sz="4" w:space="0"/>
            </w:tcBorders>
            <w:noWrap/>
            <w:vAlign w:val="center"/>
          </w:tcPr>
          <w:p w14:paraId="3A3CFED6">
            <w:pPr>
              <w:tabs>
                <w:tab w:val="left" w:pos="425"/>
              </w:tabs>
              <w:snapToGrid w:val="0"/>
              <w:spacing w:after="0" w:line="240" w:lineRule="auto"/>
              <w:jc w:val="center"/>
              <w:rPr>
                <w:rFonts w:ascii="宋体" w:hAnsi="宋体" w:cs="宋体"/>
                <w:highlight w:val="none"/>
              </w:rPr>
            </w:pPr>
          </w:p>
        </w:tc>
        <w:tc>
          <w:tcPr>
            <w:tcW w:w="1134" w:type="dxa"/>
            <w:tcBorders>
              <w:top w:val="nil"/>
              <w:left w:val="single" w:color="auto" w:sz="4" w:space="0"/>
              <w:bottom w:val="single" w:color="auto" w:sz="4" w:space="0"/>
              <w:right w:val="single" w:color="auto" w:sz="4" w:space="0"/>
            </w:tcBorders>
            <w:noWrap/>
            <w:vAlign w:val="center"/>
          </w:tcPr>
          <w:p w14:paraId="45CF2FCC">
            <w:pPr>
              <w:tabs>
                <w:tab w:val="left" w:pos="425"/>
              </w:tabs>
              <w:snapToGrid w:val="0"/>
              <w:spacing w:after="0" w:line="240" w:lineRule="auto"/>
              <w:jc w:val="center"/>
              <w:rPr>
                <w:rFonts w:ascii="宋体" w:hAnsi="宋体" w:cs="宋体"/>
                <w:highlight w:val="none"/>
              </w:rPr>
            </w:pPr>
          </w:p>
        </w:tc>
        <w:tc>
          <w:tcPr>
            <w:tcW w:w="937" w:type="dxa"/>
            <w:tcBorders>
              <w:top w:val="nil"/>
              <w:left w:val="single" w:color="auto" w:sz="4" w:space="0"/>
              <w:bottom w:val="single" w:color="auto" w:sz="4" w:space="0"/>
              <w:right w:val="single" w:color="auto" w:sz="4" w:space="0"/>
            </w:tcBorders>
            <w:noWrap/>
            <w:vAlign w:val="center"/>
          </w:tcPr>
          <w:p w14:paraId="2EEE4EF7">
            <w:pPr>
              <w:tabs>
                <w:tab w:val="left" w:pos="425"/>
              </w:tabs>
              <w:snapToGrid w:val="0"/>
              <w:spacing w:after="0" w:line="240" w:lineRule="auto"/>
              <w:jc w:val="center"/>
              <w:rPr>
                <w:rFonts w:ascii="宋体" w:hAnsi="宋体" w:cs="宋体"/>
                <w:highlight w:val="none"/>
              </w:rPr>
            </w:pPr>
          </w:p>
        </w:tc>
        <w:tc>
          <w:tcPr>
            <w:tcW w:w="1260" w:type="dxa"/>
            <w:tcBorders>
              <w:top w:val="nil"/>
              <w:left w:val="single" w:color="auto" w:sz="4" w:space="0"/>
              <w:bottom w:val="single" w:color="auto" w:sz="4" w:space="0"/>
              <w:right w:val="single" w:color="auto" w:sz="4" w:space="0"/>
            </w:tcBorders>
            <w:noWrap/>
            <w:vAlign w:val="center"/>
          </w:tcPr>
          <w:p w14:paraId="044D3C40">
            <w:pPr>
              <w:tabs>
                <w:tab w:val="left" w:pos="425"/>
              </w:tabs>
              <w:snapToGrid w:val="0"/>
              <w:spacing w:after="0" w:line="240" w:lineRule="auto"/>
              <w:jc w:val="center"/>
              <w:rPr>
                <w:rFonts w:ascii="宋体" w:hAnsi="宋体" w:cs="宋体"/>
                <w:highlight w:val="none"/>
              </w:rPr>
            </w:pPr>
          </w:p>
        </w:tc>
        <w:tc>
          <w:tcPr>
            <w:tcW w:w="1317" w:type="dxa"/>
            <w:tcBorders>
              <w:top w:val="nil"/>
              <w:left w:val="single" w:color="auto" w:sz="4" w:space="0"/>
              <w:bottom w:val="single" w:color="auto" w:sz="4" w:space="0"/>
              <w:right w:val="single" w:color="auto" w:sz="4" w:space="0"/>
            </w:tcBorders>
            <w:noWrap/>
            <w:vAlign w:val="center"/>
          </w:tcPr>
          <w:p w14:paraId="0C97B1C0">
            <w:pPr>
              <w:tabs>
                <w:tab w:val="left" w:pos="425"/>
              </w:tabs>
              <w:snapToGrid w:val="0"/>
              <w:spacing w:after="0" w:line="240" w:lineRule="auto"/>
              <w:jc w:val="center"/>
              <w:rPr>
                <w:rFonts w:ascii="宋体" w:hAnsi="宋体" w:cs="宋体"/>
                <w:highlight w:val="none"/>
              </w:rPr>
            </w:pPr>
          </w:p>
        </w:tc>
        <w:tc>
          <w:tcPr>
            <w:tcW w:w="1343" w:type="dxa"/>
            <w:tcBorders>
              <w:top w:val="nil"/>
              <w:left w:val="single" w:color="auto" w:sz="4" w:space="0"/>
              <w:bottom w:val="single" w:color="auto" w:sz="4" w:space="0"/>
              <w:right w:val="single" w:color="auto" w:sz="4" w:space="0"/>
            </w:tcBorders>
            <w:noWrap/>
            <w:vAlign w:val="center"/>
          </w:tcPr>
          <w:p w14:paraId="3F31EA18">
            <w:pPr>
              <w:tabs>
                <w:tab w:val="left" w:pos="425"/>
              </w:tabs>
              <w:snapToGrid w:val="0"/>
              <w:spacing w:after="0" w:line="240" w:lineRule="auto"/>
              <w:jc w:val="center"/>
              <w:rPr>
                <w:rFonts w:ascii="宋体" w:hAnsi="宋体" w:cs="宋体"/>
                <w:highlight w:val="none"/>
              </w:rPr>
            </w:pPr>
          </w:p>
        </w:tc>
        <w:tc>
          <w:tcPr>
            <w:tcW w:w="643" w:type="dxa"/>
            <w:tcBorders>
              <w:top w:val="nil"/>
              <w:left w:val="single" w:color="auto" w:sz="4" w:space="0"/>
              <w:bottom w:val="single" w:color="auto" w:sz="4" w:space="0"/>
              <w:right w:val="single" w:color="auto" w:sz="4" w:space="0"/>
            </w:tcBorders>
            <w:noWrap/>
            <w:vAlign w:val="center"/>
          </w:tcPr>
          <w:p w14:paraId="71B16D86">
            <w:pPr>
              <w:tabs>
                <w:tab w:val="left" w:pos="425"/>
              </w:tabs>
              <w:snapToGrid w:val="0"/>
              <w:spacing w:after="0" w:line="240" w:lineRule="auto"/>
              <w:jc w:val="center"/>
              <w:rPr>
                <w:rFonts w:ascii="宋体" w:hAnsi="宋体" w:cs="宋体"/>
                <w:highlight w:val="none"/>
              </w:rPr>
            </w:pPr>
          </w:p>
        </w:tc>
      </w:tr>
      <w:tr w14:paraId="201DA0B4">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BC2FB6C">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5</w:t>
            </w:r>
          </w:p>
        </w:tc>
        <w:tc>
          <w:tcPr>
            <w:tcW w:w="1692" w:type="dxa"/>
            <w:tcBorders>
              <w:top w:val="single" w:color="auto" w:sz="4" w:space="0"/>
              <w:left w:val="nil"/>
              <w:bottom w:val="single" w:color="auto" w:sz="4" w:space="0"/>
              <w:right w:val="single" w:color="auto" w:sz="4" w:space="0"/>
            </w:tcBorders>
            <w:noWrap/>
            <w:vAlign w:val="center"/>
          </w:tcPr>
          <w:p w14:paraId="54B48EAE">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37E39636">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058E54BB">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59415DCA">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5B2DC56F">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3F600394">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8575947">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5F0213E4">
            <w:pPr>
              <w:tabs>
                <w:tab w:val="left" w:pos="425"/>
              </w:tabs>
              <w:snapToGrid w:val="0"/>
              <w:spacing w:after="0" w:line="240" w:lineRule="auto"/>
              <w:jc w:val="center"/>
              <w:rPr>
                <w:rFonts w:ascii="宋体" w:hAnsi="宋体" w:cs="宋体"/>
                <w:highlight w:val="none"/>
              </w:rPr>
            </w:pPr>
          </w:p>
        </w:tc>
      </w:tr>
      <w:tr w14:paraId="2F1A77F9">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555A233E">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w:t>
            </w:r>
          </w:p>
        </w:tc>
        <w:tc>
          <w:tcPr>
            <w:tcW w:w="1692" w:type="dxa"/>
            <w:tcBorders>
              <w:top w:val="single" w:color="auto" w:sz="4" w:space="0"/>
              <w:left w:val="nil"/>
              <w:bottom w:val="single" w:color="auto" w:sz="4" w:space="0"/>
              <w:right w:val="single" w:color="auto" w:sz="4" w:space="0"/>
            </w:tcBorders>
            <w:noWrap/>
            <w:vAlign w:val="center"/>
          </w:tcPr>
          <w:p w14:paraId="7ECB2060">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BE14B8F">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569B8A96">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76BD8CC6">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440F1380">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544A3685">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A83A682">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0934FA55">
            <w:pPr>
              <w:tabs>
                <w:tab w:val="left" w:pos="425"/>
              </w:tabs>
              <w:snapToGrid w:val="0"/>
              <w:spacing w:after="0" w:line="240" w:lineRule="auto"/>
              <w:jc w:val="center"/>
              <w:rPr>
                <w:rFonts w:ascii="宋体" w:hAnsi="宋体" w:cs="宋体"/>
                <w:highlight w:val="none"/>
              </w:rPr>
            </w:pPr>
          </w:p>
        </w:tc>
      </w:tr>
      <w:tr w14:paraId="1F31D769">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14:paraId="229340B8">
            <w:pPr>
              <w:tabs>
                <w:tab w:val="left" w:pos="425"/>
              </w:tabs>
              <w:snapToGrid w:val="0"/>
              <w:spacing w:after="0" w:line="240" w:lineRule="auto"/>
              <w:jc w:val="center"/>
              <w:rPr>
                <w:rFonts w:ascii="宋体" w:hAnsi="宋体" w:cs="宋体"/>
                <w:b/>
                <w:highlight w:val="none"/>
              </w:rPr>
            </w:pPr>
            <w:r>
              <w:rPr>
                <w:rFonts w:hint="eastAsia" w:ascii="宋体" w:hAnsi="宋体" w:cs="宋体"/>
                <w:b/>
                <w:color w:val="000000"/>
                <w:highlight w:val="white"/>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14:paraId="1DB09E4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14:paraId="4F653F70">
            <w:pPr>
              <w:tabs>
                <w:tab w:val="left" w:pos="425"/>
              </w:tabs>
              <w:snapToGrid w:val="0"/>
              <w:spacing w:after="0" w:line="240" w:lineRule="auto"/>
              <w:jc w:val="center"/>
              <w:rPr>
                <w:rFonts w:ascii="宋体" w:hAnsi="宋体" w:cs="宋体"/>
                <w:w w:val="90"/>
                <w:highlight w:val="none"/>
              </w:rPr>
            </w:pPr>
            <w:r>
              <w:rPr>
                <w:rFonts w:hint="eastAsia" w:ascii="宋体" w:hAnsi="宋体" w:cs="宋体"/>
                <w:color w:val="000000"/>
                <w:w w:val="90"/>
                <w:highlight w:val="white"/>
              </w:rPr>
              <w:t>――――--</w:t>
            </w:r>
          </w:p>
        </w:tc>
        <w:tc>
          <w:tcPr>
            <w:tcW w:w="1343" w:type="dxa"/>
            <w:tcBorders>
              <w:top w:val="single" w:color="auto" w:sz="4" w:space="0"/>
              <w:left w:val="single" w:color="auto" w:sz="4" w:space="0"/>
              <w:bottom w:val="single" w:color="auto" w:sz="4" w:space="0"/>
              <w:right w:val="single" w:color="auto" w:sz="4" w:space="0"/>
            </w:tcBorders>
            <w:noWrap/>
            <w:vAlign w:val="center"/>
          </w:tcPr>
          <w:p w14:paraId="714AC3E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14:paraId="399C574C">
            <w:pPr>
              <w:tabs>
                <w:tab w:val="left" w:pos="425"/>
              </w:tabs>
              <w:snapToGrid w:val="0"/>
              <w:spacing w:after="0" w:line="240" w:lineRule="auto"/>
              <w:jc w:val="center"/>
              <w:rPr>
                <w:rFonts w:ascii="宋体" w:hAnsi="宋体" w:cs="宋体"/>
                <w:highlight w:val="none"/>
              </w:rPr>
            </w:pPr>
          </w:p>
        </w:tc>
      </w:tr>
    </w:tbl>
    <w:p w14:paraId="7797D1B7">
      <w:pPr>
        <w:adjustRightInd w:val="0"/>
        <w:snapToGrid w:val="0"/>
        <w:spacing w:after="0" w:line="360" w:lineRule="auto"/>
        <w:rPr>
          <w:rFonts w:ascii="宋体" w:hAnsi="宋体" w:cs="宋体"/>
          <w:highlight w:val="none"/>
        </w:rPr>
      </w:pPr>
    </w:p>
    <w:p w14:paraId="24987A8A">
      <w:pPr>
        <w:rPr>
          <w:highlight w:val="none"/>
        </w:rPr>
      </w:pPr>
    </w:p>
    <w:p w14:paraId="7A58D998">
      <w:pPr>
        <w:pStyle w:val="18"/>
        <w:topLinePunct/>
        <w:autoSpaceDE w:val="0"/>
        <w:autoSpaceDN w:val="0"/>
        <w:spacing w:line="460" w:lineRule="exact"/>
        <w:ind w:left="2"/>
        <w:jc w:val="center"/>
        <w:rPr>
          <w:rFonts w:hint="eastAsia" w:hAnsi="宋体" w:cs="宋体"/>
          <w:b/>
          <w:bCs/>
          <w:sz w:val="28"/>
          <w:szCs w:val="28"/>
          <w:highlight w:val="none"/>
        </w:rPr>
      </w:pPr>
    </w:p>
    <w:p w14:paraId="41413358">
      <w:pPr>
        <w:pStyle w:val="18"/>
        <w:topLinePunct/>
        <w:autoSpaceDE w:val="0"/>
        <w:autoSpaceDN w:val="0"/>
        <w:spacing w:line="460" w:lineRule="exact"/>
        <w:ind w:left="2"/>
        <w:jc w:val="center"/>
        <w:rPr>
          <w:rFonts w:hint="eastAsia" w:hAnsi="宋体" w:cs="宋体"/>
          <w:b/>
          <w:bCs/>
          <w:sz w:val="28"/>
          <w:szCs w:val="28"/>
          <w:highlight w:val="none"/>
        </w:rPr>
      </w:pPr>
    </w:p>
    <w:p w14:paraId="38FC8995">
      <w:pPr>
        <w:pStyle w:val="18"/>
        <w:topLinePunct/>
        <w:autoSpaceDE w:val="0"/>
        <w:autoSpaceDN w:val="0"/>
        <w:spacing w:line="460" w:lineRule="exact"/>
        <w:ind w:left="2"/>
        <w:jc w:val="center"/>
        <w:rPr>
          <w:rFonts w:hint="eastAsia" w:hAnsi="宋体" w:cs="宋体"/>
          <w:b/>
          <w:bCs/>
          <w:sz w:val="28"/>
          <w:szCs w:val="28"/>
          <w:highlight w:val="none"/>
        </w:rPr>
      </w:pPr>
    </w:p>
    <w:p w14:paraId="13C8F0AF">
      <w:pPr>
        <w:pStyle w:val="18"/>
        <w:topLinePunct/>
        <w:autoSpaceDE w:val="0"/>
        <w:autoSpaceDN w:val="0"/>
        <w:spacing w:line="460" w:lineRule="exact"/>
        <w:ind w:left="2"/>
        <w:jc w:val="center"/>
        <w:rPr>
          <w:rFonts w:hint="eastAsia" w:hAnsi="宋体" w:cs="宋体"/>
          <w:b/>
          <w:bCs/>
          <w:sz w:val="28"/>
          <w:szCs w:val="28"/>
          <w:highlight w:val="none"/>
        </w:rPr>
      </w:pPr>
    </w:p>
    <w:p w14:paraId="30349F29">
      <w:pPr>
        <w:pStyle w:val="18"/>
        <w:topLinePunct/>
        <w:autoSpaceDE w:val="0"/>
        <w:autoSpaceDN w:val="0"/>
        <w:spacing w:line="460" w:lineRule="exact"/>
        <w:ind w:left="2"/>
        <w:jc w:val="center"/>
        <w:rPr>
          <w:rFonts w:hint="eastAsia" w:hAnsi="宋体" w:cs="宋体"/>
          <w:b/>
          <w:bCs/>
          <w:sz w:val="28"/>
          <w:szCs w:val="28"/>
          <w:highlight w:val="none"/>
        </w:rPr>
      </w:pPr>
    </w:p>
    <w:p w14:paraId="0228B99F">
      <w:pPr>
        <w:pStyle w:val="18"/>
        <w:topLinePunct/>
        <w:autoSpaceDE w:val="0"/>
        <w:autoSpaceDN w:val="0"/>
        <w:spacing w:line="460" w:lineRule="exact"/>
        <w:ind w:left="2"/>
        <w:jc w:val="center"/>
        <w:rPr>
          <w:rFonts w:hint="eastAsia" w:hAnsi="宋体" w:cs="宋体"/>
          <w:b/>
          <w:bCs/>
          <w:sz w:val="28"/>
          <w:szCs w:val="28"/>
          <w:highlight w:val="none"/>
        </w:rPr>
      </w:pPr>
    </w:p>
    <w:p w14:paraId="48C6A52C">
      <w:pPr>
        <w:pStyle w:val="18"/>
        <w:topLinePunct/>
        <w:autoSpaceDE w:val="0"/>
        <w:autoSpaceDN w:val="0"/>
        <w:spacing w:line="460" w:lineRule="exact"/>
        <w:ind w:left="2"/>
        <w:jc w:val="center"/>
        <w:rPr>
          <w:rFonts w:hint="eastAsia" w:hAnsi="宋体" w:cs="宋体"/>
          <w:b/>
          <w:bCs/>
          <w:sz w:val="28"/>
          <w:szCs w:val="28"/>
          <w:highlight w:val="none"/>
        </w:rPr>
      </w:pPr>
    </w:p>
    <w:p w14:paraId="309665F6">
      <w:pPr>
        <w:pStyle w:val="18"/>
        <w:topLinePunct/>
        <w:autoSpaceDE w:val="0"/>
        <w:autoSpaceDN w:val="0"/>
        <w:spacing w:line="460" w:lineRule="exact"/>
        <w:ind w:left="2"/>
        <w:jc w:val="center"/>
        <w:rPr>
          <w:rFonts w:hint="eastAsia" w:hAnsi="宋体" w:cs="宋体"/>
          <w:b/>
          <w:bCs/>
          <w:sz w:val="28"/>
          <w:szCs w:val="28"/>
          <w:highlight w:val="none"/>
        </w:rPr>
      </w:pPr>
    </w:p>
    <w:p w14:paraId="6F40BC12">
      <w:pPr>
        <w:pStyle w:val="18"/>
        <w:topLinePunct/>
        <w:autoSpaceDE w:val="0"/>
        <w:autoSpaceDN w:val="0"/>
        <w:spacing w:line="460" w:lineRule="exact"/>
        <w:ind w:left="2"/>
        <w:jc w:val="center"/>
        <w:rPr>
          <w:rFonts w:hint="eastAsia" w:hAnsi="宋体" w:cs="宋体"/>
          <w:b/>
          <w:bCs/>
          <w:sz w:val="28"/>
          <w:szCs w:val="28"/>
          <w:highlight w:val="none"/>
        </w:rPr>
      </w:pPr>
    </w:p>
    <w:p w14:paraId="4EEA1C53">
      <w:pPr>
        <w:pStyle w:val="18"/>
        <w:topLinePunct/>
        <w:autoSpaceDE w:val="0"/>
        <w:autoSpaceDN w:val="0"/>
        <w:spacing w:line="460" w:lineRule="exact"/>
        <w:ind w:left="2"/>
        <w:jc w:val="center"/>
        <w:rPr>
          <w:rFonts w:hint="eastAsia" w:hAnsi="宋体" w:cs="宋体"/>
          <w:b/>
          <w:bCs/>
          <w:sz w:val="28"/>
          <w:szCs w:val="28"/>
          <w:highlight w:val="none"/>
        </w:rPr>
      </w:pPr>
    </w:p>
    <w:p w14:paraId="10044CB6">
      <w:pPr>
        <w:pStyle w:val="18"/>
        <w:topLinePunct/>
        <w:autoSpaceDE w:val="0"/>
        <w:autoSpaceDN w:val="0"/>
        <w:spacing w:line="460" w:lineRule="exact"/>
        <w:ind w:left="2"/>
        <w:jc w:val="center"/>
        <w:rPr>
          <w:rFonts w:hint="eastAsia" w:hAnsi="宋体" w:cs="宋体"/>
          <w:b/>
          <w:bCs/>
          <w:sz w:val="28"/>
          <w:szCs w:val="28"/>
          <w:highlight w:val="none"/>
        </w:rPr>
      </w:pPr>
    </w:p>
    <w:p w14:paraId="326009FF">
      <w:pPr>
        <w:pStyle w:val="18"/>
        <w:topLinePunct/>
        <w:autoSpaceDE w:val="0"/>
        <w:autoSpaceDN w:val="0"/>
        <w:spacing w:line="460" w:lineRule="exact"/>
        <w:ind w:left="2"/>
        <w:jc w:val="center"/>
        <w:rPr>
          <w:rFonts w:hint="eastAsia" w:hAnsi="宋体" w:cs="宋体"/>
          <w:b/>
          <w:bCs/>
          <w:sz w:val="28"/>
          <w:szCs w:val="28"/>
          <w:highlight w:val="none"/>
        </w:rPr>
      </w:pPr>
    </w:p>
    <w:p w14:paraId="21104383">
      <w:pPr>
        <w:pStyle w:val="18"/>
        <w:topLinePunct/>
        <w:autoSpaceDE w:val="0"/>
        <w:autoSpaceDN w:val="0"/>
        <w:spacing w:line="460" w:lineRule="exact"/>
        <w:ind w:left="2"/>
        <w:jc w:val="center"/>
        <w:rPr>
          <w:rFonts w:hint="eastAsia" w:hAnsi="宋体" w:cs="宋体"/>
          <w:b/>
          <w:bCs/>
          <w:sz w:val="28"/>
          <w:szCs w:val="28"/>
          <w:highlight w:val="none"/>
        </w:rPr>
      </w:pPr>
    </w:p>
    <w:p w14:paraId="6F9C0512">
      <w:pPr>
        <w:pStyle w:val="18"/>
        <w:topLinePunct/>
        <w:autoSpaceDE w:val="0"/>
        <w:autoSpaceDN w:val="0"/>
        <w:spacing w:line="460" w:lineRule="exact"/>
        <w:ind w:left="2"/>
        <w:jc w:val="center"/>
        <w:rPr>
          <w:rFonts w:hint="eastAsia" w:hAnsi="宋体" w:cs="宋体"/>
          <w:b/>
          <w:bCs/>
          <w:sz w:val="28"/>
          <w:szCs w:val="28"/>
          <w:highlight w:val="none"/>
        </w:rPr>
      </w:pPr>
    </w:p>
    <w:p w14:paraId="2EF9922C">
      <w:pPr>
        <w:pStyle w:val="18"/>
        <w:topLinePunct/>
        <w:autoSpaceDE w:val="0"/>
        <w:autoSpaceDN w:val="0"/>
        <w:spacing w:line="460" w:lineRule="exact"/>
        <w:ind w:left="2"/>
        <w:jc w:val="center"/>
        <w:rPr>
          <w:rFonts w:hint="eastAsia" w:hAnsi="宋体" w:cs="宋体"/>
          <w:b/>
          <w:bCs/>
          <w:sz w:val="28"/>
          <w:szCs w:val="28"/>
          <w:highlight w:val="none"/>
        </w:rPr>
      </w:pPr>
      <w:r>
        <w:rPr>
          <w:rFonts w:hint="eastAsia" w:hAnsi="宋体" w:cs="宋体"/>
          <w:b/>
          <w:bCs/>
          <w:color w:val="000000"/>
          <w:sz w:val="28"/>
          <w:szCs w:val="28"/>
          <w:highlight w:val="white"/>
          <w:lang w:val="en-US" w:eastAsia="zh-CN"/>
        </w:rPr>
        <w:t>1.2</w:t>
      </w:r>
      <w:r>
        <w:rPr>
          <w:rFonts w:hint="eastAsia" w:hAnsi="宋体" w:cs="宋体"/>
          <w:b/>
          <w:bCs/>
          <w:color w:val="000000"/>
          <w:sz w:val="28"/>
          <w:szCs w:val="28"/>
          <w:highlight w:val="white"/>
        </w:rPr>
        <w:t>分项报价表</w:t>
      </w:r>
    </w:p>
    <w:p w14:paraId="557B7ACD">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分项报价表-延续运维服务类费用</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7"/>
        <w:gridCol w:w="1983"/>
        <w:gridCol w:w="1655"/>
        <w:gridCol w:w="1477"/>
        <w:gridCol w:w="1720"/>
      </w:tblGrid>
      <w:tr w14:paraId="53BDD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1687" w:type="dxa"/>
          </w:tcPr>
          <w:p w14:paraId="35A5C7B7">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序号</w:t>
            </w:r>
          </w:p>
        </w:tc>
        <w:tc>
          <w:tcPr>
            <w:tcW w:w="1983" w:type="dxa"/>
          </w:tcPr>
          <w:p w14:paraId="62E42D57">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内容</w:t>
            </w:r>
          </w:p>
        </w:tc>
        <w:tc>
          <w:tcPr>
            <w:tcW w:w="1655" w:type="dxa"/>
          </w:tcPr>
          <w:p w14:paraId="437BB454">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单价（元</w:t>
            </w:r>
            <w:r>
              <w:rPr>
                <w:rFonts w:hint="default" w:hAnsi="宋体" w:cs="宋体"/>
                <w:b/>
                <w:bCs/>
                <w:color w:val="000000"/>
                <w:sz w:val="24"/>
                <w:szCs w:val="24"/>
                <w:highlight w:val="white"/>
                <w:vertAlign w:val="baseline"/>
                <w:lang w:val="en" w:eastAsia="zh-CN"/>
              </w:rPr>
              <w:t>/</w:t>
            </w:r>
            <w:r>
              <w:rPr>
                <w:rFonts w:hint="eastAsia" w:hAnsi="宋体" w:cs="宋体"/>
                <w:b/>
                <w:bCs/>
                <w:color w:val="000000"/>
                <w:sz w:val="24"/>
                <w:szCs w:val="24"/>
                <w:highlight w:val="white"/>
                <w:vertAlign w:val="baseline"/>
                <w:lang w:val="en" w:eastAsia="zh-CN"/>
              </w:rPr>
              <w:t>月</w:t>
            </w:r>
            <w:r>
              <w:rPr>
                <w:rFonts w:hint="eastAsia" w:hAnsi="宋体" w:cs="宋体"/>
                <w:b/>
                <w:bCs/>
                <w:color w:val="000000"/>
                <w:sz w:val="24"/>
                <w:szCs w:val="24"/>
                <w:highlight w:val="white"/>
                <w:vertAlign w:val="baseline"/>
                <w:lang w:eastAsia="zh-CN"/>
              </w:rPr>
              <w:t>）</w:t>
            </w:r>
          </w:p>
        </w:tc>
        <w:tc>
          <w:tcPr>
            <w:tcW w:w="1477" w:type="dxa"/>
          </w:tcPr>
          <w:p w14:paraId="0C90D178">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数量（月）</w:t>
            </w:r>
          </w:p>
        </w:tc>
        <w:tc>
          <w:tcPr>
            <w:tcW w:w="1720" w:type="dxa"/>
          </w:tcPr>
          <w:p w14:paraId="681A8CD5">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小计（元）</w:t>
            </w:r>
            <w:r>
              <w:rPr>
                <w:rFonts w:hint="eastAsia" w:hAnsi="宋体" w:cs="宋体"/>
                <w:b/>
                <w:bCs/>
                <w:color w:val="000000"/>
                <w:sz w:val="24"/>
                <w:szCs w:val="24"/>
                <w:highlight w:val="white"/>
                <w:vertAlign w:val="baseline"/>
                <w:lang w:val="en-US" w:eastAsia="zh-CN"/>
              </w:rPr>
              <w:t xml:space="preserve">        </w:t>
            </w:r>
          </w:p>
        </w:tc>
      </w:tr>
      <w:tr w14:paraId="7F419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14:paraId="718605F6">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1</w:t>
            </w:r>
          </w:p>
        </w:tc>
        <w:tc>
          <w:tcPr>
            <w:tcW w:w="1983" w:type="dxa"/>
          </w:tcPr>
          <w:p w14:paraId="0D3B9D77">
            <w:pPr>
              <w:pStyle w:val="18"/>
              <w:topLinePunct/>
              <w:autoSpaceDE w:val="0"/>
              <w:autoSpaceDN w:val="0"/>
              <w:spacing w:line="460" w:lineRule="exact"/>
              <w:jc w:val="center"/>
              <w:rPr>
                <w:rFonts w:hint="default" w:hAnsi="宋体" w:cs="宋体"/>
                <w:b w:val="0"/>
                <w:bCs w:val="0"/>
                <w:sz w:val="24"/>
                <w:szCs w:val="24"/>
                <w:highlight w:val="none"/>
                <w:vertAlign w:val="baseline"/>
                <w:lang w:val="en-US"/>
              </w:rPr>
            </w:pPr>
            <w:r>
              <w:rPr>
                <w:rFonts w:hint="eastAsia" w:hAnsi="宋体" w:cs="宋体"/>
                <w:b/>
                <w:bCs/>
                <w:color w:val="000000"/>
                <w:sz w:val="28"/>
                <w:szCs w:val="28"/>
                <w:highlight w:val="white"/>
                <w:lang w:val="en-US" w:eastAsia="zh-CN"/>
              </w:rPr>
              <w:t>延续运维服务类费用</w:t>
            </w:r>
          </w:p>
        </w:tc>
        <w:tc>
          <w:tcPr>
            <w:tcW w:w="1655" w:type="dxa"/>
          </w:tcPr>
          <w:p w14:paraId="597AA82F">
            <w:pPr>
              <w:pStyle w:val="18"/>
              <w:topLinePunct/>
              <w:autoSpaceDE w:val="0"/>
              <w:autoSpaceDN w:val="0"/>
              <w:spacing w:line="460" w:lineRule="exact"/>
              <w:jc w:val="center"/>
              <w:rPr>
                <w:rFonts w:hint="eastAsia" w:hAnsi="宋体" w:cs="宋体"/>
                <w:b/>
                <w:bCs/>
                <w:sz w:val="24"/>
                <w:szCs w:val="24"/>
                <w:highlight w:val="none"/>
                <w:vertAlign w:val="baseline"/>
              </w:rPr>
            </w:pPr>
          </w:p>
        </w:tc>
        <w:tc>
          <w:tcPr>
            <w:tcW w:w="1477" w:type="dxa"/>
          </w:tcPr>
          <w:p w14:paraId="067586A6">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11</w:t>
            </w:r>
          </w:p>
        </w:tc>
        <w:tc>
          <w:tcPr>
            <w:tcW w:w="1720" w:type="dxa"/>
          </w:tcPr>
          <w:p w14:paraId="3B9288A5">
            <w:pPr>
              <w:pStyle w:val="18"/>
              <w:topLinePunct/>
              <w:autoSpaceDE w:val="0"/>
              <w:autoSpaceDN w:val="0"/>
              <w:spacing w:line="460" w:lineRule="exact"/>
              <w:jc w:val="center"/>
              <w:rPr>
                <w:rFonts w:hint="eastAsia" w:hAnsi="宋体" w:cs="宋体"/>
                <w:b/>
                <w:bCs/>
                <w:sz w:val="24"/>
                <w:szCs w:val="24"/>
                <w:highlight w:val="none"/>
                <w:vertAlign w:val="baseline"/>
              </w:rPr>
            </w:pPr>
          </w:p>
        </w:tc>
      </w:tr>
      <w:tr w14:paraId="70BA7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14:paraId="19E3238E">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合  计</w:t>
            </w:r>
          </w:p>
        </w:tc>
        <w:tc>
          <w:tcPr>
            <w:tcW w:w="1983" w:type="dxa"/>
          </w:tcPr>
          <w:p w14:paraId="13E64437">
            <w:pPr>
              <w:pStyle w:val="18"/>
              <w:topLinePunct/>
              <w:autoSpaceDE w:val="0"/>
              <w:autoSpaceDN w:val="0"/>
              <w:spacing w:line="460" w:lineRule="exact"/>
              <w:jc w:val="center"/>
              <w:rPr>
                <w:rFonts w:hint="eastAsia" w:hAnsi="宋体" w:cs="宋体"/>
                <w:b w:val="0"/>
                <w:bCs w:val="0"/>
                <w:sz w:val="24"/>
                <w:szCs w:val="24"/>
                <w:highlight w:val="none"/>
                <w:vertAlign w:val="baseline"/>
              </w:rPr>
            </w:pPr>
          </w:p>
        </w:tc>
        <w:tc>
          <w:tcPr>
            <w:tcW w:w="1655" w:type="dxa"/>
          </w:tcPr>
          <w:p w14:paraId="69A2D0D9">
            <w:pPr>
              <w:pStyle w:val="18"/>
              <w:topLinePunct/>
              <w:autoSpaceDE w:val="0"/>
              <w:autoSpaceDN w:val="0"/>
              <w:spacing w:line="460" w:lineRule="exact"/>
              <w:jc w:val="center"/>
              <w:rPr>
                <w:rFonts w:hint="eastAsia" w:hAnsi="宋体" w:cs="宋体"/>
                <w:b/>
                <w:bCs/>
                <w:sz w:val="24"/>
                <w:szCs w:val="24"/>
                <w:highlight w:val="none"/>
                <w:vertAlign w:val="baseline"/>
              </w:rPr>
            </w:pPr>
          </w:p>
        </w:tc>
        <w:tc>
          <w:tcPr>
            <w:tcW w:w="1477" w:type="dxa"/>
          </w:tcPr>
          <w:p w14:paraId="395DFEAA">
            <w:pPr>
              <w:pStyle w:val="18"/>
              <w:topLinePunct/>
              <w:autoSpaceDE w:val="0"/>
              <w:autoSpaceDN w:val="0"/>
              <w:spacing w:line="460" w:lineRule="exact"/>
              <w:jc w:val="center"/>
              <w:rPr>
                <w:rFonts w:hint="default" w:hAnsi="宋体" w:cs="宋体"/>
                <w:b/>
                <w:bCs/>
                <w:sz w:val="24"/>
                <w:szCs w:val="24"/>
                <w:highlight w:val="none"/>
                <w:vertAlign w:val="baseline"/>
                <w:lang w:val="en-US"/>
              </w:rPr>
            </w:pPr>
          </w:p>
        </w:tc>
        <w:tc>
          <w:tcPr>
            <w:tcW w:w="1720" w:type="dxa"/>
          </w:tcPr>
          <w:p w14:paraId="194C0F47">
            <w:pPr>
              <w:pStyle w:val="18"/>
              <w:topLinePunct/>
              <w:autoSpaceDE w:val="0"/>
              <w:autoSpaceDN w:val="0"/>
              <w:spacing w:line="460" w:lineRule="exact"/>
              <w:jc w:val="center"/>
              <w:rPr>
                <w:rFonts w:hint="eastAsia" w:hAnsi="宋体" w:cs="宋体"/>
                <w:b/>
                <w:bCs/>
                <w:sz w:val="24"/>
                <w:szCs w:val="24"/>
                <w:highlight w:val="none"/>
                <w:vertAlign w:val="baseline"/>
              </w:rPr>
            </w:pPr>
          </w:p>
        </w:tc>
      </w:tr>
      <w:tr w14:paraId="475D1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6802" w:type="dxa"/>
            <w:gridSpan w:val="4"/>
          </w:tcPr>
          <w:p w14:paraId="36CFC1A5">
            <w:pPr>
              <w:pStyle w:val="18"/>
              <w:topLinePunct/>
              <w:autoSpaceDE w:val="0"/>
              <w:autoSpaceDN w:val="0"/>
              <w:spacing w:line="460" w:lineRule="exact"/>
              <w:jc w:val="center"/>
              <w:rPr>
                <w:rFonts w:hint="eastAsia" w:hAnsi="宋体" w:cs="宋体"/>
                <w:b/>
                <w:bCs/>
                <w:sz w:val="24"/>
                <w:szCs w:val="24"/>
                <w:highlight w:val="none"/>
                <w:vertAlign w:val="baseline"/>
                <w:lang w:val="en-US"/>
              </w:rPr>
            </w:pPr>
          </w:p>
        </w:tc>
        <w:tc>
          <w:tcPr>
            <w:tcW w:w="1720" w:type="dxa"/>
          </w:tcPr>
          <w:p w14:paraId="4A8F70D1">
            <w:pPr>
              <w:pStyle w:val="18"/>
              <w:topLinePunct/>
              <w:autoSpaceDE w:val="0"/>
              <w:autoSpaceDN w:val="0"/>
              <w:spacing w:line="460" w:lineRule="exact"/>
              <w:jc w:val="center"/>
              <w:rPr>
                <w:rFonts w:hint="eastAsia" w:hAnsi="宋体" w:cs="宋体"/>
                <w:b/>
                <w:bCs/>
                <w:sz w:val="24"/>
                <w:szCs w:val="24"/>
                <w:highlight w:val="none"/>
                <w:vertAlign w:val="baseline"/>
              </w:rPr>
            </w:pPr>
          </w:p>
        </w:tc>
      </w:tr>
    </w:tbl>
    <w:p w14:paraId="51C78F8D">
      <w:pPr>
        <w:topLinePunct/>
        <w:autoSpaceDE w:val="0"/>
        <w:autoSpaceDN w:val="0"/>
        <w:adjustRightInd w:val="0"/>
        <w:snapToGrid w:val="0"/>
        <w:spacing w:after="0" w:line="360" w:lineRule="auto"/>
        <w:jc w:val="left"/>
        <w:rPr>
          <w:rFonts w:ascii="宋体" w:hAnsi="宋体" w:cs="宋体"/>
          <w:highlight w:val="none"/>
        </w:rPr>
      </w:pPr>
      <w:r>
        <w:rPr>
          <w:rFonts w:hint="eastAsia" w:ascii="宋体" w:hAnsi="宋体" w:cs="宋体"/>
          <w:color w:val="000000"/>
          <w:highlight w:val="white"/>
        </w:rPr>
        <w:t>特别说明:</w:t>
      </w:r>
    </w:p>
    <w:p w14:paraId="112C52D3">
      <w:pPr>
        <w:pStyle w:val="18"/>
        <w:topLinePunct/>
        <w:autoSpaceDE w:val="0"/>
        <w:autoSpaceDN w:val="0"/>
        <w:spacing w:line="460" w:lineRule="exact"/>
        <w:ind w:left="2"/>
        <w:jc w:val="left"/>
        <w:rPr>
          <w:rFonts w:hint="default" w:hAnsi="宋体" w:cs="宋体"/>
          <w:highlight w:val="none"/>
          <w:lang w:val="en-US"/>
        </w:rPr>
      </w:pPr>
      <w:r>
        <w:rPr>
          <w:rFonts w:hint="eastAsia" w:hAnsi="宋体" w:cs="宋体"/>
          <w:color w:val="000000"/>
          <w:highlight w:val="white"/>
          <w:lang w:eastAsia="zh-CN"/>
        </w:rPr>
        <w:t>本表中“合计”应等于总报价表中的“</w:t>
      </w:r>
      <w:r>
        <w:rPr>
          <w:rFonts w:hint="eastAsia" w:hAnsi="宋体" w:cs="宋体"/>
          <w:color w:val="000000"/>
          <w:highlight w:val="white"/>
          <w:lang w:val="en-US" w:eastAsia="zh-CN"/>
        </w:rPr>
        <w:t>延续运维服务类费用</w:t>
      </w:r>
      <w:r>
        <w:rPr>
          <w:rFonts w:hint="eastAsia" w:hAnsi="宋体" w:cs="宋体"/>
          <w:color w:val="000000"/>
          <w:highlight w:val="white"/>
          <w:lang w:eastAsia="zh-CN"/>
        </w:rPr>
        <w:t>”报价合计。</w:t>
      </w:r>
    </w:p>
    <w:p w14:paraId="474755E1">
      <w:pPr>
        <w:pStyle w:val="18"/>
        <w:topLinePunct/>
        <w:autoSpaceDE w:val="0"/>
        <w:autoSpaceDN w:val="0"/>
        <w:spacing w:line="460" w:lineRule="exact"/>
        <w:ind w:left="2"/>
        <w:jc w:val="center"/>
        <w:rPr>
          <w:rFonts w:hint="eastAsia" w:hAnsi="宋体" w:cs="宋体"/>
          <w:b/>
          <w:bCs/>
          <w:sz w:val="28"/>
          <w:szCs w:val="28"/>
          <w:highlight w:val="none"/>
        </w:rPr>
      </w:pPr>
    </w:p>
    <w:p w14:paraId="19001248">
      <w:pPr>
        <w:pStyle w:val="18"/>
        <w:topLinePunct/>
        <w:autoSpaceDE w:val="0"/>
        <w:autoSpaceDN w:val="0"/>
        <w:spacing w:line="460" w:lineRule="exact"/>
        <w:ind w:left="2"/>
        <w:jc w:val="center"/>
        <w:rPr>
          <w:rFonts w:hint="eastAsia" w:hAnsi="宋体" w:cs="宋体"/>
          <w:b/>
          <w:bCs/>
          <w:sz w:val="28"/>
          <w:szCs w:val="28"/>
          <w:highlight w:val="none"/>
        </w:rPr>
      </w:pPr>
    </w:p>
    <w:p w14:paraId="297BF927">
      <w:pPr>
        <w:pStyle w:val="18"/>
        <w:topLinePunct/>
        <w:autoSpaceDE w:val="0"/>
        <w:autoSpaceDN w:val="0"/>
        <w:spacing w:line="460" w:lineRule="exact"/>
        <w:ind w:left="2"/>
        <w:jc w:val="center"/>
        <w:rPr>
          <w:rFonts w:hint="eastAsia" w:hAnsi="宋体" w:cs="宋体"/>
          <w:b/>
          <w:bCs/>
          <w:sz w:val="28"/>
          <w:szCs w:val="28"/>
          <w:highlight w:val="none"/>
        </w:rPr>
      </w:pPr>
    </w:p>
    <w:p w14:paraId="146C2F28">
      <w:pPr>
        <w:pStyle w:val="18"/>
        <w:topLinePunct/>
        <w:autoSpaceDE w:val="0"/>
        <w:autoSpaceDN w:val="0"/>
        <w:spacing w:line="460" w:lineRule="exact"/>
        <w:ind w:left="2"/>
        <w:jc w:val="center"/>
        <w:rPr>
          <w:rFonts w:hint="eastAsia" w:hAnsi="宋体" w:cs="宋体"/>
          <w:b/>
          <w:bCs/>
          <w:sz w:val="28"/>
          <w:szCs w:val="28"/>
          <w:highlight w:val="none"/>
        </w:rPr>
      </w:pPr>
    </w:p>
    <w:p w14:paraId="6C5CE750">
      <w:pPr>
        <w:pStyle w:val="18"/>
        <w:topLinePunct/>
        <w:autoSpaceDE w:val="0"/>
        <w:autoSpaceDN w:val="0"/>
        <w:spacing w:line="460" w:lineRule="exact"/>
        <w:ind w:left="2"/>
        <w:jc w:val="center"/>
        <w:rPr>
          <w:rFonts w:hint="eastAsia" w:hAnsi="宋体" w:cs="宋体"/>
          <w:b/>
          <w:bCs/>
          <w:sz w:val="28"/>
          <w:szCs w:val="28"/>
          <w:highlight w:val="none"/>
        </w:rPr>
      </w:pPr>
      <w:r>
        <w:rPr>
          <w:rFonts w:hint="eastAsia" w:hAnsi="宋体" w:cs="宋体"/>
          <w:b/>
          <w:bCs/>
          <w:color w:val="000000"/>
          <w:sz w:val="28"/>
          <w:szCs w:val="28"/>
          <w:highlight w:val="white"/>
          <w:lang w:val="en-US" w:eastAsia="zh-CN"/>
        </w:rPr>
        <w:t>2.1</w:t>
      </w:r>
      <w:r>
        <w:rPr>
          <w:rFonts w:hint="eastAsia" w:hAnsi="宋体" w:cs="宋体"/>
          <w:b/>
          <w:bCs/>
          <w:color w:val="000000"/>
          <w:sz w:val="28"/>
          <w:szCs w:val="28"/>
          <w:highlight w:val="white"/>
        </w:rPr>
        <w:t>分项报价表</w:t>
      </w:r>
    </w:p>
    <w:p w14:paraId="5D831DE0">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分项报价表-新增运维类服务费用</w:t>
      </w:r>
    </w:p>
    <w:tbl>
      <w:tblPr>
        <w:tblStyle w:val="31"/>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14:paraId="3592C211">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16392D62">
            <w:pPr>
              <w:widowControl/>
              <w:spacing w:after="0" w:line="240" w:lineRule="auto"/>
              <w:jc w:val="center"/>
              <w:rPr>
                <w:rFonts w:ascii="宋体" w:hAnsi="宋体" w:cs="宋体"/>
                <w:b/>
                <w:highlight w:val="none"/>
              </w:rPr>
            </w:pPr>
            <w:r>
              <w:rPr>
                <w:rFonts w:hint="eastAsia" w:ascii="宋体" w:hAnsi="宋体" w:cs="宋体"/>
                <w:b/>
                <w:color w:val="000000"/>
                <w:highlight w:val="white"/>
              </w:rPr>
              <w:t>序号</w:t>
            </w:r>
          </w:p>
        </w:tc>
        <w:tc>
          <w:tcPr>
            <w:tcW w:w="1692" w:type="dxa"/>
            <w:tcBorders>
              <w:top w:val="single" w:color="auto" w:sz="4" w:space="0"/>
              <w:left w:val="nil"/>
              <w:bottom w:val="single" w:color="auto" w:sz="4" w:space="0"/>
              <w:right w:val="single" w:color="auto" w:sz="4" w:space="0"/>
            </w:tcBorders>
            <w:noWrap/>
            <w:vAlign w:val="center"/>
          </w:tcPr>
          <w:p w14:paraId="1FF18D23">
            <w:pPr>
              <w:widowControl/>
              <w:spacing w:after="0" w:line="240" w:lineRule="auto"/>
              <w:ind w:left="-84" w:leftChars="-40" w:firstLine="82" w:firstLineChars="39"/>
              <w:jc w:val="center"/>
              <w:rPr>
                <w:rFonts w:ascii="宋体" w:hAnsi="宋体" w:cs="宋体"/>
                <w:b/>
                <w:highlight w:val="none"/>
              </w:rPr>
            </w:pPr>
            <w:r>
              <w:rPr>
                <w:rFonts w:hint="eastAsia" w:ascii="宋体" w:hAnsi="宋体" w:cs="宋体"/>
                <w:b/>
                <w:color w:val="000000"/>
                <w:highlight w:val="white"/>
              </w:rPr>
              <w:t>具体工作名称</w:t>
            </w:r>
          </w:p>
        </w:tc>
        <w:tc>
          <w:tcPr>
            <w:tcW w:w="1528" w:type="dxa"/>
            <w:tcBorders>
              <w:top w:val="single" w:color="auto" w:sz="4" w:space="0"/>
              <w:left w:val="nil"/>
              <w:bottom w:val="single" w:color="auto" w:sz="4" w:space="0"/>
              <w:right w:val="single" w:color="auto" w:sz="4" w:space="0"/>
            </w:tcBorders>
            <w:noWrap/>
            <w:vAlign w:val="center"/>
          </w:tcPr>
          <w:p w14:paraId="66E69ED7">
            <w:pPr>
              <w:widowControl/>
              <w:spacing w:after="0" w:line="240" w:lineRule="auto"/>
              <w:jc w:val="center"/>
              <w:rPr>
                <w:rFonts w:ascii="宋体" w:hAnsi="宋体" w:cs="宋体"/>
                <w:b/>
                <w:highlight w:val="none"/>
              </w:rPr>
            </w:pPr>
            <w:r>
              <w:rPr>
                <w:rFonts w:hint="eastAsia" w:ascii="宋体" w:hAnsi="宋体" w:cs="宋体"/>
                <w:b/>
                <w:color w:val="000000"/>
                <w:highlight w:val="white"/>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14:paraId="5E0775B5">
            <w:pPr>
              <w:widowControl/>
              <w:spacing w:after="0" w:line="240" w:lineRule="auto"/>
              <w:jc w:val="center"/>
              <w:rPr>
                <w:rFonts w:ascii="宋体" w:hAnsi="宋体" w:cs="宋体"/>
                <w:b/>
                <w:highlight w:val="none"/>
              </w:rPr>
            </w:pPr>
            <w:r>
              <w:rPr>
                <w:rFonts w:hint="eastAsia" w:ascii="宋体" w:hAnsi="宋体" w:cs="宋体"/>
                <w:b/>
                <w:color w:val="000000"/>
                <w:highlight w:val="white"/>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14:paraId="35CD1DFA">
            <w:pPr>
              <w:widowControl/>
              <w:spacing w:after="0" w:line="240" w:lineRule="auto"/>
              <w:jc w:val="center"/>
              <w:rPr>
                <w:rFonts w:ascii="宋体" w:hAnsi="宋体" w:cs="宋体"/>
                <w:b/>
                <w:highlight w:val="none"/>
              </w:rPr>
            </w:pPr>
            <w:r>
              <w:rPr>
                <w:rFonts w:hint="eastAsia" w:ascii="宋体" w:hAnsi="宋体" w:cs="宋体"/>
                <w:b/>
                <w:color w:val="000000"/>
                <w:highlight w:val="white"/>
              </w:rPr>
              <w:t>人员</w:t>
            </w:r>
          </w:p>
          <w:p w14:paraId="622D9CD8">
            <w:pPr>
              <w:widowControl/>
              <w:spacing w:after="0" w:line="240" w:lineRule="auto"/>
              <w:jc w:val="center"/>
              <w:rPr>
                <w:rFonts w:ascii="宋体" w:hAnsi="宋体" w:cs="宋体"/>
                <w:b/>
                <w:highlight w:val="none"/>
              </w:rPr>
            </w:pPr>
            <w:r>
              <w:rPr>
                <w:rFonts w:hint="eastAsia" w:ascii="宋体" w:hAnsi="宋体" w:cs="宋体"/>
                <w:b/>
                <w:color w:val="000000"/>
                <w:highlight w:val="white"/>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14:paraId="085F2E52">
            <w:pPr>
              <w:widowControl/>
              <w:spacing w:after="0" w:line="240" w:lineRule="auto"/>
              <w:jc w:val="center"/>
              <w:rPr>
                <w:rFonts w:ascii="宋体" w:hAnsi="宋体" w:cs="宋体"/>
                <w:b/>
                <w:highlight w:val="none"/>
              </w:rPr>
            </w:pPr>
            <w:r>
              <w:rPr>
                <w:rFonts w:hint="eastAsia" w:ascii="宋体" w:hAnsi="宋体" w:cs="宋体"/>
                <w:b/>
                <w:color w:val="000000"/>
                <w:highlight w:val="white"/>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14:paraId="3FDA0D11">
            <w:pPr>
              <w:widowControl/>
              <w:spacing w:after="0" w:line="240" w:lineRule="auto"/>
              <w:jc w:val="center"/>
              <w:rPr>
                <w:rFonts w:ascii="宋体" w:hAnsi="宋体" w:cs="宋体"/>
                <w:b/>
                <w:highlight w:val="none"/>
              </w:rPr>
            </w:pPr>
            <w:r>
              <w:rPr>
                <w:rFonts w:hint="eastAsia" w:ascii="宋体" w:hAnsi="宋体" w:cs="宋体"/>
                <w:b/>
                <w:color w:val="000000"/>
                <w:highlight w:val="white"/>
              </w:rPr>
              <w:t>单价</w:t>
            </w:r>
          </w:p>
          <w:p w14:paraId="4BD559CF">
            <w:pPr>
              <w:widowControl/>
              <w:spacing w:after="0" w:line="240" w:lineRule="auto"/>
              <w:jc w:val="center"/>
              <w:rPr>
                <w:rFonts w:ascii="宋体" w:hAnsi="宋体" w:cs="宋体"/>
                <w:b/>
                <w:highlight w:val="none"/>
              </w:rPr>
            </w:pPr>
            <w:r>
              <w:rPr>
                <w:rFonts w:hint="eastAsia" w:ascii="宋体" w:hAnsi="宋体" w:cs="宋体"/>
                <w:b/>
                <w:color w:val="000000"/>
                <w:highlight w:val="white"/>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14:paraId="2C25210B">
            <w:pPr>
              <w:widowControl/>
              <w:spacing w:after="0" w:line="240" w:lineRule="auto"/>
              <w:jc w:val="center"/>
              <w:rPr>
                <w:rFonts w:ascii="宋体" w:hAnsi="宋体" w:cs="宋体"/>
                <w:b/>
                <w:highlight w:val="none"/>
              </w:rPr>
            </w:pPr>
            <w:r>
              <w:rPr>
                <w:rFonts w:hint="eastAsia" w:ascii="宋体" w:hAnsi="宋体" w:cs="宋体"/>
                <w:b/>
                <w:color w:val="000000"/>
                <w:highlight w:val="white"/>
              </w:rPr>
              <w:t>小计</w:t>
            </w:r>
          </w:p>
          <w:p w14:paraId="6921C3C4">
            <w:pPr>
              <w:widowControl/>
              <w:spacing w:after="0" w:line="240" w:lineRule="auto"/>
              <w:jc w:val="center"/>
              <w:rPr>
                <w:rFonts w:ascii="宋体" w:hAnsi="宋体" w:cs="宋体"/>
                <w:b/>
                <w:highlight w:val="none"/>
              </w:rPr>
            </w:pPr>
            <w:r>
              <w:rPr>
                <w:rFonts w:hint="eastAsia" w:ascii="宋体" w:hAnsi="宋体" w:cs="宋体"/>
                <w:b/>
                <w:color w:val="000000"/>
                <w:highlight w:val="white"/>
              </w:rPr>
              <w:t>（元）</w:t>
            </w:r>
          </w:p>
        </w:tc>
        <w:tc>
          <w:tcPr>
            <w:tcW w:w="643" w:type="dxa"/>
            <w:tcBorders>
              <w:top w:val="single" w:color="auto" w:sz="4" w:space="0"/>
              <w:left w:val="nil"/>
              <w:bottom w:val="single" w:color="auto" w:sz="4" w:space="0"/>
              <w:right w:val="single" w:color="auto" w:sz="4" w:space="0"/>
            </w:tcBorders>
            <w:noWrap/>
            <w:vAlign w:val="center"/>
          </w:tcPr>
          <w:p w14:paraId="2E0A155B">
            <w:pPr>
              <w:spacing w:after="0" w:line="240" w:lineRule="auto"/>
              <w:jc w:val="center"/>
              <w:rPr>
                <w:rFonts w:ascii="宋体" w:hAnsi="宋体" w:cs="宋体"/>
                <w:b/>
                <w:highlight w:val="none"/>
              </w:rPr>
            </w:pPr>
            <w:r>
              <w:rPr>
                <w:rFonts w:hint="eastAsia" w:ascii="宋体" w:hAnsi="宋体" w:cs="宋体"/>
                <w:b/>
                <w:color w:val="000000"/>
                <w:highlight w:val="white"/>
              </w:rPr>
              <w:t>备注</w:t>
            </w:r>
          </w:p>
        </w:tc>
      </w:tr>
      <w:tr w14:paraId="1EB5ED88">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9D40D72">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1</w:t>
            </w:r>
          </w:p>
        </w:tc>
        <w:tc>
          <w:tcPr>
            <w:tcW w:w="1692" w:type="dxa"/>
            <w:tcBorders>
              <w:top w:val="single" w:color="auto" w:sz="4" w:space="0"/>
              <w:left w:val="nil"/>
              <w:bottom w:val="single" w:color="auto" w:sz="4" w:space="0"/>
              <w:right w:val="single" w:color="auto" w:sz="4" w:space="0"/>
            </w:tcBorders>
            <w:noWrap/>
            <w:vAlign w:val="center"/>
          </w:tcPr>
          <w:p w14:paraId="48ADFDD9">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4B709BD">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5F4244E8">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1E484691">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375B2F9B">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14028380">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457F699B">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1139E30B">
            <w:pPr>
              <w:tabs>
                <w:tab w:val="left" w:pos="425"/>
              </w:tabs>
              <w:snapToGrid w:val="0"/>
              <w:spacing w:after="0" w:line="240" w:lineRule="auto"/>
              <w:jc w:val="center"/>
              <w:rPr>
                <w:rFonts w:ascii="宋体" w:hAnsi="宋体" w:cs="宋体"/>
                <w:highlight w:val="none"/>
              </w:rPr>
            </w:pPr>
          </w:p>
        </w:tc>
      </w:tr>
      <w:tr w14:paraId="752DF7FA">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61D2CEE">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2</w:t>
            </w:r>
          </w:p>
        </w:tc>
        <w:tc>
          <w:tcPr>
            <w:tcW w:w="1692" w:type="dxa"/>
            <w:tcBorders>
              <w:top w:val="single" w:color="auto" w:sz="4" w:space="0"/>
              <w:left w:val="nil"/>
              <w:bottom w:val="single" w:color="auto" w:sz="4" w:space="0"/>
              <w:right w:val="single" w:color="auto" w:sz="4" w:space="0"/>
            </w:tcBorders>
            <w:noWrap/>
            <w:vAlign w:val="center"/>
          </w:tcPr>
          <w:p w14:paraId="021968A8">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9D2E11D">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7D511B27">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4DE5722A">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2617A2F3">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1FF5C1D0">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151E2A3E">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3CDDBAA3">
            <w:pPr>
              <w:tabs>
                <w:tab w:val="left" w:pos="425"/>
              </w:tabs>
              <w:snapToGrid w:val="0"/>
              <w:spacing w:after="0" w:line="240" w:lineRule="auto"/>
              <w:jc w:val="center"/>
              <w:rPr>
                <w:rFonts w:ascii="宋体" w:hAnsi="宋体" w:cs="宋体"/>
                <w:highlight w:val="none"/>
              </w:rPr>
            </w:pPr>
          </w:p>
        </w:tc>
      </w:tr>
      <w:tr w14:paraId="4AB1354F">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2DA8CF6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3</w:t>
            </w:r>
          </w:p>
        </w:tc>
        <w:tc>
          <w:tcPr>
            <w:tcW w:w="1692" w:type="dxa"/>
            <w:tcBorders>
              <w:top w:val="single" w:color="auto" w:sz="4" w:space="0"/>
              <w:left w:val="nil"/>
              <w:bottom w:val="single" w:color="auto" w:sz="4" w:space="0"/>
              <w:right w:val="single" w:color="auto" w:sz="4" w:space="0"/>
            </w:tcBorders>
            <w:noWrap/>
            <w:vAlign w:val="center"/>
          </w:tcPr>
          <w:p w14:paraId="718418EF">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77DF6BD9">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582DEB70">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3D6CCA6A">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700E74D9">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3F906EB7">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52959E2A">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67DEC26F">
            <w:pPr>
              <w:tabs>
                <w:tab w:val="left" w:pos="425"/>
              </w:tabs>
              <w:snapToGrid w:val="0"/>
              <w:spacing w:after="0" w:line="240" w:lineRule="auto"/>
              <w:jc w:val="center"/>
              <w:rPr>
                <w:rFonts w:ascii="宋体" w:hAnsi="宋体" w:cs="宋体"/>
                <w:highlight w:val="none"/>
              </w:rPr>
            </w:pPr>
          </w:p>
        </w:tc>
      </w:tr>
      <w:tr w14:paraId="7BF59771">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14:paraId="0054D42E">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4</w:t>
            </w:r>
          </w:p>
        </w:tc>
        <w:tc>
          <w:tcPr>
            <w:tcW w:w="1692" w:type="dxa"/>
            <w:tcBorders>
              <w:top w:val="nil"/>
              <w:left w:val="nil"/>
              <w:bottom w:val="single" w:color="auto" w:sz="4" w:space="0"/>
              <w:right w:val="single" w:color="auto" w:sz="4" w:space="0"/>
            </w:tcBorders>
            <w:noWrap/>
            <w:vAlign w:val="center"/>
          </w:tcPr>
          <w:p w14:paraId="64D19C5C">
            <w:pPr>
              <w:spacing w:after="0" w:line="240" w:lineRule="auto"/>
              <w:jc w:val="center"/>
              <w:rPr>
                <w:rFonts w:ascii="宋体" w:hAnsi="宋体" w:cs="宋体"/>
                <w:highlight w:val="none"/>
              </w:rPr>
            </w:pPr>
          </w:p>
        </w:tc>
        <w:tc>
          <w:tcPr>
            <w:tcW w:w="1528" w:type="dxa"/>
            <w:tcBorders>
              <w:top w:val="nil"/>
              <w:left w:val="nil"/>
              <w:bottom w:val="single" w:color="auto" w:sz="4" w:space="0"/>
              <w:right w:val="single" w:color="auto" w:sz="4" w:space="0"/>
            </w:tcBorders>
            <w:noWrap/>
            <w:vAlign w:val="center"/>
          </w:tcPr>
          <w:p w14:paraId="32634E3E">
            <w:pPr>
              <w:tabs>
                <w:tab w:val="left" w:pos="425"/>
              </w:tabs>
              <w:snapToGrid w:val="0"/>
              <w:spacing w:after="0" w:line="240" w:lineRule="auto"/>
              <w:jc w:val="center"/>
              <w:rPr>
                <w:rFonts w:ascii="宋体" w:hAnsi="宋体" w:cs="宋体"/>
                <w:highlight w:val="none"/>
              </w:rPr>
            </w:pPr>
          </w:p>
        </w:tc>
        <w:tc>
          <w:tcPr>
            <w:tcW w:w="1134" w:type="dxa"/>
            <w:tcBorders>
              <w:top w:val="nil"/>
              <w:left w:val="single" w:color="auto" w:sz="4" w:space="0"/>
              <w:bottom w:val="single" w:color="auto" w:sz="4" w:space="0"/>
              <w:right w:val="single" w:color="auto" w:sz="4" w:space="0"/>
            </w:tcBorders>
            <w:noWrap/>
            <w:vAlign w:val="center"/>
          </w:tcPr>
          <w:p w14:paraId="64CBAB60">
            <w:pPr>
              <w:tabs>
                <w:tab w:val="left" w:pos="425"/>
              </w:tabs>
              <w:snapToGrid w:val="0"/>
              <w:spacing w:after="0" w:line="240" w:lineRule="auto"/>
              <w:jc w:val="center"/>
              <w:rPr>
                <w:rFonts w:ascii="宋体" w:hAnsi="宋体" w:cs="宋体"/>
                <w:highlight w:val="none"/>
              </w:rPr>
            </w:pPr>
          </w:p>
        </w:tc>
        <w:tc>
          <w:tcPr>
            <w:tcW w:w="937" w:type="dxa"/>
            <w:tcBorders>
              <w:top w:val="nil"/>
              <w:left w:val="single" w:color="auto" w:sz="4" w:space="0"/>
              <w:bottom w:val="single" w:color="auto" w:sz="4" w:space="0"/>
              <w:right w:val="single" w:color="auto" w:sz="4" w:space="0"/>
            </w:tcBorders>
            <w:noWrap/>
            <w:vAlign w:val="center"/>
          </w:tcPr>
          <w:p w14:paraId="06592F0E">
            <w:pPr>
              <w:tabs>
                <w:tab w:val="left" w:pos="425"/>
              </w:tabs>
              <w:snapToGrid w:val="0"/>
              <w:spacing w:after="0" w:line="240" w:lineRule="auto"/>
              <w:jc w:val="center"/>
              <w:rPr>
                <w:rFonts w:ascii="宋体" w:hAnsi="宋体" w:cs="宋体"/>
                <w:highlight w:val="none"/>
              </w:rPr>
            </w:pPr>
          </w:p>
        </w:tc>
        <w:tc>
          <w:tcPr>
            <w:tcW w:w="1260" w:type="dxa"/>
            <w:tcBorders>
              <w:top w:val="nil"/>
              <w:left w:val="single" w:color="auto" w:sz="4" w:space="0"/>
              <w:bottom w:val="single" w:color="auto" w:sz="4" w:space="0"/>
              <w:right w:val="single" w:color="auto" w:sz="4" w:space="0"/>
            </w:tcBorders>
            <w:noWrap/>
            <w:vAlign w:val="center"/>
          </w:tcPr>
          <w:p w14:paraId="3B4FFE5B">
            <w:pPr>
              <w:tabs>
                <w:tab w:val="left" w:pos="425"/>
              </w:tabs>
              <w:snapToGrid w:val="0"/>
              <w:spacing w:after="0" w:line="240" w:lineRule="auto"/>
              <w:jc w:val="center"/>
              <w:rPr>
                <w:rFonts w:ascii="宋体" w:hAnsi="宋体" w:cs="宋体"/>
                <w:highlight w:val="none"/>
              </w:rPr>
            </w:pPr>
          </w:p>
        </w:tc>
        <w:tc>
          <w:tcPr>
            <w:tcW w:w="1317" w:type="dxa"/>
            <w:tcBorders>
              <w:top w:val="nil"/>
              <w:left w:val="single" w:color="auto" w:sz="4" w:space="0"/>
              <w:bottom w:val="single" w:color="auto" w:sz="4" w:space="0"/>
              <w:right w:val="single" w:color="auto" w:sz="4" w:space="0"/>
            </w:tcBorders>
            <w:noWrap/>
            <w:vAlign w:val="center"/>
          </w:tcPr>
          <w:p w14:paraId="0AE73C08">
            <w:pPr>
              <w:tabs>
                <w:tab w:val="left" w:pos="425"/>
              </w:tabs>
              <w:snapToGrid w:val="0"/>
              <w:spacing w:after="0" w:line="240" w:lineRule="auto"/>
              <w:jc w:val="center"/>
              <w:rPr>
                <w:rFonts w:ascii="宋体" w:hAnsi="宋体" w:cs="宋体"/>
                <w:highlight w:val="none"/>
              </w:rPr>
            </w:pPr>
          </w:p>
        </w:tc>
        <w:tc>
          <w:tcPr>
            <w:tcW w:w="1343" w:type="dxa"/>
            <w:tcBorders>
              <w:top w:val="nil"/>
              <w:left w:val="single" w:color="auto" w:sz="4" w:space="0"/>
              <w:bottom w:val="single" w:color="auto" w:sz="4" w:space="0"/>
              <w:right w:val="single" w:color="auto" w:sz="4" w:space="0"/>
            </w:tcBorders>
            <w:noWrap/>
            <w:vAlign w:val="center"/>
          </w:tcPr>
          <w:p w14:paraId="6A8A4E14">
            <w:pPr>
              <w:tabs>
                <w:tab w:val="left" w:pos="425"/>
              </w:tabs>
              <w:snapToGrid w:val="0"/>
              <w:spacing w:after="0" w:line="240" w:lineRule="auto"/>
              <w:jc w:val="center"/>
              <w:rPr>
                <w:rFonts w:ascii="宋体" w:hAnsi="宋体" w:cs="宋体"/>
                <w:highlight w:val="none"/>
              </w:rPr>
            </w:pPr>
          </w:p>
        </w:tc>
        <w:tc>
          <w:tcPr>
            <w:tcW w:w="643" w:type="dxa"/>
            <w:tcBorders>
              <w:top w:val="nil"/>
              <w:left w:val="single" w:color="auto" w:sz="4" w:space="0"/>
              <w:bottom w:val="single" w:color="auto" w:sz="4" w:space="0"/>
              <w:right w:val="single" w:color="auto" w:sz="4" w:space="0"/>
            </w:tcBorders>
            <w:noWrap/>
            <w:vAlign w:val="center"/>
          </w:tcPr>
          <w:p w14:paraId="0D1BC724">
            <w:pPr>
              <w:tabs>
                <w:tab w:val="left" w:pos="425"/>
              </w:tabs>
              <w:snapToGrid w:val="0"/>
              <w:spacing w:after="0" w:line="240" w:lineRule="auto"/>
              <w:jc w:val="center"/>
              <w:rPr>
                <w:rFonts w:ascii="宋体" w:hAnsi="宋体" w:cs="宋体"/>
                <w:highlight w:val="none"/>
              </w:rPr>
            </w:pPr>
          </w:p>
        </w:tc>
      </w:tr>
      <w:tr w14:paraId="4950E783">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515A43A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5</w:t>
            </w:r>
          </w:p>
        </w:tc>
        <w:tc>
          <w:tcPr>
            <w:tcW w:w="1692" w:type="dxa"/>
            <w:tcBorders>
              <w:top w:val="single" w:color="auto" w:sz="4" w:space="0"/>
              <w:left w:val="nil"/>
              <w:bottom w:val="single" w:color="auto" w:sz="4" w:space="0"/>
              <w:right w:val="single" w:color="auto" w:sz="4" w:space="0"/>
            </w:tcBorders>
            <w:noWrap/>
            <w:vAlign w:val="center"/>
          </w:tcPr>
          <w:p w14:paraId="4330D0EC">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7948F78A">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0F94B125">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1A0F86BF">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7DD2152E">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12A5AF9B">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0CC305B">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10772E42">
            <w:pPr>
              <w:tabs>
                <w:tab w:val="left" w:pos="425"/>
              </w:tabs>
              <w:snapToGrid w:val="0"/>
              <w:spacing w:after="0" w:line="240" w:lineRule="auto"/>
              <w:jc w:val="center"/>
              <w:rPr>
                <w:rFonts w:ascii="宋体" w:hAnsi="宋体" w:cs="宋体"/>
                <w:highlight w:val="none"/>
              </w:rPr>
            </w:pPr>
          </w:p>
        </w:tc>
      </w:tr>
      <w:tr w14:paraId="46EA29B8">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2058997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w:t>
            </w:r>
          </w:p>
        </w:tc>
        <w:tc>
          <w:tcPr>
            <w:tcW w:w="1692" w:type="dxa"/>
            <w:tcBorders>
              <w:top w:val="single" w:color="auto" w:sz="4" w:space="0"/>
              <w:left w:val="nil"/>
              <w:bottom w:val="single" w:color="auto" w:sz="4" w:space="0"/>
              <w:right w:val="single" w:color="auto" w:sz="4" w:space="0"/>
            </w:tcBorders>
            <w:noWrap/>
            <w:vAlign w:val="center"/>
          </w:tcPr>
          <w:p w14:paraId="6B697AEC">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549CBA7D">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70F94B5D">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225ED1A1">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4DAE64CC">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D030824">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63327E1">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53764D43">
            <w:pPr>
              <w:tabs>
                <w:tab w:val="left" w:pos="425"/>
              </w:tabs>
              <w:snapToGrid w:val="0"/>
              <w:spacing w:after="0" w:line="240" w:lineRule="auto"/>
              <w:jc w:val="center"/>
              <w:rPr>
                <w:rFonts w:ascii="宋体" w:hAnsi="宋体" w:cs="宋体"/>
                <w:highlight w:val="none"/>
              </w:rPr>
            </w:pPr>
          </w:p>
        </w:tc>
      </w:tr>
      <w:tr w14:paraId="697900CD">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14:paraId="1F3EFDBF">
            <w:pPr>
              <w:tabs>
                <w:tab w:val="left" w:pos="425"/>
              </w:tabs>
              <w:snapToGrid w:val="0"/>
              <w:spacing w:after="0" w:line="240" w:lineRule="auto"/>
              <w:jc w:val="center"/>
              <w:rPr>
                <w:rFonts w:ascii="宋体" w:hAnsi="宋体" w:cs="宋体"/>
                <w:b/>
                <w:highlight w:val="none"/>
              </w:rPr>
            </w:pPr>
            <w:r>
              <w:rPr>
                <w:rFonts w:hint="eastAsia" w:ascii="宋体" w:hAnsi="宋体" w:cs="宋体"/>
                <w:b/>
                <w:color w:val="000000"/>
                <w:highlight w:val="white"/>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14:paraId="2D97BDF7">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14:paraId="370FDF47">
            <w:pPr>
              <w:tabs>
                <w:tab w:val="left" w:pos="425"/>
              </w:tabs>
              <w:snapToGrid w:val="0"/>
              <w:spacing w:after="0" w:line="240" w:lineRule="auto"/>
              <w:jc w:val="center"/>
              <w:rPr>
                <w:rFonts w:ascii="宋体" w:hAnsi="宋体" w:cs="宋体"/>
                <w:w w:val="90"/>
                <w:highlight w:val="none"/>
              </w:rPr>
            </w:pPr>
            <w:r>
              <w:rPr>
                <w:rFonts w:hint="eastAsia" w:ascii="宋体" w:hAnsi="宋体" w:cs="宋体"/>
                <w:color w:val="000000"/>
                <w:w w:val="90"/>
                <w:highlight w:val="white"/>
              </w:rPr>
              <w:t>――――--</w:t>
            </w:r>
          </w:p>
        </w:tc>
        <w:tc>
          <w:tcPr>
            <w:tcW w:w="1343" w:type="dxa"/>
            <w:tcBorders>
              <w:top w:val="single" w:color="auto" w:sz="4" w:space="0"/>
              <w:left w:val="single" w:color="auto" w:sz="4" w:space="0"/>
              <w:bottom w:val="single" w:color="auto" w:sz="4" w:space="0"/>
              <w:right w:val="single" w:color="auto" w:sz="4" w:space="0"/>
            </w:tcBorders>
            <w:noWrap/>
            <w:vAlign w:val="center"/>
          </w:tcPr>
          <w:p w14:paraId="6F4C669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14:paraId="46103A5C">
            <w:pPr>
              <w:tabs>
                <w:tab w:val="left" w:pos="425"/>
              </w:tabs>
              <w:snapToGrid w:val="0"/>
              <w:spacing w:after="0" w:line="240" w:lineRule="auto"/>
              <w:jc w:val="center"/>
              <w:rPr>
                <w:rFonts w:ascii="宋体" w:hAnsi="宋体" w:cs="宋体"/>
                <w:highlight w:val="none"/>
              </w:rPr>
            </w:pPr>
          </w:p>
        </w:tc>
      </w:tr>
    </w:tbl>
    <w:p w14:paraId="223622E7">
      <w:pPr>
        <w:pStyle w:val="18"/>
        <w:topLinePunct/>
        <w:autoSpaceDE w:val="0"/>
        <w:autoSpaceDN w:val="0"/>
        <w:spacing w:line="460" w:lineRule="exact"/>
        <w:jc w:val="both"/>
        <w:rPr>
          <w:rFonts w:hint="eastAsia" w:hAnsi="宋体" w:cs="宋体"/>
          <w:b/>
          <w:bCs/>
          <w:sz w:val="28"/>
          <w:szCs w:val="28"/>
          <w:highlight w:val="none"/>
        </w:rPr>
      </w:pPr>
    </w:p>
    <w:p w14:paraId="06566144">
      <w:pPr>
        <w:pStyle w:val="18"/>
        <w:topLinePunct/>
        <w:autoSpaceDE w:val="0"/>
        <w:autoSpaceDN w:val="0"/>
        <w:spacing w:line="460" w:lineRule="exact"/>
        <w:jc w:val="both"/>
        <w:rPr>
          <w:rFonts w:hint="eastAsia" w:hAnsi="宋体" w:cs="宋体"/>
          <w:b/>
          <w:bCs/>
          <w:sz w:val="28"/>
          <w:szCs w:val="28"/>
          <w:highlight w:val="none"/>
        </w:rPr>
      </w:pPr>
    </w:p>
    <w:p w14:paraId="611740B7">
      <w:pPr>
        <w:pStyle w:val="18"/>
        <w:topLinePunct/>
        <w:autoSpaceDE w:val="0"/>
        <w:autoSpaceDN w:val="0"/>
        <w:spacing w:line="460" w:lineRule="exact"/>
        <w:ind w:left="2"/>
        <w:jc w:val="center"/>
        <w:rPr>
          <w:rFonts w:hint="eastAsia" w:hAnsi="宋体" w:cs="宋体"/>
          <w:b/>
          <w:bCs/>
          <w:sz w:val="28"/>
          <w:szCs w:val="28"/>
          <w:highlight w:val="none"/>
        </w:rPr>
      </w:pPr>
    </w:p>
    <w:p w14:paraId="1E50006D">
      <w:pPr>
        <w:pStyle w:val="18"/>
        <w:topLinePunct/>
        <w:autoSpaceDE w:val="0"/>
        <w:autoSpaceDN w:val="0"/>
        <w:spacing w:line="460" w:lineRule="exact"/>
        <w:ind w:left="2"/>
        <w:jc w:val="center"/>
        <w:rPr>
          <w:rFonts w:hint="eastAsia" w:hAnsi="宋体" w:cs="宋体"/>
          <w:b/>
          <w:bCs/>
          <w:sz w:val="28"/>
          <w:szCs w:val="28"/>
          <w:highlight w:val="none"/>
        </w:rPr>
      </w:pPr>
    </w:p>
    <w:p w14:paraId="38F578F5">
      <w:pPr>
        <w:pStyle w:val="18"/>
        <w:topLinePunct/>
        <w:autoSpaceDE w:val="0"/>
        <w:autoSpaceDN w:val="0"/>
        <w:spacing w:line="460" w:lineRule="exact"/>
        <w:ind w:left="2"/>
        <w:jc w:val="center"/>
        <w:rPr>
          <w:rFonts w:hint="eastAsia" w:hAnsi="宋体" w:cs="宋体"/>
          <w:b/>
          <w:bCs/>
          <w:sz w:val="28"/>
          <w:szCs w:val="28"/>
          <w:highlight w:val="none"/>
        </w:rPr>
      </w:pPr>
      <w:r>
        <w:rPr>
          <w:rFonts w:hint="eastAsia" w:hAnsi="宋体" w:cs="宋体"/>
          <w:b/>
          <w:bCs/>
          <w:color w:val="000000"/>
          <w:sz w:val="28"/>
          <w:szCs w:val="28"/>
          <w:highlight w:val="white"/>
          <w:lang w:val="en-US" w:eastAsia="zh-CN"/>
        </w:rPr>
        <w:t>2.2</w:t>
      </w:r>
      <w:r>
        <w:rPr>
          <w:rFonts w:hint="eastAsia" w:hAnsi="宋体" w:cs="宋体"/>
          <w:b/>
          <w:bCs/>
          <w:color w:val="000000"/>
          <w:sz w:val="28"/>
          <w:szCs w:val="28"/>
          <w:highlight w:val="white"/>
        </w:rPr>
        <w:t>分项报价表</w:t>
      </w:r>
    </w:p>
    <w:p w14:paraId="7E0D498E">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分项报价表-新增运维服务类费用</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7"/>
        <w:gridCol w:w="1983"/>
        <w:gridCol w:w="1655"/>
        <w:gridCol w:w="1477"/>
        <w:gridCol w:w="1720"/>
      </w:tblGrid>
      <w:tr w14:paraId="5E584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1687" w:type="dxa"/>
          </w:tcPr>
          <w:p w14:paraId="1AF42CA2">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序号</w:t>
            </w:r>
          </w:p>
        </w:tc>
        <w:tc>
          <w:tcPr>
            <w:tcW w:w="1983" w:type="dxa"/>
          </w:tcPr>
          <w:p w14:paraId="6A92E895">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内容</w:t>
            </w:r>
          </w:p>
        </w:tc>
        <w:tc>
          <w:tcPr>
            <w:tcW w:w="1655" w:type="dxa"/>
          </w:tcPr>
          <w:p w14:paraId="14D48AB5">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单价（元</w:t>
            </w:r>
            <w:r>
              <w:rPr>
                <w:rFonts w:hint="default" w:hAnsi="宋体" w:cs="宋体"/>
                <w:b/>
                <w:bCs/>
                <w:color w:val="000000"/>
                <w:sz w:val="24"/>
                <w:szCs w:val="24"/>
                <w:highlight w:val="white"/>
                <w:vertAlign w:val="baseline"/>
                <w:lang w:val="en" w:eastAsia="zh-CN"/>
              </w:rPr>
              <w:t>/</w:t>
            </w:r>
            <w:r>
              <w:rPr>
                <w:rFonts w:hint="eastAsia" w:hAnsi="宋体" w:cs="宋体"/>
                <w:b/>
                <w:bCs/>
                <w:color w:val="000000"/>
                <w:sz w:val="24"/>
                <w:szCs w:val="24"/>
                <w:highlight w:val="white"/>
                <w:vertAlign w:val="baseline"/>
                <w:lang w:val="en" w:eastAsia="zh-CN"/>
              </w:rPr>
              <w:t>月</w:t>
            </w:r>
            <w:r>
              <w:rPr>
                <w:rFonts w:hint="eastAsia" w:hAnsi="宋体" w:cs="宋体"/>
                <w:b/>
                <w:bCs/>
                <w:color w:val="000000"/>
                <w:sz w:val="24"/>
                <w:szCs w:val="24"/>
                <w:highlight w:val="white"/>
                <w:vertAlign w:val="baseline"/>
                <w:lang w:eastAsia="zh-CN"/>
              </w:rPr>
              <w:t>）</w:t>
            </w:r>
          </w:p>
        </w:tc>
        <w:tc>
          <w:tcPr>
            <w:tcW w:w="1477" w:type="dxa"/>
          </w:tcPr>
          <w:p w14:paraId="61889672">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数量（月）</w:t>
            </w:r>
          </w:p>
        </w:tc>
        <w:tc>
          <w:tcPr>
            <w:tcW w:w="1720" w:type="dxa"/>
          </w:tcPr>
          <w:p w14:paraId="0C433E0B">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小计（元）</w:t>
            </w:r>
            <w:r>
              <w:rPr>
                <w:rFonts w:hint="eastAsia" w:hAnsi="宋体" w:cs="宋体"/>
                <w:b/>
                <w:bCs/>
                <w:color w:val="000000"/>
                <w:sz w:val="24"/>
                <w:szCs w:val="24"/>
                <w:highlight w:val="white"/>
                <w:vertAlign w:val="baseline"/>
                <w:lang w:val="en-US" w:eastAsia="zh-CN"/>
              </w:rPr>
              <w:t xml:space="preserve">        </w:t>
            </w:r>
          </w:p>
        </w:tc>
      </w:tr>
      <w:tr w14:paraId="0C64F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14:paraId="5B502B69">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1</w:t>
            </w:r>
          </w:p>
        </w:tc>
        <w:tc>
          <w:tcPr>
            <w:tcW w:w="1983" w:type="dxa"/>
          </w:tcPr>
          <w:p w14:paraId="124978B1">
            <w:pPr>
              <w:pStyle w:val="18"/>
              <w:topLinePunct/>
              <w:autoSpaceDE w:val="0"/>
              <w:autoSpaceDN w:val="0"/>
              <w:spacing w:line="460" w:lineRule="exact"/>
              <w:jc w:val="center"/>
              <w:rPr>
                <w:rFonts w:hint="default" w:hAnsi="宋体" w:cs="宋体"/>
                <w:b w:val="0"/>
                <w:bCs w:val="0"/>
                <w:sz w:val="24"/>
                <w:szCs w:val="24"/>
                <w:highlight w:val="none"/>
                <w:vertAlign w:val="baseline"/>
                <w:lang w:val="en-US"/>
              </w:rPr>
            </w:pPr>
            <w:r>
              <w:rPr>
                <w:rFonts w:hint="eastAsia" w:hAnsi="宋体" w:cs="宋体"/>
                <w:b/>
                <w:bCs/>
                <w:color w:val="000000"/>
                <w:sz w:val="28"/>
                <w:szCs w:val="28"/>
                <w:highlight w:val="white"/>
                <w:lang w:val="en-US" w:eastAsia="zh-CN"/>
              </w:rPr>
              <w:t>新增运维服务类费用</w:t>
            </w:r>
          </w:p>
        </w:tc>
        <w:tc>
          <w:tcPr>
            <w:tcW w:w="1655" w:type="dxa"/>
          </w:tcPr>
          <w:p w14:paraId="1BEC207A">
            <w:pPr>
              <w:pStyle w:val="18"/>
              <w:topLinePunct/>
              <w:autoSpaceDE w:val="0"/>
              <w:autoSpaceDN w:val="0"/>
              <w:spacing w:line="460" w:lineRule="exact"/>
              <w:jc w:val="center"/>
              <w:rPr>
                <w:rFonts w:hint="eastAsia" w:hAnsi="宋体" w:cs="宋体"/>
                <w:b/>
                <w:bCs/>
                <w:sz w:val="24"/>
                <w:szCs w:val="24"/>
                <w:highlight w:val="none"/>
                <w:vertAlign w:val="baseline"/>
              </w:rPr>
            </w:pPr>
          </w:p>
        </w:tc>
        <w:tc>
          <w:tcPr>
            <w:tcW w:w="1477" w:type="dxa"/>
          </w:tcPr>
          <w:p w14:paraId="4580AE1E">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12</w:t>
            </w:r>
          </w:p>
        </w:tc>
        <w:tc>
          <w:tcPr>
            <w:tcW w:w="1720" w:type="dxa"/>
          </w:tcPr>
          <w:p w14:paraId="0B148B89">
            <w:pPr>
              <w:pStyle w:val="18"/>
              <w:topLinePunct/>
              <w:autoSpaceDE w:val="0"/>
              <w:autoSpaceDN w:val="0"/>
              <w:spacing w:line="460" w:lineRule="exact"/>
              <w:jc w:val="center"/>
              <w:rPr>
                <w:rFonts w:hint="eastAsia" w:hAnsi="宋体" w:cs="宋体"/>
                <w:b/>
                <w:bCs/>
                <w:sz w:val="24"/>
                <w:szCs w:val="24"/>
                <w:highlight w:val="none"/>
                <w:vertAlign w:val="baseline"/>
              </w:rPr>
            </w:pPr>
          </w:p>
        </w:tc>
      </w:tr>
      <w:tr w14:paraId="42FA1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14:paraId="42B24AB7">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合  计</w:t>
            </w:r>
          </w:p>
        </w:tc>
        <w:tc>
          <w:tcPr>
            <w:tcW w:w="1983" w:type="dxa"/>
          </w:tcPr>
          <w:p w14:paraId="4BA2D159">
            <w:pPr>
              <w:pStyle w:val="18"/>
              <w:topLinePunct/>
              <w:autoSpaceDE w:val="0"/>
              <w:autoSpaceDN w:val="0"/>
              <w:spacing w:line="460" w:lineRule="exact"/>
              <w:jc w:val="center"/>
              <w:rPr>
                <w:rFonts w:hint="eastAsia" w:hAnsi="宋体" w:cs="宋体"/>
                <w:b w:val="0"/>
                <w:bCs w:val="0"/>
                <w:sz w:val="24"/>
                <w:szCs w:val="24"/>
                <w:highlight w:val="none"/>
                <w:vertAlign w:val="baseline"/>
              </w:rPr>
            </w:pPr>
          </w:p>
        </w:tc>
        <w:tc>
          <w:tcPr>
            <w:tcW w:w="1655" w:type="dxa"/>
          </w:tcPr>
          <w:p w14:paraId="26834515">
            <w:pPr>
              <w:pStyle w:val="18"/>
              <w:topLinePunct/>
              <w:autoSpaceDE w:val="0"/>
              <w:autoSpaceDN w:val="0"/>
              <w:spacing w:line="460" w:lineRule="exact"/>
              <w:jc w:val="center"/>
              <w:rPr>
                <w:rFonts w:hint="eastAsia" w:hAnsi="宋体" w:cs="宋体"/>
                <w:b/>
                <w:bCs/>
                <w:sz w:val="24"/>
                <w:szCs w:val="24"/>
                <w:highlight w:val="none"/>
                <w:vertAlign w:val="baseline"/>
              </w:rPr>
            </w:pPr>
          </w:p>
        </w:tc>
        <w:tc>
          <w:tcPr>
            <w:tcW w:w="1477" w:type="dxa"/>
          </w:tcPr>
          <w:p w14:paraId="18B80A55">
            <w:pPr>
              <w:pStyle w:val="18"/>
              <w:topLinePunct/>
              <w:autoSpaceDE w:val="0"/>
              <w:autoSpaceDN w:val="0"/>
              <w:spacing w:line="460" w:lineRule="exact"/>
              <w:jc w:val="center"/>
              <w:rPr>
                <w:rFonts w:hint="default" w:hAnsi="宋体" w:cs="宋体"/>
                <w:b/>
                <w:bCs/>
                <w:sz w:val="24"/>
                <w:szCs w:val="24"/>
                <w:highlight w:val="none"/>
                <w:vertAlign w:val="baseline"/>
                <w:lang w:val="en-US"/>
              </w:rPr>
            </w:pPr>
          </w:p>
        </w:tc>
        <w:tc>
          <w:tcPr>
            <w:tcW w:w="1720" w:type="dxa"/>
          </w:tcPr>
          <w:p w14:paraId="68A9A411">
            <w:pPr>
              <w:pStyle w:val="18"/>
              <w:topLinePunct/>
              <w:autoSpaceDE w:val="0"/>
              <w:autoSpaceDN w:val="0"/>
              <w:spacing w:line="460" w:lineRule="exact"/>
              <w:jc w:val="center"/>
              <w:rPr>
                <w:rFonts w:hint="eastAsia" w:hAnsi="宋体" w:cs="宋体"/>
                <w:b/>
                <w:bCs/>
                <w:sz w:val="24"/>
                <w:szCs w:val="24"/>
                <w:highlight w:val="none"/>
                <w:vertAlign w:val="baseline"/>
              </w:rPr>
            </w:pPr>
          </w:p>
        </w:tc>
      </w:tr>
      <w:tr w14:paraId="5627A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6802" w:type="dxa"/>
            <w:gridSpan w:val="4"/>
          </w:tcPr>
          <w:p w14:paraId="5EB9133B">
            <w:pPr>
              <w:pStyle w:val="18"/>
              <w:topLinePunct/>
              <w:autoSpaceDE w:val="0"/>
              <w:autoSpaceDN w:val="0"/>
              <w:spacing w:line="460" w:lineRule="exact"/>
              <w:jc w:val="center"/>
              <w:rPr>
                <w:rFonts w:hint="eastAsia" w:hAnsi="宋体" w:cs="宋体"/>
                <w:b/>
                <w:bCs/>
                <w:sz w:val="24"/>
                <w:szCs w:val="24"/>
                <w:highlight w:val="none"/>
                <w:vertAlign w:val="baseline"/>
                <w:lang w:val="en-US"/>
              </w:rPr>
            </w:pPr>
          </w:p>
        </w:tc>
        <w:tc>
          <w:tcPr>
            <w:tcW w:w="1720" w:type="dxa"/>
          </w:tcPr>
          <w:p w14:paraId="7BBCE4CA">
            <w:pPr>
              <w:pStyle w:val="18"/>
              <w:topLinePunct/>
              <w:autoSpaceDE w:val="0"/>
              <w:autoSpaceDN w:val="0"/>
              <w:spacing w:line="460" w:lineRule="exact"/>
              <w:jc w:val="center"/>
              <w:rPr>
                <w:rFonts w:hint="eastAsia" w:hAnsi="宋体" w:cs="宋体"/>
                <w:b/>
                <w:bCs/>
                <w:sz w:val="24"/>
                <w:szCs w:val="24"/>
                <w:highlight w:val="none"/>
                <w:vertAlign w:val="baseline"/>
              </w:rPr>
            </w:pPr>
          </w:p>
        </w:tc>
      </w:tr>
    </w:tbl>
    <w:p w14:paraId="192321F5">
      <w:pPr>
        <w:topLinePunct/>
        <w:autoSpaceDE w:val="0"/>
        <w:autoSpaceDN w:val="0"/>
        <w:adjustRightInd w:val="0"/>
        <w:snapToGrid w:val="0"/>
        <w:spacing w:after="0" w:line="360" w:lineRule="auto"/>
        <w:jc w:val="left"/>
        <w:rPr>
          <w:rFonts w:ascii="宋体" w:hAnsi="宋体" w:cs="宋体"/>
          <w:highlight w:val="none"/>
        </w:rPr>
      </w:pPr>
      <w:r>
        <w:rPr>
          <w:rFonts w:hint="eastAsia" w:ascii="宋体" w:hAnsi="宋体" w:cs="宋体"/>
          <w:color w:val="000000"/>
          <w:highlight w:val="white"/>
        </w:rPr>
        <w:t>特别说明:</w:t>
      </w:r>
    </w:p>
    <w:p w14:paraId="44C2F644">
      <w:pPr>
        <w:pStyle w:val="18"/>
        <w:topLinePunct/>
        <w:autoSpaceDE w:val="0"/>
        <w:autoSpaceDN w:val="0"/>
        <w:spacing w:line="460" w:lineRule="exact"/>
        <w:ind w:left="2"/>
        <w:jc w:val="left"/>
        <w:rPr>
          <w:rFonts w:hint="default" w:hAnsi="宋体" w:cs="宋体"/>
          <w:highlight w:val="none"/>
          <w:lang w:val="en-US"/>
        </w:rPr>
      </w:pPr>
      <w:r>
        <w:rPr>
          <w:rFonts w:hint="eastAsia" w:hAnsi="宋体" w:cs="宋体"/>
          <w:color w:val="000000"/>
          <w:highlight w:val="white"/>
          <w:lang w:eastAsia="zh-CN"/>
        </w:rPr>
        <w:t>本表中“合计”应等于总报价表中的“</w:t>
      </w:r>
      <w:r>
        <w:rPr>
          <w:rFonts w:hint="eastAsia" w:hAnsi="宋体" w:cs="宋体"/>
          <w:color w:val="000000"/>
          <w:highlight w:val="white"/>
          <w:lang w:val="en-US" w:eastAsia="zh-CN"/>
        </w:rPr>
        <w:t>新增运维服务类费用”报价合计。</w:t>
      </w:r>
    </w:p>
    <w:p w14:paraId="6F08F9EC">
      <w:pPr>
        <w:pStyle w:val="18"/>
        <w:topLinePunct/>
        <w:autoSpaceDE w:val="0"/>
        <w:autoSpaceDN w:val="0"/>
        <w:spacing w:line="460" w:lineRule="exact"/>
        <w:jc w:val="both"/>
        <w:rPr>
          <w:rFonts w:hint="eastAsia" w:hAnsi="宋体" w:cs="宋体"/>
          <w:b/>
          <w:bCs/>
          <w:sz w:val="28"/>
          <w:szCs w:val="28"/>
          <w:highlight w:val="none"/>
        </w:rPr>
      </w:pPr>
    </w:p>
    <w:p w14:paraId="36508BE5">
      <w:pPr>
        <w:pStyle w:val="18"/>
        <w:topLinePunct/>
        <w:autoSpaceDE w:val="0"/>
        <w:autoSpaceDN w:val="0"/>
        <w:spacing w:line="460" w:lineRule="exact"/>
        <w:jc w:val="both"/>
        <w:rPr>
          <w:rFonts w:hint="eastAsia" w:hAnsi="宋体" w:cs="宋体"/>
          <w:b/>
          <w:bCs/>
          <w:sz w:val="28"/>
          <w:szCs w:val="28"/>
          <w:highlight w:val="none"/>
        </w:rPr>
      </w:pPr>
    </w:p>
    <w:p w14:paraId="53806C7D">
      <w:pPr>
        <w:pStyle w:val="18"/>
        <w:topLinePunct/>
        <w:autoSpaceDE w:val="0"/>
        <w:autoSpaceDN w:val="0"/>
        <w:spacing w:line="460" w:lineRule="exact"/>
        <w:ind w:left="2"/>
        <w:jc w:val="center"/>
        <w:rPr>
          <w:rFonts w:hint="eastAsia" w:hAnsi="宋体" w:cs="宋体"/>
          <w:b/>
          <w:bCs/>
          <w:sz w:val="28"/>
          <w:szCs w:val="28"/>
          <w:highlight w:val="none"/>
        </w:rPr>
      </w:pPr>
      <w:r>
        <w:rPr>
          <w:rFonts w:hint="eastAsia" w:hAnsi="宋体" w:cs="宋体"/>
          <w:b/>
          <w:bCs/>
          <w:color w:val="000000"/>
          <w:sz w:val="28"/>
          <w:szCs w:val="28"/>
          <w:highlight w:val="white"/>
          <w:lang w:val="en-US" w:eastAsia="zh-CN"/>
        </w:rPr>
        <w:t>3.</w:t>
      </w:r>
      <w:r>
        <w:rPr>
          <w:rFonts w:hint="eastAsia" w:hAnsi="宋体" w:cs="宋体"/>
          <w:b/>
          <w:bCs/>
          <w:color w:val="000000"/>
          <w:sz w:val="28"/>
          <w:szCs w:val="28"/>
          <w:highlight w:val="white"/>
        </w:rPr>
        <w:t>分项报价表</w:t>
      </w:r>
    </w:p>
    <w:p w14:paraId="38527533">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分项报价表-升级改造费用</w:t>
      </w:r>
    </w:p>
    <w:tbl>
      <w:tblPr>
        <w:tblStyle w:val="31"/>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14:paraId="2C75B97B">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192DC089">
            <w:pPr>
              <w:widowControl/>
              <w:spacing w:after="0" w:line="240" w:lineRule="auto"/>
              <w:jc w:val="center"/>
              <w:rPr>
                <w:rFonts w:ascii="宋体" w:hAnsi="宋体" w:cs="宋体"/>
                <w:b/>
                <w:highlight w:val="none"/>
              </w:rPr>
            </w:pPr>
            <w:r>
              <w:rPr>
                <w:rFonts w:hint="eastAsia" w:ascii="宋体" w:hAnsi="宋体" w:cs="宋体"/>
                <w:b/>
                <w:color w:val="000000"/>
                <w:highlight w:val="white"/>
              </w:rPr>
              <w:t>序号</w:t>
            </w:r>
          </w:p>
        </w:tc>
        <w:tc>
          <w:tcPr>
            <w:tcW w:w="1692" w:type="dxa"/>
            <w:tcBorders>
              <w:top w:val="single" w:color="auto" w:sz="4" w:space="0"/>
              <w:left w:val="nil"/>
              <w:bottom w:val="single" w:color="auto" w:sz="4" w:space="0"/>
              <w:right w:val="single" w:color="auto" w:sz="4" w:space="0"/>
            </w:tcBorders>
            <w:noWrap/>
            <w:vAlign w:val="center"/>
          </w:tcPr>
          <w:p w14:paraId="709D33DE">
            <w:pPr>
              <w:widowControl/>
              <w:spacing w:after="0" w:line="240" w:lineRule="auto"/>
              <w:ind w:left="-84" w:leftChars="-40" w:firstLine="82" w:firstLineChars="39"/>
              <w:jc w:val="center"/>
              <w:rPr>
                <w:rFonts w:ascii="宋体" w:hAnsi="宋体" w:cs="宋体"/>
                <w:b/>
                <w:highlight w:val="none"/>
              </w:rPr>
            </w:pPr>
            <w:r>
              <w:rPr>
                <w:rFonts w:hint="eastAsia" w:ascii="宋体" w:hAnsi="宋体" w:cs="宋体"/>
                <w:b/>
                <w:color w:val="000000"/>
                <w:highlight w:val="white"/>
              </w:rPr>
              <w:t>具体工作名称</w:t>
            </w:r>
          </w:p>
        </w:tc>
        <w:tc>
          <w:tcPr>
            <w:tcW w:w="1528" w:type="dxa"/>
            <w:tcBorders>
              <w:top w:val="single" w:color="auto" w:sz="4" w:space="0"/>
              <w:left w:val="nil"/>
              <w:bottom w:val="single" w:color="auto" w:sz="4" w:space="0"/>
              <w:right w:val="single" w:color="auto" w:sz="4" w:space="0"/>
            </w:tcBorders>
            <w:noWrap/>
            <w:vAlign w:val="center"/>
          </w:tcPr>
          <w:p w14:paraId="29D4B4FC">
            <w:pPr>
              <w:widowControl/>
              <w:spacing w:after="0" w:line="240" w:lineRule="auto"/>
              <w:jc w:val="center"/>
              <w:rPr>
                <w:rFonts w:ascii="宋体" w:hAnsi="宋体" w:cs="宋体"/>
                <w:b/>
                <w:highlight w:val="none"/>
              </w:rPr>
            </w:pPr>
            <w:r>
              <w:rPr>
                <w:rFonts w:hint="eastAsia" w:ascii="宋体" w:hAnsi="宋体" w:cs="宋体"/>
                <w:b/>
                <w:color w:val="000000"/>
                <w:highlight w:val="white"/>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14:paraId="127C0F0E">
            <w:pPr>
              <w:widowControl/>
              <w:spacing w:after="0" w:line="240" w:lineRule="auto"/>
              <w:jc w:val="center"/>
              <w:rPr>
                <w:rFonts w:ascii="宋体" w:hAnsi="宋体" w:cs="宋体"/>
                <w:b/>
                <w:highlight w:val="none"/>
              </w:rPr>
            </w:pPr>
            <w:r>
              <w:rPr>
                <w:rFonts w:hint="eastAsia" w:ascii="宋体" w:hAnsi="宋体" w:cs="宋体"/>
                <w:b/>
                <w:color w:val="000000"/>
                <w:highlight w:val="white"/>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14:paraId="397871F2">
            <w:pPr>
              <w:widowControl/>
              <w:spacing w:after="0" w:line="240" w:lineRule="auto"/>
              <w:jc w:val="center"/>
              <w:rPr>
                <w:rFonts w:ascii="宋体" w:hAnsi="宋体" w:cs="宋体"/>
                <w:b/>
                <w:highlight w:val="none"/>
              </w:rPr>
            </w:pPr>
            <w:r>
              <w:rPr>
                <w:rFonts w:hint="eastAsia" w:ascii="宋体" w:hAnsi="宋体" w:cs="宋体"/>
                <w:b/>
                <w:color w:val="000000"/>
                <w:highlight w:val="white"/>
              </w:rPr>
              <w:t>人员</w:t>
            </w:r>
          </w:p>
          <w:p w14:paraId="73E0B393">
            <w:pPr>
              <w:widowControl/>
              <w:spacing w:after="0" w:line="240" w:lineRule="auto"/>
              <w:jc w:val="center"/>
              <w:rPr>
                <w:rFonts w:ascii="宋体" w:hAnsi="宋体" w:cs="宋体"/>
                <w:b/>
                <w:highlight w:val="none"/>
              </w:rPr>
            </w:pPr>
            <w:r>
              <w:rPr>
                <w:rFonts w:hint="eastAsia" w:ascii="宋体" w:hAnsi="宋体" w:cs="宋体"/>
                <w:b/>
                <w:color w:val="000000"/>
                <w:highlight w:val="white"/>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14:paraId="7DACB8CE">
            <w:pPr>
              <w:widowControl/>
              <w:spacing w:after="0" w:line="240" w:lineRule="auto"/>
              <w:jc w:val="center"/>
              <w:rPr>
                <w:rFonts w:ascii="宋体" w:hAnsi="宋体" w:cs="宋体"/>
                <w:b/>
                <w:highlight w:val="none"/>
              </w:rPr>
            </w:pPr>
            <w:r>
              <w:rPr>
                <w:rFonts w:hint="eastAsia" w:ascii="宋体" w:hAnsi="宋体" w:cs="宋体"/>
                <w:b/>
                <w:color w:val="000000"/>
                <w:highlight w:val="white"/>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14:paraId="2FFC9A96">
            <w:pPr>
              <w:widowControl/>
              <w:spacing w:after="0" w:line="240" w:lineRule="auto"/>
              <w:jc w:val="center"/>
              <w:rPr>
                <w:rFonts w:ascii="宋体" w:hAnsi="宋体" w:cs="宋体"/>
                <w:b/>
                <w:highlight w:val="none"/>
              </w:rPr>
            </w:pPr>
            <w:r>
              <w:rPr>
                <w:rFonts w:hint="eastAsia" w:ascii="宋体" w:hAnsi="宋体" w:cs="宋体"/>
                <w:b/>
                <w:color w:val="000000"/>
                <w:highlight w:val="white"/>
              </w:rPr>
              <w:t>单价</w:t>
            </w:r>
          </w:p>
          <w:p w14:paraId="33102B9B">
            <w:pPr>
              <w:widowControl/>
              <w:spacing w:after="0" w:line="240" w:lineRule="auto"/>
              <w:jc w:val="center"/>
              <w:rPr>
                <w:rFonts w:ascii="宋体" w:hAnsi="宋体" w:cs="宋体"/>
                <w:b/>
                <w:highlight w:val="none"/>
              </w:rPr>
            </w:pPr>
            <w:r>
              <w:rPr>
                <w:rFonts w:hint="eastAsia" w:ascii="宋体" w:hAnsi="宋体" w:cs="宋体"/>
                <w:b/>
                <w:color w:val="000000"/>
                <w:highlight w:val="white"/>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14:paraId="1DCC5DE7">
            <w:pPr>
              <w:widowControl/>
              <w:spacing w:after="0" w:line="240" w:lineRule="auto"/>
              <w:jc w:val="center"/>
              <w:rPr>
                <w:rFonts w:ascii="宋体" w:hAnsi="宋体" w:cs="宋体"/>
                <w:b/>
                <w:highlight w:val="none"/>
              </w:rPr>
            </w:pPr>
            <w:r>
              <w:rPr>
                <w:rFonts w:hint="eastAsia" w:ascii="宋体" w:hAnsi="宋体" w:cs="宋体"/>
                <w:b/>
                <w:color w:val="000000"/>
                <w:highlight w:val="white"/>
              </w:rPr>
              <w:t>小计</w:t>
            </w:r>
          </w:p>
          <w:p w14:paraId="25F12156">
            <w:pPr>
              <w:widowControl/>
              <w:spacing w:after="0" w:line="240" w:lineRule="auto"/>
              <w:jc w:val="center"/>
              <w:rPr>
                <w:rFonts w:ascii="宋体" w:hAnsi="宋体" w:cs="宋体"/>
                <w:b/>
                <w:highlight w:val="none"/>
              </w:rPr>
            </w:pPr>
            <w:r>
              <w:rPr>
                <w:rFonts w:hint="eastAsia" w:ascii="宋体" w:hAnsi="宋体" w:cs="宋体"/>
                <w:b/>
                <w:color w:val="000000"/>
                <w:highlight w:val="white"/>
              </w:rPr>
              <w:t>（元）</w:t>
            </w:r>
          </w:p>
        </w:tc>
        <w:tc>
          <w:tcPr>
            <w:tcW w:w="643" w:type="dxa"/>
            <w:tcBorders>
              <w:top w:val="single" w:color="auto" w:sz="4" w:space="0"/>
              <w:left w:val="nil"/>
              <w:bottom w:val="single" w:color="auto" w:sz="4" w:space="0"/>
              <w:right w:val="single" w:color="auto" w:sz="4" w:space="0"/>
            </w:tcBorders>
            <w:noWrap/>
            <w:vAlign w:val="center"/>
          </w:tcPr>
          <w:p w14:paraId="08F9100E">
            <w:pPr>
              <w:spacing w:after="0" w:line="240" w:lineRule="auto"/>
              <w:jc w:val="center"/>
              <w:rPr>
                <w:rFonts w:ascii="宋体" w:hAnsi="宋体" w:cs="宋体"/>
                <w:b/>
                <w:highlight w:val="none"/>
              </w:rPr>
            </w:pPr>
            <w:r>
              <w:rPr>
                <w:rFonts w:hint="eastAsia" w:ascii="宋体" w:hAnsi="宋体" w:cs="宋体"/>
                <w:b/>
                <w:color w:val="000000"/>
                <w:highlight w:val="white"/>
              </w:rPr>
              <w:t>备注</w:t>
            </w:r>
          </w:p>
        </w:tc>
      </w:tr>
      <w:tr w14:paraId="1AA86242">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3E3254D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1</w:t>
            </w:r>
          </w:p>
        </w:tc>
        <w:tc>
          <w:tcPr>
            <w:tcW w:w="1692" w:type="dxa"/>
            <w:tcBorders>
              <w:top w:val="single" w:color="auto" w:sz="4" w:space="0"/>
              <w:left w:val="nil"/>
              <w:bottom w:val="single" w:color="auto" w:sz="4" w:space="0"/>
              <w:right w:val="single" w:color="auto" w:sz="4" w:space="0"/>
            </w:tcBorders>
            <w:noWrap/>
            <w:vAlign w:val="center"/>
          </w:tcPr>
          <w:p w14:paraId="6E44FE12">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5CF6DD41">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5246FB11">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60C5DF34">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52AF3C33">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DDC91EB">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674659BE">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0B23F6F3">
            <w:pPr>
              <w:tabs>
                <w:tab w:val="left" w:pos="425"/>
              </w:tabs>
              <w:snapToGrid w:val="0"/>
              <w:spacing w:after="0" w:line="240" w:lineRule="auto"/>
              <w:jc w:val="center"/>
              <w:rPr>
                <w:rFonts w:ascii="宋体" w:hAnsi="宋体" w:cs="宋体"/>
                <w:highlight w:val="none"/>
              </w:rPr>
            </w:pPr>
          </w:p>
        </w:tc>
      </w:tr>
      <w:tr w14:paraId="10B45B96">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1D333D51">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2</w:t>
            </w:r>
          </w:p>
        </w:tc>
        <w:tc>
          <w:tcPr>
            <w:tcW w:w="1692" w:type="dxa"/>
            <w:tcBorders>
              <w:top w:val="single" w:color="auto" w:sz="4" w:space="0"/>
              <w:left w:val="nil"/>
              <w:bottom w:val="single" w:color="auto" w:sz="4" w:space="0"/>
              <w:right w:val="single" w:color="auto" w:sz="4" w:space="0"/>
            </w:tcBorders>
            <w:noWrap/>
            <w:vAlign w:val="center"/>
          </w:tcPr>
          <w:p w14:paraId="543A8611">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6770D86D">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7D4E0896">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753AA16E">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459416E7">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4B88462F">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0BC71A60">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09F6EA48">
            <w:pPr>
              <w:tabs>
                <w:tab w:val="left" w:pos="425"/>
              </w:tabs>
              <w:snapToGrid w:val="0"/>
              <w:spacing w:after="0" w:line="240" w:lineRule="auto"/>
              <w:jc w:val="center"/>
              <w:rPr>
                <w:rFonts w:ascii="宋体" w:hAnsi="宋体" w:cs="宋体"/>
                <w:highlight w:val="none"/>
              </w:rPr>
            </w:pPr>
          </w:p>
        </w:tc>
      </w:tr>
      <w:tr w14:paraId="79A82769">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233208C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3</w:t>
            </w:r>
          </w:p>
        </w:tc>
        <w:tc>
          <w:tcPr>
            <w:tcW w:w="1692" w:type="dxa"/>
            <w:tcBorders>
              <w:top w:val="single" w:color="auto" w:sz="4" w:space="0"/>
              <w:left w:val="nil"/>
              <w:bottom w:val="single" w:color="auto" w:sz="4" w:space="0"/>
              <w:right w:val="single" w:color="auto" w:sz="4" w:space="0"/>
            </w:tcBorders>
            <w:noWrap/>
            <w:vAlign w:val="center"/>
          </w:tcPr>
          <w:p w14:paraId="378F12D4">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0CF9E92">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6B350059">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6E9FEC1F">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3D80F1F1">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6959710F">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588C7FF">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426A35D5">
            <w:pPr>
              <w:tabs>
                <w:tab w:val="left" w:pos="425"/>
              </w:tabs>
              <w:snapToGrid w:val="0"/>
              <w:spacing w:after="0" w:line="240" w:lineRule="auto"/>
              <w:jc w:val="center"/>
              <w:rPr>
                <w:rFonts w:ascii="宋体" w:hAnsi="宋体" w:cs="宋体"/>
                <w:highlight w:val="none"/>
              </w:rPr>
            </w:pPr>
          </w:p>
        </w:tc>
      </w:tr>
      <w:tr w14:paraId="63492AEC">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14:paraId="3781E191">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4</w:t>
            </w:r>
          </w:p>
        </w:tc>
        <w:tc>
          <w:tcPr>
            <w:tcW w:w="1692" w:type="dxa"/>
            <w:tcBorders>
              <w:top w:val="nil"/>
              <w:left w:val="nil"/>
              <w:bottom w:val="single" w:color="auto" w:sz="4" w:space="0"/>
              <w:right w:val="single" w:color="auto" w:sz="4" w:space="0"/>
            </w:tcBorders>
            <w:noWrap/>
            <w:vAlign w:val="center"/>
          </w:tcPr>
          <w:p w14:paraId="4A1B77A9">
            <w:pPr>
              <w:spacing w:after="0" w:line="240" w:lineRule="auto"/>
              <w:jc w:val="center"/>
              <w:rPr>
                <w:rFonts w:ascii="宋体" w:hAnsi="宋体" w:cs="宋体"/>
                <w:highlight w:val="none"/>
              </w:rPr>
            </w:pPr>
          </w:p>
        </w:tc>
        <w:tc>
          <w:tcPr>
            <w:tcW w:w="1528" w:type="dxa"/>
            <w:tcBorders>
              <w:top w:val="nil"/>
              <w:left w:val="nil"/>
              <w:bottom w:val="single" w:color="auto" w:sz="4" w:space="0"/>
              <w:right w:val="single" w:color="auto" w:sz="4" w:space="0"/>
            </w:tcBorders>
            <w:noWrap/>
            <w:vAlign w:val="center"/>
          </w:tcPr>
          <w:p w14:paraId="108CE4CD">
            <w:pPr>
              <w:tabs>
                <w:tab w:val="left" w:pos="425"/>
              </w:tabs>
              <w:snapToGrid w:val="0"/>
              <w:spacing w:after="0" w:line="240" w:lineRule="auto"/>
              <w:jc w:val="center"/>
              <w:rPr>
                <w:rFonts w:ascii="宋体" w:hAnsi="宋体" w:cs="宋体"/>
                <w:highlight w:val="none"/>
              </w:rPr>
            </w:pPr>
          </w:p>
        </w:tc>
        <w:tc>
          <w:tcPr>
            <w:tcW w:w="1134" w:type="dxa"/>
            <w:tcBorders>
              <w:top w:val="nil"/>
              <w:left w:val="single" w:color="auto" w:sz="4" w:space="0"/>
              <w:bottom w:val="single" w:color="auto" w:sz="4" w:space="0"/>
              <w:right w:val="single" w:color="auto" w:sz="4" w:space="0"/>
            </w:tcBorders>
            <w:noWrap/>
            <w:vAlign w:val="center"/>
          </w:tcPr>
          <w:p w14:paraId="6BC0870D">
            <w:pPr>
              <w:tabs>
                <w:tab w:val="left" w:pos="425"/>
              </w:tabs>
              <w:snapToGrid w:val="0"/>
              <w:spacing w:after="0" w:line="240" w:lineRule="auto"/>
              <w:jc w:val="center"/>
              <w:rPr>
                <w:rFonts w:ascii="宋体" w:hAnsi="宋体" w:cs="宋体"/>
                <w:highlight w:val="none"/>
              </w:rPr>
            </w:pPr>
          </w:p>
        </w:tc>
        <w:tc>
          <w:tcPr>
            <w:tcW w:w="937" w:type="dxa"/>
            <w:tcBorders>
              <w:top w:val="nil"/>
              <w:left w:val="single" w:color="auto" w:sz="4" w:space="0"/>
              <w:bottom w:val="single" w:color="auto" w:sz="4" w:space="0"/>
              <w:right w:val="single" w:color="auto" w:sz="4" w:space="0"/>
            </w:tcBorders>
            <w:noWrap/>
            <w:vAlign w:val="center"/>
          </w:tcPr>
          <w:p w14:paraId="58F956F8">
            <w:pPr>
              <w:tabs>
                <w:tab w:val="left" w:pos="425"/>
              </w:tabs>
              <w:snapToGrid w:val="0"/>
              <w:spacing w:after="0" w:line="240" w:lineRule="auto"/>
              <w:jc w:val="center"/>
              <w:rPr>
                <w:rFonts w:ascii="宋体" w:hAnsi="宋体" w:cs="宋体"/>
                <w:highlight w:val="none"/>
              </w:rPr>
            </w:pPr>
          </w:p>
        </w:tc>
        <w:tc>
          <w:tcPr>
            <w:tcW w:w="1260" w:type="dxa"/>
            <w:tcBorders>
              <w:top w:val="nil"/>
              <w:left w:val="single" w:color="auto" w:sz="4" w:space="0"/>
              <w:bottom w:val="single" w:color="auto" w:sz="4" w:space="0"/>
              <w:right w:val="single" w:color="auto" w:sz="4" w:space="0"/>
            </w:tcBorders>
            <w:noWrap/>
            <w:vAlign w:val="center"/>
          </w:tcPr>
          <w:p w14:paraId="1F199EC1">
            <w:pPr>
              <w:tabs>
                <w:tab w:val="left" w:pos="425"/>
              </w:tabs>
              <w:snapToGrid w:val="0"/>
              <w:spacing w:after="0" w:line="240" w:lineRule="auto"/>
              <w:jc w:val="center"/>
              <w:rPr>
                <w:rFonts w:ascii="宋体" w:hAnsi="宋体" w:cs="宋体"/>
                <w:highlight w:val="none"/>
              </w:rPr>
            </w:pPr>
          </w:p>
        </w:tc>
        <w:tc>
          <w:tcPr>
            <w:tcW w:w="1317" w:type="dxa"/>
            <w:tcBorders>
              <w:top w:val="nil"/>
              <w:left w:val="single" w:color="auto" w:sz="4" w:space="0"/>
              <w:bottom w:val="single" w:color="auto" w:sz="4" w:space="0"/>
              <w:right w:val="single" w:color="auto" w:sz="4" w:space="0"/>
            </w:tcBorders>
            <w:noWrap/>
            <w:vAlign w:val="center"/>
          </w:tcPr>
          <w:p w14:paraId="1E55B128">
            <w:pPr>
              <w:tabs>
                <w:tab w:val="left" w:pos="425"/>
              </w:tabs>
              <w:snapToGrid w:val="0"/>
              <w:spacing w:after="0" w:line="240" w:lineRule="auto"/>
              <w:jc w:val="center"/>
              <w:rPr>
                <w:rFonts w:ascii="宋体" w:hAnsi="宋体" w:cs="宋体"/>
                <w:highlight w:val="none"/>
              </w:rPr>
            </w:pPr>
          </w:p>
        </w:tc>
        <w:tc>
          <w:tcPr>
            <w:tcW w:w="1343" w:type="dxa"/>
            <w:tcBorders>
              <w:top w:val="nil"/>
              <w:left w:val="single" w:color="auto" w:sz="4" w:space="0"/>
              <w:bottom w:val="single" w:color="auto" w:sz="4" w:space="0"/>
              <w:right w:val="single" w:color="auto" w:sz="4" w:space="0"/>
            </w:tcBorders>
            <w:noWrap/>
            <w:vAlign w:val="center"/>
          </w:tcPr>
          <w:p w14:paraId="7214EEAC">
            <w:pPr>
              <w:tabs>
                <w:tab w:val="left" w:pos="425"/>
              </w:tabs>
              <w:snapToGrid w:val="0"/>
              <w:spacing w:after="0" w:line="240" w:lineRule="auto"/>
              <w:jc w:val="center"/>
              <w:rPr>
                <w:rFonts w:ascii="宋体" w:hAnsi="宋体" w:cs="宋体"/>
                <w:highlight w:val="none"/>
              </w:rPr>
            </w:pPr>
          </w:p>
        </w:tc>
        <w:tc>
          <w:tcPr>
            <w:tcW w:w="643" w:type="dxa"/>
            <w:tcBorders>
              <w:top w:val="nil"/>
              <w:left w:val="single" w:color="auto" w:sz="4" w:space="0"/>
              <w:bottom w:val="single" w:color="auto" w:sz="4" w:space="0"/>
              <w:right w:val="single" w:color="auto" w:sz="4" w:space="0"/>
            </w:tcBorders>
            <w:noWrap/>
            <w:vAlign w:val="center"/>
          </w:tcPr>
          <w:p w14:paraId="5356252C">
            <w:pPr>
              <w:tabs>
                <w:tab w:val="left" w:pos="425"/>
              </w:tabs>
              <w:snapToGrid w:val="0"/>
              <w:spacing w:after="0" w:line="240" w:lineRule="auto"/>
              <w:jc w:val="center"/>
              <w:rPr>
                <w:rFonts w:ascii="宋体" w:hAnsi="宋体" w:cs="宋体"/>
                <w:highlight w:val="none"/>
              </w:rPr>
            </w:pPr>
          </w:p>
        </w:tc>
      </w:tr>
      <w:tr w14:paraId="3E6864F7">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4D39E99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5</w:t>
            </w:r>
          </w:p>
        </w:tc>
        <w:tc>
          <w:tcPr>
            <w:tcW w:w="1692" w:type="dxa"/>
            <w:tcBorders>
              <w:top w:val="single" w:color="auto" w:sz="4" w:space="0"/>
              <w:left w:val="nil"/>
              <w:bottom w:val="single" w:color="auto" w:sz="4" w:space="0"/>
              <w:right w:val="single" w:color="auto" w:sz="4" w:space="0"/>
            </w:tcBorders>
            <w:noWrap/>
            <w:vAlign w:val="center"/>
          </w:tcPr>
          <w:p w14:paraId="0131F366">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43957606">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66AED054">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2B5084BF">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13388A24">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16A80E0">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45822712">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3D03B5EA">
            <w:pPr>
              <w:tabs>
                <w:tab w:val="left" w:pos="425"/>
              </w:tabs>
              <w:snapToGrid w:val="0"/>
              <w:spacing w:after="0" w:line="240" w:lineRule="auto"/>
              <w:jc w:val="center"/>
              <w:rPr>
                <w:rFonts w:ascii="宋体" w:hAnsi="宋体" w:cs="宋体"/>
                <w:highlight w:val="none"/>
              </w:rPr>
            </w:pPr>
          </w:p>
        </w:tc>
      </w:tr>
      <w:tr w14:paraId="2AF763C9">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44970B0D">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w:t>
            </w:r>
          </w:p>
        </w:tc>
        <w:tc>
          <w:tcPr>
            <w:tcW w:w="1692" w:type="dxa"/>
            <w:tcBorders>
              <w:top w:val="single" w:color="auto" w:sz="4" w:space="0"/>
              <w:left w:val="nil"/>
              <w:bottom w:val="single" w:color="auto" w:sz="4" w:space="0"/>
              <w:right w:val="single" w:color="auto" w:sz="4" w:space="0"/>
            </w:tcBorders>
            <w:noWrap/>
            <w:vAlign w:val="center"/>
          </w:tcPr>
          <w:p w14:paraId="63EF1BB7">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7B58C37">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68097095">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37CE2EFD">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77ECB775">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02B0A40B">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0A6A93F">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15CD6710">
            <w:pPr>
              <w:tabs>
                <w:tab w:val="left" w:pos="425"/>
              </w:tabs>
              <w:snapToGrid w:val="0"/>
              <w:spacing w:after="0" w:line="240" w:lineRule="auto"/>
              <w:jc w:val="center"/>
              <w:rPr>
                <w:rFonts w:ascii="宋体" w:hAnsi="宋体" w:cs="宋体"/>
                <w:highlight w:val="none"/>
              </w:rPr>
            </w:pPr>
          </w:p>
        </w:tc>
      </w:tr>
      <w:tr w14:paraId="3C94F4B7">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14:paraId="2BA10812">
            <w:pPr>
              <w:tabs>
                <w:tab w:val="left" w:pos="425"/>
              </w:tabs>
              <w:snapToGrid w:val="0"/>
              <w:spacing w:after="0" w:line="240" w:lineRule="auto"/>
              <w:jc w:val="center"/>
              <w:rPr>
                <w:rFonts w:ascii="宋体" w:hAnsi="宋体" w:cs="宋体"/>
                <w:b/>
                <w:highlight w:val="none"/>
              </w:rPr>
            </w:pPr>
            <w:r>
              <w:rPr>
                <w:rFonts w:hint="eastAsia" w:ascii="宋体" w:hAnsi="宋体" w:cs="宋体"/>
                <w:b/>
                <w:color w:val="000000"/>
                <w:highlight w:val="white"/>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14:paraId="1ABF29A6">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14:paraId="58D958BD">
            <w:pPr>
              <w:tabs>
                <w:tab w:val="left" w:pos="425"/>
              </w:tabs>
              <w:snapToGrid w:val="0"/>
              <w:spacing w:after="0" w:line="240" w:lineRule="auto"/>
              <w:jc w:val="center"/>
              <w:rPr>
                <w:rFonts w:ascii="宋体" w:hAnsi="宋体" w:cs="宋体"/>
                <w:w w:val="90"/>
                <w:highlight w:val="none"/>
              </w:rPr>
            </w:pPr>
            <w:r>
              <w:rPr>
                <w:rFonts w:hint="eastAsia" w:ascii="宋体" w:hAnsi="宋体" w:cs="宋体"/>
                <w:color w:val="000000"/>
                <w:w w:val="90"/>
                <w:highlight w:val="white"/>
              </w:rPr>
              <w:t>――――--</w:t>
            </w:r>
          </w:p>
        </w:tc>
        <w:tc>
          <w:tcPr>
            <w:tcW w:w="1343" w:type="dxa"/>
            <w:tcBorders>
              <w:top w:val="single" w:color="auto" w:sz="4" w:space="0"/>
              <w:left w:val="single" w:color="auto" w:sz="4" w:space="0"/>
              <w:bottom w:val="single" w:color="auto" w:sz="4" w:space="0"/>
              <w:right w:val="single" w:color="auto" w:sz="4" w:space="0"/>
            </w:tcBorders>
            <w:noWrap/>
            <w:vAlign w:val="center"/>
          </w:tcPr>
          <w:p w14:paraId="319FF7E7">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14:paraId="5C5AFC44">
            <w:pPr>
              <w:tabs>
                <w:tab w:val="left" w:pos="425"/>
              </w:tabs>
              <w:snapToGrid w:val="0"/>
              <w:spacing w:after="0" w:line="240" w:lineRule="auto"/>
              <w:jc w:val="center"/>
              <w:rPr>
                <w:rFonts w:ascii="宋体" w:hAnsi="宋体" w:cs="宋体"/>
                <w:highlight w:val="none"/>
              </w:rPr>
            </w:pPr>
          </w:p>
        </w:tc>
      </w:tr>
    </w:tbl>
    <w:p w14:paraId="38A66513">
      <w:pPr>
        <w:rPr>
          <w:highlight w:val="none"/>
        </w:rPr>
      </w:pPr>
    </w:p>
    <w:p w14:paraId="4BF71953">
      <w:pPr>
        <w:pStyle w:val="78"/>
        <w:numPr>
          <w:ilvl w:val="0"/>
          <w:numId w:val="0"/>
        </w:numPr>
        <w:tabs>
          <w:tab w:val="left" w:pos="420"/>
          <w:tab w:val="clear" w:pos="900"/>
        </w:tabs>
        <w:snapToGrid w:val="0"/>
        <w:spacing w:line="460" w:lineRule="atLeast"/>
        <w:ind w:left="0" w:firstLine="0"/>
        <w:jc w:val="center"/>
        <w:rPr>
          <w:rFonts w:cs="宋体"/>
          <w:color w:val="auto"/>
          <w:highlight w:val="none"/>
        </w:rPr>
      </w:pPr>
      <w:r>
        <w:rPr>
          <w:rFonts w:ascii="Times New Roman" w:hAnsi="Times New Roman" w:eastAsia="Times New Roman"/>
          <w:color w:val="000000"/>
          <w:sz w:val="24"/>
          <w:szCs w:val="24"/>
          <w:highlight w:val="white"/>
          <w:lang w:eastAsia="en-US"/>
        </w:rPr>
        <w:br w:type="page"/>
      </w:r>
      <w:r>
        <w:rPr>
          <w:rFonts w:hint="eastAsia" w:cs="宋体"/>
          <w:b/>
          <w:bCs/>
          <w:color w:val="000000"/>
          <w:kern w:val="44"/>
          <w:sz w:val="36"/>
          <w:szCs w:val="36"/>
          <w:highlight w:val="white"/>
        </w:rPr>
        <w:t>格式8 成功案例一览表</w:t>
      </w:r>
    </w:p>
    <w:tbl>
      <w:tblPr>
        <w:tblStyle w:val="31"/>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14:paraId="1FF77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37FB30D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序号</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33BAB88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w:t>
            </w:r>
          </w:p>
          <w:p w14:paraId="76E603A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名称</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782C91B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w:t>
            </w:r>
          </w:p>
          <w:p w14:paraId="60112CD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甲方</w:t>
            </w:r>
          </w:p>
        </w:tc>
        <w:tc>
          <w:tcPr>
            <w:tcW w:w="707" w:type="dxa"/>
            <w:tcBorders>
              <w:top w:val="single" w:color="auto" w:sz="4" w:space="0"/>
              <w:left w:val="single" w:color="auto" w:sz="4" w:space="0"/>
              <w:bottom w:val="single" w:color="auto" w:sz="4" w:space="0"/>
              <w:right w:val="single" w:color="auto" w:sz="4" w:space="0"/>
            </w:tcBorders>
            <w:noWrap w:val="0"/>
            <w:vAlign w:val="center"/>
          </w:tcPr>
          <w:p w14:paraId="412C78D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合同时间</w:t>
            </w:r>
          </w:p>
        </w:tc>
        <w:tc>
          <w:tcPr>
            <w:tcW w:w="744" w:type="dxa"/>
            <w:tcBorders>
              <w:top w:val="single" w:color="auto" w:sz="4" w:space="0"/>
              <w:left w:val="single" w:color="auto" w:sz="4" w:space="0"/>
              <w:bottom w:val="single" w:color="auto" w:sz="4" w:space="0"/>
              <w:right w:val="single" w:color="auto" w:sz="4" w:space="0"/>
            </w:tcBorders>
            <w:noWrap w:val="0"/>
            <w:vAlign w:val="center"/>
          </w:tcPr>
          <w:p w14:paraId="456AB3D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w:t>
            </w:r>
          </w:p>
          <w:p w14:paraId="608BF75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金额</w:t>
            </w:r>
          </w:p>
        </w:tc>
        <w:tc>
          <w:tcPr>
            <w:tcW w:w="1221" w:type="dxa"/>
            <w:tcBorders>
              <w:top w:val="single" w:color="auto" w:sz="4" w:space="0"/>
              <w:left w:val="single" w:color="auto" w:sz="4" w:space="0"/>
              <w:bottom w:val="single" w:color="auto" w:sz="4" w:space="0"/>
              <w:right w:val="single" w:color="auto" w:sz="4" w:space="0"/>
            </w:tcBorders>
            <w:noWrap w:val="0"/>
            <w:vAlign w:val="center"/>
          </w:tcPr>
          <w:p w14:paraId="27A123E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合同主要</w:t>
            </w:r>
          </w:p>
          <w:p w14:paraId="1F2054A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内容</w:t>
            </w:r>
          </w:p>
        </w:tc>
        <w:tc>
          <w:tcPr>
            <w:tcW w:w="1161" w:type="dxa"/>
            <w:tcBorders>
              <w:top w:val="single" w:color="auto" w:sz="4" w:space="0"/>
              <w:left w:val="single" w:color="auto" w:sz="4" w:space="0"/>
              <w:bottom w:val="single" w:color="auto" w:sz="4" w:space="0"/>
              <w:right w:val="single" w:color="auto" w:sz="4" w:space="0"/>
            </w:tcBorders>
            <w:noWrap w:val="0"/>
            <w:vAlign w:val="center"/>
          </w:tcPr>
          <w:p w14:paraId="1B150E4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用  户</w:t>
            </w:r>
          </w:p>
          <w:p w14:paraId="6622F65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联系人</w:t>
            </w:r>
          </w:p>
        </w:tc>
        <w:tc>
          <w:tcPr>
            <w:tcW w:w="1065" w:type="dxa"/>
            <w:tcBorders>
              <w:top w:val="single" w:color="auto" w:sz="4" w:space="0"/>
              <w:left w:val="single" w:color="auto" w:sz="4" w:space="0"/>
              <w:bottom w:val="single" w:color="auto" w:sz="4" w:space="0"/>
              <w:right w:val="single" w:color="auto" w:sz="4" w:space="0"/>
            </w:tcBorders>
            <w:noWrap w:val="0"/>
            <w:vAlign w:val="center"/>
          </w:tcPr>
          <w:p w14:paraId="022DAD3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用户联</w:t>
            </w:r>
          </w:p>
          <w:p w14:paraId="0B783E5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系电话</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7721338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备注</w:t>
            </w:r>
          </w:p>
        </w:tc>
      </w:tr>
      <w:tr w14:paraId="6DD8D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2F80022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1</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3BDDCA5A">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4E08203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120FA6A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608E4BC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049406D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1754D66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0274973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2B5D3C3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3ABED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429F589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2</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475A5EB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1994DF8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77373AF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66EE569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34B8E9A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3998A77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5B0D854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3CE22F8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754D6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22F100F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highlight w:val="none"/>
              </w:rPr>
            </w:pPr>
            <w:r>
              <w:rPr>
                <w:rFonts w:hint="eastAsia" w:ascii="宋体" w:hAnsi="宋体" w:cs="宋体"/>
                <w:color w:val="000000"/>
                <w:highlight w:val="white"/>
                <w:lang w:val="en-US" w:eastAsia="zh-CN"/>
              </w:rPr>
              <w:t>3</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091B234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0CF266F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00431AC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33E720C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330777B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0F9AFA3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0FA3B54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39E2FC9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4BBB3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3410838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highlight w:val="none"/>
              </w:rPr>
            </w:pPr>
            <w:r>
              <w:rPr>
                <w:rFonts w:hint="eastAsia" w:ascii="宋体" w:hAnsi="宋体" w:cs="宋体"/>
                <w:color w:val="000000"/>
                <w:highlight w:val="white"/>
                <w:lang w:val="en-US" w:eastAsia="zh-CN"/>
              </w:rPr>
              <w:t>4</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5AB2DC5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5F614B2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0AC2504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033F641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3D85703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352CF1C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56D93F2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275B578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6CDD5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753CFFD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highlight w:val="none"/>
              </w:rPr>
            </w:pPr>
            <w:r>
              <w:rPr>
                <w:rFonts w:hint="eastAsia" w:ascii="宋体" w:hAnsi="宋体" w:cs="宋体"/>
                <w:color w:val="000000"/>
                <w:highlight w:val="white"/>
                <w:lang w:val="en-US" w:eastAsia="zh-CN"/>
              </w:rPr>
              <w:t>5</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13BC8DA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72A47D3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7BDED53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62B2F0E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2D088C8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5677FB6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79B1BAA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726878E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1345E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585060C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highlight w:val="none"/>
              </w:rPr>
            </w:pPr>
            <w:r>
              <w:rPr>
                <w:rFonts w:hint="eastAsia" w:ascii="宋体" w:hAnsi="宋体" w:cs="宋体"/>
                <w:color w:val="000000"/>
                <w:highlight w:val="white"/>
              </w:rPr>
              <w:t>……</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2319F12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64BAD1E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16B4D0B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10E21A5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4F1622E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750D568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2804311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370A0E8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bl>
    <w:p w14:paraId="5F128094">
      <w:pPr>
        <w:spacing w:line="300" w:lineRule="exact"/>
        <w:rPr>
          <w:rFonts w:ascii="宋体" w:hAnsi="宋体" w:cs="宋体"/>
          <w:color w:val="auto"/>
          <w:highlight w:val="none"/>
        </w:rPr>
      </w:pPr>
    </w:p>
    <w:p w14:paraId="6F6156EC">
      <w:pPr>
        <w:adjustRightInd w:val="0"/>
        <w:snapToGrid w:val="0"/>
        <w:spacing w:after="0" w:line="360" w:lineRule="auto"/>
        <w:rPr>
          <w:rFonts w:ascii="宋体" w:hAnsi="宋体" w:cs="宋体"/>
          <w:color w:val="auto"/>
          <w:highlight w:val="none"/>
        </w:rPr>
      </w:pPr>
      <w:r>
        <w:rPr>
          <w:rFonts w:hint="eastAsia" w:ascii="宋体" w:hAnsi="宋体" w:cs="宋体"/>
          <w:color w:val="000000"/>
          <w:highlight w:val="white"/>
        </w:rPr>
        <w:t>特别说明：</w:t>
      </w:r>
    </w:p>
    <w:p w14:paraId="48FFDCEA">
      <w:pPr>
        <w:numPr>
          <w:ilvl w:val="0"/>
          <w:numId w:val="7"/>
        </w:numPr>
        <w:tabs>
          <w:tab w:val="left" w:pos="640"/>
        </w:tabs>
        <w:adjustRightInd w:val="0"/>
        <w:snapToGrid w:val="0"/>
        <w:spacing w:after="0" w:line="360" w:lineRule="auto"/>
        <w:ind w:firstLine="420" w:firstLineChars="200"/>
        <w:rPr>
          <w:rFonts w:ascii="宋体" w:hAnsi="宋体" w:cs="宋体"/>
          <w:color w:val="auto"/>
          <w:szCs w:val="21"/>
          <w:highlight w:val="none"/>
        </w:rPr>
      </w:pPr>
      <w:r>
        <w:rPr>
          <w:rFonts w:hint="eastAsia" w:ascii="宋体" w:hAnsi="宋体" w:cs="宋体"/>
          <w:color w:val="000000"/>
          <w:szCs w:val="21"/>
          <w:highlight w:val="white"/>
        </w:rPr>
        <w:t>提供</w:t>
      </w:r>
      <w:r>
        <w:rPr>
          <w:rFonts w:hint="eastAsia" w:ascii="宋体" w:hAnsi="宋体" w:cs="宋体"/>
          <w:color w:val="000000"/>
          <w:szCs w:val="21"/>
          <w:highlight w:val="white"/>
          <w:lang w:val="en-US" w:eastAsia="zh-CN"/>
        </w:rPr>
        <w:t xml:space="preserve">  2021年1月1日以来（以合同签订日期为准），投标人独立承担的</w:t>
      </w:r>
      <w:r>
        <w:rPr>
          <w:color w:val="000000"/>
          <w:highlight w:val="white"/>
        </w:rPr>
        <w:t>投标人独立承担的类似或相似项目案例</w:t>
      </w:r>
      <w:r>
        <w:rPr>
          <w:rFonts w:hint="eastAsia" w:ascii="宋体" w:hAnsi="宋体" w:cs="宋体"/>
          <w:color w:val="000000"/>
          <w:szCs w:val="21"/>
          <w:highlight w:val="white"/>
          <w:lang w:val="en-US" w:eastAsia="zh-CN"/>
        </w:rPr>
        <w:t>。</w:t>
      </w:r>
    </w:p>
    <w:p w14:paraId="058C20A0">
      <w:pPr>
        <w:widowControl/>
        <w:tabs>
          <w:tab w:val="left" w:pos="0"/>
          <w:tab w:val="left" w:pos="420"/>
        </w:tabs>
        <w:adjustRightInd w:val="0"/>
        <w:snapToGrid w:val="0"/>
        <w:spacing w:after="0" w:line="360" w:lineRule="auto"/>
        <w:ind w:firstLine="420" w:firstLineChars="200"/>
        <w:jc w:val="left"/>
        <w:rPr>
          <w:rFonts w:ascii="宋体" w:hAnsi="宋体" w:cs="宋体"/>
          <w:color w:val="auto"/>
          <w:szCs w:val="21"/>
          <w:highlight w:val="none"/>
        </w:rPr>
      </w:pPr>
      <w:r>
        <w:rPr>
          <w:rFonts w:hint="eastAsia" w:ascii="宋体" w:hAnsi="宋体" w:cs="宋体"/>
          <w:color w:val="000000"/>
          <w:szCs w:val="21"/>
          <w:highlight w:val="white"/>
          <w:lang w:val="en-US" w:eastAsia="zh-CN"/>
        </w:rPr>
        <w:t>2.</w:t>
      </w:r>
      <w:r>
        <w:rPr>
          <w:rFonts w:hint="eastAsia" w:ascii="宋体" w:hAnsi="宋体" w:cs="宋体"/>
          <w:color w:val="000000"/>
          <w:szCs w:val="21"/>
          <w:highlight w:val="white"/>
        </w:rPr>
        <w:t>应提供</w:t>
      </w:r>
      <w:r>
        <w:rPr>
          <w:rFonts w:hint="eastAsia" w:ascii="宋体" w:hAnsi="宋体" w:cs="宋体"/>
          <w:b/>
          <w:bCs/>
          <w:color w:val="000000"/>
          <w:szCs w:val="21"/>
          <w:highlight w:val="white"/>
        </w:rPr>
        <w:t>合同扫描件。</w:t>
      </w:r>
      <w:r>
        <w:rPr>
          <w:rFonts w:hint="eastAsia" w:ascii="宋体" w:hAnsi="宋体" w:cs="宋体"/>
          <w:color w:val="000000"/>
          <w:szCs w:val="21"/>
          <w:highlight w:val="white"/>
        </w:rPr>
        <w:t>合同扫描件应能清晰体现合同甲乙双方、合同时间、合同金额、合同主要内容等，并提供对方联系人及联系方式，否则不能获得相应分值。</w:t>
      </w:r>
    </w:p>
    <w:p w14:paraId="5230A046">
      <w:pPr>
        <w:adjustRightInd w:val="0"/>
        <w:snapToGrid w:val="0"/>
        <w:spacing w:after="0" w:line="360" w:lineRule="auto"/>
        <w:jc w:val="both"/>
        <w:rPr>
          <w:rFonts w:ascii="宋体" w:hAnsi="宋体" w:cs="宋体"/>
          <w:b w:val="0"/>
          <w:bCs w:val="0"/>
          <w:color w:val="auto"/>
          <w:sz w:val="24"/>
          <w:szCs w:val="24"/>
          <w:highlight w:val="none"/>
        </w:rPr>
      </w:pPr>
    </w:p>
    <w:p w14:paraId="3C9956A7">
      <w:pPr>
        <w:rPr>
          <w:rFonts w:ascii="宋体" w:hAnsi="宋体" w:cs="宋体"/>
          <w:b w:val="0"/>
          <w:bCs w:val="0"/>
          <w:color w:val="auto"/>
          <w:sz w:val="24"/>
          <w:szCs w:val="24"/>
          <w:highlight w:val="none"/>
        </w:rPr>
      </w:pPr>
      <w:r>
        <w:rPr>
          <w:rFonts w:ascii="宋体" w:hAnsi="宋体" w:cs="宋体"/>
          <w:b w:val="0"/>
          <w:bCs w:val="0"/>
          <w:color w:val="000000"/>
          <w:sz w:val="24"/>
          <w:szCs w:val="24"/>
          <w:highlight w:val="white"/>
        </w:rPr>
        <w:br w:type="page"/>
      </w:r>
    </w:p>
    <w:p w14:paraId="46D2B76F">
      <w:pPr>
        <w:adjustRightInd w:val="0"/>
        <w:snapToGrid w:val="0"/>
        <w:spacing w:after="0" w:line="360" w:lineRule="auto"/>
        <w:jc w:val="center"/>
        <w:rPr>
          <w:rFonts w:hint="eastAsia" w:ascii="Times New Roman" w:hAnsi="Times New Roman" w:eastAsia="宋体" w:cs="Times New Roman"/>
          <w:b/>
          <w:bCs/>
          <w:color w:val="auto"/>
          <w:sz w:val="36"/>
          <w:szCs w:val="36"/>
          <w:highlight w:val="none"/>
        </w:rPr>
      </w:pPr>
      <w:r>
        <w:rPr>
          <w:rFonts w:hint="eastAsia" w:ascii="Times New Roman" w:hAnsi="Times New Roman" w:eastAsia="宋体" w:cs="Times New Roman"/>
          <w:b/>
          <w:bCs/>
          <w:color w:val="000000"/>
          <w:sz w:val="36"/>
          <w:szCs w:val="36"/>
          <w:highlight w:val="white"/>
        </w:rPr>
        <w:t>投标文件技术部分文件格式</w:t>
      </w:r>
    </w:p>
    <w:p w14:paraId="2834AAAD">
      <w:pPr>
        <w:jc w:val="center"/>
        <w:rPr>
          <w:rFonts w:ascii="宋体" w:hAnsi="宋体" w:cs="宋体"/>
          <w:b/>
          <w:bCs/>
          <w:color w:val="auto"/>
          <w:sz w:val="36"/>
          <w:szCs w:val="36"/>
          <w:highlight w:val="none"/>
        </w:rPr>
      </w:pPr>
      <w:r>
        <w:rPr>
          <w:rFonts w:hint="eastAsia" w:ascii="宋体" w:hAnsi="宋体" w:cs="宋体"/>
          <w:b/>
          <w:bCs/>
          <w:color w:val="000000"/>
          <w:sz w:val="36"/>
          <w:szCs w:val="36"/>
          <w:highlight w:val="white"/>
        </w:rPr>
        <w:t>格式9 技术条款偏离表</w:t>
      </w:r>
    </w:p>
    <w:tbl>
      <w:tblPr>
        <w:tblStyle w:val="31"/>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14:paraId="52CE0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3E9771E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序号</w:t>
            </w:r>
          </w:p>
        </w:tc>
        <w:tc>
          <w:tcPr>
            <w:tcW w:w="1229" w:type="dxa"/>
            <w:noWrap w:val="0"/>
            <w:vAlign w:val="top"/>
          </w:tcPr>
          <w:p w14:paraId="0D4AF41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招标文件</w:t>
            </w:r>
          </w:p>
          <w:p w14:paraId="702B378C">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技术部分序号</w:t>
            </w:r>
          </w:p>
        </w:tc>
        <w:tc>
          <w:tcPr>
            <w:tcW w:w="1401" w:type="dxa"/>
            <w:noWrap w:val="0"/>
            <w:vAlign w:val="center"/>
          </w:tcPr>
          <w:p w14:paraId="23787E13">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highlight w:val="none"/>
                <w:lang w:bidi="ar"/>
              </w:rPr>
            </w:pPr>
            <w:r>
              <w:rPr>
                <w:rFonts w:hint="eastAsia" w:ascii="宋体" w:hAnsi="宋体" w:eastAsia="宋体" w:cs="宋体"/>
                <w:b/>
                <w:color w:val="000000"/>
                <w:kern w:val="2"/>
                <w:sz w:val="24"/>
                <w:szCs w:val="24"/>
                <w:highlight w:val="white"/>
                <w:lang w:val="en-US" w:eastAsia="zh-CN" w:bidi="ar"/>
              </w:rPr>
              <w:t>重要性</w:t>
            </w:r>
          </w:p>
          <w:p w14:paraId="200CADA2">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highlight w:val="none"/>
              </w:rPr>
            </w:pPr>
            <w:r>
              <w:rPr>
                <w:rFonts w:hint="eastAsia" w:ascii="宋体" w:hAnsi="宋体" w:eastAsia="宋体" w:cs="宋体"/>
                <w:b/>
                <w:color w:val="000000"/>
                <w:kern w:val="2"/>
                <w:sz w:val="24"/>
                <w:szCs w:val="24"/>
                <w:highlight w:val="white"/>
                <w:lang w:val="en-US" w:eastAsia="zh-CN" w:bidi="ar"/>
              </w:rPr>
              <w:t>（</w:t>
            </w:r>
            <w:r>
              <w:rPr>
                <w:rFonts w:hint="eastAsia" w:ascii="宋体" w:hAnsi="宋体" w:eastAsia="宋体" w:cs="宋体"/>
                <w:color w:val="000000"/>
                <w:kern w:val="2"/>
                <w:sz w:val="21"/>
                <w:szCs w:val="21"/>
                <w:highlight w:val="white"/>
                <w:lang w:val="en-US" w:eastAsia="zh-CN" w:bidi="ar"/>
              </w:rPr>
              <w:t>★#△</w:t>
            </w:r>
            <w:r>
              <w:rPr>
                <w:rFonts w:hint="eastAsia" w:ascii="宋体" w:hAnsi="宋体" w:eastAsia="宋体" w:cs="宋体"/>
                <w:b/>
                <w:color w:val="000000"/>
                <w:kern w:val="2"/>
                <w:sz w:val="24"/>
                <w:szCs w:val="24"/>
                <w:highlight w:val="white"/>
                <w:lang w:val="en-US" w:eastAsia="zh-CN" w:bidi="ar"/>
              </w:rPr>
              <w:t>）</w:t>
            </w:r>
          </w:p>
        </w:tc>
        <w:tc>
          <w:tcPr>
            <w:tcW w:w="2031" w:type="dxa"/>
            <w:noWrap w:val="0"/>
            <w:vAlign w:val="center"/>
          </w:tcPr>
          <w:p w14:paraId="3B14295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招标文件</w:t>
            </w:r>
          </w:p>
          <w:p w14:paraId="48BDFD1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技术部分内容要求</w:t>
            </w:r>
          </w:p>
        </w:tc>
        <w:tc>
          <w:tcPr>
            <w:tcW w:w="1366" w:type="dxa"/>
            <w:noWrap w:val="0"/>
            <w:vAlign w:val="center"/>
          </w:tcPr>
          <w:p w14:paraId="68FD308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投标文件</w:t>
            </w:r>
          </w:p>
          <w:p w14:paraId="2D27177D">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应答情况</w:t>
            </w:r>
          </w:p>
        </w:tc>
        <w:tc>
          <w:tcPr>
            <w:tcW w:w="1695" w:type="dxa"/>
            <w:noWrap w:val="0"/>
            <w:vAlign w:val="center"/>
          </w:tcPr>
          <w:p w14:paraId="7B072D59">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cs="宋体"/>
                <w:b/>
                <w:color w:val="auto"/>
                <w:highlight w:val="none"/>
              </w:rPr>
            </w:pPr>
            <w:r>
              <w:rPr>
                <w:rFonts w:hint="eastAsia" w:ascii="宋体" w:hAnsi="宋体" w:cs="宋体"/>
                <w:b/>
                <w:color w:val="000000"/>
                <w:sz w:val="24"/>
                <w:highlight w:val="white"/>
              </w:rPr>
              <w:t>偏离</w:t>
            </w:r>
          </w:p>
          <w:p w14:paraId="199B993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（无/正/负）</w:t>
            </w:r>
          </w:p>
        </w:tc>
        <w:tc>
          <w:tcPr>
            <w:tcW w:w="518" w:type="dxa"/>
            <w:noWrap w:val="0"/>
            <w:vAlign w:val="center"/>
          </w:tcPr>
          <w:p w14:paraId="1D6BF78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备注</w:t>
            </w:r>
          </w:p>
        </w:tc>
      </w:tr>
      <w:tr w14:paraId="0C68C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01D6932E">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1</w:t>
            </w:r>
          </w:p>
        </w:tc>
        <w:tc>
          <w:tcPr>
            <w:tcW w:w="1229" w:type="dxa"/>
            <w:noWrap w:val="0"/>
            <w:vAlign w:val="center"/>
          </w:tcPr>
          <w:p w14:paraId="72D2533D">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401" w:type="dxa"/>
            <w:noWrap w:val="0"/>
            <w:vAlign w:val="center"/>
          </w:tcPr>
          <w:p w14:paraId="0E65DF8B">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2031" w:type="dxa"/>
            <w:noWrap w:val="0"/>
            <w:vAlign w:val="center"/>
          </w:tcPr>
          <w:p w14:paraId="10D6E3FC">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366" w:type="dxa"/>
            <w:noWrap w:val="0"/>
            <w:vAlign w:val="center"/>
          </w:tcPr>
          <w:p w14:paraId="551021AB">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4F383D2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61D4D0E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2D41E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328575CA">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2</w:t>
            </w:r>
          </w:p>
        </w:tc>
        <w:tc>
          <w:tcPr>
            <w:tcW w:w="1229" w:type="dxa"/>
            <w:noWrap w:val="0"/>
            <w:vAlign w:val="center"/>
          </w:tcPr>
          <w:p w14:paraId="6E6795F3">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401" w:type="dxa"/>
            <w:noWrap w:val="0"/>
            <w:vAlign w:val="center"/>
          </w:tcPr>
          <w:p w14:paraId="5D2B827B">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2031" w:type="dxa"/>
            <w:noWrap w:val="0"/>
            <w:vAlign w:val="center"/>
          </w:tcPr>
          <w:p w14:paraId="31E9BEB8">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366" w:type="dxa"/>
            <w:noWrap w:val="0"/>
            <w:vAlign w:val="center"/>
          </w:tcPr>
          <w:p w14:paraId="21F5D8B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486EC35D">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36E298D9">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738F5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06CCC509">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3</w:t>
            </w:r>
          </w:p>
        </w:tc>
        <w:tc>
          <w:tcPr>
            <w:tcW w:w="1229" w:type="dxa"/>
            <w:noWrap w:val="0"/>
            <w:vAlign w:val="center"/>
          </w:tcPr>
          <w:p w14:paraId="5DBCC227">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401" w:type="dxa"/>
            <w:noWrap w:val="0"/>
            <w:vAlign w:val="center"/>
          </w:tcPr>
          <w:p w14:paraId="39D56CFA">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2031" w:type="dxa"/>
            <w:noWrap w:val="0"/>
            <w:vAlign w:val="center"/>
          </w:tcPr>
          <w:p w14:paraId="0934CD70">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366" w:type="dxa"/>
            <w:noWrap w:val="0"/>
            <w:vAlign w:val="center"/>
          </w:tcPr>
          <w:p w14:paraId="06719A7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0E99A9B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41BF22EE">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002B3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5809DEF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4</w:t>
            </w:r>
          </w:p>
        </w:tc>
        <w:tc>
          <w:tcPr>
            <w:tcW w:w="1229" w:type="dxa"/>
            <w:noWrap w:val="0"/>
            <w:vAlign w:val="center"/>
          </w:tcPr>
          <w:p w14:paraId="31B88DA4">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401" w:type="dxa"/>
            <w:noWrap w:val="0"/>
            <w:vAlign w:val="center"/>
          </w:tcPr>
          <w:p w14:paraId="20EE7B5F">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2031" w:type="dxa"/>
            <w:noWrap w:val="0"/>
            <w:vAlign w:val="center"/>
          </w:tcPr>
          <w:p w14:paraId="25E38D9E">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366" w:type="dxa"/>
            <w:noWrap w:val="0"/>
            <w:vAlign w:val="center"/>
          </w:tcPr>
          <w:p w14:paraId="0C3C6A7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7949F2E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0BF44FC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79A29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13A115D1">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5</w:t>
            </w:r>
          </w:p>
        </w:tc>
        <w:tc>
          <w:tcPr>
            <w:tcW w:w="1229" w:type="dxa"/>
            <w:noWrap w:val="0"/>
            <w:vAlign w:val="center"/>
          </w:tcPr>
          <w:p w14:paraId="7B058C5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401" w:type="dxa"/>
            <w:noWrap w:val="0"/>
            <w:vAlign w:val="center"/>
          </w:tcPr>
          <w:p w14:paraId="2C5C427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2031" w:type="dxa"/>
            <w:noWrap w:val="0"/>
            <w:vAlign w:val="center"/>
          </w:tcPr>
          <w:p w14:paraId="460033A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366" w:type="dxa"/>
            <w:noWrap w:val="0"/>
            <w:vAlign w:val="center"/>
          </w:tcPr>
          <w:p w14:paraId="2C951A4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0F2A54B2">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343D3496">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011E4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270D794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w:t>
            </w:r>
          </w:p>
        </w:tc>
        <w:tc>
          <w:tcPr>
            <w:tcW w:w="1229" w:type="dxa"/>
            <w:noWrap w:val="0"/>
            <w:vAlign w:val="center"/>
          </w:tcPr>
          <w:p w14:paraId="4888436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401" w:type="dxa"/>
            <w:noWrap w:val="0"/>
            <w:vAlign w:val="center"/>
          </w:tcPr>
          <w:p w14:paraId="42DF3C4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2031" w:type="dxa"/>
            <w:noWrap w:val="0"/>
            <w:vAlign w:val="center"/>
          </w:tcPr>
          <w:p w14:paraId="01D733BB">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366" w:type="dxa"/>
            <w:noWrap w:val="0"/>
            <w:vAlign w:val="center"/>
          </w:tcPr>
          <w:p w14:paraId="758DE48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11D4626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2EB5F267">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bl>
    <w:p w14:paraId="33F04FF8">
      <w:pPr>
        <w:adjustRightInd w:val="0"/>
        <w:snapToGrid w:val="0"/>
        <w:spacing w:after="0" w:line="360" w:lineRule="auto"/>
        <w:ind w:firstLine="420" w:firstLineChars="200"/>
        <w:rPr>
          <w:rFonts w:hint="eastAsia" w:ascii="宋体" w:hAnsi="宋体" w:cs="宋体"/>
          <w:color w:val="auto"/>
          <w:highlight w:val="none"/>
        </w:rPr>
      </w:pPr>
    </w:p>
    <w:p w14:paraId="257F526E">
      <w:pPr>
        <w:keepNext w:val="0"/>
        <w:keepLines w:val="0"/>
        <w:pageBreakBefore w:val="0"/>
        <w:widowControl w:val="0"/>
        <w:kinsoku/>
        <w:wordWrap/>
        <w:overflowPunct/>
        <w:bidi w:val="0"/>
        <w:adjustRightInd w:val="0"/>
        <w:snapToGrid w:val="0"/>
        <w:spacing w:after="0" w:line="240" w:lineRule="auto"/>
        <w:ind w:firstLine="420" w:firstLineChars="200"/>
        <w:textAlignment w:val="auto"/>
        <w:rPr>
          <w:rFonts w:hint="eastAsia" w:ascii="宋体" w:hAnsi="宋体" w:cs="宋体"/>
          <w:color w:val="auto"/>
          <w:szCs w:val="21"/>
          <w:highlight w:val="none"/>
        </w:rPr>
      </w:pPr>
    </w:p>
    <w:p w14:paraId="0B056493">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ascii="宋体" w:hAnsi="宋体" w:cs="宋体"/>
          <w:color w:val="auto"/>
          <w:szCs w:val="21"/>
          <w:highlight w:val="none"/>
        </w:rPr>
      </w:pPr>
      <w:r>
        <w:rPr>
          <w:rFonts w:hint="eastAsia" w:ascii="宋体" w:hAnsi="宋体" w:cs="宋体"/>
          <w:color w:val="000000"/>
          <w:sz w:val="21"/>
          <w:szCs w:val="21"/>
          <w:highlight w:val="white"/>
        </w:rPr>
        <w:t>特别说明：</w:t>
      </w:r>
    </w:p>
    <w:p w14:paraId="68A834B8">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highlight w:val="none"/>
        </w:rPr>
      </w:pPr>
      <w:r>
        <w:rPr>
          <w:rFonts w:hint="eastAsia" w:ascii="宋体" w:hAnsi="宋体" w:cs="宋体"/>
          <w:color w:val="000000"/>
          <w:sz w:val="21"/>
          <w:szCs w:val="21"/>
          <w:highlight w:val="white"/>
        </w:rPr>
        <w:t>1.按照《招标文件-技术部分》内容要求，一一对应填写。如果对《招标文件-技术部分》内容不做一一响应，而将“投标文件应答情况”简单笼统描述为“无偏离”，则视为无效应答。</w:t>
      </w:r>
    </w:p>
    <w:p w14:paraId="3840610F">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highlight w:val="none"/>
        </w:rPr>
      </w:pPr>
      <w:r>
        <w:rPr>
          <w:rFonts w:hint="eastAsia" w:ascii="宋体" w:hAnsi="宋体" w:cs="宋体"/>
          <w:color w:val="000000"/>
          <w:sz w:val="21"/>
          <w:szCs w:val="21"/>
          <w:highlight w:val="white"/>
        </w:rPr>
        <w:t>2.《招标文件-技术部分》内容须条对条应答，不得遗漏。如无偏离，请在此表中填写“无偏离”。如有偏离，请在此表中应答为“正/负偏离”并说明偏离情况</w:t>
      </w:r>
      <w:r>
        <w:rPr>
          <w:rFonts w:hint="eastAsia" w:ascii="宋体" w:hAnsi="宋体" w:cs="宋体"/>
          <w:color w:val="000000"/>
          <w:sz w:val="21"/>
          <w:szCs w:val="21"/>
          <w:highlight w:val="white"/>
          <w:lang w:eastAsia="zh-CN"/>
        </w:rPr>
        <w:t>。</w:t>
      </w:r>
    </w:p>
    <w:p w14:paraId="57CE2ED7">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highlight w:val="none"/>
        </w:rPr>
      </w:pPr>
      <w:r>
        <w:rPr>
          <w:rFonts w:hint="eastAsia" w:ascii="宋体" w:hAnsi="宋体" w:cs="宋体"/>
          <w:color w:val="000000"/>
          <w:sz w:val="21"/>
          <w:szCs w:val="21"/>
          <w:highlight w:val="white"/>
        </w:rPr>
        <w:t>3.如《招标文件-技术部分》中有标注★号的，则为实质性要求，必须满足，如应答为“负偏离”</w:t>
      </w:r>
      <w:r>
        <w:rPr>
          <w:rFonts w:hint="eastAsia" w:ascii="宋体" w:hAnsi="宋体" w:cs="宋体"/>
          <w:color w:val="000000"/>
          <w:sz w:val="21"/>
          <w:szCs w:val="21"/>
          <w:highlight w:val="white"/>
          <w:lang w:eastAsia="zh-CN"/>
        </w:rPr>
        <w:t>或未应答</w:t>
      </w:r>
      <w:r>
        <w:rPr>
          <w:rFonts w:hint="eastAsia" w:ascii="宋体" w:hAnsi="宋体" w:cs="宋体"/>
          <w:color w:val="000000"/>
          <w:sz w:val="21"/>
          <w:szCs w:val="21"/>
          <w:highlight w:val="white"/>
        </w:rPr>
        <w:t>，将导致投标无效。</w:t>
      </w:r>
    </w:p>
    <w:p w14:paraId="4822A91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hint="eastAsia" w:ascii="宋体" w:hAnsi="宋体" w:cs="宋体"/>
          <w:color w:val="000000"/>
          <w:sz w:val="21"/>
          <w:szCs w:val="21"/>
          <w:highlight w:val="white"/>
        </w:rPr>
        <w:t>4.</w:t>
      </w:r>
      <w:r>
        <w:rPr>
          <w:rFonts w:hint="eastAsia" w:ascii="宋体" w:hAnsi="宋体" w:eastAsia="宋体" w:cs="宋体"/>
          <w:color w:val="000000"/>
          <w:kern w:val="2"/>
          <w:sz w:val="21"/>
          <w:szCs w:val="21"/>
          <w:highlight w:val="white"/>
          <w:lang w:val="en-US" w:eastAsia="zh-CN" w:bidi="ar"/>
        </w:rPr>
        <w:t>如《</w:t>
      </w:r>
      <w:r>
        <w:rPr>
          <w:rFonts w:hint="default" w:ascii="宋体" w:hAnsi="宋体" w:cs="宋体"/>
          <w:color w:val="000000"/>
          <w:kern w:val="2"/>
          <w:sz w:val="21"/>
          <w:szCs w:val="21"/>
          <w:highlight w:val="white"/>
          <w:lang w:eastAsia="zh-CN" w:bidi="ar"/>
        </w:rPr>
        <w:t>招标</w:t>
      </w:r>
      <w:r>
        <w:rPr>
          <w:rFonts w:hint="eastAsia" w:ascii="宋体" w:hAnsi="宋体" w:eastAsia="宋体" w:cs="宋体"/>
          <w:color w:val="000000"/>
          <w:kern w:val="2"/>
          <w:sz w:val="21"/>
          <w:szCs w:val="21"/>
          <w:highlight w:val="white"/>
          <w:lang w:val="en-US" w:eastAsia="zh-CN" w:bidi="ar"/>
        </w:rPr>
        <w:t>文件-技术部分》中有标注“#”为重要指标</w:t>
      </w:r>
      <w:r>
        <w:rPr>
          <w:rFonts w:hint="eastAsia" w:ascii="宋体" w:hAnsi="宋体" w:cs="宋体"/>
          <w:color w:val="000000"/>
          <w:kern w:val="2"/>
          <w:sz w:val="21"/>
          <w:szCs w:val="21"/>
          <w:highlight w:val="white"/>
          <w:lang w:val="en-US" w:eastAsia="zh-CN" w:bidi="ar"/>
        </w:rPr>
        <w:t>项</w:t>
      </w:r>
      <w:r>
        <w:rPr>
          <w:rFonts w:hint="eastAsia" w:ascii="宋体" w:hAnsi="宋体" w:eastAsia="宋体" w:cs="宋体"/>
          <w:color w:val="000000"/>
          <w:kern w:val="2"/>
          <w:sz w:val="21"/>
          <w:szCs w:val="21"/>
          <w:highlight w:val="white"/>
          <w:lang w:val="en-US" w:eastAsia="zh-CN" w:bidi="ar"/>
        </w:rPr>
        <w:t>、标注“△”为一般指标项，接受供应商应答为“负偏离”；如供应商应答为</w:t>
      </w:r>
      <w:r>
        <w:rPr>
          <w:rFonts w:hint="eastAsia" w:ascii="宋体" w:hAnsi="宋体" w:eastAsia="宋体" w:cs="宋体"/>
          <w:b w:val="0"/>
          <w:color w:val="000000"/>
          <w:kern w:val="2"/>
          <w:sz w:val="21"/>
          <w:szCs w:val="21"/>
          <w:highlight w:val="white"/>
          <w:lang w:val="en-US" w:eastAsia="zh-CN" w:bidi="ar"/>
        </w:rPr>
        <w:t>“无偏离”或“正偏离”，</w:t>
      </w:r>
      <w:r>
        <w:rPr>
          <w:rFonts w:hint="eastAsia" w:ascii="宋体" w:hAnsi="宋体" w:eastAsia="宋体" w:cs="宋体"/>
          <w:color w:val="000000"/>
          <w:kern w:val="2"/>
          <w:sz w:val="21"/>
          <w:szCs w:val="21"/>
          <w:highlight w:val="white"/>
          <w:lang w:val="en-US" w:eastAsia="zh-CN" w:bidi="ar"/>
        </w:rPr>
        <w:t>将根据评审标准在评审时</w:t>
      </w:r>
      <w:r>
        <w:rPr>
          <w:rFonts w:hint="eastAsia" w:ascii="宋体" w:hAnsi="宋体" w:cs="宋体"/>
          <w:color w:val="000000"/>
          <w:kern w:val="2"/>
          <w:sz w:val="21"/>
          <w:szCs w:val="21"/>
          <w:highlight w:val="white"/>
          <w:lang w:val="en-US" w:eastAsia="zh-CN" w:bidi="ar"/>
        </w:rPr>
        <w:t>获得相应分值</w:t>
      </w:r>
      <w:r>
        <w:rPr>
          <w:rFonts w:hint="eastAsia" w:ascii="宋体" w:hAnsi="宋体" w:eastAsia="宋体" w:cs="宋体"/>
          <w:color w:val="000000"/>
          <w:kern w:val="2"/>
          <w:sz w:val="21"/>
          <w:szCs w:val="21"/>
          <w:highlight w:val="white"/>
          <w:lang w:val="en-US" w:eastAsia="zh-CN" w:bidi="ar"/>
        </w:rPr>
        <w:t>。</w:t>
      </w:r>
    </w:p>
    <w:p w14:paraId="645DD214">
      <w:pPr>
        <w:keepNext w:val="0"/>
        <w:keepLines w:val="0"/>
        <w:pageBreakBefore w:val="0"/>
        <w:widowControl w:val="0"/>
        <w:kinsoku/>
        <w:wordWrap/>
        <w:overflowPunct/>
        <w:topLinePunct w:val="0"/>
        <w:autoSpaceDE/>
        <w:autoSpaceDN/>
        <w:bidi w:val="0"/>
        <w:adjustRightInd w:val="0"/>
        <w:snapToGrid w:val="0"/>
        <w:spacing w:beforeAutospacing="0" w:line="240" w:lineRule="auto"/>
        <w:ind w:firstLine="420" w:firstLineChars="200"/>
        <w:textAlignment w:val="auto"/>
        <w:rPr>
          <w:rFonts w:hAnsi="宋体" w:cs="宋体"/>
          <w:color w:val="auto"/>
          <w:highlight w:val="none"/>
        </w:rPr>
      </w:pPr>
    </w:p>
    <w:p w14:paraId="61EC3B9A">
      <w:pPr>
        <w:pStyle w:val="2"/>
        <w:rPr>
          <w:color w:val="auto"/>
          <w:highlight w:val="none"/>
        </w:rPr>
      </w:pPr>
    </w:p>
    <w:p w14:paraId="47CAC0B9">
      <w:pPr>
        <w:adjustRightInd w:val="0"/>
        <w:snapToGrid w:val="0"/>
        <w:spacing w:line="360" w:lineRule="auto"/>
        <w:ind w:firstLine="480" w:firstLineChars="200"/>
        <w:rPr>
          <w:rFonts w:hAnsi="宋体" w:cs="宋体"/>
          <w:color w:val="auto"/>
          <w:highlight w:val="none"/>
        </w:rPr>
      </w:pPr>
      <w:r>
        <w:rPr>
          <w:rFonts w:hint="eastAsia" w:hAnsi="宋体" w:cs="宋体"/>
          <w:color w:val="000000"/>
          <w:sz w:val="24"/>
          <w:highlight w:val="white"/>
        </w:rPr>
        <w:t>投标人名称（电子签章）：</w:t>
      </w:r>
    </w:p>
    <w:p w14:paraId="54B4824D">
      <w:pPr>
        <w:adjustRightInd w:val="0"/>
        <w:snapToGrid w:val="0"/>
        <w:spacing w:line="360" w:lineRule="auto"/>
        <w:ind w:firstLine="480" w:firstLineChars="200"/>
        <w:rPr>
          <w:rFonts w:hint="eastAsia"/>
          <w:highlight w:val="none"/>
        </w:rPr>
      </w:pPr>
      <w:r>
        <w:rPr>
          <w:rFonts w:hint="eastAsia" w:hAnsi="宋体" w:cs="宋体"/>
          <w:color w:val="000000"/>
          <w:sz w:val="24"/>
          <w:highlight w:val="white"/>
        </w:rPr>
        <w:t>日期：</w:t>
      </w:r>
    </w:p>
    <w:p w14:paraId="69A4226A">
      <w:pPr>
        <w:topLinePunct/>
        <w:autoSpaceDE w:val="0"/>
        <w:autoSpaceDN w:val="0"/>
        <w:spacing w:line="460" w:lineRule="exact"/>
        <w:jc w:val="center"/>
        <w:rPr>
          <w:rFonts w:hint="eastAsia" w:ascii="宋体" w:hAnsi="宋体" w:cs="宋体"/>
          <w:b/>
          <w:bCs/>
          <w:color w:val="auto"/>
          <w:sz w:val="36"/>
          <w:szCs w:val="36"/>
          <w:highlight w:val="none"/>
        </w:rPr>
      </w:pPr>
      <w:r>
        <w:rPr>
          <w:color w:val="000000"/>
          <w:highlight w:val="white"/>
        </w:rPr>
        <w:br w:type="page"/>
      </w:r>
      <w:r>
        <w:rPr>
          <w:rFonts w:hint="eastAsia" w:ascii="宋体" w:hAnsi="宋体" w:cs="宋体"/>
          <w:b/>
          <w:bCs/>
          <w:color w:val="000000"/>
          <w:sz w:val="36"/>
          <w:szCs w:val="36"/>
          <w:highlight w:val="white"/>
        </w:rPr>
        <w:t>格式10 技术力量一览表</w:t>
      </w:r>
    </w:p>
    <w:tbl>
      <w:tblPr>
        <w:tblStyle w:val="31"/>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14:paraId="2684E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14:paraId="605AE35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序号</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1D0A12A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姓 名</w:t>
            </w:r>
          </w:p>
        </w:tc>
        <w:tc>
          <w:tcPr>
            <w:tcW w:w="1084" w:type="dxa"/>
            <w:tcBorders>
              <w:top w:val="single" w:color="auto" w:sz="4" w:space="0"/>
              <w:left w:val="single" w:color="auto" w:sz="4" w:space="0"/>
              <w:bottom w:val="single" w:color="auto" w:sz="4" w:space="0"/>
              <w:right w:val="single" w:color="auto" w:sz="4" w:space="0"/>
            </w:tcBorders>
            <w:noWrap w:val="0"/>
            <w:vAlign w:val="center"/>
          </w:tcPr>
          <w:p w14:paraId="7069787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技术</w:t>
            </w:r>
          </w:p>
          <w:p w14:paraId="7BF4359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职称</w:t>
            </w:r>
          </w:p>
        </w:tc>
        <w:tc>
          <w:tcPr>
            <w:tcW w:w="1084" w:type="dxa"/>
            <w:tcBorders>
              <w:top w:val="single" w:color="auto" w:sz="4" w:space="0"/>
              <w:left w:val="single" w:color="auto" w:sz="4" w:space="0"/>
              <w:bottom w:val="single" w:color="auto" w:sz="4" w:space="0"/>
              <w:right w:val="single" w:color="auto" w:sz="4" w:space="0"/>
            </w:tcBorders>
            <w:noWrap w:val="0"/>
            <w:vAlign w:val="center"/>
          </w:tcPr>
          <w:p w14:paraId="4C3E088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人员</w:t>
            </w:r>
          </w:p>
          <w:p w14:paraId="0A5AF6C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级别</w:t>
            </w:r>
          </w:p>
        </w:tc>
        <w:tc>
          <w:tcPr>
            <w:tcW w:w="1291" w:type="dxa"/>
            <w:tcBorders>
              <w:top w:val="single" w:color="auto" w:sz="4" w:space="0"/>
              <w:left w:val="single" w:color="auto" w:sz="4" w:space="0"/>
              <w:bottom w:val="single" w:color="auto" w:sz="4" w:space="0"/>
              <w:right w:val="single" w:color="auto" w:sz="4" w:space="0"/>
            </w:tcBorders>
            <w:noWrap w:val="0"/>
            <w:vAlign w:val="center"/>
          </w:tcPr>
          <w:p w14:paraId="78849C0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相关工作经验年限</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0EBDD05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本项目中担任职务</w:t>
            </w:r>
          </w:p>
        </w:tc>
        <w:tc>
          <w:tcPr>
            <w:tcW w:w="1188" w:type="dxa"/>
            <w:tcBorders>
              <w:top w:val="single" w:color="auto" w:sz="4" w:space="0"/>
              <w:left w:val="single" w:color="auto" w:sz="4" w:space="0"/>
              <w:bottom w:val="single" w:color="auto" w:sz="4" w:space="0"/>
              <w:right w:val="single" w:color="auto" w:sz="4" w:space="0"/>
            </w:tcBorders>
            <w:noWrap w:val="0"/>
            <w:vAlign w:val="center"/>
          </w:tcPr>
          <w:p w14:paraId="6B4FA1F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认证情况</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0707E67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是否驻场</w:t>
            </w:r>
          </w:p>
        </w:tc>
        <w:tc>
          <w:tcPr>
            <w:tcW w:w="821" w:type="dxa"/>
            <w:tcBorders>
              <w:top w:val="single" w:color="auto" w:sz="4" w:space="0"/>
              <w:left w:val="single" w:color="auto" w:sz="4" w:space="0"/>
              <w:bottom w:val="single" w:color="auto" w:sz="4" w:space="0"/>
              <w:right w:val="single" w:color="auto" w:sz="4" w:space="0"/>
            </w:tcBorders>
            <w:noWrap w:val="0"/>
            <w:vAlign w:val="center"/>
          </w:tcPr>
          <w:p w14:paraId="63ECECF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是否专职</w:t>
            </w:r>
          </w:p>
        </w:tc>
      </w:tr>
      <w:tr w14:paraId="4D256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14:paraId="5A5F001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1</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66DB280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67A8C98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11DED6A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14:paraId="28D0D15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17465D1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14:paraId="1FD0968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14:paraId="26C7D93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14:paraId="45F2048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14:paraId="29AD1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14:paraId="7D4EF22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2</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6BA3D6C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75DE17B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728BCEB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14:paraId="6610E09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23D54EC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14:paraId="53B8454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14:paraId="27AD5D2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14:paraId="117F8D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14:paraId="08531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14:paraId="7249F7E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val="en-US" w:eastAsia="zh-CN"/>
              </w:rPr>
              <w:t>3</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1D36554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6F3186D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6965C55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14:paraId="078A74C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723991A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14:paraId="018EE5D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14:paraId="09A8ABC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14:paraId="14DD6D0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14:paraId="38DD5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14:paraId="0DA1C14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highlight w:val="white"/>
              </w:rPr>
              <w:t>……</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145CF33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125DB98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341C0CB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14:paraId="7DF6DB1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1569737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14:paraId="655EE9F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14:paraId="30F4F23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14:paraId="68F46CD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bl>
    <w:p w14:paraId="21E416E1">
      <w:pPr>
        <w:pStyle w:val="2"/>
        <w:rPr>
          <w:rFonts w:hint="eastAsia" w:ascii="宋体" w:hAnsi="宋体" w:cs="宋体"/>
          <w:b/>
          <w:bCs/>
          <w:color w:val="auto"/>
          <w:sz w:val="36"/>
          <w:szCs w:val="36"/>
          <w:highlight w:val="none"/>
        </w:rPr>
      </w:pPr>
    </w:p>
    <w:p w14:paraId="0DE8B11E">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szCs w:val="21"/>
          <w:highlight w:val="none"/>
        </w:rPr>
      </w:pPr>
      <w:r>
        <w:rPr>
          <w:rFonts w:ascii="宋体" w:hAnsi="宋体" w:cs="宋体"/>
          <w:color w:val="000000"/>
          <w:highlight w:val="white"/>
        </w:rPr>
        <w:t>特别说明：</w:t>
      </w:r>
    </w:p>
    <w:p w14:paraId="5AB8E2D9">
      <w:pPr>
        <w:keepNext w:val="0"/>
        <w:keepLines w:val="0"/>
        <w:pageBreakBefore w:val="0"/>
        <w:widowControl w:val="0"/>
        <w:kinsoku/>
        <w:wordWrap/>
        <w:overflowPunct/>
        <w:topLinePunct/>
        <w:autoSpaceDE w:val="0"/>
        <w:autoSpaceDN w:val="0"/>
        <w:bidi w:val="0"/>
        <w:adjustRightInd/>
        <w:snapToGrid/>
        <w:spacing w:after="0" w:line="240" w:lineRule="auto"/>
        <w:ind w:firstLine="420" w:firstLineChars="200"/>
        <w:jc w:val="left"/>
        <w:textAlignment w:val="auto"/>
        <w:rPr>
          <w:rFonts w:ascii="宋体" w:hAnsi="宋体" w:cs="宋体"/>
          <w:color w:val="auto"/>
          <w:szCs w:val="21"/>
          <w:highlight w:val="none"/>
          <w:shd w:val="clear" w:color="auto" w:fill="FFFF00"/>
        </w:rPr>
      </w:pPr>
      <w:r>
        <w:rPr>
          <w:rFonts w:hint="eastAsia" w:ascii="宋体" w:hAnsi="宋体" w:cs="宋体"/>
          <w:color w:val="000000"/>
          <w:szCs w:val="21"/>
          <w:highlight w:val="white"/>
        </w:rPr>
        <w:t>投标人须按照上述格式填写投入本项目所有人员的相关信息。</w:t>
      </w:r>
    </w:p>
    <w:p w14:paraId="4CCA7304">
      <w:pPr>
        <w:rPr>
          <w:rFonts w:hint="eastAsia"/>
          <w:highlight w:val="none"/>
        </w:rPr>
      </w:pPr>
    </w:p>
    <w:p w14:paraId="68ECDEB6">
      <w:pPr>
        <w:topLinePunct/>
        <w:autoSpaceDE w:val="0"/>
        <w:autoSpaceDN w:val="0"/>
        <w:spacing w:line="460" w:lineRule="exact"/>
        <w:jc w:val="center"/>
        <w:rPr>
          <w:rFonts w:hint="eastAsia" w:ascii="宋体" w:hAnsi="宋体" w:cs="宋体"/>
          <w:b/>
          <w:bCs/>
          <w:color w:val="auto"/>
          <w:sz w:val="36"/>
          <w:szCs w:val="36"/>
          <w:highlight w:val="none"/>
        </w:rPr>
      </w:pPr>
      <w:r>
        <w:rPr>
          <w:color w:val="000000"/>
          <w:highlight w:val="white"/>
        </w:rPr>
        <w:br w:type="page"/>
      </w:r>
      <w:r>
        <w:rPr>
          <w:rFonts w:hint="eastAsia" w:ascii="宋体" w:hAnsi="宋体" w:cs="宋体"/>
          <w:b/>
          <w:bCs/>
          <w:color w:val="000000"/>
          <w:sz w:val="36"/>
          <w:szCs w:val="36"/>
          <w:highlight w:val="white"/>
        </w:rPr>
        <w:t>格式11 技术人员简历表</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14:paraId="32890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14:paraId="538E1C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姓   名</w:t>
            </w:r>
          </w:p>
        </w:tc>
        <w:tc>
          <w:tcPr>
            <w:tcW w:w="1714" w:type="dxa"/>
            <w:tcBorders>
              <w:top w:val="single" w:color="auto" w:sz="4" w:space="0"/>
              <w:left w:val="single" w:color="auto" w:sz="4" w:space="0"/>
              <w:bottom w:val="single" w:color="auto" w:sz="4" w:space="0"/>
              <w:right w:val="single" w:color="auto" w:sz="4" w:space="0"/>
            </w:tcBorders>
            <w:noWrap w:val="0"/>
            <w:vAlign w:val="center"/>
          </w:tcPr>
          <w:p w14:paraId="66A4A97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14:paraId="4CF7545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性    别</w:t>
            </w:r>
          </w:p>
        </w:tc>
        <w:tc>
          <w:tcPr>
            <w:tcW w:w="1385" w:type="dxa"/>
            <w:tcBorders>
              <w:top w:val="single" w:color="auto" w:sz="4" w:space="0"/>
              <w:left w:val="single" w:color="auto" w:sz="4" w:space="0"/>
              <w:bottom w:val="single" w:color="auto" w:sz="4" w:space="0"/>
              <w:right w:val="single" w:color="auto" w:sz="4" w:space="0"/>
            </w:tcBorders>
            <w:noWrap w:val="0"/>
            <w:vAlign w:val="center"/>
          </w:tcPr>
          <w:p w14:paraId="414E7A5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14:paraId="4D37BEC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出生日期</w:t>
            </w:r>
          </w:p>
        </w:tc>
        <w:tc>
          <w:tcPr>
            <w:tcW w:w="1445" w:type="dxa"/>
            <w:tcBorders>
              <w:top w:val="single" w:color="auto" w:sz="4" w:space="0"/>
              <w:left w:val="single" w:color="auto" w:sz="4" w:space="0"/>
              <w:bottom w:val="single" w:color="auto" w:sz="4" w:space="0"/>
              <w:right w:val="single" w:color="auto" w:sz="4" w:space="0"/>
            </w:tcBorders>
            <w:noWrap w:val="0"/>
            <w:vAlign w:val="center"/>
          </w:tcPr>
          <w:p w14:paraId="62C9F3A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14:paraId="5F0CC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14:paraId="6A07BE9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学   历</w:t>
            </w:r>
          </w:p>
        </w:tc>
        <w:tc>
          <w:tcPr>
            <w:tcW w:w="1714" w:type="dxa"/>
            <w:tcBorders>
              <w:top w:val="single" w:color="auto" w:sz="4" w:space="0"/>
              <w:left w:val="single" w:color="auto" w:sz="4" w:space="0"/>
              <w:bottom w:val="single" w:color="auto" w:sz="4" w:space="0"/>
              <w:right w:val="single" w:color="auto" w:sz="4" w:space="0"/>
            </w:tcBorders>
            <w:noWrap w:val="0"/>
            <w:vAlign w:val="center"/>
          </w:tcPr>
          <w:p w14:paraId="4FEA624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14:paraId="1D4952E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毕业学校</w:t>
            </w:r>
          </w:p>
        </w:tc>
        <w:tc>
          <w:tcPr>
            <w:tcW w:w="1385" w:type="dxa"/>
            <w:tcBorders>
              <w:top w:val="single" w:color="auto" w:sz="4" w:space="0"/>
              <w:left w:val="single" w:color="auto" w:sz="4" w:space="0"/>
              <w:bottom w:val="single" w:color="auto" w:sz="4" w:space="0"/>
              <w:right w:val="single" w:color="auto" w:sz="4" w:space="0"/>
            </w:tcBorders>
            <w:noWrap w:val="0"/>
            <w:vAlign w:val="center"/>
          </w:tcPr>
          <w:p w14:paraId="3E145E4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14:paraId="4D80C4B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技术职称</w:t>
            </w:r>
          </w:p>
        </w:tc>
        <w:tc>
          <w:tcPr>
            <w:tcW w:w="1445" w:type="dxa"/>
            <w:tcBorders>
              <w:top w:val="single" w:color="auto" w:sz="4" w:space="0"/>
              <w:left w:val="single" w:color="auto" w:sz="4" w:space="0"/>
              <w:bottom w:val="single" w:color="auto" w:sz="4" w:space="0"/>
              <w:right w:val="single" w:color="auto" w:sz="4" w:space="0"/>
            </w:tcBorders>
            <w:noWrap w:val="0"/>
            <w:vAlign w:val="center"/>
          </w:tcPr>
          <w:p w14:paraId="25BACF7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14:paraId="493A1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14:paraId="2519C8B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公司职务</w:t>
            </w:r>
          </w:p>
        </w:tc>
        <w:tc>
          <w:tcPr>
            <w:tcW w:w="1714" w:type="dxa"/>
            <w:tcBorders>
              <w:top w:val="single" w:color="auto" w:sz="4" w:space="0"/>
              <w:left w:val="single" w:color="auto" w:sz="4" w:space="0"/>
              <w:bottom w:val="single" w:color="auto" w:sz="4" w:space="0"/>
              <w:right w:val="single" w:color="auto" w:sz="4" w:space="0"/>
            </w:tcBorders>
            <w:noWrap w:val="0"/>
            <w:vAlign w:val="center"/>
          </w:tcPr>
          <w:p w14:paraId="6C1387A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14:paraId="22EB753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任职时间</w:t>
            </w:r>
          </w:p>
        </w:tc>
        <w:tc>
          <w:tcPr>
            <w:tcW w:w="1385" w:type="dxa"/>
            <w:tcBorders>
              <w:top w:val="single" w:color="auto" w:sz="4" w:space="0"/>
              <w:left w:val="single" w:color="auto" w:sz="4" w:space="0"/>
              <w:bottom w:val="single" w:color="auto" w:sz="4" w:space="0"/>
              <w:right w:val="single" w:color="auto" w:sz="4" w:space="0"/>
            </w:tcBorders>
            <w:noWrap w:val="0"/>
            <w:vAlign w:val="center"/>
          </w:tcPr>
          <w:p w14:paraId="6AFFB91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14:paraId="7C513A7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本项目任职</w:t>
            </w:r>
          </w:p>
        </w:tc>
        <w:tc>
          <w:tcPr>
            <w:tcW w:w="1445" w:type="dxa"/>
            <w:tcBorders>
              <w:top w:val="single" w:color="auto" w:sz="4" w:space="0"/>
              <w:left w:val="single" w:color="auto" w:sz="4" w:space="0"/>
              <w:bottom w:val="single" w:color="auto" w:sz="4" w:space="0"/>
              <w:right w:val="single" w:color="auto" w:sz="4" w:space="0"/>
            </w:tcBorders>
            <w:noWrap w:val="0"/>
            <w:vAlign w:val="center"/>
          </w:tcPr>
          <w:p w14:paraId="22EE8BF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14:paraId="767AA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14:paraId="2603BAF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人员级别</w:t>
            </w:r>
          </w:p>
        </w:tc>
        <w:tc>
          <w:tcPr>
            <w:tcW w:w="1714" w:type="dxa"/>
            <w:tcBorders>
              <w:top w:val="single" w:color="auto" w:sz="4" w:space="0"/>
              <w:left w:val="single" w:color="auto" w:sz="4" w:space="0"/>
              <w:bottom w:val="single" w:color="auto" w:sz="4" w:space="0"/>
              <w:right w:val="single" w:color="auto" w:sz="4" w:space="0"/>
            </w:tcBorders>
            <w:noWrap w:val="0"/>
            <w:vAlign w:val="center"/>
          </w:tcPr>
          <w:p w14:paraId="175706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14:paraId="7C812CB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认证证书</w:t>
            </w:r>
          </w:p>
        </w:tc>
        <w:tc>
          <w:tcPr>
            <w:tcW w:w="4445" w:type="dxa"/>
            <w:gridSpan w:val="3"/>
            <w:tcBorders>
              <w:top w:val="single" w:color="auto" w:sz="4" w:space="0"/>
              <w:left w:val="single" w:color="auto" w:sz="4" w:space="0"/>
              <w:bottom w:val="single" w:color="auto" w:sz="4" w:space="0"/>
              <w:right w:val="single" w:color="auto" w:sz="4" w:space="0"/>
            </w:tcBorders>
            <w:noWrap w:val="0"/>
            <w:vAlign w:val="center"/>
          </w:tcPr>
          <w:p w14:paraId="2B35053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14:paraId="3CAFD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noWrap w:val="0"/>
            <w:vAlign w:val="top"/>
          </w:tcPr>
          <w:p w14:paraId="0D988D0B">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hint="eastAsia" w:ascii="宋体" w:hAnsi="宋体" w:cs="宋体"/>
                <w:color w:val="auto"/>
                <w:highlight w:val="none"/>
              </w:rPr>
            </w:pPr>
            <w:r>
              <w:rPr>
                <w:rFonts w:hint="eastAsia" w:ascii="宋体" w:hAnsi="宋体" w:cs="宋体"/>
                <w:color w:val="000000"/>
                <w:highlight w:val="white"/>
              </w:rPr>
              <w:t>工作简历及主要业绩</w:t>
            </w:r>
          </w:p>
          <w:p w14:paraId="06D1CD1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hint="eastAsia" w:ascii="宋体" w:hAnsi="宋体" w:cs="宋体"/>
                <w:color w:val="auto"/>
                <w:highlight w:val="none"/>
              </w:rPr>
            </w:pPr>
          </w:p>
        </w:tc>
      </w:tr>
    </w:tbl>
    <w:p w14:paraId="2122CC59">
      <w:pPr>
        <w:topLinePunct/>
        <w:autoSpaceDE w:val="0"/>
        <w:autoSpaceDN w:val="0"/>
        <w:spacing w:line="460" w:lineRule="exact"/>
        <w:rPr>
          <w:rFonts w:hint="eastAsia" w:ascii="宋体" w:hAnsi="宋体" w:cs="宋体"/>
          <w:color w:val="auto"/>
          <w:szCs w:val="21"/>
          <w:highlight w:val="none"/>
        </w:rPr>
      </w:pPr>
    </w:p>
    <w:p w14:paraId="5A8297E8">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highlight w:val="none"/>
        </w:rPr>
      </w:pPr>
    </w:p>
    <w:p w14:paraId="41C56EA9">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ascii="宋体" w:hAnsi="宋体" w:cs="宋体"/>
          <w:color w:val="auto"/>
          <w:szCs w:val="21"/>
          <w:highlight w:val="none"/>
        </w:rPr>
      </w:pPr>
      <w:r>
        <w:rPr>
          <w:rFonts w:hint="eastAsia" w:ascii="宋体" w:hAnsi="宋体" w:cs="宋体"/>
          <w:color w:val="000000"/>
          <w:szCs w:val="21"/>
          <w:highlight w:val="white"/>
        </w:rPr>
        <w:t>特别说明：</w:t>
      </w:r>
    </w:p>
    <w:p w14:paraId="2F12BFC4">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ind w:firstLine="420" w:firstLineChars="200"/>
        <w:textAlignment w:val="auto"/>
        <w:rPr>
          <w:rFonts w:hint="eastAsia" w:ascii="宋体" w:hAnsi="宋体" w:cs="宋体"/>
          <w:szCs w:val="21"/>
          <w:highlight w:val="none"/>
        </w:rPr>
      </w:pPr>
      <w:r>
        <w:rPr>
          <w:rFonts w:hint="eastAsia" w:ascii="宋体" w:hAnsi="宋体" w:cs="宋体"/>
          <w:color w:val="000000"/>
          <w:szCs w:val="21"/>
          <w:highlight w:val="white"/>
          <w:lang w:val="en-US" w:eastAsia="zh-CN"/>
        </w:rPr>
        <w:t>1.</w:t>
      </w:r>
      <w:r>
        <w:rPr>
          <w:rFonts w:hint="eastAsia" w:ascii="宋体" w:hAnsi="宋体" w:cs="宋体"/>
          <w:color w:val="000000"/>
          <w:szCs w:val="21"/>
          <w:highlight w:val="white"/>
        </w:rPr>
        <w:t>投标人应提供投入本项目所有人员的简历。</w:t>
      </w:r>
      <w:r>
        <w:rPr>
          <w:rFonts w:hint="default" w:ascii="宋体" w:hAnsi="宋体" w:cs="宋体"/>
          <w:color w:val="000000"/>
          <w:szCs w:val="21"/>
          <w:highlight w:val="white"/>
        </w:rPr>
        <w:t xml:space="preserve">                                        </w:t>
      </w:r>
    </w:p>
    <w:p w14:paraId="209AC765">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textAlignment w:val="auto"/>
        <w:rPr>
          <w:rFonts w:hint="eastAsia" w:ascii="宋体" w:hAnsi="宋体" w:cs="宋体"/>
          <w:szCs w:val="21"/>
          <w:highlight w:val="none"/>
        </w:rPr>
      </w:pPr>
      <w:r>
        <w:rPr>
          <w:rFonts w:hint="default" w:ascii="宋体" w:hAnsi="宋体" w:cs="宋体"/>
          <w:color w:val="000000"/>
          <w:szCs w:val="21"/>
          <w:highlight w:val="white"/>
        </w:rPr>
        <w:t xml:space="preserve">    2.</w:t>
      </w:r>
      <w:r>
        <w:rPr>
          <w:rFonts w:hint="eastAsia" w:ascii="宋体" w:hAnsi="宋体" w:eastAsia="宋体" w:cs="宋体"/>
          <w:color w:val="000000"/>
          <w:kern w:val="2"/>
          <w:sz w:val="21"/>
          <w:szCs w:val="21"/>
          <w:highlight w:val="white"/>
          <w:lang w:val="en-US" w:eastAsia="zh-CN" w:bidi="ar"/>
        </w:rPr>
        <w:t>如果有职称及认证证书要求的，需提供职称及认证证书复印件；如有管理或工作经验要求的，</w:t>
      </w:r>
      <w:r>
        <w:rPr>
          <w:rFonts w:hint="eastAsia" w:ascii="宋体" w:hAnsi="宋体" w:eastAsia="宋体" w:cs="宋体"/>
          <w:b w:val="0"/>
          <w:color w:val="000000"/>
          <w:kern w:val="2"/>
          <w:sz w:val="21"/>
          <w:szCs w:val="21"/>
          <w:highlight w:val="white"/>
          <w:lang w:val="en-US" w:eastAsia="zh-CN" w:bidi="ar"/>
        </w:rPr>
        <w:t>需提供能证明该人员</w:t>
      </w:r>
      <w:r>
        <w:rPr>
          <w:rFonts w:hint="eastAsia" w:ascii="宋体" w:hAnsi="宋体" w:cs="宋体"/>
          <w:b w:val="0"/>
          <w:color w:val="000000"/>
          <w:kern w:val="2"/>
          <w:sz w:val="21"/>
          <w:szCs w:val="21"/>
          <w:highlight w:val="white"/>
          <w:lang w:val="en-US" w:eastAsia="zh-CN" w:bidi="ar"/>
        </w:rPr>
        <w:t>管理或</w:t>
      </w:r>
      <w:r>
        <w:rPr>
          <w:rFonts w:hint="eastAsia" w:ascii="宋体" w:hAnsi="宋体" w:eastAsia="宋体" w:cs="宋体"/>
          <w:b w:val="0"/>
          <w:color w:val="000000"/>
          <w:kern w:val="2"/>
          <w:sz w:val="21"/>
          <w:szCs w:val="21"/>
          <w:highlight w:val="white"/>
          <w:lang w:val="en-US" w:eastAsia="zh-CN" w:bidi="ar"/>
        </w:rPr>
        <w:t>工作经验的合同及对应的投标文件/响应文件复印件</w:t>
      </w:r>
      <w:r>
        <w:rPr>
          <w:rFonts w:hint="eastAsia" w:ascii="宋体" w:hAnsi="宋体" w:cs="宋体"/>
          <w:b w:val="0"/>
          <w:color w:val="000000"/>
          <w:kern w:val="2"/>
          <w:sz w:val="21"/>
          <w:szCs w:val="21"/>
          <w:highlight w:val="white"/>
          <w:lang w:val="en-US" w:eastAsia="zh-CN" w:bidi="ar"/>
        </w:rPr>
        <w:t>，</w:t>
      </w:r>
      <w:r>
        <w:rPr>
          <w:rFonts w:hint="eastAsia" w:ascii="宋体" w:hAnsi="宋体" w:eastAsia="宋体" w:cs="宋体"/>
          <w:b w:val="0"/>
          <w:color w:val="000000"/>
          <w:kern w:val="2"/>
          <w:sz w:val="21"/>
          <w:szCs w:val="21"/>
          <w:highlight w:val="white"/>
          <w:lang w:val="en-US" w:eastAsia="zh-CN" w:bidi="ar"/>
        </w:rPr>
        <w:t>或合同复印件及甲方开具的用户证明等相关材料</w:t>
      </w:r>
      <w:r>
        <w:rPr>
          <w:rFonts w:hint="eastAsia" w:ascii="宋体" w:hAnsi="宋体" w:eastAsia="宋体" w:cs="宋体"/>
          <w:color w:val="000000"/>
          <w:kern w:val="2"/>
          <w:sz w:val="21"/>
          <w:szCs w:val="21"/>
          <w:highlight w:val="white"/>
          <w:lang w:val="en-US" w:eastAsia="zh-CN" w:bidi="ar"/>
        </w:rPr>
        <w:t>。</w:t>
      </w:r>
    </w:p>
    <w:p w14:paraId="789C73C5">
      <w:pPr>
        <w:adjustRightInd w:val="0"/>
        <w:snapToGrid w:val="0"/>
        <w:spacing w:after="0" w:line="360" w:lineRule="auto"/>
        <w:jc w:val="both"/>
        <w:rPr>
          <w:rFonts w:hint="default"/>
          <w:highlight w:val="none"/>
          <w:lang w:val="en-US"/>
        </w:rPr>
      </w:pPr>
    </w:p>
    <w:sectPr>
      <w:footerReference r:id="rId8" w:type="first"/>
      <w:footerReference r:id="rId7"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Wingdings 2">
    <w:altName w:val="Wingdings"/>
    <w:panose1 w:val="05020102010507070707"/>
    <w:charset w:val="00"/>
    <w:family w:val="roman"/>
    <w:pitch w:val="default"/>
    <w:sig w:usb0="00000000" w:usb1="00000000" w:usb2="00000000" w:usb3="00000000" w:csb0="80000000" w:csb1="00000000"/>
  </w:font>
  <w:font w:name="MingLiU_HKSCS">
    <w:panose1 w:val="02020500000000000000"/>
    <w:charset w:val="88"/>
    <w:family w:val="roman"/>
    <w:pitch w:val="default"/>
    <w:sig w:usb0="A00002FF" w:usb1="38CFFCFA" w:usb2="00000016" w:usb3="00000000" w:csb0="00100001"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8A005"/>
  <w:p w14:paraId="15560A35"/>
  <w:p w14:paraId="5CF2F722"/>
  <w:p w14:paraId="32C3CF62">
    <w:pPr>
      <w:jc w:val="center"/>
    </w:pPr>
    <w:r>
      <w:fldChar w:fldCharType="begin"/>
    </w:r>
    <w:r>
      <w:rPr>
        <w:color w:val="000000"/>
        <w:highlight w:val="white"/>
      </w:rPr>
      <w:instrText xml:space="preserve"> PAGE </w:instrText>
    </w:r>
    <w:r>
      <w:fldChar w:fldCharType="separate"/>
    </w:r>
    <w:r>
      <w:rPr>
        <w:color w:val="000000"/>
        <w:highlight w:val="white"/>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FACCA"/>
  <w:p w14:paraId="6CC47A16">
    <w:pPr>
      <w:jc w:val="center"/>
    </w:pPr>
    <w:r>
      <w:fldChar w:fldCharType="begin"/>
    </w:r>
    <w:r>
      <w:rPr>
        <w:color w:val="000000"/>
        <w:highlight w:val="white"/>
      </w:rPr>
      <w:instrText xml:space="preserve"> PAGE </w:instrText>
    </w:r>
    <w:r>
      <w:fldChar w:fldCharType="separate"/>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3A9B4"/>
  <w:p w14:paraId="2549838C">
    <w:pPr>
      <w:jc w:val="center"/>
    </w:pPr>
    <w:r>
      <w:fldChar w:fldCharType="begin"/>
    </w:r>
    <w:r>
      <w:rPr>
        <w:color w:val="000000"/>
        <w:highlight w:val="white"/>
      </w:rPr>
      <w:instrText xml:space="preserve"> PAGE </w:instrText>
    </w:r>
    <w:r>
      <w:fldChar w:fldCharType="separate"/>
    </w:r>
    <w:r>
      <w:rPr>
        <w:color w:val="000000"/>
        <w:highlight w:val="white"/>
      </w:rPr>
      <w:t>49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EE0C56">
    <w:pPr>
      <w:pStyle w:val="2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FEEC05">
                          <w:pPr>
                            <w:pStyle w:val="22"/>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FFEEC05">
                    <w:pPr>
                      <w:pStyle w:val="22"/>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2">
    <w:nsid w:val="FBF46E1D"/>
    <w:multiLevelType w:val="singleLevel"/>
    <w:tmpl w:val="FBF46E1D"/>
    <w:lvl w:ilvl="0" w:tentative="0">
      <w:start w:val="6"/>
      <w:numFmt w:val="decimal"/>
      <w:suff w:val="space"/>
      <w:lvlText w:val="%1."/>
      <w:lvlJc w:val="left"/>
    </w:lvl>
  </w:abstractNum>
  <w:abstractNum w:abstractNumId="3">
    <w:nsid w:val="00000002"/>
    <w:multiLevelType w:val="multilevel"/>
    <w:tmpl w:val="00000002"/>
    <w:lvl w:ilvl="0" w:tentative="0">
      <w:start w:val="1"/>
      <w:numFmt w:val="decimal"/>
      <w:pStyle w:val="78"/>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0000003"/>
    <w:multiLevelType w:val="multilevel"/>
    <w:tmpl w:val="00000003"/>
    <w:lvl w:ilvl="0" w:tentative="0">
      <w:start w:val="1"/>
      <w:numFmt w:val="decimal"/>
      <w:pStyle w:val="67"/>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9"/>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6"/>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documentProtection w:enforcement="0"/>
  <w:defaultTabStop w:val="420"/>
  <w:drawingGridVerticalSpacing w:val="156"/>
  <w:doNotShadeFormData w:val="1"/>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565F7"/>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DFD361"/>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6F04F3"/>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9"/>
    <w:qFormat/>
    <w:uiPriority w:val="0"/>
    <w:pPr>
      <w:keepNext/>
      <w:keepLines/>
      <w:widowControl w:val="0"/>
      <w:spacing w:before="340" w:after="330" w:line="576" w:lineRule="auto"/>
      <w:ind w:left="0" w:right="0"/>
      <w:jc w:val="both"/>
      <w:outlineLvl w:val="0"/>
    </w:pPr>
    <w:rPr>
      <w:rFonts w:ascii="Times New Roman" w:hAnsi="Times New Roman" w:eastAsia="宋体" w:cs="Times New Roman"/>
      <w:b/>
      <w:bCs/>
      <w:kern w:val="44"/>
      <w:sz w:val="44"/>
      <w:szCs w:val="44"/>
      <w:lang w:val="en-US" w:eastAsia="zh-CN" w:bidi="ar-SA"/>
    </w:rPr>
  </w:style>
  <w:style w:type="paragraph" w:styleId="4">
    <w:name w:val="heading 2"/>
    <w:basedOn w:val="3"/>
    <w:next w:val="5"/>
    <w:link w:val="86"/>
    <w:qFormat/>
    <w:uiPriority w:val="0"/>
    <w:pPr>
      <w:keepNext/>
      <w:keepLines/>
      <w:widowControl w:val="0"/>
      <w:numPr>
        <w:ilvl w:val="1"/>
        <w:numId w:val="1"/>
      </w:numPr>
      <w:tabs>
        <w:tab w:val="left" w:pos="2400"/>
      </w:tabs>
      <w:spacing w:before="260" w:afterLines="50" w:line="416" w:lineRule="auto"/>
      <w:jc w:val="both"/>
      <w:outlineLvl w:val="1"/>
    </w:pPr>
    <w:rPr>
      <w:rFonts w:ascii="Arial" w:hAnsi="Arial" w:eastAsia="黑体" w:cs="Calibri"/>
      <w:sz w:val="32"/>
      <w:szCs w:val="32"/>
      <w:lang w:val="en-US" w:eastAsia="zh-CN" w:bidi="ar-SA"/>
    </w:rPr>
  </w:style>
  <w:style w:type="paragraph" w:styleId="5">
    <w:name w:val="heading 3"/>
    <w:basedOn w:val="1"/>
    <w:next w:val="1"/>
    <w:link w:val="40"/>
    <w:qFormat/>
    <w:uiPriority w:val="0"/>
    <w:pPr>
      <w:keepNext/>
      <w:keepLines/>
      <w:tabs>
        <w:tab w:val="left" w:pos="0"/>
      </w:tabs>
      <w:spacing w:before="260" w:after="260" w:line="415" w:lineRule="auto"/>
      <w:outlineLvl w:val="2"/>
    </w:pPr>
    <w:rPr>
      <w:rFonts w:ascii="Times New Roman" w:hAnsi="Times New Roman" w:eastAsia="宋体" w:cs="Times New Roman"/>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宋体" w:hAnsi="宋体" w:eastAsia="宋体" w:cs="Times New Roman"/>
      <w:color w:val="0000FF"/>
      <w:kern w:val="0"/>
      <w:sz w:val="28"/>
      <w:szCs w:val="20"/>
    </w:rPr>
  </w:style>
  <w:style w:type="paragraph" w:styleId="7">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eastAsia="宋体" w:cs="Times New Roman"/>
      <w:b/>
      <w:bCs/>
      <w:sz w:val="28"/>
      <w:szCs w:val="28"/>
    </w:rPr>
  </w:style>
  <w:style w:type="paragraph" w:styleId="8">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黑体" w:cs="Times New Roman"/>
      <w:b/>
      <w:bCs/>
      <w:sz w:val="24"/>
    </w:rPr>
  </w:style>
  <w:style w:type="paragraph" w:styleId="9">
    <w:name w:val="heading 7"/>
    <w:basedOn w:val="1"/>
    <w:next w:val="1"/>
    <w:link w:val="44"/>
    <w:qFormat/>
    <w:uiPriority w:val="0"/>
    <w:pPr>
      <w:keepNext/>
      <w:keepLines/>
      <w:tabs>
        <w:tab w:val="left" w:pos="1296"/>
      </w:tabs>
      <w:spacing w:before="240" w:after="64" w:line="319" w:lineRule="auto"/>
      <w:ind w:left="1296" w:hanging="1296"/>
      <w:outlineLvl w:val="6"/>
    </w:pPr>
    <w:rPr>
      <w:rFonts w:ascii="Times New Roman" w:hAnsi="Times New Roman" w:eastAsia="宋体" w:cs="Times New Roman"/>
      <w:b/>
      <w:bCs/>
      <w:sz w:val="24"/>
    </w:rPr>
  </w:style>
  <w:style w:type="paragraph" w:styleId="10">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黑体" w:cs="Times New Roman"/>
      <w:sz w:val="24"/>
    </w:rPr>
  </w:style>
  <w:style w:type="paragraph" w:styleId="11">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黑体" w:cs="Times New Roman"/>
      <w:szCs w:val="21"/>
    </w:rPr>
  </w:style>
  <w:style w:type="character" w:default="1" w:styleId="33">
    <w:name w:val="Default Paragraph Font"/>
    <w:qFormat/>
    <w:uiPriority w:val="0"/>
    <w:rPr>
      <w:rFonts w:ascii="Times New Roman" w:hAnsi="Times New Roman" w:eastAsia="宋体" w:cs="Times New Roman"/>
    </w:rPr>
  </w:style>
  <w:style w:type="table" w:default="1" w:styleId="31">
    <w:name w:val="Normal Table"/>
    <w:qFormat/>
    <w:uiPriority w:val="0"/>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7"/>
    <w:qFormat/>
    <w:uiPriority w:val="0"/>
    <w:pPr>
      <w:shd w:val="clear" w:color="auto" w:fill="000080"/>
    </w:pPr>
    <w:rPr>
      <w:rFonts w:ascii="Times New Roman" w:hAnsi="Times New Roman" w:eastAsia="宋体" w:cs="Times New Roman"/>
      <w:kern w:val="0"/>
      <w:sz w:val="20"/>
      <w:shd w:val="clear" w:color="auto" w:fill="000080"/>
    </w:rPr>
  </w:style>
  <w:style w:type="paragraph" w:styleId="14">
    <w:name w:val="annotation text"/>
    <w:basedOn w:val="1"/>
    <w:qFormat/>
    <w:uiPriority w:val="0"/>
    <w:pPr>
      <w:jc w:val="left"/>
    </w:pPr>
    <w:rPr>
      <w:rFonts w:ascii="Times New Roman" w:hAnsi="Times New Roman" w:eastAsia="宋体" w:cs="Times New Roman"/>
    </w:r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8"/>
    <w:qFormat/>
    <w:uiPriority w:val="0"/>
    <w:pPr>
      <w:widowControl w:val="0"/>
      <w:spacing w:before="0" w:after="120"/>
      <w:ind w:left="0" w:right="0"/>
      <w:jc w:val="both"/>
    </w:pPr>
    <w:rPr>
      <w:rFonts w:ascii="Times New Roman" w:hAnsi="Times New Roman" w:eastAsia="宋体" w:cs="Times New Roman"/>
      <w:kern w:val="2"/>
      <w:sz w:val="21"/>
      <w:szCs w:val="24"/>
      <w:lang w:val="en-US" w:eastAsia="zh-CN" w:bidi="ar-SA"/>
    </w:rPr>
  </w:style>
  <w:style w:type="paragraph" w:styleId="17">
    <w:name w:val="Body Text Indent"/>
    <w:basedOn w:val="1"/>
    <w:link w:val="49"/>
    <w:qFormat/>
    <w:uiPriority w:val="0"/>
    <w:pPr>
      <w:ind w:firstLine="360"/>
    </w:pPr>
    <w:rPr>
      <w:rFonts w:ascii="Times New Roman" w:hAnsi="Times New Roman" w:eastAsia="宋体" w:cs="Times New Roman"/>
      <w:kern w:val="0"/>
      <w:sz w:val="20"/>
      <w:szCs w:val="20"/>
    </w:rPr>
  </w:style>
  <w:style w:type="paragraph" w:styleId="18">
    <w:name w:val="Plain Text"/>
    <w:basedOn w:val="1"/>
    <w:link w:val="50"/>
    <w:qFormat/>
    <w:uiPriority w:val="0"/>
    <w:pPr>
      <w:widowControl w:val="0"/>
      <w:spacing w:after="0"/>
      <w:jc w:val="both"/>
    </w:pPr>
    <w:rPr>
      <w:rFonts w:ascii="宋体" w:hAnsi="Courier New" w:eastAsia="宋体" w:cs="Times New Roman"/>
      <w:kern w:val="0"/>
      <w:sz w:val="20"/>
      <w:szCs w:val="21"/>
      <w:lang w:bidi="ar-SA"/>
    </w:rPr>
  </w:style>
  <w:style w:type="paragraph" w:styleId="19">
    <w:name w:val="Date"/>
    <w:basedOn w:val="1"/>
    <w:next w:val="1"/>
    <w:link w:val="51"/>
    <w:qFormat/>
    <w:uiPriority w:val="0"/>
    <w:pPr>
      <w:ind w:left="100" w:leftChars="2500"/>
    </w:pPr>
    <w:rPr>
      <w:rFonts w:ascii="Times New Roman" w:hAnsi="Times New Roman" w:eastAsia="宋体" w:cs="Times New Roman"/>
      <w:kern w:val="0"/>
      <w:sz w:val="20"/>
    </w:rPr>
  </w:style>
  <w:style w:type="paragraph" w:styleId="20">
    <w:name w:val="Body Text Indent 2"/>
    <w:basedOn w:val="1"/>
    <w:link w:val="52"/>
    <w:qFormat/>
    <w:uiPriority w:val="0"/>
    <w:pPr>
      <w:ind w:firstLine="630"/>
    </w:pPr>
    <w:rPr>
      <w:rFonts w:ascii="宋体" w:hAnsi="Times New Roman" w:eastAsia="宋体" w:cs="Times New Roman"/>
      <w:kern w:val="0"/>
      <w:sz w:val="28"/>
      <w:szCs w:val="20"/>
    </w:rPr>
  </w:style>
  <w:style w:type="paragraph" w:styleId="21">
    <w:name w:val="Balloon Text"/>
    <w:basedOn w:val="1"/>
    <w:link w:val="53"/>
    <w:qFormat/>
    <w:uiPriority w:val="0"/>
    <w:rPr>
      <w:rFonts w:ascii="Times New Roman" w:hAnsi="Times New Roman" w:eastAsia="宋体" w:cs="Times New Roman"/>
      <w:kern w:val="0"/>
      <w:sz w:val="18"/>
      <w:szCs w:val="18"/>
    </w:rPr>
  </w:style>
  <w:style w:type="paragraph" w:styleId="22">
    <w:name w:val="footer"/>
    <w:basedOn w:val="1"/>
    <w:link w:val="54"/>
    <w:qFormat/>
    <w:uiPriority w:val="0"/>
    <w:pPr>
      <w:widowControl w:val="0"/>
      <w:tabs>
        <w:tab w:val="center" w:pos="4140"/>
        <w:tab w:val="right" w:pos="8300"/>
      </w:tabs>
      <w:snapToGrid w:val="0"/>
      <w:spacing w:after="0"/>
      <w:jc w:val="left"/>
    </w:pPr>
    <w:rPr>
      <w:rFonts w:ascii="Times New Roman" w:hAnsi="Times New Roman" w:eastAsia="宋体" w:cs="Times New Roman"/>
      <w:kern w:val="0"/>
      <w:sz w:val="18"/>
      <w:szCs w:val="24"/>
      <w:lang w:bidi="ar-SA"/>
    </w:rPr>
  </w:style>
  <w:style w:type="paragraph" w:styleId="23">
    <w:name w:val="header"/>
    <w:basedOn w:val="1"/>
    <w:link w:val="55"/>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24">
    <w:name w:val="toc 1"/>
    <w:basedOn w:val="1"/>
    <w:next w:val="1"/>
    <w:qFormat/>
    <w:uiPriority w:val="0"/>
    <w:pPr>
      <w:widowControl w:val="0"/>
      <w:spacing w:before="120" w:after="120"/>
      <w:ind w:left="0" w:right="0"/>
      <w:jc w:val="left"/>
    </w:pPr>
    <w:rPr>
      <w:rFonts w:ascii="Times New Roman" w:hAnsi="Times New Roman" w:eastAsia="宋体" w:cs="Times New Roman"/>
      <w:b/>
      <w:bCs/>
      <w:caps/>
      <w:kern w:val="2"/>
      <w:sz w:val="20"/>
      <w:szCs w:val="20"/>
      <w:lang w:val="en-US" w:eastAsia="zh-CN" w:bidi="ar-SA"/>
    </w:rPr>
  </w:style>
  <w:style w:type="paragraph" w:styleId="25">
    <w:name w:val="Body Text Indent 3"/>
    <w:basedOn w:val="1"/>
    <w:link w:val="56"/>
    <w:qFormat/>
    <w:uiPriority w:val="0"/>
    <w:pPr>
      <w:spacing w:line="360" w:lineRule="auto"/>
      <w:ind w:firstLine="480" w:firstLineChars="200"/>
      <w:jc w:val="left"/>
    </w:pPr>
    <w:rPr>
      <w:rFonts w:ascii="Times New Roman" w:hAnsi="Times New Roman" w:eastAsia="宋体" w:cs="Times New Roman"/>
      <w:kern w:val="0"/>
      <w:sz w:val="24"/>
      <w:szCs w:val="20"/>
    </w:rPr>
  </w:style>
  <w:style w:type="paragraph" w:styleId="26">
    <w:name w:val="Body Text 2"/>
    <w:basedOn w:val="1"/>
    <w:link w:val="57"/>
    <w:qFormat/>
    <w:uiPriority w:val="0"/>
    <w:rPr>
      <w:rFonts w:ascii="仿宋_GB2312" w:hAnsi="Times New Roman" w:eastAsia="仿宋_GB2312" w:cs="Times New Roman"/>
      <w:kern w:val="0"/>
      <w:sz w:val="28"/>
      <w:szCs w:val="20"/>
    </w:rPr>
  </w:style>
  <w:style w:type="paragraph" w:styleId="2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8">
    <w:name w:val="Title"/>
    <w:basedOn w:val="1"/>
    <w:link w:val="58"/>
    <w:qFormat/>
    <w:uiPriority w:val="0"/>
    <w:pPr>
      <w:spacing w:before="240" w:after="60"/>
      <w:jc w:val="center"/>
      <w:outlineLvl w:val="0"/>
    </w:pPr>
    <w:rPr>
      <w:rFonts w:ascii="Cambria" w:hAnsi="Cambria" w:eastAsia="宋体" w:cs="Times New Roman"/>
      <w:b/>
      <w:bCs/>
      <w:kern w:val="0"/>
      <w:sz w:val="32"/>
      <w:szCs w:val="32"/>
    </w:rPr>
  </w:style>
  <w:style w:type="paragraph" w:styleId="29">
    <w:name w:val="Body Text First Indent"/>
    <w:basedOn w:val="16"/>
    <w:link w:val="59"/>
    <w:qFormat/>
    <w:uiPriority w:val="0"/>
    <w:pPr>
      <w:ind w:firstLine="420" w:firstLineChars="100"/>
    </w:pPr>
    <w:rPr>
      <w:rFonts w:ascii="Times New Roman" w:hAnsi="Times New Roman" w:eastAsia="宋体" w:cs="Times New Roman"/>
      <w:kern w:val="0"/>
      <w:sz w:val="20"/>
    </w:rPr>
  </w:style>
  <w:style w:type="paragraph" w:styleId="30">
    <w:name w:val="Body Text First Indent 2"/>
    <w:basedOn w:val="17"/>
    <w:next w:val="1"/>
    <w:unhideWhenUsed/>
    <w:qFormat/>
    <w:uiPriority w:val="99"/>
    <w:pPr>
      <w:suppressAutoHyphens/>
      <w:spacing w:after="0" w:line="240" w:lineRule="auto"/>
      <w:ind w:firstLine="420" w:firstLineChars="200"/>
    </w:pPr>
    <w:rPr>
      <w:rFonts w:ascii="Calibri" w:hAnsi="Calibri"/>
    </w:rPr>
  </w:style>
  <w:style w:type="table" w:styleId="32">
    <w:name w:val="Table Grid"/>
    <w:basedOn w:val="31"/>
    <w:qFormat/>
    <w:uiPriority w:val="0"/>
    <w:pPr>
      <w:widowControl w:val="0"/>
      <w:spacing w:after="160" w:line="259" w:lineRule="auto"/>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qFormat/>
    <w:uiPriority w:val="0"/>
    <w:rPr>
      <w:rFonts w:ascii="Times New Roman" w:hAnsi="Times New Roman" w:eastAsia="宋体" w:cs="Times New Roman"/>
      <w:b/>
    </w:rPr>
  </w:style>
  <w:style w:type="character" w:styleId="35">
    <w:name w:val="page number"/>
    <w:qFormat/>
    <w:uiPriority w:val="0"/>
    <w:rPr>
      <w:rFonts w:ascii="Times New Roman" w:hAnsi="Times New Roman" w:eastAsia="宋体" w:cs="Times New Roman"/>
    </w:rPr>
  </w:style>
  <w:style w:type="character" w:styleId="36">
    <w:name w:val="FollowedHyperlink"/>
    <w:qFormat/>
    <w:uiPriority w:val="0"/>
    <w:rPr>
      <w:rFonts w:hint="eastAsia" w:ascii="微软雅黑" w:hAnsi="微软雅黑" w:eastAsia="微软雅黑" w:cs="微软雅黑"/>
      <w:color w:val="02396F"/>
      <w:u w:val="single"/>
    </w:rPr>
  </w:style>
  <w:style w:type="character" w:styleId="37">
    <w:name w:val="Hyperlink"/>
    <w:qFormat/>
    <w:uiPriority w:val="0"/>
    <w:rPr>
      <w:rFonts w:ascii="Times New Roman" w:hAnsi="Times New Roman" w:eastAsia="宋体" w:cs="Times New Roman"/>
      <w:color w:val="0000FF"/>
      <w:u w:val="single"/>
    </w:rPr>
  </w:style>
  <w:style w:type="paragraph" w:customStyle="1" w:styleId="38">
    <w:name w:val="_Style 3"/>
    <w:basedOn w:val="3"/>
    <w:next w:val="1"/>
    <w:qFormat/>
    <w:uiPriority w:val="0"/>
    <w:pPr>
      <w:widowControl/>
      <w:numPr>
        <w:ilvl w:val="0"/>
        <w:numId w:val="0"/>
      </w:numPr>
      <w:tabs>
        <w:tab w:val="left" w:pos="0"/>
      </w:tabs>
      <w:spacing w:before="240" w:line="259" w:lineRule="auto"/>
      <w:jc w:val="left"/>
      <w:outlineLvl w:val="9"/>
    </w:pPr>
    <w:rPr>
      <w:rFonts w:ascii="Calibri Light" w:hAnsi="Calibri Light" w:eastAsia="宋体" w:cs="Times New Roman"/>
      <w:b w:val="0"/>
      <w:color w:val="2E74B5"/>
      <w:sz w:val="32"/>
      <w:szCs w:val="32"/>
    </w:rPr>
  </w:style>
  <w:style w:type="character" w:customStyle="1" w:styleId="39">
    <w:name w:val="标题 1 Char"/>
    <w:link w:val="3"/>
    <w:qFormat/>
    <w:uiPriority w:val="0"/>
    <w:rPr>
      <w:rFonts w:ascii="Times New Roman" w:hAnsi="Times New Roman" w:eastAsia="宋体" w:cs="Times New Roman"/>
      <w:b/>
      <w:bCs/>
      <w:kern w:val="44"/>
      <w:sz w:val="44"/>
      <w:szCs w:val="44"/>
      <w:lang w:val="en-US" w:eastAsia="zh-CN" w:bidi="ar-SA"/>
    </w:rPr>
  </w:style>
  <w:style w:type="character" w:customStyle="1" w:styleId="40">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41">
    <w:name w:val="标题 4 Char"/>
    <w:link w:val="6"/>
    <w:qFormat/>
    <w:uiPriority w:val="0"/>
    <w:rPr>
      <w:rFonts w:ascii="宋体" w:hAnsi="宋体" w:eastAsia="宋体" w:cs="Times New Roman"/>
      <w:color w:val="0000FF"/>
      <w:sz w:val="28"/>
      <w:lang w:val="en-US" w:eastAsia="zh-CN" w:bidi="ar-SA"/>
    </w:rPr>
  </w:style>
  <w:style w:type="character" w:customStyle="1" w:styleId="42">
    <w:name w:val="标题 5 Char"/>
    <w:link w:val="7"/>
    <w:qFormat/>
    <w:uiPriority w:val="0"/>
    <w:rPr>
      <w:rFonts w:ascii="Verdana" w:hAnsi="Verdana" w:eastAsia="宋体" w:cs="Times New Roman"/>
      <w:b/>
      <w:bCs/>
      <w:kern w:val="2"/>
      <w:sz w:val="28"/>
      <w:szCs w:val="28"/>
      <w:lang w:val="en-US" w:eastAsia="zh-CN" w:bidi="ar-SA"/>
    </w:rPr>
  </w:style>
  <w:style w:type="character" w:customStyle="1" w:styleId="43">
    <w:name w:val="标题 6 Char"/>
    <w:link w:val="8"/>
    <w:qFormat/>
    <w:uiPriority w:val="0"/>
    <w:rPr>
      <w:rFonts w:ascii="Arial" w:hAnsi="Arial" w:eastAsia="黑体" w:cs="Times New Roman"/>
      <w:b/>
      <w:bCs/>
      <w:kern w:val="2"/>
      <w:sz w:val="24"/>
      <w:szCs w:val="24"/>
      <w:lang w:val="en-US" w:eastAsia="zh-CN" w:bidi="ar-SA"/>
    </w:rPr>
  </w:style>
  <w:style w:type="character" w:customStyle="1" w:styleId="44">
    <w:name w:val="标题 7 Char"/>
    <w:link w:val="9"/>
    <w:qFormat/>
    <w:uiPriority w:val="0"/>
    <w:rPr>
      <w:rFonts w:ascii="Times New Roman" w:hAnsi="Times New Roman" w:eastAsia="宋体" w:cs="Times New Roman"/>
      <w:b/>
      <w:bCs/>
      <w:kern w:val="2"/>
      <w:sz w:val="24"/>
      <w:szCs w:val="24"/>
      <w:lang w:val="en-US" w:eastAsia="zh-CN" w:bidi="ar-SA"/>
    </w:rPr>
  </w:style>
  <w:style w:type="character" w:customStyle="1" w:styleId="45">
    <w:name w:val="标题 8 Char"/>
    <w:link w:val="10"/>
    <w:qFormat/>
    <w:uiPriority w:val="0"/>
    <w:rPr>
      <w:rFonts w:ascii="Arial" w:hAnsi="Arial" w:eastAsia="黑体" w:cs="Times New Roman"/>
      <w:kern w:val="2"/>
      <w:sz w:val="24"/>
      <w:szCs w:val="24"/>
      <w:lang w:val="en-US" w:eastAsia="zh-CN" w:bidi="ar-SA"/>
    </w:rPr>
  </w:style>
  <w:style w:type="character" w:customStyle="1" w:styleId="46">
    <w:name w:val="标题 9 Char"/>
    <w:link w:val="11"/>
    <w:qFormat/>
    <w:uiPriority w:val="0"/>
    <w:rPr>
      <w:rFonts w:ascii="Arial" w:hAnsi="Arial" w:eastAsia="黑体" w:cs="Times New Roman"/>
      <w:kern w:val="2"/>
      <w:sz w:val="21"/>
      <w:szCs w:val="21"/>
      <w:lang w:val="en-US" w:eastAsia="zh-CN" w:bidi="ar-SA"/>
    </w:rPr>
  </w:style>
  <w:style w:type="character" w:customStyle="1" w:styleId="47">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8">
    <w:name w:val="正文文本 Char"/>
    <w:link w:val="16"/>
    <w:qFormat/>
    <w:uiPriority w:val="0"/>
    <w:rPr>
      <w:rFonts w:ascii="Times New Roman" w:hAnsi="Times New Roman" w:eastAsia="宋体" w:cs="Times New Roman"/>
      <w:kern w:val="2"/>
      <w:sz w:val="21"/>
      <w:szCs w:val="24"/>
      <w:lang w:val="en-US" w:eastAsia="zh-CN" w:bidi="ar-SA"/>
    </w:rPr>
  </w:style>
  <w:style w:type="character" w:customStyle="1" w:styleId="49">
    <w:name w:val="正文文本缩进 Char"/>
    <w:link w:val="17"/>
    <w:qFormat/>
    <w:uiPriority w:val="0"/>
    <w:rPr>
      <w:rFonts w:ascii="Times New Roman" w:hAnsi="Times New Roman" w:eastAsia="宋体" w:cs="Times New Roman"/>
      <w:lang w:bidi="ar-SA"/>
    </w:rPr>
  </w:style>
  <w:style w:type="character" w:customStyle="1" w:styleId="50">
    <w:name w:val="纯文本 Char"/>
    <w:link w:val="18"/>
    <w:qFormat/>
    <w:uiPriority w:val="0"/>
    <w:rPr>
      <w:rFonts w:ascii="宋体" w:hAnsi="Courier New" w:eastAsia="宋体" w:cs="Times New Roman"/>
      <w:szCs w:val="21"/>
      <w:lang w:bidi="ar-SA"/>
    </w:rPr>
  </w:style>
  <w:style w:type="character" w:customStyle="1" w:styleId="51">
    <w:name w:val="日期 Char"/>
    <w:link w:val="19"/>
    <w:qFormat/>
    <w:uiPriority w:val="0"/>
    <w:rPr>
      <w:rFonts w:ascii="Times New Roman" w:hAnsi="Times New Roman" w:eastAsia="宋体" w:cs="Times New Roman"/>
      <w:szCs w:val="24"/>
      <w:lang w:bidi="ar-SA"/>
    </w:rPr>
  </w:style>
  <w:style w:type="character" w:customStyle="1" w:styleId="52">
    <w:name w:val="正文文本缩进 2 Char"/>
    <w:link w:val="20"/>
    <w:qFormat/>
    <w:uiPriority w:val="0"/>
    <w:rPr>
      <w:rFonts w:ascii="宋体" w:hAnsi="Times New Roman" w:eastAsia="宋体" w:cs="Times New Roman"/>
      <w:sz w:val="28"/>
      <w:lang w:bidi="ar-SA"/>
    </w:rPr>
  </w:style>
  <w:style w:type="character" w:customStyle="1" w:styleId="53">
    <w:name w:val="批注框文本 Char"/>
    <w:link w:val="21"/>
    <w:qFormat/>
    <w:uiPriority w:val="0"/>
    <w:rPr>
      <w:rFonts w:ascii="Times New Roman" w:hAnsi="Times New Roman" w:eastAsia="宋体" w:cs="Times New Roman"/>
      <w:sz w:val="18"/>
      <w:szCs w:val="18"/>
      <w:lang w:bidi="ar-SA"/>
    </w:rPr>
  </w:style>
  <w:style w:type="character" w:customStyle="1" w:styleId="54">
    <w:name w:val="页脚 Char"/>
    <w:link w:val="22"/>
    <w:qFormat/>
    <w:uiPriority w:val="0"/>
    <w:rPr>
      <w:rFonts w:ascii="Times New Roman" w:hAnsi="Times New Roman" w:eastAsia="宋体" w:cs="Times New Roman"/>
      <w:sz w:val="18"/>
      <w:szCs w:val="24"/>
      <w:lang w:bidi="ar-SA"/>
    </w:rPr>
  </w:style>
  <w:style w:type="character" w:customStyle="1" w:styleId="55">
    <w:name w:val="页眉 Char"/>
    <w:link w:val="23"/>
    <w:qFormat/>
    <w:uiPriority w:val="0"/>
    <w:rPr>
      <w:rFonts w:ascii="Times New Roman" w:hAnsi="Times New Roman" w:eastAsia="宋体" w:cs="Times New Roman"/>
      <w:sz w:val="18"/>
      <w:szCs w:val="18"/>
      <w:lang w:bidi="ar-SA"/>
    </w:rPr>
  </w:style>
  <w:style w:type="character" w:customStyle="1" w:styleId="56">
    <w:name w:val="正文文本缩进 3 Char"/>
    <w:link w:val="25"/>
    <w:qFormat/>
    <w:uiPriority w:val="0"/>
    <w:rPr>
      <w:rFonts w:ascii="Times New Roman" w:hAnsi="Times New Roman" w:eastAsia="宋体" w:cs="Times New Roman"/>
      <w:sz w:val="24"/>
      <w:lang w:bidi="ar-SA"/>
    </w:rPr>
  </w:style>
  <w:style w:type="character" w:customStyle="1" w:styleId="57">
    <w:name w:val="正文文本 2 Char"/>
    <w:link w:val="26"/>
    <w:qFormat/>
    <w:uiPriority w:val="0"/>
    <w:rPr>
      <w:rFonts w:ascii="仿宋_GB2312" w:hAnsi="Times New Roman" w:eastAsia="仿宋_GB2312" w:cs="Times New Roman"/>
      <w:sz w:val="28"/>
      <w:lang w:bidi="ar-SA"/>
    </w:rPr>
  </w:style>
  <w:style w:type="character" w:customStyle="1" w:styleId="58">
    <w:name w:val="标题 Char"/>
    <w:link w:val="28"/>
    <w:qFormat/>
    <w:uiPriority w:val="0"/>
    <w:rPr>
      <w:rFonts w:ascii="Cambria" w:hAnsi="Cambria" w:eastAsia="宋体" w:cs="Times New Roman"/>
      <w:b/>
      <w:bCs/>
      <w:sz w:val="32"/>
      <w:szCs w:val="32"/>
      <w:lang w:bidi="ar-SA"/>
    </w:rPr>
  </w:style>
  <w:style w:type="character" w:customStyle="1" w:styleId="59">
    <w:name w:val="正文首行缩进 Char"/>
    <w:link w:val="29"/>
    <w:qFormat/>
    <w:uiPriority w:val="0"/>
    <w:rPr>
      <w:rFonts w:ascii="Times New Roman" w:hAnsi="Times New Roman" w:eastAsia="宋体" w:cs="Times New Roman"/>
      <w:szCs w:val="24"/>
      <w:lang w:bidi="ar-SA"/>
    </w:rPr>
  </w:style>
  <w:style w:type="character" w:customStyle="1" w:styleId="60">
    <w:name w:val="Style .. + 宋体 五号 Black Char"/>
    <w:link w:val="61"/>
    <w:qFormat/>
    <w:uiPriority w:val="0"/>
    <w:rPr>
      <w:rFonts w:ascii="宋体" w:hAnsi="宋体" w:eastAsia="宋体" w:cs="Times New Roman"/>
      <w:color w:val="000000"/>
      <w:sz w:val="24"/>
      <w:lang w:bidi="ar-SA"/>
    </w:rPr>
  </w:style>
  <w:style w:type="paragraph" w:customStyle="1" w:styleId="61">
    <w:name w:val="Style .. + 宋体 五号 Black"/>
    <w:basedOn w:val="1"/>
    <w:link w:val="60"/>
    <w:qFormat/>
    <w:uiPriority w:val="0"/>
    <w:pPr>
      <w:autoSpaceDE w:val="0"/>
      <w:autoSpaceDN w:val="0"/>
      <w:adjustRightInd w:val="0"/>
      <w:spacing w:line="360" w:lineRule="auto"/>
      <w:jc w:val="left"/>
    </w:pPr>
    <w:rPr>
      <w:rFonts w:ascii="宋体" w:hAnsi="宋体" w:eastAsia="宋体" w:cs="Times New Roman"/>
      <w:color w:val="000000"/>
      <w:kern w:val="0"/>
      <w:sz w:val="24"/>
      <w:szCs w:val="20"/>
    </w:rPr>
  </w:style>
  <w:style w:type="character" w:customStyle="1" w:styleId="62">
    <w:name w:val="gjfg"/>
    <w:basedOn w:val="33"/>
    <w:qFormat/>
    <w:uiPriority w:val="0"/>
  </w:style>
  <w:style w:type="character" w:customStyle="1" w:styleId="63">
    <w:name w:val="cfdate"/>
    <w:qFormat/>
    <w:uiPriority w:val="0"/>
    <w:rPr>
      <w:rFonts w:ascii="Times New Roman" w:hAnsi="Times New Roman" w:eastAsia="宋体" w:cs="Times New Roman"/>
      <w:color w:val="333333"/>
      <w:sz w:val="12"/>
      <w:szCs w:val="12"/>
    </w:rPr>
  </w:style>
  <w:style w:type="character" w:customStyle="1" w:styleId="64">
    <w:name w:val="正文文字 Char"/>
    <w:link w:val="65"/>
    <w:qFormat/>
    <w:uiPriority w:val="0"/>
    <w:rPr>
      <w:rFonts w:ascii="Times New Roman" w:hAnsi="Times New Roman" w:eastAsia="宋体" w:cs="Times New Roman"/>
      <w:sz w:val="24"/>
      <w:szCs w:val="24"/>
      <w:lang w:bidi="ar-SA"/>
    </w:rPr>
  </w:style>
  <w:style w:type="paragraph" w:customStyle="1" w:styleId="65">
    <w:name w:val="正文文字"/>
    <w:basedOn w:val="1"/>
    <w:link w:val="64"/>
    <w:qFormat/>
    <w:uiPriority w:val="0"/>
    <w:pPr>
      <w:spacing w:before="60" w:after="60" w:line="360" w:lineRule="auto"/>
      <w:ind w:firstLine="200" w:firstLineChars="200"/>
      <w:jc w:val="left"/>
    </w:pPr>
    <w:rPr>
      <w:rFonts w:ascii="Times New Roman" w:hAnsi="Times New Roman" w:eastAsia="宋体" w:cs="Times New Roman"/>
      <w:kern w:val="0"/>
      <w:sz w:val="24"/>
    </w:rPr>
  </w:style>
  <w:style w:type="character" w:customStyle="1" w:styleId="66">
    <w:name w:val="ll2 Char Char"/>
    <w:link w:val="67"/>
    <w:qFormat/>
    <w:uiPriority w:val="0"/>
    <w:rPr>
      <w:rFonts w:ascii="宋体" w:hAnsi="宋体" w:eastAsia="Times New Roman" w:cs="Times New Roman"/>
      <w:bCs/>
      <w:color w:val="000000"/>
      <w:sz w:val="24"/>
      <w:szCs w:val="32"/>
      <w:lang w:val="en-US" w:eastAsia="zh-CN" w:bidi="ar-SA"/>
    </w:rPr>
  </w:style>
  <w:style w:type="paragraph" w:customStyle="1" w:styleId="67">
    <w:name w:val="ll2"/>
    <w:link w:val="66"/>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8">
    <w:name w:val="正文文本 Char1"/>
    <w:qFormat/>
    <w:uiPriority w:val="0"/>
    <w:rPr>
      <w:rFonts w:ascii="Times New Roman" w:hAnsi="Times New Roman" w:eastAsia="宋体" w:cs="Times New Roman"/>
      <w:szCs w:val="24"/>
    </w:rPr>
  </w:style>
  <w:style w:type="character" w:customStyle="1" w:styleId="69">
    <w:name w:val="qxdate"/>
    <w:qFormat/>
    <w:uiPriority w:val="0"/>
    <w:rPr>
      <w:rFonts w:ascii="Times New Roman" w:hAnsi="Times New Roman" w:eastAsia="宋体" w:cs="Times New Roman"/>
      <w:color w:val="333333"/>
      <w:sz w:val="12"/>
      <w:szCs w:val="12"/>
    </w:rPr>
  </w:style>
  <w:style w:type="character" w:customStyle="1" w:styleId="70">
    <w:name w:val="redfilefwwh"/>
    <w:qFormat/>
    <w:uiPriority w:val="0"/>
    <w:rPr>
      <w:rFonts w:ascii="Times New Roman" w:hAnsi="Times New Roman" w:eastAsia="宋体" w:cs="Times New Roman"/>
      <w:color w:val="BA2636"/>
      <w:sz w:val="12"/>
      <w:szCs w:val="12"/>
    </w:rPr>
  </w:style>
  <w:style w:type="character" w:customStyle="1" w:styleId="71">
    <w:name w:val="redfilenumber"/>
    <w:qFormat/>
    <w:uiPriority w:val="0"/>
    <w:rPr>
      <w:rFonts w:ascii="Times New Roman" w:hAnsi="Times New Roman" w:eastAsia="宋体" w:cs="Times New Roman"/>
      <w:color w:val="BA2636"/>
      <w:sz w:val="12"/>
      <w:szCs w:val="12"/>
    </w:rPr>
  </w:style>
  <w:style w:type="character" w:customStyle="1" w:styleId="72">
    <w:name w:val="displayarti"/>
    <w:qFormat/>
    <w:uiPriority w:val="0"/>
    <w:rPr>
      <w:rFonts w:ascii="Times New Roman" w:hAnsi="Times New Roman" w:eastAsia="宋体" w:cs="Times New Roman"/>
      <w:color w:val="FFFFFF"/>
      <w:shd w:val="clear" w:color="auto" w:fill="A00000"/>
    </w:rPr>
  </w:style>
  <w:style w:type="character" w:customStyle="1" w:styleId="73">
    <w:name w:val="文档正文 Char"/>
    <w:link w:val="74"/>
    <w:qFormat/>
    <w:uiPriority w:val="0"/>
    <w:rPr>
      <w:rFonts w:ascii="长城仿宋" w:hAnsi="Times New Roman" w:eastAsia="宋体" w:cs="Times New Roman"/>
      <w:sz w:val="24"/>
      <w:lang w:bidi="ar-SA"/>
    </w:rPr>
  </w:style>
  <w:style w:type="paragraph" w:customStyle="1" w:styleId="74">
    <w:name w:val="文档正文"/>
    <w:basedOn w:val="1"/>
    <w:link w:val="73"/>
    <w:qFormat/>
    <w:uiPriority w:val="0"/>
    <w:pPr>
      <w:adjustRightInd w:val="0"/>
      <w:spacing w:line="480" w:lineRule="atLeast"/>
      <w:ind w:firstLine="567"/>
    </w:pPr>
    <w:rPr>
      <w:rFonts w:ascii="长城仿宋" w:hAnsi="Times New Roman" w:eastAsia="宋体" w:cs="Times New Roman"/>
      <w:kern w:val="0"/>
      <w:sz w:val="24"/>
      <w:szCs w:val="20"/>
    </w:rPr>
  </w:style>
  <w:style w:type="paragraph" w:customStyle="1" w:styleId="75">
    <w:name w:val="Char"/>
    <w:basedOn w:val="1"/>
    <w:qFormat/>
    <w:uiPriority w:val="0"/>
    <w:rPr>
      <w:rFonts w:ascii="Tahoma" w:hAnsi="Tahoma" w:eastAsia="宋体" w:cs="Times New Roman"/>
      <w:sz w:val="24"/>
      <w:szCs w:val="20"/>
    </w:rPr>
  </w:style>
  <w:style w:type="paragraph" w:customStyle="1" w:styleId="76">
    <w:name w:val=" Char Char Char"/>
    <w:basedOn w:val="1"/>
    <w:qFormat/>
    <w:uiPriority w:val="0"/>
    <w:rPr>
      <w:rFonts w:ascii="Tahoma" w:hAnsi="Tahoma" w:eastAsia="宋体" w:cs="Times New Roman"/>
      <w:sz w:val="24"/>
      <w:szCs w:val="20"/>
    </w:rPr>
  </w:style>
  <w:style w:type="paragraph" w:customStyle="1" w:styleId="77">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8">
    <w:name w:val="样式1"/>
    <w:basedOn w:val="1"/>
    <w:qFormat/>
    <w:uiPriority w:val="0"/>
    <w:pPr>
      <w:numPr>
        <w:ilvl w:val="0"/>
        <w:numId w:val="4"/>
      </w:numPr>
      <w:adjustRightInd w:val="0"/>
    </w:pPr>
    <w:rPr>
      <w:rFonts w:ascii="宋体" w:hAnsi="宋体" w:eastAsia="宋体" w:cs="Times New Roman"/>
      <w:kern w:val="0"/>
      <w:szCs w:val="20"/>
    </w:rPr>
  </w:style>
  <w:style w:type="paragraph" w:customStyle="1" w:styleId="79">
    <w:name w:val="标题 5（有编号）（绿盟科技）"/>
    <w:basedOn w:val="1"/>
    <w:next w:val="77"/>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80">
    <w:name w:val="正常"/>
    <w:basedOn w:val="81"/>
    <w:qFormat/>
    <w:uiPriority w:val="0"/>
    <w:rPr>
      <w:sz w:val="24"/>
    </w:rPr>
  </w:style>
  <w:style w:type="paragraph" w:customStyle="1" w:styleId="81">
    <w:name w:val="小正常"/>
    <w:basedOn w:val="1"/>
    <w:qFormat/>
    <w:uiPriority w:val="0"/>
    <w:rPr>
      <w:rFonts w:cs="Times New Roman"/>
      <w:sz w:val="20"/>
      <w:szCs w:val="20"/>
    </w:rPr>
  </w:style>
  <w:style w:type="table" w:customStyle="1" w:styleId="82">
    <w:name w:val="Table Normal_0"/>
    <w:semiHidden/>
    <w:unhideWhenUsed/>
    <w:qFormat/>
    <w:uiPriority w:val="0"/>
    <w:pPr>
      <w:spacing w:after="160" w:line="259" w:lineRule="auto"/>
    </w:pPr>
    <w:tblPr>
      <w:tblCellMar>
        <w:top w:w="0" w:type="dxa"/>
        <w:left w:w="0" w:type="dxa"/>
        <w:bottom w:w="0" w:type="dxa"/>
        <w:right w:w="0" w:type="dxa"/>
      </w:tblCellMar>
    </w:tblPr>
  </w:style>
  <w:style w:type="paragraph" w:styleId="83">
    <w:name w:val="List Paragraph"/>
    <w:basedOn w:val="1"/>
    <w:qFormat/>
    <w:uiPriority w:val="34"/>
    <w:pPr>
      <w:ind w:firstLine="420"/>
    </w:pPr>
    <w:rPr>
      <w:kern w:val="0"/>
      <w:szCs w:val="21"/>
    </w:rPr>
  </w:style>
  <w:style w:type="paragraph" w:customStyle="1" w:styleId="84">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5">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6">
    <w:name w:val="标题 2 Char"/>
    <w:link w:val="4"/>
    <w:qFormat/>
    <w:uiPriority w:val="0"/>
    <w:rPr>
      <w:rFonts w:ascii="Arial" w:hAnsi="Arial" w:eastAsia="黑体" w:cs="Calibri"/>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62</Pages>
  <Words>2145</Words>
  <Characters>2417</Characters>
  <Lines>217</Lines>
  <Paragraphs>61</Paragraphs>
  <TotalTime>27</TotalTime>
  <ScaleCrop>false</ScaleCrop>
  <LinksUpToDate>false</LinksUpToDate>
  <CharactersWithSpaces>2453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2020-04-24T15:26:00Z</dcterms:created>
  <dc:creator>Administrator</dc:creator>
  <cp:lastModifiedBy>林子</cp:lastModifiedBy>
  <cp:lastPrinted>2020-10-15T11:19:00Z</cp:lastPrinted>
  <dcterms:modified xsi:type="dcterms:W3CDTF">2025-01-15T05:43:54Z</dcterms:modified>
  <dc:title>招 标 文 件</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2052-12.1.0.19302</vt:lpwstr>
  </property>
  <property fmtid="{D5CDD505-2E9C-101B-9397-08002B2CF9AE}" pid="4" name="KSOTemplateDocerSaveRecord">
    <vt:lpwstr>eyJoZGlkIjoiMDczZGYxYWQ2ZmU5ZGJjOGI2NTlmYWEwNDhmNDEzYTUiLCJ1c2VySWQiOiIxNjMyNTM5ODY1In0=</vt:lpwstr>
  </property>
</Properties>
</file>