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Ansi="宋体"/>
          <w:b/>
          <w:sz w:val="96"/>
          <w:szCs w:val="96"/>
        </w:rPr>
      </w:pPr>
      <w:bookmarkStart w:id="41" w:name="_GoBack"/>
      <w:bookmarkEnd w:id="41"/>
    </w:p>
    <w:p>
      <w:pPr>
        <w:topLinePunct/>
        <w:autoSpaceDE w:val="0"/>
        <w:autoSpaceDN w:val="0"/>
        <w:jc w:val="center"/>
        <w:rPr>
          <w:rFonts w:hAnsi="宋体"/>
          <w:b/>
          <w:sz w:val="96"/>
          <w:szCs w:val="96"/>
        </w:rPr>
      </w:pPr>
      <w:r>
        <w:rPr>
          <w:rFonts w:hint="eastAsia" w:hAnsi="宋体"/>
          <w:b/>
          <w:sz w:val="96"/>
          <w:szCs w:val="96"/>
        </w:rPr>
        <w:t>招 标 文 件</w:t>
      </w:r>
    </w:p>
    <w:p>
      <w:pPr>
        <w:topLinePunct/>
        <w:autoSpaceDE w:val="0"/>
        <w:autoSpaceDN w:val="0"/>
        <w:spacing w:line="60" w:lineRule="exact"/>
        <w:jc w:val="center"/>
        <w:rPr>
          <w:rFonts w:hAnsi="宋体"/>
          <w:sz w:val="96"/>
          <w:szCs w:val="96"/>
        </w:rPr>
      </w:pPr>
    </w:p>
    <w:p>
      <w:pPr>
        <w:topLinePunct/>
        <w:autoSpaceDE w:val="0"/>
        <w:autoSpaceDN w:val="0"/>
        <w:snapToGrid w:val="0"/>
        <w:jc w:val="center"/>
        <w:rPr>
          <w:rFonts w:ascii="宋体" w:hAnsi="宋体"/>
          <w:sz w:val="96"/>
          <w:szCs w:val="96"/>
        </w:rPr>
      </w:pPr>
      <w:r>
        <w:rPr>
          <w:rFonts w:hint="eastAsia" w:hAnsi="宋体"/>
          <w:b/>
          <w:sz w:val="56"/>
          <w:szCs w:val="56"/>
        </w:rPr>
        <w:t>（技术部分）</w:t>
      </w: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1402" w:leftChars="534" w:hanging="281" w:hangingChars="100"/>
        <w:rPr>
          <w:rFonts w:ascii="宋体"/>
          <w:b/>
          <w:bCs/>
          <w:sz w:val="28"/>
          <w:szCs w:val="28"/>
        </w:rPr>
      </w:pPr>
      <w:r>
        <w:rPr>
          <w:rFonts w:hint="eastAsia" w:ascii="宋体"/>
          <w:b/>
          <w:bCs/>
          <w:sz w:val="28"/>
          <w:szCs w:val="28"/>
        </w:rPr>
        <w:t>项目名称：</w:t>
      </w:r>
      <w:bookmarkStart w:id="0" w:name="项目名称_fa_planName"/>
      <w:r>
        <w:rPr>
          <w:rFonts w:hint="eastAsia" w:ascii="宋体"/>
          <w:b/>
          <w:bCs/>
          <w:sz w:val="28"/>
          <w:szCs w:val="28"/>
        </w:rPr>
        <w:t>国家税务总局吉林省梅河新区税务局物业管理服务项目</w:t>
      </w:r>
      <w:bookmarkEnd w:id="0"/>
    </w:p>
    <w:p>
      <w:pPr>
        <w:topLinePunct/>
        <w:autoSpaceDE w:val="0"/>
        <w:autoSpaceDN w:val="0"/>
        <w:snapToGrid w:val="0"/>
        <w:spacing w:line="360" w:lineRule="auto"/>
        <w:ind w:left="1402" w:leftChars="534" w:hanging="281" w:hangingChars="100"/>
        <w:rPr>
          <w:rFonts w:ascii="宋体"/>
          <w:b/>
          <w:bCs/>
          <w:sz w:val="28"/>
          <w:szCs w:val="28"/>
        </w:rPr>
      </w:pPr>
      <w:r>
        <w:rPr>
          <w:rFonts w:hint="eastAsia" w:ascii="宋体"/>
          <w:b/>
          <w:bCs/>
          <w:sz w:val="28"/>
          <w:szCs w:val="28"/>
        </w:rPr>
        <w:t>项目编号：</w:t>
      </w:r>
      <w:bookmarkStart w:id="1" w:name="项目编号_fa_planNo"/>
      <w:r>
        <w:rPr>
          <w:rFonts w:hint="eastAsia" w:ascii="宋体"/>
          <w:b/>
          <w:bCs/>
          <w:sz w:val="28"/>
          <w:szCs w:val="28"/>
        </w:rPr>
        <w:t>JL2025-ZXGK-C0036-B00</w:t>
      </w:r>
      <w:bookmarkEnd w:id="1"/>
    </w:p>
    <w:p>
      <w:pPr>
        <w:topLinePunct/>
        <w:autoSpaceDE w:val="0"/>
        <w:autoSpaceDN w:val="0"/>
        <w:snapToGrid w:val="0"/>
        <w:spacing w:line="360" w:lineRule="auto"/>
        <w:ind w:firstLine="1124" w:firstLineChars="400"/>
        <w:rPr>
          <w:rFonts w:ascii="宋体"/>
          <w:b/>
          <w:bCs/>
          <w:sz w:val="28"/>
          <w:szCs w:val="28"/>
        </w:rPr>
      </w:pPr>
    </w:p>
    <w:p>
      <w:pPr>
        <w:topLinePunct/>
        <w:autoSpaceDE w:val="0"/>
        <w:autoSpaceDN w:val="0"/>
        <w:snapToGrid w:val="0"/>
        <w:spacing w:line="360" w:lineRule="auto"/>
        <w:rPr>
          <w:rFonts w:ascii="宋体"/>
          <w:b/>
          <w:bCs/>
          <w:sz w:val="28"/>
          <w:szCs w:val="28"/>
        </w:rPr>
      </w:pPr>
    </w:p>
    <w:p>
      <w:pPr>
        <w:topLinePunct/>
        <w:autoSpaceDE w:val="0"/>
        <w:autoSpaceDN w:val="0"/>
        <w:spacing w:line="460" w:lineRule="exact"/>
        <w:rPr>
          <w:rFonts w:ascii="黑体" w:eastAsia="黑体"/>
          <w:b/>
          <w:sz w:val="52"/>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bookmarkStart w:id="2" w:name="采购人名称_cgrmc"/>
      <w:r>
        <w:rPr>
          <w:rFonts w:hint="eastAsia" w:ascii="黑体" w:eastAsia="黑体"/>
          <w:sz w:val="36"/>
          <w:szCs w:val="36"/>
        </w:rPr>
        <w:t>国家税务总局梅河口市税务局</w:t>
      </w:r>
      <w:bookmarkEnd w:id="2"/>
    </w:p>
    <w:p>
      <w:pPr>
        <w:widowControl/>
        <w:topLinePunct/>
        <w:autoSpaceDE w:val="0"/>
        <w:autoSpaceDN w:val="0"/>
        <w:jc w:val="center"/>
        <w:rPr>
          <w:rFonts w:ascii="宋体" w:hAnsi="宋体" w:cs="宋体"/>
        </w:rPr>
        <w:sectPr>
          <w:pgSz w:w="11906" w:h="16838"/>
          <w:pgMar w:top="1440" w:right="1508" w:bottom="1440" w:left="1588" w:header="851" w:footer="851" w:gutter="0"/>
          <w:cols w:space="720" w:num="1"/>
          <w:titlePg/>
          <w:docGrid w:type="lines" w:linePitch="312" w:charSpace="0"/>
        </w:sectPr>
      </w:pPr>
      <w:bookmarkStart w:id="3" w:name="生成日期_currentDateTime_ymd"/>
      <w:r>
        <w:rPr>
          <w:rFonts w:hint="eastAsia" w:ascii="黑体" w:hAnsi="Courier New" w:eastAsia="黑体" w:cs="Courier New"/>
          <w:sz w:val="36"/>
          <w:szCs w:val="36"/>
        </w:rPr>
        <w:t>2025年7月</w:t>
      </w:r>
      <w:bookmarkEnd w:id="3"/>
    </w:p>
    <w:p>
      <w:pPr>
        <w:pStyle w:val="18"/>
        <w:spacing w:before="0" w:after="0" w:line="360" w:lineRule="auto"/>
        <w:jc w:val="center"/>
        <w:rPr>
          <w:rFonts w:ascii="宋体" w:hAnsi="宋体" w:eastAsia="宋体" w:cs="宋体"/>
          <w:sz w:val="32"/>
        </w:rPr>
      </w:pPr>
      <w:r>
        <w:rPr>
          <w:rFonts w:ascii="宋体" w:hAnsi="宋体" w:eastAsia="宋体" w:cs="宋体"/>
          <w:sz w:val="32"/>
        </w:rPr>
        <w:t>目 录</w:t>
      </w:r>
    </w:p>
    <w:p>
      <w:pPr>
        <w:pStyle w:val="89"/>
        <w:tabs>
          <w:tab w:val="right" w:leader="dot" w:pos="9350"/>
        </w:tabs>
        <w:spacing w:before="0" w:after="0" w:line="360" w:lineRule="auto"/>
        <w:rPr>
          <w:rFonts w:ascii="Calibri" w:hAnsi="Calibri"/>
          <w:sz w:val="22"/>
        </w:rPr>
      </w:pPr>
      <w:r>
        <w:rPr>
          <w:rFonts w:ascii="宋体" w:hAnsi="宋体" w:eastAsia="宋体" w:cs="宋体"/>
          <w:sz w:val="32"/>
        </w:rPr>
        <w:fldChar w:fldCharType="begin"/>
      </w:r>
      <w:r>
        <w:rPr>
          <w:rFonts w:ascii="宋体" w:hAnsi="宋体" w:eastAsia="宋体" w:cs="宋体"/>
          <w:sz w:val="32"/>
        </w:rPr>
        <w:instrText xml:space="preserve">TOC \o "1-3" \h \z \u</w:instrText>
      </w:r>
      <w:r>
        <w:rPr>
          <w:rFonts w:ascii="宋体" w:hAnsi="宋体" w:eastAsia="宋体" w:cs="宋体"/>
          <w:sz w:val="32"/>
        </w:rPr>
        <w:fldChar w:fldCharType="separate"/>
      </w:r>
      <w:r>
        <w:fldChar w:fldCharType="begin"/>
      </w:r>
      <w:r>
        <w:instrText xml:space="preserve"> HYPERLINK \l "_Toc256000000" </w:instrText>
      </w:r>
      <w:r>
        <w:fldChar w:fldCharType="separate"/>
      </w:r>
      <w:r>
        <w:rPr>
          <w:rStyle w:val="88"/>
          <w:rFonts w:ascii="仿宋_GB2312" w:hAnsi="仿宋_GB2312" w:eastAsia="仿宋_GB2312" w:cs="仿宋_GB2312"/>
          <w:kern w:val="36"/>
        </w:rPr>
        <w:t>1项目概述</w:t>
      </w:r>
      <w:r>
        <w:tab/>
      </w:r>
      <w:r>
        <w:fldChar w:fldCharType="begin"/>
      </w:r>
      <w:r>
        <w:instrText xml:space="preserve"> PAGEREF _Toc256000000 \h </w:instrText>
      </w:r>
      <w:r>
        <w:fldChar w:fldCharType="separate"/>
      </w:r>
      <w:r>
        <w:t>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"_Toc256000001" </w:instrText>
      </w:r>
      <w:r>
        <w:fldChar w:fldCharType="separate"/>
      </w:r>
      <w:r>
        <w:rPr>
          <w:rStyle w:val="88"/>
          <w:rFonts w:ascii="仿宋_GB2312" w:hAnsi="仿宋_GB2312" w:eastAsia="仿宋_GB2312" w:cs="仿宋_GB2312"/>
        </w:rPr>
        <w:t>1.1项目背景</w:t>
      </w:r>
      <w:r>
        <w:tab/>
      </w:r>
      <w:r>
        <w:fldChar w:fldCharType="begin"/>
      </w:r>
      <w:r>
        <w:instrText xml:space="preserve"> PAGEREF _Toc256000001 \h </w:instrText>
      </w:r>
      <w:r>
        <w:fldChar w:fldCharType="separate"/>
      </w:r>
      <w:r>
        <w:t>2</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"_Toc256000002" </w:instrText>
      </w:r>
      <w:r>
        <w:fldChar w:fldCharType="separate"/>
      </w:r>
      <w:r>
        <w:rPr>
          <w:rStyle w:val="88"/>
          <w:rFonts w:ascii="仿宋_GB2312" w:hAnsi="仿宋_GB2312" w:eastAsia="仿宋_GB2312" w:cs="仿宋_GB2312"/>
        </w:rPr>
        <w:t>1.1.1项目目的、意义及背景</w:t>
      </w:r>
      <w:r>
        <w:tab/>
      </w:r>
      <w:r>
        <w:fldChar w:fldCharType="begin"/>
      </w:r>
      <w:r>
        <w:instrText xml:space="preserve"> PAGEREF _Toc256000002 \h </w:instrText>
      </w:r>
      <w:r>
        <w:fldChar w:fldCharType="separate"/>
      </w:r>
      <w:r>
        <w:t>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"_Toc256000003" </w:instrText>
      </w:r>
      <w:r>
        <w:fldChar w:fldCharType="separate"/>
      </w:r>
      <w:r>
        <w:rPr>
          <w:rStyle w:val="88"/>
          <w:rFonts w:ascii="仿宋_GB2312" w:hAnsi="仿宋_GB2312" w:eastAsia="仿宋_GB2312" w:cs="仿宋_GB2312"/>
        </w:rPr>
        <w:t>1.2项目内容</w:t>
      </w:r>
      <w:r>
        <w:tab/>
      </w:r>
      <w:r>
        <w:fldChar w:fldCharType="begin"/>
      </w:r>
      <w:r>
        <w:instrText xml:space="preserve"> PAGEREF _Toc256000003 \h </w:instrText>
      </w:r>
      <w:r>
        <w:fldChar w:fldCharType="separate"/>
      </w:r>
      <w:r>
        <w:t>2</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"_Toc256000004" </w:instrText>
      </w:r>
      <w:r>
        <w:fldChar w:fldCharType="separate"/>
      </w:r>
      <w:r>
        <w:rPr>
          <w:rStyle w:val="88"/>
          <w:rFonts w:ascii="仿宋_GB2312" w:hAnsi="仿宋_GB2312" w:eastAsia="仿宋_GB2312" w:cs="仿宋_GB2312"/>
        </w:rPr>
        <w:t>1.2.1采购内容</w:t>
      </w:r>
      <w:r>
        <w:tab/>
      </w:r>
      <w:r>
        <w:fldChar w:fldCharType="begin"/>
      </w:r>
      <w:r>
        <w:instrText xml:space="preserve"> PAGEREF _Toc256000004 \h </w:instrText>
      </w:r>
      <w:r>
        <w:fldChar w:fldCharType="separate"/>
      </w:r>
      <w:r>
        <w:t>2</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"_Toc256000005" </w:instrText>
      </w:r>
      <w:r>
        <w:fldChar w:fldCharType="separate"/>
      </w:r>
      <w:r>
        <w:rPr>
          <w:rStyle w:val="88"/>
          <w:rFonts w:ascii="仿宋_GB2312" w:hAnsi="仿宋_GB2312" w:eastAsia="仿宋_GB2312" w:cs="仿宋_GB2312"/>
        </w:rPr>
        <w:t>1.2.2项目实施要求</w:t>
      </w:r>
      <w:r>
        <w:tab/>
      </w:r>
      <w:r>
        <w:fldChar w:fldCharType="begin"/>
      </w:r>
      <w:r>
        <w:instrText xml:space="preserve"> PAGEREF _Toc256000005 \h </w:instrText>
      </w:r>
      <w:r>
        <w:fldChar w:fldCharType="separate"/>
      </w:r>
      <w:r>
        <w:t>2</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"_Toc256000006" </w:instrText>
      </w:r>
      <w:r>
        <w:fldChar w:fldCharType="separate"/>
      </w:r>
      <w:r>
        <w:rPr>
          <w:rStyle w:val="88"/>
          <w:rFonts w:ascii="仿宋_GB2312" w:hAnsi="仿宋_GB2312" w:eastAsia="仿宋_GB2312" w:cs="仿宋_GB2312"/>
          <w:kern w:val="36"/>
        </w:rPr>
        <w:t>2投标/响应要求</w:t>
      </w:r>
      <w:r>
        <w:tab/>
      </w:r>
      <w:r>
        <w:fldChar w:fldCharType="begin"/>
      </w:r>
      <w:r>
        <w:instrText xml:space="preserve"> PAGEREF _Toc256000006 \h </w:instrText>
      </w:r>
      <w:r>
        <w:fldChar w:fldCharType="separate"/>
      </w:r>
      <w:r>
        <w:t>3</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"_Toc256000007" </w:instrText>
      </w:r>
      <w:r>
        <w:fldChar w:fldCharType="separate"/>
      </w:r>
      <w:r>
        <w:rPr>
          <w:rStyle w:val="88"/>
          <w:rFonts w:ascii="仿宋_GB2312" w:hAnsi="仿宋_GB2312" w:eastAsia="仿宋_GB2312" w:cs="仿宋_GB2312"/>
        </w:rPr>
        <w:t>2.1对供应商的要求</w:t>
      </w:r>
      <w:r>
        <w:tab/>
      </w:r>
      <w:r>
        <w:fldChar w:fldCharType="begin"/>
      </w:r>
      <w:r>
        <w:instrText xml:space="preserve"> PAGEREF _Toc256000007 \h </w:instrText>
      </w:r>
      <w:r>
        <w:fldChar w:fldCharType="separate"/>
      </w:r>
      <w:r>
        <w:t>3</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"_Toc256000008" </w:instrText>
      </w:r>
      <w:r>
        <w:fldChar w:fldCharType="separate"/>
      </w:r>
      <w:r>
        <w:rPr>
          <w:rStyle w:val="88"/>
          <w:rFonts w:ascii="仿宋_GB2312" w:hAnsi="仿宋_GB2312" w:eastAsia="仿宋_GB2312" w:cs="仿宋_GB2312"/>
        </w:rPr>
        <w:t>2.1.1必备资质</w:t>
      </w:r>
      <w:r>
        <w:tab/>
      </w:r>
      <w:r>
        <w:fldChar w:fldCharType="begin"/>
      </w:r>
      <w:r>
        <w:instrText xml:space="preserve"> PAGEREF _Toc256000008 \h </w:instrText>
      </w:r>
      <w:r>
        <w:fldChar w:fldCharType="separate"/>
      </w:r>
      <w:r>
        <w:t>3</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"_Toc256000009" </w:instrText>
      </w:r>
      <w:r>
        <w:fldChar w:fldCharType="separate"/>
      </w:r>
      <w:r>
        <w:rPr>
          <w:rStyle w:val="88"/>
          <w:rFonts w:ascii="仿宋_GB2312" w:hAnsi="仿宋_GB2312" w:eastAsia="仿宋_GB2312" w:cs="仿宋_GB2312"/>
        </w:rPr>
        <w:t>2.1.2优选资质/优选指标</w:t>
      </w:r>
      <w:r>
        <w:tab/>
      </w:r>
      <w:r>
        <w:fldChar w:fldCharType="begin"/>
      </w:r>
      <w:r>
        <w:instrText xml:space="preserve"> PAGEREF _Toc256000009 \h </w:instrText>
      </w:r>
      <w:r>
        <w:fldChar w:fldCharType="separate"/>
      </w:r>
      <w:r>
        <w:t>3</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"_Toc256000010" </w:instrText>
      </w:r>
      <w:r>
        <w:fldChar w:fldCharType="separate"/>
      </w:r>
      <w:r>
        <w:rPr>
          <w:rStyle w:val="88"/>
          <w:rFonts w:ascii="仿宋_GB2312" w:hAnsi="仿宋_GB2312" w:eastAsia="仿宋_GB2312" w:cs="仿宋_GB2312"/>
        </w:rPr>
        <w:t>2.1.3是否允许联合体</w:t>
      </w:r>
      <w:r>
        <w:tab/>
      </w:r>
      <w:r>
        <w:fldChar w:fldCharType="begin"/>
      </w:r>
      <w:r>
        <w:instrText xml:space="preserve"> PAGEREF _Toc256000010 \h </w:instrText>
      </w:r>
      <w:r>
        <w:fldChar w:fldCharType="separate"/>
      </w:r>
      <w:r>
        <w:t>4</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"_Toc256000011" </w:instrText>
      </w:r>
      <w:r>
        <w:fldChar w:fldCharType="separate"/>
      </w:r>
      <w:r>
        <w:rPr>
          <w:rStyle w:val="88"/>
          <w:rFonts w:ascii="仿宋_GB2312" w:hAnsi="仿宋_GB2312" w:eastAsia="仿宋_GB2312" w:cs="仿宋_GB2312"/>
        </w:rPr>
        <w:t>2.1.4是否专门面向中小企业</w:t>
      </w:r>
      <w:r>
        <w:tab/>
      </w:r>
      <w:r>
        <w:fldChar w:fldCharType="begin"/>
      </w:r>
      <w:r>
        <w:instrText xml:space="preserve"> PAGEREF _Toc256000011 \h </w:instrText>
      </w:r>
      <w:r>
        <w:fldChar w:fldCharType="separate"/>
      </w:r>
      <w:r>
        <w:t>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"_Toc256000012" </w:instrText>
      </w:r>
      <w:r>
        <w:fldChar w:fldCharType="separate"/>
      </w:r>
      <w:r>
        <w:rPr>
          <w:rStyle w:val="88"/>
          <w:rFonts w:ascii="仿宋_GB2312" w:hAnsi="仿宋_GB2312" w:eastAsia="仿宋_GB2312" w:cs="仿宋_GB2312"/>
        </w:rPr>
        <w:t>2.2技术部分投标/响应内容</w:t>
      </w:r>
      <w:r>
        <w:tab/>
      </w:r>
      <w:r>
        <w:fldChar w:fldCharType="begin"/>
      </w:r>
      <w:r>
        <w:instrText xml:space="preserve"> PAGEREF _Toc256000012 \h </w:instrText>
      </w:r>
      <w:r>
        <w:fldChar w:fldCharType="separate"/>
      </w:r>
      <w:r>
        <w:t>4</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"_Toc256000013" </w:instrText>
      </w:r>
      <w:r>
        <w:fldChar w:fldCharType="separate"/>
      </w:r>
      <w:r>
        <w:rPr>
          <w:rStyle w:val="88"/>
          <w:rFonts w:ascii="仿宋_GB2312" w:hAnsi="仿宋_GB2312" w:eastAsia="仿宋_GB2312" w:cs="仿宋_GB2312"/>
        </w:rPr>
        <w:t>2.2.1技术投标/响应总要求</w:t>
      </w:r>
      <w:r>
        <w:tab/>
      </w:r>
      <w:r>
        <w:fldChar w:fldCharType="begin"/>
      </w:r>
      <w:r>
        <w:instrText xml:space="preserve"> PAGEREF _Toc256000013 \h </w:instrText>
      </w:r>
      <w:r>
        <w:fldChar w:fldCharType="separate"/>
      </w:r>
      <w:r>
        <w:t>4</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"_Toc256000014" </w:instrText>
      </w:r>
      <w:r>
        <w:fldChar w:fldCharType="separate"/>
      </w:r>
      <w:r>
        <w:rPr>
          <w:rStyle w:val="88"/>
          <w:rFonts w:ascii="仿宋_GB2312" w:hAnsi="仿宋_GB2312" w:eastAsia="仿宋_GB2312" w:cs="仿宋_GB2312"/>
        </w:rPr>
        <w:t>2.2.2投标/响应方案要求</w:t>
      </w:r>
      <w:r>
        <w:tab/>
      </w:r>
      <w:r>
        <w:fldChar w:fldCharType="begin"/>
      </w:r>
      <w:r>
        <w:instrText xml:space="preserve"> PAGEREF _Toc256000014 \h </w:instrText>
      </w:r>
      <w:r>
        <w:fldChar w:fldCharType="separate"/>
      </w:r>
      <w:r>
        <w:t>4</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"_Toc256000015" </w:instrText>
      </w:r>
      <w:r>
        <w:fldChar w:fldCharType="separate"/>
      </w:r>
      <w:r>
        <w:rPr>
          <w:rStyle w:val="88"/>
          <w:rFonts w:ascii="仿宋_GB2312" w:hAnsi="仿宋_GB2312" w:eastAsia="仿宋_GB2312" w:cs="仿宋_GB2312"/>
          <w:kern w:val="36"/>
        </w:rPr>
        <w:t>3项目需求</w:t>
      </w:r>
      <w:r>
        <w:tab/>
      </w:r>
      <w:r>
        <w:fldChar w:fldCharType="begin"/>
      </w:r>
      <w:r>
        <w:instrText xml:space="preserve"> PAGEREF _Toc256000015 \h </w:instrText>
      </w:r>
      <w:r>
        <w:fldChar w:fldCharType="separate"/>
      </w:r>
      <w:r>
        <w:t>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"_Toc256000016" </w:instrText>
      </w:r>
      <w:r>
        <w:fldChar w:fldCharType="separate"/>
      </w:r>
      <w:r>
        <w:rPr>
          <w:rStyle w:val="88"/>
          <w:rFonts w:ascii="仿宋_GB2312" w:hAnsi="仿宋_GB2312" w:eastAsia="仿宋_GB2312" w:cs="仿宋_GB2312"/>
        </w:rPr>
        <w:t>3.1总体要求</w:t>
      </w:r>
      <w:r>
        <w:tab/>
      </w:r>
      <w:r>
        <w:fldChar w:fldCharType="begin"/>
      </w:r>
      <w:r>
        <w:instrText xml:space="preserve"> PAGEREF _Toc256000016 \h </w:instrText>
      </w:r>
      <w:r>
        <w:fldChar w:fldCharType="separate"/>
      </w:r>
      <w:r>
        <w:t>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"_Toc256000017" </w:instrText>
      </w:r>
      <w:r>
        <w:fldChar w:fldCharType="separate"/>
      </w:r>
      <w:r>
        <w:rPr>
          <w:rStyle w:val="88"/>
          <w:rFonts w:ascii="仿宋_GB2312" w:hAnsi="仿宋_GB2312" w:eastAsia="仿宋_GB2312" w:cs="仿宋_GB2312"/>
        </w:rPr>
        <w:t>3.2服务内容和要求</w:t>
      </w:r>
      <w:r>
        <w:tab/>
      </w:r>
      <w:r>
        <w:fldChar w:fldCharType="begin"/>
      </w:r>
      <w:r>
        <w:instrText xml:space="preserve"> PAGEREF _Toc256000017 \h </w:instrText>
      </w:r>
      <w:r>
        <w:fldChar w:fldCharType="separate"/>
      </w:r>
      <w:r>
        <w:t>5</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"_Toc256000018" </w:instrText>
      </w:r>
      <w:r>
        <w:fldChar w:fldCharType="separate"/>
      </w:r>
      <w:r>
        <w:rPr>
          <w:rStyle w:val="88"/>
          <w:rFonts w:ascii="仿宋_GB2312" w:hAnsi="仿宋_GB2312" w:eastAsia="仿宋_GB2312" w:cs="仿宋_GB2312"/>
        </w:rPr>
        <w:t>3.2.1技术和服务客观指标</w:t>
      </w:r>
      <w:r>
        <w:tab/>
      </w:r>
      <w:r>
        <w:fldChar w:fldCharType="begin"/>
      </w:r>
      <w:r>
        <w:instrText xml:space="preserve"> PAGEREF _Toc256000018 \h </w:instrText>
      </w:r>
      <w:r>
        <w:fldChar w:fldCharType="separate"/>
      </w:r>
      <w:r>
        <w:t>5</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"_Toc256000019" </w:instrText>
      </w:r>
      <w:r>
        <w:fldChar w:fldCharType="separate"/>
      </w:r>
      <w:r>
        <w:rPr>
          <w:rStyle w:val="88"/>
          <w:rFonts w:ascii="仿宋_GB2312" w:hAnsi="仿宋_GB2312" w:eastAsia="仿宋_GB2312" w:cs="仿宋_GB2312"/>
        </w:rPr>
        <w:t>3.2.2具体内容</w:t>
      </w:r>
      <w:r>
        <w:tab/>
      </w:r>
      <w:r>
        <w:fldChar w:fldCharType="begin"/>
      </w:r>
      <w:r>
        <w:instrText xml:space="preserve"> PAGEREF _Toc256000019 \h </w:instrText>
      </w:r>
      <w:r>
        <w:fldChar w:fldCharType="separate"/>
      </w:r>
      <w:r>
        <w:t>5</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"_Toc256000020" </w:instrText>
      </w:r>
      <w:r>
        <w:fldChar w:fldCharType="separate"/>
      </w:r>
      <w:r>
        <w:rPr>
          <w:rStyle w:val="88"/>
          <w:rFonts w:ascii="仿宋_GB2312" w:hAnsi="仿宋_GB2312" w:eastAsia="仿宋_GB2312" w:cs="仿宋_GB2312"/>
          <w:kern w:val="36"/>
        </w:rPr>
        <w:t>4人员要求</w:t>
      </w:r>
      <w:r>
        <w:tab/>
      </w:r>
      <w:r>
        <w:fldChar w:fldCharType="begin"/>
      </w:r>
      <w:r>
        <w:instrText xml:space="preserve"> PAGEREF _Toc256000020 \h </w:instrText>
      </w:r>
      <w:r>
        <w:fldChar w:fldCharType="separate"/>
      </w:r>
      <w:r>
        <w:t>22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"_Toc256000021" </w:instrText>
      </w:r>
      <w:r>
        <w:fldChar w:fldCharType="separate"/>
      </w:r>
      <w:r>
        <w:rPr>
          <w:rStyle w:val="88"/>
          <w:rFonts w:ascii="仿宋_GB2312" w:hAnsi="仿宋_GB2312" w:eastAsia="仿宋_GB2312" w:cs="仿宋_GB2312"/>
        </w:rPr>
        <w:t>4.1总体要求</w:t>
      </w:r>
      <w:r>
        <w:tab/>
      </w:r>
      <w:r>
        <w:fldChar w:fldCharType="begin"/>
      </w:r>
      <w:r>
        <w:instrText xml:space="preserve"> PAGEREF _Toc256000021 \h </w:instrText>
      </w:r>
      <w:r>
        <w:fldChar w:fldCharType="separate"/>
      </w:r>
      <w:r>
        <w:t>22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"_Toc256000022" </w:instrText>
      </w:r>
      <w:r>
        <w:fldChar w:fldCharType="separate"/>
      </w:r>
      <w:r>
        <w:rPr>
          <w:rStyle w:val="88"/>
          <w:rFonts w:ascii="仿宋_GB2312" w:hAnsi="仿宋_GB2312" w:eastAsia="仿宋_GB2312" w:cs="仿宋_GB2312"/>
        </w:rPr>
        <w:t>4.2管理团队</w:t>
      </w:r>
      <w:r>
        <w:tab/>
      </w:r>
      <w:r>
        <w:fldChar w:fldCharType="begin"/>
      </w:r>
      <w:r>
        <w:instrText xml:space="preserve"> PAGEREF _Toc256000022 \h </w:instrText>
      </w:r>
      <w:r>
        <w:fldChar w:fldCharType="separate"/>
      </w:r>
      <w:r>
        <w:t>24</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"_Toc256000023" </w:instrText>
      </w:r>
      <w:r>
        <w:fldChar w:fldCharType="separate"/>
      </w:r>
      <w:r>
        <w:rPr>
          <w:rStyle w:val="88"/>
          <w:rFonts w:ascii="仿宋_GB2312" w:hAnsi="仿宋_GB2312" w:eastAsia="仿宋_GB2312" w:cs="仿宋_GB2312"/>
        </w:rPr>
        <w:t>4.2.1项目经理</w:t>
      </w:r>
      <w:r>
        <w:tab/>
      </w:r>
      <w:r>
        <w:fldChar w:fldCharType="begin"/>
      </w:r>
      <w:r>
        <w:instrText xml:space="preserve"> PAGEREF _Toc256000023 \h </w:instrText>
      </w:r>
      <w:r>
        <w:fldChar w:fldCharType="separate"/>
      </w:r>
      <w:r>
        <w:t>24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"_Toc256000024" </w:instrText>
      </w:r>
      <w:r>
        <w:fldChar w:fldCharType="separate"/>
      </w:r>
      <w:r>
        <w:rPr>
          <w:rStyle w:val="88"/>
          <w:rFonts w:ascii="仿宋_GB2312" w:hAnsi="仿宋_GB2312" w:eastAsia="仿宋_GB2312" w:cs="仿宋_GB2312"/>
        </w:rPr>
        <w:t>4.3技术团队</w:t>
      </w:r>
      <w:r>
        <w:tab/>
      </w:r>
      <w:r>
        <w:fldChar w:fldCharType="begin"/>
      </w:r>
      <w:r>
        <w:instrText xml:space="preserve"> PAGEREF _Toc256000024 \h </w:instrText>
      </w:r>
      <w:r>
        <w:fldChar w:fldCharType="separate"/>
      </w:r>
      <w:r>
        <w:t>24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"_Toc256000025" </w:instrText>
      </w:r>
      <w:r>
        <w:fldChar w:fldCharType="separate"/>
      </w:r>
      <w:r>
        <w:rPr>
          <w:rStyle w:val="88"/>
          <w:rFonts w:ascii="仿宋_GB2312" w:hAnsi="仿宋_GB2312" w:eastAsia="仿宋_GB2312" w:cs="仿宋_GB2312"/>
        </w:rPr>
        <w:t>4.4优选资质/优选指标</w:t>
      </w:r>
      <w:r>
        <w:tab/>
      </w:r>
      <w:r>
        <w:fldChar w:fldCharType="begin"/>
      </w:r>
      <w:r>
        <w:instrText xml:space="preserve"> PAGEREF _Toc256000025 \h </w:instrText>
      </w:r>
      <w:r>
        <w:fldChar w:fldCharType="separate"/>
      </w:r>
      <w:r>
        <w:t>27</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"_Toc256000026" </w:instrText>
      </w:r>
      <w:r>
        <w:fldChar w:fldCharType="separate"/>
      </w:r>
      <w:r>
        <w:rPr>
          <w:rStyle w:val="88"/>
          <w:rFonts w:ascii="仿宋_GB2312" w:hAnsi="仿宋_GB2312" w:eastAsia="仿宋_GB2312" w:cs="仿宋_GB2312"/>
          <w:kern w:val="36"/>
        </w:rPr>
        <w:t>5管理实施要求</w:t>
      </w:r>
      <w:r>
        <w:tab/>
      </w:r>
      <w:r>
        <w:fldChar w:fldCharType="begin"/>
      </w:r>
      <w:r>
        <w:instrText xml:space="preserve"> PAGEREF _Toc256000026 \h </w:instrText>
      </w:r>
      <w:r>
        <w:fldChar w:fldCharType="separate"/>
      </w:r>
      <w:r>
        <w:t>27</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"_Toc256000027" </w:instrText>
      </w:r>
      <w:r>
        <w:fldChar w:fldCharType="separate"/>
      </w:r>
      <w:r>
        <w:rPr>
          <w:rStyle w:val="88"/>
          <w:rFonts w:ascii="仿宋_GB2312" w:hAnsi="仿宋_GB2312" w:eastAsia="仿宋_GB2312" w:cs="仿宋_GB2312"/>
          <w:kern w:val="36"/>
        </w:rPr>
        <w:t>6风险管控要求</w:t>
      </w:r>
      <w:r>
        <w:tab/>
      </w:r>
      <w:r>
        <w:fldChar w:fldCharType="begin"/>
      </w:r>
      <w:r>
        <w:instrText xml:space="preserve"> PAGEREF _Toc256000027 \h </w:instrText>
      </w:r>
      <w:r>
        <w:fldChar w:fldCharType="separate"/>
      </w:r>
      <w:r>
        <w:t>32</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"_Toc256000028" </w:instrText>
      </w:r>
      <w:r>
        <w:fldChar w:fldCharType="separate"/>
      </w:r>
      <w:r>
        <w:rPr>
          <w:rStyle w:val="88"/>
          <w:rFonts w:ascii="仿宋_GB2312" w:hAnsi="仿宋_GB2312" w:eastAsia="仿宋_GB2312" w:cs="仿宋_GB2312"/>
          <w:kern w:val="36"/>
        </w:rPr>
        <w:t>7履约验收要求</w:t>
      </w:r>
      <w:r>
        <w:tab/>
      </w:r>
      <w:r>
        <w:fldChar w:fldCharType="begin"/>
      </w:r>
      <w:r>
        <w:instrText xml:space="preserve"> PAGEREF _Toc256000028 \h </w:instrText>
      </w:r>
      <w:r>
        <w:fldChar w:fldCharType="separate"/>
      </w:r>
      <w:r>
        <w:t>32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"_Toc256000029" </w:instrText>
      </w:r>
      <w:r>
        <w:fldChar w:fldCharType="separate"/>
      </w:r>
      <w:r>
        <w:rPr>
          <w:rStyle w:val="88"/>
          <w:rFonts w:ascii="仿宋_GB2312" w:hAnsi="仿宋_GB2312" w:eastAsia="仿宋_GB2312" w:cs="仿宋_GB2312"/>
        </w:rPr>
        <w:t>7.1总体要求</w:t>
      </w:r>
      <w:r>
        <w:tab/>
      </w:r>
      <w:r>
        <w:fldChar w:fldCharType="begin"/>
      </w:r>
      <w:r>
        <w:instrText xml:space="preserve"> PAGEREF _Toc256000029 \h </w:instrText>
      </w:r>
      <w:r>
        <w:fldChar w:fldCharType="separate"/>
      </w:r>
      <w:r>
        <w:t>32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"_Toc256000030" </w:instrText>
      </w:r>
      <w:r>
        <w:fldChar w:fldCharType="separate"/>
      </w:r>
      <w:r>
        <w:rPr>
          <w:rStyle w:val="88"/>
          <w:rFonts w:ascii="仿宋_GB2312" w:hAnsi="仿宋_GB2312" w:eastAsia="仿宋_GB2312" w:cs="仿宋_GB2312"/>
        </w:rPr>
        <w:t>7.2具体要求</w:t>
      </w:r>
      <w:r>
        <w:tab/>
      </w:r>
      <w:r>
        <w:fldChar w:fldCharType="begin"/>
      </w:r>
      <w:r>
        <w:instrText xml:space="preserve"> PAGEREF _Toc256000030 \h </w:instrText>
      </w:r>
      <w:r>
        <w:fldChar w:fldCharType="separate"/>
      </w:r>
      <w:r>
        <w:t>32</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"_Toc256000031" </w:instrText>
      </w:r>
      <w:r>
        <w:fldChar w:fldCharType="separate"/>
      </w:r>
      <w:r>
        <w:rPr>
          <w:rStyle w:val="88"/>
          <w:rFonts w:ascii="仿宋_GB2312" w:hAnsi="仿宋_GB2312" w:eastAsia="仿宋_GB2312" w:cs="仿宋_GB2312"/>
          <w:kern w:val="36"/>
        </w:rPr>
        <w:t>8其他要求</w:t>
      </w:r>
      <w:r>
        <w:tab/>
      </w:r>
      <w:r>
        <w:fldChar w:fldCharType="begin"/>
      </w:r>
      <w:r>
        <w:instrText xml:space="preserve"> PAGEREF _Toc256000031 \h </w:instrText>
      </w:r>
      <w:r>
        <w:fldChar w:fldCharType="separate"/>
      </w:r>
      <w:r>
        <w:t>33</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"_Toc256000032" </w:instrText>
      </w:r>
      <w:r>
        <w:fldChar w:fldCharType="separate"/>
      </w:r>
      <w:r>
        <w:rPr>
          <w:rStyle w:val="88"/>
          <w:rFonts w:ascii="仿宋_GB2312" w:hAnsi="仿宋_GB2312" w:eastAsia="仿宋_GB2312" w:cs="仿宋_GB2312"/>
        </w:rPr>
        <w:t>8.1必备要求</w:t>
      </w:r>
      <w:r>
        <w:tab/>
      </w:r>
      <w:r>
        <w:fldChar w:fldCharType="begin"/>
      </w:r>
      <w:r>
        <w:instrText xml:space="preserve"> PAGEREF _Toc256000032 \h </w:instrText>
      </w:r>
      <w:r>
        <w:fldChar w:fldCharType="separate"/>
      </w:r>
      <w:r>
        <w:t>33</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"_Toc256000033" </w:instrText>
      </w:r>
      <w:r>
        <w:fldChar w:fldCharType="separate"/>
      </w:r>
      <w:r>
        <w:rPr>
          <w:rStyle w:val="88"/>
          <w:rFonts w:ascii="仿宋_GB2312" w:hAnsi="仿宋_GB2312" w:eastAsia="仿宋_GB2312" w:cs="仿宋_GB2312"/>
        </w:rPr>
        <w:t>8.1.1通用必备要求</w:t>
      </w:r>
      <w:r>
        <w:tab/>
      </w:r>
      <w:r>
        <w:fldChar w:fldCharType="begin"/>
      </w:r>
      <w:r>
        <w:instrText xml:space="preserve"> PAGEREF _Toc256000033 \h </w:instrText>
      </w:r>
      <w:r>
        <w:fldChar w:fldCharType="separate"/>
      </w:r>
      <w:r>
        <w:t>33</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"_Toc256000034" </w:instrText>
      </w:r>
      <w:r>
        <w:fldChar w:fldCharType="separate"/>
      </w:r>
      <w:r>
        <w:rPr>
          <w:rStyle w:val="88"/>
          <w:rFonts w:ascii="仿宋_GB2312" w:hAnsi="仿宋_GB2312" w:eastAsia="仿宋_GB2312" w:cs="仿宋_GB2312"/>
        </w:rPr>
        <w:t>8.2付款安排建议</w:t>
      </w:r>
      <w:r>
        <w:tab/>
      </w:r>
      <w:r>
        <w:fldChar w:fldCharType="begin"/>
      </w:r>
      <w:r>
        <w:instrText xml:space="preserve"> PAGEREF _Toc256000034 \h </w:instrText>
      </w:r>
      <w:r>
        <w:fldChar w:fldCharType="separate"/>
      </w:r>
      <w:r>
        <w:t>34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"_Toc256000035" </w:instrText>
      </w:r>
      <w:r>
        <w:fldChar w:fldCharType="separate"/>
      </w:r>
      <w:r>
        <w:rPr>
          <w:rStyle w:val="88"/>
          <w:rFonts w:ascii="仿宋_GB2312" w:hAnsi="仿宋_GB2312" w:eastAsia="仿宋_GB2312" w:cs="仿宋_GB2312"/>
        </w:rPr>
        <w:t>8.3其他要求</w:t>
      </w:r>
      <w:r>
        <w:tab/>
      </w:r>
      <w:r>
        <w:fldChar w:fldCharType="begin"/>
      </w:r>
      <w:r>
        <w:instrText xml:space="preserve"> PAGEREF _Toc256000035 \h </w:instrText>
      </w:r>
      <w:r>
        <w:fldChar w:fldCharType="separate"/>
      </w:r>
      <w:r>
        <w:t>35</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"_Toc256000036" </w:instrText>
      </w:r>
      <w:r>
        <w:fldChar w:fldCharType="separate"/>
      </w:r>
      <w:r>
        <w:rPr>
          <w:rStyle w:val="88"/>
          <w:rFonts w:ascii="仿宋_GB2312" w:hAnsi="仿宋_GB2312" w:eastAsia="仿宋_GB2312" w:cs="仿宋_GB2312"/>
        </w:rPr>
        <w:t>8.3.1其他具体要求</w:t>
      </w:r>
      <w:r>
        <w:tab/>
      </w:r>
      <w:r>
        <w:fldChar w:fldCharType="begin"/>
      </w:r>
      <w:r>
        <w:instrText xml:space="preserve"> PAGEREF _Toc256000036 \h </w:instrText>
      </w:r>
      <w:r>
        <w:fldChar w:fldCharType="separate"/>
      </w:r>
      <w:r>
        <w:t>35</w:t>
      </w:r>
      <w:r>
        <w:fldChar w:fldCharType="end"/>
      </w:r>
      <w:r>
        <w:fldChar w:fldCharType="end"/>
      </w:r>
    </w:p>
    <w:p>
      <w:pPr>
        <w:pStyle w:val="18"/>
        <w:spacing w:before="0" w:after="0" w:line="360" w:lineRule="auto"/>
        <w:jc w:val="left"/>
      </w:pPr>
      <w:r>
        <w:rPr>
          <w:rFonts w:ascii="宋体" w:hAnsi="宋体" w:eastAsia="宋体" w:cs="宋体"/>
          <w:sz w:val="32"/>
        </w:rPr>
        <w:fldChar w:fldCharType="end"/>
      </w:r>
      <w:r>
        <w:br w:type="page"/>
      </w:r>
    </w:p>
    <w:p>
      <w:pPr>
        <w:pStyle w:val="90"/>
        <w:keepNext w:val="0"/>
        <w:spacing w:before="0" w:after="0" w:line="360" w:lineRule="auto"/>
        <w:jc w:val="center"/>
        <w:rPr>
          <w:rFonts w:ascii="仿宋_GB2312" w:hAnsi="仿宋_GB2312" w:eastAsia="仿宋_GB2312" w:cs="仿宋_GB2312"/>
          <w:b/>
          <w:bCs/>
          <w:sz w:val="32"/>
          <w:szCs w:val="32"/>
        </w:rPr>
      </w:pPr>
      <w:bookmarkStart w:id="4" w:name="_Toc256000000"/>
      <w:r>
        <w:rPr>
          <w:rFonts w:ascii="仿宋_GB2312" w:hAnsi="仿宋_GB2312" w:eastAsia="仿宋_GB2312" w:cs="仿宋_GB2312"/>
          <w:kern w:val="36"/>
        </w:rPr>
        <w:t>1项目概述</w:t>
      </w:r>
      <w:bookmarkEnd w:id="4"/>
    </w:p>
    <w:p>
      <w:pPr>
        <w:pStyle w:val="91"/>
        <w:keepNext w:val="0"/>
        <w:spacing w:before="0" w:after="0" w:line="360" w:lineRule="auto"/>
        <w:rPr>
          <w:rFonts w:ascii="仿宋_GB2312" w:hAnsi="仿宋_GB2312" w:eastAsia="仿宋_GB2312" w:cs="仿宋_GB2312"/>
          <w:b/>
          <w:bCs/>
          <w:sz w:val="28"/>
          <w:szCs w:val="28"/>
        </w:rPr>
      </w:pPr>
      <w:bookmarkStart w:id="5" w:name="_Toc256000001"/>
      <w:r>
        <w:rPr>
          <w:rFonts w:ascii="仿宋_GB2312" w:hAnsi="仿宋_GB2312" w:eastAsia="仿宋_GB2312" w:cs="仿宋_GB2312"/>
          <w:i w:val="0"/>
          <w:iCs w:val="0"/>
        </w:rPr>
        <w:t>1.1项目背景</w:t>
      </w:r>
      <w:bookmarkEnd w:id="5"/>
    </w:p>
    <w:p>
      <w:pPr>
        <w:pStyle w:val="92"/>
        <w:keepNext w:val="0"/>
        <w:spacing w:before="0" w:after="0" w:line="360" w:lineRule="auto"/>
        <w:rPr>
          <w:rFonts w:ascii="仿宋_GB2312" w:hAnsi="仿宋_GB2312" w:eastAsia="仿宋_GB2312" w:cs="仿宋_GB2312"/>
          <w:b/>
          <w:bCs/>
          <w:sz w:val="28"/>
          <w:szCs w:val="28"/>
        </w:rPr>
      </w:pPr>
      <w:bookmarkStart w:id="6" w:name="_Toc256000002"/>
      <w:r>
        <w:rPr>
          <w:rFonts w:ascii="仿宋_GB2312" w:hAnsi="仿宋_GB2312" w:eastAsia="仿宋_GB2312" w:cs="仿宋_GB2312"/>
          <w:sz w:val="28"/>
          <w:szCs w:val="28"/>
        </w:rPr>
        <w:t>1.1.1项目目的、意义及背景</w:t>
      </w:r>
      <w:bookmarkEnd w:id="6"/>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rPr>
        <w:t>    为进一步规范国家税务总局吉林省梅河新区税务局办公区物业管理服务，维护良好的办公运行秩序，降低行政运行成本，促进节约型机关建设，我局决定通过政府采购方式选定资质优良、管理完善、服务优质的物业服务单位开展物业管理服务。</w:t>
      </w:r>
    </w:p>
    <w:p>
      <w:pPr>
        <w:pStyle w:val="91"/>
        <w:keepNext w:val="0"/>
        <w:spacing w:before="0" w:after="0" w:line="360" w:lineRule="auto"/>
        <w:rPr>
          <w:rFonts w:ascii="仿宋_GB2312" w:hAnsi="仿宋_GB2312" w:eastAsia="仿宋_GB2312" w:cs="仿宋_GB2312"/>
          <w:b/>
          <w:bCs/>
          <w:sz w:val="28"/>
          <w:szCs w:val="28"/>
        </w:rPr>
      </w:pPr>
      <w:bookmarkStart w:id="7" w:name="_Toc256000003"/>
      <w:r>
        <w:rPr>
          <w:rFonts w:ascii="仿宋_GB2312" w:hAnsi="仿宋_GB2312" w:eastAsia="仿宋_GB2312" w:cs="仿宋_GB2312"/>
          <w:i w:val="0"/>
          <w:iCs w:val="0"/>
        </w:rPr>
        <w:t>1.2项目内容</w:t>
      </w:r>
      <w:bookmarkEnd w:id="7"/>
    </w:p>
    <w:p>
      <w:pPr>
        <w:pStyle w:val="92"/>
        <w:keepNext w:val="0"/>
        <w:spacing w:before="0" w:after="0" w:line="360" w:lineRule="auto"/>
        <w:rPr>
          <w:rFonts w:ascii="仿宋_GB2312" w:hAnsi="仿宋_GB2312" w:eastAsia="仿宋_GB2312" w:cs="仿宋_GB2312"/>
          <w:b/>
          <w:bCs/>
          <w:sz w:val="28"/>
          <w:szCs w:val="28"/>
        </w:rPr>
      </w:pPr>
      <w:bookmarkStart w:id="8" w:name="_Toc256000004"/>
      <w:r>
        <w:rPr>
          <w:rFonts w:ascii="仿宋_GB2312" w:hAnsi="仿宋_GB2312" w:eastAsia="仿宋_GB2312" w:cs="仿宋_GB2312"/>
          <w:sz w:val="28"/>
          <w:szCs w:val="28"/>
        </w:rPr>
        <w:t>1.2.1采购内容</w:t>
      </w:r>
      <w:bookmarkEnd w:id="8"/>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shd w:val="clear" w:color="auto" w:fill="FFFFFF"/>
        </w:rPr>
        <w:t>    提供</w:t>
      </w:r>
      <w:r>
        <w:rPr>
          <w:rFonts w:ascii="仿宋" w:hAnsi="仿宋" w:eastAsia="仿宋" w:cs="仿宋"/>
          <w:sz w:val="28"/>
          <w:szCs w:val="28"/>
        </w:rPr>
        <w:t>国家税务总局</w:t>
      </w:r>
      <w:r>
        <w:rPr>
          <w:rFonts w:ascii="仿宋" w:hAnsi="仿宋" w:eastAsia="仿宋" w:cs="仿宋"/>
          <w:sz w:val="28"/>
          <w:szCs w:val="28"/>
          <w:shd w:val="clear" w:color="auto" w:fill="FFFFFF"/>
        </w:rPr>
        <w:t>吉林省梅河新区税务局综合保障物业服务（以下简称综合服务）、</w:t>
      </w:r>
      <w:r>
        <w:rPr>
          <w:rFonts w:ascii="仿宋" w:hAnsi="仿宋" w:eastAsia="仿宋" w:cs="仿宋"/>
          <w:sz w:val="28"/>
          <w:szCs w:val="28"/>
        </w:rPr>
        <w:t>公共秩序维护、环境保洁、</w:t>
      </w:r>
      <w:r>
        <w:rPr>
          <w:rFonts w:ascii="仿宋" w:hAnsi="仿宋" w:eastAsia="仿宋" w:cs="仿宋"/>
          <w:sz w:val="28"/>
          <w:szCs w:val="28"/>
          <w:shd w:val="clear" w:color="auto" w:fill="FFFFFF"/>
        </w:rPr>
        <w:t>会议服务、特约服务（餐饮食堂等专业服务）、突发事件应急管理、绿色物业管理及标准化建设等。</w:t>
      </w:r>
    </w:p>
    <w:p>
      <w:pPr>
        <w:pStyle w:val="92"/>
        <w:keepNext w:val="0"/>
        <w:spacing w:before="0" w:after="0" w:line="360" w:lineRule="auto"/>
        <w:rPr>
          <w:rFonts w:ascii="仿宋_GB2312" w:hAnsi="仿宋_GB2312" w:eastAsia="仿宋_GB2312" w:cs="仿宋_GB2312"/>
          <w:b/>
          <w:bCs/>
          <w:sz w:val="28"/>
          <w:szCs w:val="28"/>
        </w:rPr>
      </w:pPr>
      <w:bookmarkStart w:id="9" w:name="_Toc256000005"/>
      <w:r>
        <w:rPr>
          <w:rFonts w:ascii="仿宋_GB2312" w:hAnsi="仿宋_GB2312" w:eastAsia="仿宋_GB2312" w:cs="仿宋_GB2312"/>
          <w:sz w:val="28"/>
          <w:szCs w:val="28"/>
        </w:rPr>
        <w:t>1.2.2项目实施要求</w:t>
      </w:r>
      <w:bookmarkEnd w:id="9"/>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1.2.2.1实施范围要求</w:t>
      </w:r>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shd w:val="clear" w:color="auto" w:fill="FFFFFF"/>
        </w:rPr>
        <w:t>    本项目物业管理服务实施范围位于吉林省梅河口市梅河大街1963号、吉林省梅河口市梅河大街2553号、吉林省梅河口市山城镇山城大街中段工商银行对过、吉林省梅河口市海龙镇胜利街11委、吉林省梅河口市红梅镇东升街1委、吉林省梅河口市李炉乡鑫瑞仓储三楼。物业管理服务所涉及的办公楼的基本情况包括但不限于楼宇建筑面积、门前三包的界定、楼内房间、会议室、楼内设施及地面等。</w:t>
      </w:r>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rPr>
        <w:t>   办公楼基本情况统计表</w:t>
      </w:r>
    </w:p>
    <w:tbl>
      <w:tblPr>
        <w:tblStyle w:val="96"/>
        <w:tblW w:w="8425" w:type="dxa"/>
        <w:tblCellSpacing w:w="0" w:type="dxa"/>
        <w:tblInd w:w="567" w:type="dxa"/>
        <w:tblLayout w:type="autofit"/>
        <w:tblCellMar>
          <w:top w:w="15" w:type="dxa"/>
          <w:left w:w="15" w:type="dxa"/>
          <w:bottom w:w="15" w:type="dxa"/>
          <w:right w:w="15" w:type="dxa"/>
        </w:tblCellMar>
      </w:tblPr>
      <w:tblGrid>
        <w:gridCol w:w="799"/>
        <w:gridCol w:w="3613"/>
        <w:gridCol w:w="1784"/>
        <w:gridCol w:w="2229"/>
      </w:tblGrid>
      <w:tr>
        <w:tblPrEx>
          <w:tblCellMar>
            <w:top w:w="15" w:type="dxa"/>
            <w:left w:w="15" w:type="dxa"/>
            <w:bottom w:w="15" w:type="dxa"/>
            <w:right w:w="15" w:type="dxa"/>
          </w:tblCellMar>
        </w:tblPrEx>
        <w:trPr>
          <w:trHeight w:val="415" w:hRule="atLeast"/>
          <w:tblCellSpacing w:w="0" w:type="dxa"/>
        </w:trPr>
        <w:tc>
          <w:tcPr>
            <w:tcW w:w="847" w:type="dxa"/>
            <w:tcBorders>
              <w:top w:val="single" w:color="000000" w:sz="8" w:space="0"/>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序号</w:t>
            </w:r>
          </w:p>
        </w:tc>
        <w:tc>
          <w:tcPr>
            <w:tcW w:w="4130"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项目名称</w:t>
            </w:r>
          </w:p>
        </w:tc>
        <w:tc>
          <w:tcPr>
            <w:tcW w:w="1916"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面积</w:t>
            </w:r>
          </w:p>
        </w:tc>
        <w:tc>
          <w:tcPr>
            <w:tcW w:w="2516"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单位</w:t>
            </w:r>
          </w:p>
        </w:tc>
      </w:tr>
      <w:tr>
        <w:tblPrEx>
          <w:tblCellMar>
            <w:top w:w="15" w:type="dxa"/>
            <w:left w:w="15" w:type="dxa"/>
            <w:bottom w:w="15" w:type="dxa"/>
            <w:right w:w="15" w:type="dxa"/>
          </w:tblCellMar>
        </w:tblPrEx>
        <w:trPr>
          <w:trHeight w:val="334"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梅河新区税务局主办公区</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3743</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255"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梅河新区税务局西街办公区</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5682.94</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3</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梅河新区税务局山城税务所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470.72</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4</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梅河新区税务局海龙税务所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1037.28</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梅河新区税务局红梅税务所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733</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6</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梅河新区税务局李炉税务所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660</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平方米</w:t>
            </w:r>
          </w:p>
        </w:tc>
      </w:tr>
    </w:tbl>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1.2.2.2实施时间要求</w:t>
      </w:r>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rPr>
        <w:t>自合同签订之日起一年</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1.2.2.3实施地点要求</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1.梅河大街1963号</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2.梅河大街2553号</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3.山城镇山城大街中段工商银行对过</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4.海龙镇胜利街11委</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5.红梅镇东升街1委</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6.李炉乡鑫瑞仓储三楼</w:t>
      </w:r>
    </w:p>
    <w:p>
      <w:pPr>
        <w:pStyle w:val="90"/>
        <w:keepNext w:val="0"/>
        <w:spacing w:before="0" w:after="0" w:line="360" w:lineRule="auto"/>
        <w:jc w:val="center"/>
        <w:rPr>
          <w:rFonts w:ascii="仿宋_GB2312" w:hAnsi="仿宋_GB2312" w:eastAsia="仿宋_GB2312" w:cs="仿宋_GB2312"/>
          <w:b/>
          <w:bCs/>
          <w:sz w:val="32"/>
          <w:szCs w:val="32"/>
        </w:rPr>
      </w:pPr>
      <w:bookmarkStart w:id="10" w:name="_Toc256000006"/>
      <w:r>
        <w:rPr>
          <w:rFonts w:ascii="仿宋_GB2312" w:hAnsi="仿宋_GB2312" w:eastAsia="仿宋_GB2312" w:cs="仿宋_GB2312"/>
          <w:kern w:val="36"/>
        </w:rPr>
        <w:t>2投标/响应要求</w:t>
      </w:r>
      <w:bookmarkEnd w:id="10"/>
    </w:p>
    <w:p>
      <w:pPr>
        <w:pStyle w:val="91"/>
        <w:keepNext w:val="0"/>
        <w:spacing w:before="0" w:after="0" w:line="360" w:lineRule="auto"/>
        <w:rPr>
          <w:rFonts w:ascii="仿宋_GB2312" w:hAnsi="仿宋_GB2312" w:eastAsia="仿宋_GB2312" w:cs="仿宋_GB2312"/>
          <w:b/>
          <w:bCs/>
          <w:sz w:val="28"/>
          <w:szCs w:val="28"/>
        </w:rPr>
      </w:pPr>
      <w:bookmarkStart w:id="11" w:name="_Toc256000007"/>
      <w:r>
        <w:rPr>
          <w:rFonts w:ascii="仿宋_GB2312" w:hAnsi="仿宋_GB2312" w:eastAsia="仿宋_GB2312" w:cs="仿宋_GB2312"/>
          <w:i w:val="0"/>
          <w:iCs w:val="0"/>
        </w:rPr>
        <w:t>2.1对供应商的要求</w:t>
      </w:r>
      <w:bookmarkEnd w:id="11"/>
    </w:p>
    <w:p>
      <w:pPr>
        <w:pStyle w:val="92"/>
        <w:keepNext w:val="0"/>
        <w:spacing w:before="0" w:after="0" w:line="360" w:lineRule="auto"/>
        <w:rPr>
          <w:rFonts w:ascii="仿宋_GB2312" w:hAnsi="仿宋_GB2312" w:eastAsia="仿宋_GB2312" w:cs="仿宋_GB2312"/>
          <w:b/>
          <w:bCs/>
          <w:sz w:val="28"/>
          <w:szCs w:val="28"/>
        </w:rPr>
      </w:pPr>
      <w:bookmarkStart w:id="12" w:name="_Toc256000008"/>
      <w:r>
        <w:rPr>
          <w:rFonts w:ascii="仿宋_GB2312" w:hAnsi="仿宋_GB2312" w:eastAsia="仿宋_GB2312" w:cs="仿宋_GB2312"/>
          <w:sz w:val="28"/>
          <w:szCs w:val="28"/>
        </w:rPr>
        <w:t>2.1.1必备资质</w:t>
      </w:r>
      <w:bookmarkEnd w:id="12"/>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2.1.1.1投标人应遵守有关国家法律、法规和条例,具备《中华人民共和国政府采购法》第二十二条的规定和本文件中规定的条件。</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2.1.1.2本项目的特定资格要求</w:t>
      </w:r>
    </w:p>
    <w:p>
      <w:pPr>
        <w:pStyle w:val="95"/>
        <w:spacing w:before="0" w:after="0" w:line="360" w:lineRule="auto"/>
        <w:ind w:left="0" w:right="0" w:firstLine="420"/>
        <w:jc w:val="both"/>
        <w:rPr>
          <w:rFonts w:ascii="Times New Roman" w:hAnsi="Times New Roman" w:eastAsia="Times New Roman" w:cs="Times New Roman"/>
        </w:rPr>
      </w:pPr>
      <w:r>
        <w:rPr>
          <w:rFonts w:ascii="仿宋" w:hAnsi="仿宋" w:eastAsia="仿宋" w:cs="仿宋"/>
          <w:shd w:val="clear" w:color="auto" w:fill="FFFFFF"/>
        </w:rPr>
        <w:t>无</w:t>
      </w:r>
    </w:p>
    <w:p>
      <w:pPr>
        <w:pStyle w:val="92"/>
        <w:keepNext w:val="0"/>
        <w:spacing w:before="0" w:after="0" w:line="360" w:lineRule="auto"/>
        <w:rPr>
          <w:rFonts w:ascii="仿宋_GB2312" w:hAnsi="仿宋_GB2312" w:eastAsia="仿宋_GB2312" w:cs="仿宋_GB2312"/>
          <w:b/>
          <w:bCs/>
          <w:sz w:val="28"/>
          <w:szCs w:val="28"/>
        </w:rPr>
      </w:pPr>
      <w:bookmarkStart w:id="13" w:name="_Toc256000009"/>
      <w:r>
        <w:rPr>
          <w:rFonts w:ascii="仿宋_GB2312" w:hAnsi="仿宋_GB2312" w:eastAsia="仿宋_GB2312" w:cs="仿宋_GB2312"/>
          <w:sz w:val="28"/>
          <w:szCs w:val="28"/>
        </w:rPr>
        <w:t>2.1.2优选资质/优选指标</w:t>
      </w:r>
      <w:bookmarkEnd w:id="13"/>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2.1.2.1相关证书</w:t>
      </w:r>
    </w:p>
    <w:tbl>
      <w:tblPr>
        <w:tblStyle w:val="32"/>
        <w:tblW w:w="5000" w:type="pct"/>
        <w:tblInd w:w="30" w:type="dxa"/>
        <w:tblLayout w:type="autofit"/>
        <w:tblCellMar>
          <w:top w:w="15" w:type="dxa"/>
          <w:left w:w="15" w:type="dxa"/>
          <w:bottom w:w="15" w:type="dxa"/>
          <w:right w:w="15" w:type="dxa"/>
        </w:tblCellMar>
      </w:tblPr>
      <w:tblGrid>
        <w:gridCol w:w="906"/>
        <w:gridCol w:w="4082"/>
        <w:gridCol w:w="4082"/>
      </w:tblGrid>
      <w:tr>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22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证书名称</w:t>
            </w:r>
          </w:p>
        </w:tc>
        <w:tc>
          <w:tcPr>
            <w:tcW w:w="22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备注</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ISO9001:2015质量管理体系认证证书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ISO45001:2018职业健康安全管理体系认证证书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ISO14001:2015环境管理体系认证证书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bl>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2.1.2.2成功案例</w:t>
      </w:r>
    </w:p>
    <w:p>
      <w:pPr>
        <w:pStyle w:val="95"/>
        <w:spacing w:before="0" w:after="0" w:line="360" w:lineRule="auto"/>
        <w:ind w:left="0" w:right="0" w:firstLine="420"/>
        <w:jc w:val="both"/>
        <w:rPr>
          <w:rFonts w:ascii="Times New Roman" w:hAnsi="Times New Roman" w:eastAsia="Times New Roman" w:cs="Times New Roman"/>
        </w:rPr>
      </w:pPr>
      <w:r>
        <w:rPr>
          <w:rFonts w:ascii="仿宋" w:hAnsi="仿宋" w:eastAsia="仿宋" w:cs="仿宋"/>
          <w:sz w:val="28"/>
          <w:szCs w:val="28"/>
        </w:rPr>
        <w:t>提供2022年1月1日以来（以合同签订日期为准）,投标人独立承担实施的相类似项目的成功案例。</w:t>
      </w:r>
      <w:r>
        <w:rPr>
          <w:rFonts w:ascii="仿宋" w:hAnsi="仿宋" w:eastAsia="仿宋" w:cs="仿宋"/>
          <w:sz w:val="28"/>
          <w:szCs w:val="28"/>
          <w:shd w:val="clear" w:color="auto" w:fill="FFFFFF"/>
        </w:rPr>
        <w:t>服务同一个单位分年度多次签订合同的案例按1个计算</w:t>
      </w:r>
      <w:r>
        <w:rPr>
          <w:rFonts w:ascii="仿宋" w:hAnsi="仿宋" w:eastAsia="仿宋" w:cs="仿宋"/>
          <w:sz w:val="28"/>
          <w:szCs w:val="28"/>
        </w:rPr>
        <w:t>。（应提供合同关键页扫描件并加盖公章）</w:t>
      </w:r>
    </w:p>
    <w:p>
      <w:pPr>
        <w:pStyle w:val="92"/>
        <w:keepNext w:val="0"/>
        <w:spacing w:before="0" w:after="0" w:line="360" w:lineRule="auto"/>
        <w:rPr>
          <w:rFonts w:ascii="仿宋_GB2312" w:hAnsi="仿宋_GB2312" w:eastAsia="仿宋_GB2312" w:cs="仿宋_GB2312"/>
          <w:b/>
          <w:bCs/>
          <w:sz w:val="28"/>
          <w:szCs w:val="28"/>
        </w:rPr>
      </w:pPr>
      <w:bookmarkStart w:id="14" w:name="_Toc256000010"/>
      <w:r>
        <w:rPr>
          <w:rFonts w:ascii="仿宋_GB2312" w:hAnsi="仿宋_GB2312" w:eastAsia="仿宋_GB2312" w:cs="仿宋_GB2312"/>
          <w:sz w:val="28"/>
          <w:szCs w:val="28"/>
        </w:rPr>
        <w:t>2.1.3是否允许联合体</w:t>
      </w:r>
      <w:bookmarkEnd w:id="14"/>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否</w:t>
      </w:r>
    </w:p>
    <w:p>
      <w:pPr>
        <w:pStyle w:val="92"/>
        <w:keepNext w:val="0"/>
        <w:spacing w:before="0" w:after="0" w:line="360" w:lineRule="auto"/>
        <w:rPr>
          <w:rFonts w:ascii="仿宋_GB2312" w:hAnsi="仿宋_GB2312" w:eastAsia="仿宋_GB2312" w:cs="仿宋_GB2312"/>
          <w:b/>
          <w:bCs/>
          <w:sz w:val="28"/>
          <w:szCs w:val="28"/>
        </w:rPr>
      </w:pPr>
      <w:bookmarkStart w:id="15" w:name="_Toc256000011"/>
      <w:r>
        <w:rPr>
          <w:rFonts w:ascii="仿宋_GB2312" w:hAnsi="仿宋_GB2312" w:eastAsia="仿宋_GB2312" w:cs="仿宋_GB2312"/>
          <w:sz w:val="28"/>
          <w:szCs w:val="28"/>
        </w:rPr>
        <w:t>2.1.4是否专门面向中小企业</w:t>
      </w:r>
      <w:bookmarkEnd w:id="15"/>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本项目专门面向中小企业采购项目</w:t>
      </w:r>
    </w:p>
    <w:p>
      <w:pPr>
        <w:pStyle w:val="91"/>
        <w:keepNext w:val="0"/>
        <w:spacing w:before="0" w:after="0" w:line="360" w:lineRule="auto"/>
        <w:rPr>
          <w:rFonts w:ascii="仿宋_GB2312" w:hAnsi="仿宋_GB2312" w:eastAsia="仿宋_GB2312" w:cs="仿宋_GB2312"/>
          <w:b/>
          <w:bCs/>
          <w:sz w:val="28"/>
          <w:szCs w:val="28"/>
        </w:rPr>
      </w:pPr>
      <w:bookmarkStart w:id="16" w:name="_Toc256000012"/>
      <w:r>
        <w:rPr>
          <w:rFonts w:ascii="仿宋_GB2312" w:hAnsi="仿宋_GB2312" w:eastAsia="仿宋_GB2312" w:cs="仿宋_GB2312"/>
          <w:i w:val="0"/>
          <w:iCs w:val="0"/>
        </w:rPr>
        <w:t>2.2技术部分投标/响应内容</w:t>
      </w:r>
      <w:bookmarkEnd w:id="16"/>
    </w:p>
    <w:p>
      <w:pPr>
        <w:pStyle w:val="92"/>
        <w:keepNext w:val="0"/>
        <w:spacing w:before="0" w:after="0" w:line="360" w:lineRule="auto"/>
        <w:rPr>
          <w:rFonts w:ascii="仿宋_GB2312" w:hAnsi="仿宋_GB2312" w:eastAsia="仿宋_GB2312" w:cs="仿宋_GB2312"/>
          <w:b/>
          <w:bCs/>
          <w:sz w:val="28"/>
          <w:szCs w:val="28"/>
        </w:rPr>
      </w:pPr>
      <w:bookmarkStart w:id="17" w:name="_Toc256000013"/>
      <w:r>
        <w:rPr>
          <w:rFonts w:ascii="仿宋_GB2312" w:hAnsi="仿宋_GB2312" w:eastAsia="仿宋_GB2312" w:cs="仿宋_GB2312"/>
          <w:sz w:val="28"/>
          <w:szCs w:val="28"/>
        </w:rPr>
        <w:t>2.2.1技术投标/响应总要求</w:t>
      </w:r>
      <w:bookmarkEnd w:id="17"/>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投标人必须针对招标文件中（技术部分）的需求逐个做出实质性响应，如未做出响应或响应不满足的，将导致投标无效。</w:t>
      </w:r>
    </w:p>
    <w:p>
      <w:pPr>
        <w:pStyle w:val="92"/>
        <w:keepNext w:val="0"/>
        <w:spacing w:before="0" w:after="0" w:line="360" w:lineRule="auto"/>
        <w:rPr>
          <w:rFonts w:ascii="仿宋_GB2312" w:hAnsi="仿宋_GB2312" w:eastAsia="仿宋_GB2312" w:cs="仿宋_GB2312"/>
          <w:b/>
          <w:bCs/>
          <w:sz w:val="28"/>
          <w:szCs w:val="28"/>
        </w:rPr>
      </w:pPr>
      <w:bookmarkStart w:id="18" w:name="_Toc256000014"/>
      <w:r>
        <w:rPr>
          <w:rFonts w:ascii="仿宋_GB2312" w:hAnsi="仿宋_GB2312" w:eastAsia="仿宋_GB2312" w:cs="仿宋_GB2312"/>
          <w:sz w:val="28"/>
          <w:szCs w:val="28"/>
        </w:rPr>
        <w:t>2.2.2投标/响应方案要求</w:t>
      </w:r>
      <w:bookmarkEnd w:id="18"/>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以下相关方案，若作为评审因素，则投标人应在满足★关键指标项要求的前提下，根据项目特点和采购需求，制定更为完整、详细、可操作性强的方案。</w:t>
      </w:r>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rPr>
        <w:t>1.服务方案；2.管理制度；3.服务团队稳定性保障措施；4.应急处置方案。</w:t>
      </w:r>
    </w:p>
    <w:p>
      <w:pPr>
        <w:pStyle w:val="9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90"/>
        <w:keepNext w:val="0"/>
        <w:spacing w:before="0" w:after="0" w:line="360" w:lineRule="auto"/>
        <w:jc w:val="center"/>
        <w:rPr>
          <w:rFonts w:ascii="仿宋_GB2312" w:hAnsi="仿宋_GB2312" w:eastAsia="仿宋_GB2312" w:cs="仿宋_GB2312"/>
          <w:b/>
          <w:bCs/>
          <w:sz w:val="32"/>
          <w:szCs w:val="32"/>
        </w:rPr>
      </w:pPr>
      <w:bookmarkStart w:id="19" w:name="_Toc256000015"/>
      <w:r>
        <w:rPr>
          <w:rFonts w:ascii="仿宋_GB2312" w:hAnsi="仿宋_GB2312" w:eastAsia="仿宋_GB2312" w:cs="仿宋_GB2312"/>
          <w:kern w:val="36"/>
        </w:rPr>
        <w:t>3项目需求</w:t>
      </w:r>
      <w:bookmarkEnd w:id="19"/>
    </w:p>
    <w:p>
      <w:pPr>
        <w:pStyle w:val="91"/>
        <w:keepNext w:val="0"/>
        <w:spacing w:before="0" w:after="0" w:line="360" w:lineRule="auto"/>
        <w:rPr>
          <w:rFonts w:ascii="仿宋_GB2312" w:hAnsi="仿宋_GB2312" w:eastAsia="仿宋_GB2312" w:cs="仿宋_GB2312"/>
          <w:b/>
          <w:bCs/>
          <w:sz w:val="28"/>
          <w:szCs w:val="28"/>
        </w:rPr>
      </w:pPr>
      <w:bookmarkStart w:id="20" w:name="_Toc256000016"/>
      <w:r>
        <w:rPr>
          <w:rFonts w:ascii="仿宋_GB2312" w:hAnsi="仿宋_GB2312" w:eastAsia="仿宋_GB2312" w:cs="仿宋_GB2312"/>
          <w:i w:val="0"/>
          <w:iCs w:val="0"/>
        </w:rPr>
        <w:t>3.1总体要求</w:t>
      </w:r>
      <w:bookmarkEnd w:id="20"/>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——综合保障物业服务（以下简称综合服务）：发挥服务管理职能，提供相应保障服务，包括但不限于接待报修、信息公示、投诉处理、客户意见的征集和处理、信报收发、标识管理等；</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——公共秩序维护：提供全天候公共秩序维护服务和安全服务，保证正常办公秩序；</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——环境保洁：按时完成规定的环境保洁服务，提供整洁、卫生、安全、美观的环境</w:t>
      </w:r>
      <w:r>
        <w:rPr>
          <w:rFonts w:ascii="仿宋" w:hAnsi="仿宋" w:eastAsia="仿宋" w:cs="仿宋"/>
          <w:sz w:val="28"/>
          <w:szCs w:val="28"/>
          <w:shd w:val="clear" w:color="auto" w:fill="FFFFFF"/>
        </w:rPr>
        <w:t>；</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——会议服务：会议受理、会前准备、会中服务、会后清理等服务；</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——特约服务：须另外约定的其他服务，涉及餐饮服务（食堂服务）等专业服务； </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突发事件应急管理：对自然灾害、事故灾害、公共卫生事件和社会安全事件等突发公共事件建立应急预案，并组织实施培训、演习、评价和改进，事发时按规定途径及时告知客户、有关部门，并采取相应措施；</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——绿色物业管理：在保证物业管理和服务质量的前提下，通过科学管理、技术改造和行为引导，有效降低各类物业运行能耗，节约资源和保护环境等相关工作；</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——标准化建设：按政务服务标准化要求协助完成相关工作。</w:t>
      </w:r>
    </w:p>
    <w:p>
      <w:pPr>
        <w:pStyle w:val="91"/>
        <w:keepNext w:val="0"/>
        <w:spacing w:before="0" w:after="0" w:line="360" w:lineRule="auto"/>
        <w:rPr>
          <w:rFonts w:ascii="仿宋_GB2312" w:hAnsi="仿宋_GB2312" w:eastAsia="仿宋_GB2312" w:cs="仿宋_GB2312"/>
          <w:b/>
          <w:bCs/>
          <w:sz w:val="28"/>
          <w:szCs w:val="28"/>
        </w:rPr>
      </w:pPr>
      <w:bookmarkStart w:id="21" w:name="_Toc256000017"/>
      <w:r>
        <w:rPr>
          <w:rFonts w:ascii="仿宋_GB2312" w:hAnsi="仿宋_GB2312" w:eastAsia="仿宋_GB2312" w:cs="仿宋_GB2312"/>
          <w:i w:val="0"/>
          <w:iCs w:val="0"/>
        </w:rPr>
        <w:t>3.2服务内容和要求</w:t>
      </w:r>
      <w:bookmarkEnd w:id="21"/>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采购文件（技术部分）中有标注★号的，为必备服务要求，必须满足，如未作出响应，将导致响应无效；#为重要服务内容、△为一般服务内容。</w:t>
      </w:r>
    </w:p>
    <w:p>
      <w:pPr>
        <w:pStyle w:val="92"/>
        <w:keepNext w:val="0"/>
        <w:spacing w:before="0" w:after="0" w:line="360" w:lineRule="auto"/>
        <w:rPr>
          <w:rFonts w:ascii="仿宋_GB2312" w:hAnsi="仿宋_GB2312" w:eastAsia="仿宋_GB2312" w:cs="仿宋_GB2312"/>
          <w:b/>
          <w:bCs/>
          <w:sz w:val="28"/>
          <w:szCs w:val="28"/>
        </w:rPr>
      </w:pPr>
      <w:bookmarkStart w:id="22" w:name="_Toc256000018"/>
      <w:r>
        <w:rPr>
          <w:rFonts w:ascii="仿宋_GB2312" w:hAnsi="仿宋_GB2312" w:eastAsia="仿宋_GB2312" w:cs="仿宋_GB2312"/>
          <w:sz w:val="28"/>
          <w:szCs w:val="28"/>
        </w:rPr>
        <w:t>3.2.1技术和服务客观指标</w:t>
      </w:r>
      <w:bookmarkEnd w:id="22"/>
    </w:p>
    <w:p>
      <w:pPr>
        <w:pStyle w:val="92"/>
        <w:keepNext w:val="0"/>
        <w:spacing w:before="0" w:after="0" w:line="360" w:lineRule="auto"/>
        <w:rPr>
          <w:rFonts w:ascii="仿宋_GB2312" w:hAnsi="仿宋_GB2312" w:eastAsia="仿宋_GB2312" w:cs="仿宋_GB2312"/>
          <w:b/>
          <w:bCs/>
          <w:sz w:val="28"/>
          <w:szCs w:val="28"/>
        </w:rPr>
      </w:pPr>
      <w:bookmarkStart w:id="23" w:name="_Toc256000019"/>
      <w:r>
        <w:rPr>
          <w:rFonts w:ascii="仿宋_GB2312" w:hAnsi="仿宋_GB2312" w:eastAsia="仿宋_GB2312" w:cs="仿宋_GB2312"/>
          <w:sz w:val="28"/>
          <w:szCs w:val="28"/>
        </w:rPr>
        <w:t>3.2.2具体内容</w:t>
      </w:r>
      <w:bookmarkEnd w:id="23"/>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（一）综合服务</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1.网络平台</w:t>
      </w:r>
    </w:p>
    <w:p>
      <w:pPr>
        <w:pStyle w:val="95"/>
        <w:spacing w:before="0" w:after="0" w:line="360" w:lineRule="auto"/>
        <w:ind w:firstLine="560"/>
        <w:jc w:val="both"/>
        <w:rPr>
          <w:rFonts w:ascii="Times New Roman" w:hAnsi="Times New Roman" w:eastAsia="Times New Roman" w:cs="Times New Roman"/>
        </w:rPr>
      </w:pPr>
      <w:r>
        <w:rPr>
          <w:rFonts w:ascii="仿宋" w:hAnsi="仿宋" w:eastAsia="仿宋" w:cs="仿宋"/>
          <w:sz w:val="28"/>
          <w:szCs w:val="28"/>
        </w:rPr>
        <w:t>——设立网络平台，对物业管理服务进行动态管理，实时宣传、公示、展示服务等。</w:t>
      </w:r>
    </w:p>
    <w:p>
      <w:pPr>
        <w:pStyle w:val="95"/>
        <w:spacing w:before="0" w:after="0" w:line="360" w:lineRule="auto"/>
        <w:ind w:firstLine="480"/>
        <w:rPr>
          <w:rFonts w:ascii="Times New Roman" w:hAnsi="Times New Roman" w:eastAsia="Times New Roman" w:cs="Times New Roman"/>
        </w:rPr>
      </w:pPr>
      <w:r>
        <w:t>2.</w:t>
      </w:r>
      <w:r>
        <w:rPr>
          <w:rFonts w:ascii="仿宋" w:hAnsi="仿宋" w:eastAsia="仿宋" w:cs="仿宋"/>
          <w:sz w:val="28"/>
          <w:szCs w:val="28"/>
        </w:rPr>
        <w:t> 接待服务</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——应设立物业管理服务中心，设立服务电话，24小时值班；</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——热情接待客户，受理有关咨询、报修、会议安排、求助、建议、问询、质疑、投诉等。</w:t>
      </w:r>
    </w:p>
    <w:p>
      <w:pPr>
        <w:pStyle w:val="95"/>
        <w:spacing w:before="0" w:after="0" w:line="360" w:lineRule="auto"/>
        <w:ind w:firstLine="480"/>
        <w:rPr>
          <w:rFonts w:ascii="Times New Roman" w:hAnsi="Times New Roman" w:eastAsia="Times New Roman" w:cs="Times New Roman"/>
        </w:rPr>
      </w:pPr>
      <w:r>
        <w:t>3.</w:t>
      </w:r>
      <w:r>
        <w:rPr>
          <w:rFonts w:ascii="仿宋" w:hAnsi="仿宋" w:eastAsia="仿宋" w:cs="仿宋"/>
          <w:sz w:val="28"/>
          <w:szCs w:val="28"/>
        </w:rPr>
        <w:t> 信息公示</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——物业服务企业营业执照、物业服务组织架构、服务流程、服务时间、服务咨询和投诉方式；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——物业管理服务工作情况定期报告或公示；</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——社会公共保障部门的通知，如恶劣天气、停电停水等；</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——信息公示应与建筑物标识系统保持协调，表达简洁易懂。</w:t>
      </w:r>
    </w:p>
    <w:p>
      <w:pPr>
        <w:pStyle w:val="95"/>
        <w:spacing w:before="0" w:after="0" w:line="360" w:lineRule="auto"/>
        <w:ind w:firstLine="480"/>
        <w:rPr>
          <w:rFonts w:ascii="Times New Roman" w:hAnsi="Times New Roman" w:eastAsia="Times New Roman" w:cs="Times New Roman"/>
        </w:rPr>
      </w:pPr>
      <w:r>
        <w:t>4.</w:t>
      </w:r>
      <w:r>
        <w:rPr>
          <w:rFonts w:ascii="仿宋" w:hAnsi="仿宋" w:eastAsia="仿宋" w:cs="仿宋"/>
          <w:sz w:val="28"/>
          <w:szCs w:val="28"/>
        </w:rPr>
        <w:t> 投诉处理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——建立物业管理服务投诉渠道，如投诉电话、网站、微信号、意见箱等，公布投诉处理流程；</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——对受理的投诉，应核实情况，及时处理并对客户提出的投诉进行答复；</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——属于物业服务责任的，应向客户道歉，及时处理或纠正；</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——不属于物业服务责任的，应耐心做好解释工作并提供必要的帮助；</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——受理、处置投诉应留存记录。</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5.客户意见征集、处理</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——建立健全调查制度、调查问卷、回访统计表、原因分析及整改措施记录。回访调查表、调查问卷应为收录用户签名的原始记录；</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——回访：迁入、维修及投诉处理完毕后均应进行回访，并留有回访调查表、回访统计表；</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——综合满意度调查：每年至少一次，向客户采用走访、问卷调查等形式，开展物业管理服务满意度调查，并对调查结果进行分析，持续改进；</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——及时反馈客户动态信息；客户日常反馈的意见应及时处理，并留有记录。</w:t>
      </w:r>
    </w:p>
    <w:p>
      <w:pPr>
        <w:pStyle w:val="95"/>
        <w:spacing w:before="0" w:after="0" w:line="360" w:lineRule="auto"/>
        <w:ind w:firstLine="480"/>
        <w:rPr>
          <w:rFonts w:ascii="Times New Roman" w:hAnsi="Times New Roman" w:eastAsia="Times New Roman" w:cs="Times New Roman"/>
        </w:rPr>
      </w:pPr>
      <w:r>
        <w:t>6.</w:t>
      </w:r>
      <w:r>
        <w:rPr>
          <w:rFonts w:ascii="仿宋" w:hAnsi="仿宋" w:eastAsia="仿宋" w:cs="仿宋"/>
          <w:sz w:val="28"/>
          <w:szCs w:val="28"/>
        </w:rPr>
        <w:t> 信报收发</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——负责办公楼内客户的挂号信件、报纸、包裹等的签收、登记工作；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——负责客户资料、信函的邮寄，信函最迟应在次日发出；</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——对挂号信（含特快专递）、汇款单、包裹单，应填写好通知单并分发到信箱；对特快专递邮件应负责通知到单位或个人，并有领取签字手续；</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——挂号信的分发严格按照签收登记执行，领取人需本人持有效证件签字确认，代领应持代领人和被领人的有效证件，登记姓名和领取日期，做到有据可查；</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——当天的信函、报刊、印刷品应当天分发，并做到准确、及时；</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——分发报纸、杂志应认真核对，保证数量，准确无误,投递差错率不超过1%；</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——对地址不详或未写清信箱号的信函、汇款单、包裹单及印刷品等邮件，由收发人员负责查找收件人，如查无此人，应负责及时办理退回手续。</w:t>
      </w:r>
    </w:p>
    <w:p>
      <w:pPr>
        <w:pStyle w:val="95"/>
        <w:spacing w:before="0" w:after="0" w:line="360" w:lineRule="auto"/>
        <w:ind w:firstLine="480"/>
        <w:rPr>
          <w:rFonts w:ascii="Times New Roman" w:hAnsi="Times New Roman" w:eastAsia="Times New Roman" w:cs="Times New Roman"/>
        </w:rPr>
      </w:pPr>
      <w:r>
        <w:t>7.</w:t>
      </w:r>
      <w:r>
        <w:rPr>
          <w:rFonts w:ascii="仿宋" w:hAnsi="仿宋" w:eastAsia="仿宋" w:cs="仿宋"/>
          <w:sz w:val="28"/>
          <w:szCs w:val="28"/>
        </w:rPr>
        <w:t> 标识管理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——物业管理服务标识应与办公楼建筑标识保持协调；</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——图形符号应符合GB/T1001.1《标志用公共信息图形符号 第1部分：通用符号》要求，消防与安全警示标识应符合GB2894《安全标志》、GB13495《消防安全标志》的要求；</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——各类标识的悬挂（摆放）应安全、正规、醒目、便利、协调、无涂改、文字规范。</w:t>
      </w:r>
    </w:p>
    <w:p>
      <w:pPr>
        <w:pStyle w:val="95"/>
        <w:spacing w:before="0" w:after="0" w:line="360" w:lineRule="auto"/>
        <w:ind w:firstLine="480"/>
        <w:rPr>
          <w:rFonts w:ascii="Times New Roman" w:hAnsi="Times New Roman" w:eastAsia="Times New Roman" w:cs="Times New Roman"/>
        </w:rPr>
      </w:pPr>
      <w:r>
        <w:t>8.</w:t>
      </w:r>
      <w:r>
        <w:rPr>
          <w:rFonts w:ascii="仿宋" w:hAnsi="仿宋" w:eastAsia="仿宋" w:cs="仿宋"/>
          <w:sz w:val="28"/>
          <w:szCs w:val="28"/>
        </w:rPr>
        <w:t> 档案管理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——按采购人要求做好有关档案管理工作，建立设施设备维护检测记录、运行值班日记等物业档案管理内容。</w:t>
      </w:r>
    </w:p>
    <w:p>
      <w:pPr>
        <w:pStyle w:val="18"/>
        <w:spacing w:before="0" w:after="0" w:line="360" w:lineRule="auto"/>
        <w:rPr>
          <w:rFonts w:ascii="Times New Roman" w:hAnsi="Times New Roman" w:eastAsia="Times New Roman" w:cs="Times New Roman"/>
        </w:rPr>
      </w:pPr>
      <w:r>
        <w:rPr>
          <w:rFonts w:ascii="仿宋" w:hAnsi="仿宋" w:eastAsia="仿宋" w:cs="仿宋"/>
          <w:sz w:val="28"/>
          <w:szCs w:val="28"/>
        </w:rPr>
        <w:t>   （二）公共秩序管理</w:t>
      </w:r>
    </w:p>
    <w:p>
      <w:pPr>
        <w:pStyle w:val="9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1.秩序维护</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（1）门卫服务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服务内容：</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——秩序维护员通过对采购人单位出入口进行值守、验证、检查登记，维护客户安全；</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——查验出入人员的证件，办理登记手续，禁止无关人员进入；</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——对出入的人员、车辆及其携带或装运的物品进行查验，防止采购人单位财物流失及违禁物品流入；</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——指挥、疏导出入车辆，维护出入口的正常秩序；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——及时发现不法行为人，截获赃物，做好安全防范工作；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——协助采购人单位做好来访人员接待等工作；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——遇有重要活动，按照采购人安排配合完成相关工作；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——按规定填写岗位工作记录。</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岗位要求：</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——熟记采购人单位有关门卫规章制度、出入手续，使用的各种证件、标志、车辆的牌号等；</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——了解门卫区域内的环境状况和安全措施；</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——熟悉和掌握单位内部机构的分布、位置、联系方式；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——基本熟悉和掌握采购人单位内部人员情况；</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——熟练使用本岗位配备的各种器械及工具装备；</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——遵守保密制度规定，定期进行保密教育。</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（2）巡逻服务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服务内容：</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——秩序维护员通过对特定区域、地段和目标进行的巡视检查、警戒；</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——检查、发现、报告并及时消除各种安全隐患。防止火灾、爆炸等事故或抢劫、盗窃等不法侵害；</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——在巡逻过程中，对己经发生的不法侵害案件或治安灾害事故，应及时报告上级主管部门和公安单位，并采取相应措施保护现场；</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——按规定做好巡逻记录。</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岗位要求：</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——执行巡逻任务的秩序维护员，应熟悉有关制度、规定及巡逻区域的重点目标；</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——熟悉岗位周围的地形、地物及设施，熟悉应急设备的位置、性能和使用方法；</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——熟记与有关部门、人员的联系方式；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——熟练掌握处置一般问题和紧急情况的方法，自身解决不了的，能及时、准确报告；</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遇有正在实施的不法侵害行为时，应迅速报告，并依法采取必要措施予以制止，期间防止其行凶、自杀或逃跑。遇有火灾、爆炸等事故，应立即报警，并及时通知采购人单位，采取措施防止事态扩大。要积极协助抢救受伤人员，并做好保护现场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（3）监控安防</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——办公楼的监视监控设施应24小时开通，执行双人值班制度，保持完整的监控记录，保证对办公楼安全出入口、内部重点区域的安全监控、录像及协助布警；</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——监控中心收到火情、险情及其他异常情况报警信号后，应按流程规定及时向有关人员或部门报告，并安排保安人员及时赶到现场进行前期处理；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——监控的摄录资料应至少保持45天，有特殊要求的参照相关规定或行业标准执行。</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——保障治安电话、紧急救援电话畅通，接听及时；</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——不得泄露和传播监控录像内容，非经后勤主管部门领导批准和相关查看手续准予，不外借录像资料；</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——按规定填写值班记录。</w:t>
      </w:r>
    </w:p>
    <w:p>
      <w:pPr>
        <w:pStyle w:val="18"/>
        <w:spacing w:before="0" w:after="0" w:line="360" w:lineRule="auto"/>
        <w:rPr>
          <w:rFonts w:ascii="Times New Roman" w:hAnsi="Times New Roman" w:eastAsia="Times New Roman" w:cs="Times New Roman"/>
        </w:rPr>
      </w:pPr>
      <w:r>
        <w:rPr>
          <w:rFonts w:ascii="仿宋" w:hAnsi="仿宋" w:eastAsia="仿宋" w:cs="仿宋"/>
          <w:sz w:val="28"/>
          <w:szCs w:val="28"/>
        </w:rPr>
        <w:t>   2.消防安全</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——建立消防设备设施台账，了解掌握消防设备设施使用状态，确保消防通道畅通；</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——配合采购人保卫部门做好消防器材、标识标牌的日常检查与更新工作；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——定期开展消防培训和演习，签订安全责任书，保证值守人员掌握基本消防技能、熟练掌握防火、灭火知识、消防安全四个能力与消防安全四个知道及消防器材的使用方法，有自防自救能力；</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——值守人员为第一义务消防员，具备应急突发事件处理能力；</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——针对火灾、治安以及公共安全卫生制定各类应急预案，落实到位，及时报告，协助相关部门及人员采取应对措施。</w:t>
      </w:r>
    </w:p>
    <w:p>
      <w:pPr>
        <w:pStyle w:val="95"/>
        <w:spacing w:before="0" w:after="0" w:line="360" w:lineRule="auto"/>
        <w:ind w:firstLine="480"/>
        <w:rPr>
          <w:rFonts w:ascii="Times New Roman" w:hAnsi="Times New Roman" w:eastAsia="Times New Roman" w:cs="Times New Roman"/>
        </w:rPr>
      </w:pPr>
      <w:r>
        <w:t>3.</w:t>
      </w:r>
      <w:r>
        <w:rPr>
          <w:rFonts w:ascii="仿宋" w:hAnsi="仿宋" w:eastAsia="仿宋" w:cs="仿宋"/>
          <w:sz w:val="28"/>
          <w:szCs w:val="28"/>
        </w:rPr>
        <w:t> 停车场管理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 机动车辆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——严格执行车辆出入登记；</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——车辆停放整齐；</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——夜间车辆开出时，接到电话及时到岗放行；</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——维护停车场秩序，车辆停放有序；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——停车设施安全有效；</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——主要道路及停车场应设必要标识；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——对违规的机动车辆进行劝阻；</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——发现车辆有异常情况，应及时联系车主或向上级报告。</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(2) 非机动车辆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——为进入办公楼内的非机动车辆提供指定区域有序停放的服务。在场地内的车辆必须码放整齐，禁止乱停乱放；</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——严格遵守岗位执勤规范，避免丢失事故发生；</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——原则上应拒绝共享单车进入管理区域。</w:t>
      </w:r>
    </w:p>
    <w:p>
      <w:pPr>
        <w:pStyle w:val="95"/>
        <w:spacing w:before="0" w:after="0" w:line="360" w:lineRule="auto"/>
        <w:ind w:firstLine="480"/>
        <w:rPr>
          <w:rFonts w:ascii="Times New Roman" w:hAnsi="Times New Roman" w:eastAsia="Times New Roman" w:cs="Times New Roman"/>
        </w:rPr>
      </w:pPr>
      <w:r>
        <w:t>4.</w:t>
      </w:r>
      <w:r>
        <w:rPr>
          <w:rFonts w:ascii="仿宋" w:hAnsi="仿宋" w:eastAsia="仿宋" w:cs="仿宋"/>
          <w:sz w:val="28"/>
          <w:szCs w:val="28"/>
        </w:rPr>
        <w:t> 紧急情况的处置</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当发生干扰、破坏采购人单位正常的生产、生活、工作秩序的特殊情况时，秩序维护员应按照应急工作预案，迅速将有关情况报告采购人单位或当地公安单位。协助做好疏导工作，维护正常秩序。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(三) 环境保洁服务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1.一般要求</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——卫生设施完备、清洁、无异味，垃圾实施分类管理；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——明确清洁人员责任范围，实行标准化清洁；</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——垃圾分类，日产日清，定期消毒灭杀；</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——房屋共用部位保持清洁，无擅自占用和堆放杂物；</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——清洁工具分区分类定点摆放，整齐、干净；</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——保洁服务人员岗前培训工作到位，个人卫生保持良好；</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——建立保洁、消杀档案，填写工作记录。</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2.清洁对象及标准</w:t>
      </w:r>
    </w:p>
    <w:p>
      <w:pPr>
        <w:pStyle w:val="97"/>
        <w:spacing w:before="0" w:after="0" w:line="360" w:lineRule="auto"/>
        <w:ind w:left="0" w:right="0" w:firstLine="0"/>
        <w:rPr>
          <w:rFonts w:ascii="Times New Roman" w:hAnsi="Times New Roman" w:eastAsia="Times New Roman" w:cs="Times New Roman"/>
        </w:rPr>
      </w:pPr>
      <w:r>
        <w:rPr>
          <w:rFonts w:ascii="仿宋" w:hAnsi="仿宋" w:eastAsia="仿宋" w:cs="仿宋"/>
          <w:sz w:val="28"/>
          <w:szCs w:val="28"/>
        </w:rPr>
        <w:t> 办公楼各区域的清洁对象及要求如（表1）</w:t>
      </w:r>
    </w:p>
    <w:p>
      <w:pPr>
        <w:pStyle w:val="95"/>
        <w:spacing w:before="0" w:after="0" w:line="360" w:lineRule="auto"/>
        <w:ind w:left="0" w:right="0" w:firstLine="0"/>
        <w:rPr>
          <w:rFonts w:ascii="Times New Roman" w:hAnsi="Times New Roman" w:eastAsia="Times New Roman" w:cs="Times New Roman"/>
        </w:rPr>
      </w:pPr>
      <w:r>
        <w:rPr>
          <w:rFonts w:ascii="Times New Roman" w:hAnsi="Times New Roman" w:eastAsia="Times New Roman" w:cs="Times New Roman"/>
        </w:rPr>
        <w:t> </w:t>
      </w:r>
    </w:p>
    <w:tbl>
      <w:tblPr>
        <w:tblStyle w:val="98"/>
        <w:tblW w:w="9310" w:type="dxa"/>
        <w:tblCellSpacing w:w="0" w:type="dxa"/>
        <w:tblInd w:w="236" w:type="dxa"/>
        <w:tblLayout w:type="autofit"/>
        <w:tblCellMar>
          <w:top w:w="15" w:type="dxa"/>
          <w:left w:w="15" w:type="dxa"/>
          <w:bottom w:w="15" w:type="dxa"/>
          <w:right w:w="15" w:type="dxa"/>
        </w:tblCellMar>
      </w:tblPr>
      <w:tblGrid>
        <w:gridCol w:w="1093"/>
        <w:gridCol w:w="1201"/>
        <w:gridCol w:w="2790"/>
        <w:gridCol w:w="4226"/>
      </w:tblGrid>
      <w:tr>
        <w:trPr>
          <w:trHeight w:val="1115" w:hRule="atLeast"/>
          <w:tblCellSpacing w:w="0" w:type="dxa"/>
        </w:trPr>
        <w:tc>
          <w:tcPr>
            <w:tcW w:w="1093"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7"/>
              <w:spacing w:line="540" w:lineRule="atLeast"/>
              <w:ind w:left="0" w:right="0" w:firstLine="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200"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firstLine="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清洁区域</w:t>
            </w:r>
          </w:p>
        </w:tc>
        <w:tc>
          <w:tcPr>
            <w:tcW w:w="2789"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清洁对象</w:t>
            </w:r>
          </w:p>
        </w:tc>
        <w:tc>
          <w:tcPr>
            <w:tcW w:w="4224"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清洁标准</w:t>
            </w:r>
          </w:p>
        </w:tc>
      </w:tr>
      <w:tr>
        <w:trPr>
          <w:trHeight w:val="1159"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97"/>
              <w:spacing w:line="540" w:lineRule="atLeast"/>
              <w:ind w:left="0" w:right="0" w:firstLine="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楼内大厅、走廊</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天花板、灯罩、排风口</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清洁干净，无尘、无污、无网状物。</w:t>
            </w:r>
          </w:p>
        </w:tc>
      </w:tr>
      <w:tr>
        <w:trPr>
          <w:trHeight w:val="1115"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墙壁及踢脚板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无尘土、无手印、无污渍。</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办公室内标牌、开关面板、窗台</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整洁干净，无污渍、尘土。</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消防栓箱</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内外整洁、干净、内部设施完好无缺。</w:t>
            </w:r>
          </w:p>
        </w:tc>
      </w:tr>
      <w:tr>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center"/>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光亮，无杂物，无污渍，无尘土，无垃圾。</w:t>
            </w:r>
          </w:p>
        </w:tc>
      </w:tr>
      <w:tr>
        <w:trPr>
          <w:trHeight w:val="1444"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大厅、走廊内摆放物品</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表面干净、无尘土。</w:t>
            </w:r>
          </w:p>
        </w:tc>
      </w:tr>
      <w:tr>
        <w:trPr>
          <w:trHeight w:val="1670"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摆放的绿植</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盆体干净无尘土，绿叶无浮尘，盆内无杂物。</w:t>
            </w:r>
          </w:p>
        </w:tc>
      </w:tr>
      <w:tr>
        <w:tblPrEx>
          <w:tblCellMar>
            <w:top w:w="15" w:type="dxa"/>
            <w:left w:w="15" w:type="dxa"/>
            <w:bottom w:w="15" w:type="dxa"/>
            <w:right w:w="15" w:type="dxa"/>
          </w:tblCellMar>
        </w:tblPrEx>
        <w:trPr>
          <w:trHeight w:val="1670"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墙面、门面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洁净，无手印、无黑点、无污渍、无尘土。</w:t>
            </w:r>
          </w:p>
        </w:tc>
      </w:tr>
      <w:tr>
        <w:tblPrEx>
          <w:tblCellMar>
            <w:top w:w="15" w:type="dxa"/>
            <w:left w:w="15" w:type="dxa"/>
            <w:bottom w:w="15" w:type="dxa"/>
            <w:right w:w="15" w:type="dxa"/>
          </w:tblCellMar>
        </w:tblPrEx>
        <w:trPr>
          <w:trHeight w:val="1279"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玻璃镜面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保持光亮，无水点和水渍、无手印。</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灯罩、天花板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保证无尘土、无污渍。</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台面、洗手盆</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无污物、无水迹、无杂物，白洁光亮。</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大便器、小便池</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上下内外保持干净，光亮白洁，无黄垢、无毛发、无杂物。</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保持干净光洁，边角无杂物、无污迹、无水迹。</w:t>
            </w:r>
          </w:p>
        </w:tc>
      </w:tr>
      <w:tr>
        <w:tblPrEx>
          <w:tblCellMar>
            <w:top w:w="15" w:type="dxa"/>
            <w:left w:w="15" w:type="dxa"/>
            <w:bottom w:w="15" w:type="dxa"/>
            <w:right w:w="15" w:type="dxa"/>
          </w:tblCellMar>
        </w:tblPrEx>
        <w:trPr>
          <w:trHeight w:val="2224"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垃圾及时清倒，垃圾袋及时更换，垃圾桶内、桶及桶后墙面保持无污迹。</w:t>
            </w:r>
          </w:p>
        </w:tc>
      </w:tr>
      <w:tr>
        <w:trPr>
          <w:trHeight w:val="1115"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卫生间内空气</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清新无异味。</w:t>
            </w:r>
          </w:p>
        </w:tc>
      </w:tr>
      <w:tr>
        <w:tblPrEx>
          <w:tblCellMar>
            <w:top w:w="15" w:type="dxa"/>
            <w:left w:w="15" w:type="dxa"/>
            <w:bottom w:w="15" w:type="dxa"/>
            <w:right w:w="15" w:type="dxa"/>
          </w:tblCellMar>
        </w:tblPrEx>
        <w:trPr>
          <w:trHeight w:val="1669"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卫生间内各种设备</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完好无损，发现损坏及时报修。</w:t>
            </w:r>
          </w:p>
        </w:tc>
      </w:tr>
      <w:tr>
        <w:tblPrEx>
          <w:tblCellMar>
            <w:top w:w="15" w:type="dxa"/>
            <w:left w:w="15" w:type="dxa"/>
            <w:bottom w:w="15" w:type="dxa"/>
            <w:right w:w="15" w:type="dxa"/>
          </w:tblCellMar>
        </w:tblPrEx>
        <w:trPr>
          <w:trHeight w:val="1115"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步梯</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楼梯内的顶板及灯具</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无尘、无污迹。</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墙面及踢脚板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干净，无尘土、无污迹。</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扶手、栏杆</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无尘土、无污渍。</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楼道内</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无堆放杂物</w:t>
            </w:r>
          </w:p>
        </w:tc>
      </w:tr>
      <w:tr>
        <w:tblPrEx>
          <w:tblCellMar>
            <w:top w:w="15" w:type="dxa"/>
            <w:left w:w="15" w:type="dxa"/>
            <w:bottom w:w="15" w:type="dxa"/>
            <w:right w:w="15" w:type="dxa"/>
          </w:tblCellMar>
        </w:tblPrEx>
        <w:trPr>
          <w:trHeight w:val="2225" w:hRule="atLeast"/>
          <w:tblCellSpacing w:w="0" w:type="dxa"/>
        </w:trPr>
        <w:tc>
          <w:tcPr>
            <w:tcW w:w="1093"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1200"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室外</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室外环境和“门前三包”责任区</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整洁干净，无乱堆乱放，无积水。无违法张贴，无违法喷涂，无乱刻乱划。</w:t>
            </w:r>
          </w:p>
        </w:tc>
      </w:tr>
      <w:tr>
        <w:trPr>
          <w:trHeight w:val="2224"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会议室及活动室</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标牌、开关、面板、窗台、桌椅、电脑、地面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每天保洁一次，整洁干净。</w:t>
            </w:r>
          </w:p>
        </w:tc>
      </w:tr>
      <w:tr>
        <w:trPr>
          <w:trHeight w:val="1670"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光亮，无杂物、无污渍、无尘土、无垃圾。</w:t>
            </w:r>
          </w:p>
        </w:tc>
      </w:tr>
      <w:tr>
        <w:trPr>
          <w:trHeight w:val="7754" w:hRule="atLeast"/>
          <w:tblCellSpacing w:w="0" w:type="dxa"/>
        </w:trPr>
        <w:tc>
          <w:tcPr>
            <w:tcW w:w="1093"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tcW w:w="1200"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门前三包</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三包区域内楼前灯、垃圾桶、宣传栏、室外标志牌等</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1.宣传栏、室外标志牌、灯杆等无灰尘、无污痕、无破损、无黏贴；</w:t>
            </w:r>
          </w:p>
          <w:p>
            <w:pPr>
              <w:pStyle w:val="97"/>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2.生活垃圾装袋入桶，垃圾桶、果皮箱无异味，夏天每天消毒，桶、箱外壁干净、无明显污渍；</w:t>
            </w:r>
          </w:p>
          <w:p>
            <w:pPr>
              <w:pStyle w:val="97"/>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3.工程垃圾以及有害垃圾专门地点存放，不得放入垃圾桶内； </w:t>
            </w:r>
          </w:p>
          <w:p>
            <w:pPr>
              <w:pStyle w:val="93"/>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4.楼前灯无灰尘、无污痕、无损坏；</w:t>
            </w:r>
          </w:p>
          <w:p>
            <w:pPr>
              <w:pStyle w:val="97"/>
              <w:spacing w:before="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5.区域内落叶、积水等应按照每天作息时间上班前进行清扫，保证路面不积水、不结冰。</w:t>
            </w:r>
          </w:p>
        </w:tc>
      </w:tr>
    </w:tbl>
    <w:p>
      <w:pPr>
        <w:pStyle w:val="9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3.清洁作业要求</w:t>
      </w:r>
    </w:p>
    <w:p>
      <w:pPr>
        <w:pStyle w:val="9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95"/>
        <w:spacing w:before="0" w:after="0" w:line="360" w:lineRule="auto"/>
        <w:rPr>
          <w:rFonts w:ascii="Times New Roman" w:hAnsi="Times New Roman" w:eastAsia="Times New Roman" w:cs="Times New Roman"/>
        </w:rPr>
      </w:pPr>
      <w:r>
        <w:rPr>
          <w:rFonts w:ascii="仿宋" w:hAnsi="仿宋" w:eastAsia="仿宋" w:cs="仿宋"/>
          <w:sz w:val="28"/>
          <w:szCs w:val="28"/>
        </w:rPr>
        <w:t> 办公楼各区域清洁作业要求如（表2）</w:t>
      </w:r>
    </w:p>
    <w:tbl>
      <w:tblPr>
        <w:tblStyle w:val="100"/>
        <w:tblW w:w="9342" w:type="dxa"/>
        <w:tblCellSpacing w:w="0" w:type="dxa"/>
        <w:tblInd w:w="344" w:type="dxa"/>
        <w:tblLayout w:type="autofit"/>
        <w:tblCellMar>
          <w:top w:w="15" w:type="dxa"/>
          <w:left w:w="15" w:type="dxa"/>
          <w:bottom w:w="15" w:type="dxa"/>
          <w:right w:w="15" w:type="dxa"/>
        </w:tblCellMar>
      </w:tblPr>
      <w:tblGrid>
        <w:gridCol w:w="1201"/>
        <w:gridCol w:w="1147"/>
        <w:gridCol w:w="2126"/>
        <w:gridCol w:w="1932"/>
        <w:gridCol w:w="2936"/>
      </w:tblGrid>
      <w:tr>
        <w:tblPrEx>
          <w:tblCellMar>
            <w:top w:w="15" w:type="dxa"/>
            <w:left w:w="15" w:type="dxa"/>
            <w:bottom w:w="15" w:type="dxa"/>
            <w:right w:w="15" w:type="dxa"/>
          </w:tblCellMar>
        </w:tblPrEx>
        <w:trPr>
          <w:tblCellSpacing w:w="0" w:type="dxa"/>
        </w:trPr>
        <w:tc>
          <w:tcPr>
            <w:tcW w:w="1485" w:type="dxa"/>
            <w:tcBorders>
              <w:top w:val="single" w:color="000000" w:sz="8" w:space="0"/>
              <w:left w:val="single" w:color="000000" w:sz="8" w:space="0"/>
              <w:bottom w:val="single" w:color="000000" w:sz="8" w:space="0"/>
              <w:right w:val="single" w:color="000000" w:sz="8" w:space="0"/>
            </w:tcBorders>
            <w:shd w:val="clear" w:color="auto" w:fill="D9D9D9"/>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区域</w:t>
            </w:r>
          </w:p>
        </w:tc>
        <w:tc>
          <w:tcPr>
            <w:tcW w:w="1170"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分类</w:t>
            </w:r>
          </w:p>
        </w:tc>
        <w:tc>
          <w:tcPr>
            <w:tcW w:w="2730"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作业项目</w:t>
            </w:r>
          </w:p>
        </w:tc>
        <w:tc>
          <w:tcPr>
            <w:tcW w:w="2446"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作业方式</w:t>
            </w:r>
          </w:p>
        </w:tc>
        <w:tc>
          <w:tcPr>
            <w:tcW w:w="3891"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周期</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一层大厅</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after="240"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99"/>
              <w:spacing w:before="240"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地面及入口处</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墩拖、牵尘</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不少于3次/日，随时巡视</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玻璃门</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1次/日，随时巡视</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各种标牌、消防器材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墙壁和墙壁上装饰物、开关盒</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各类栏杆、扶手、柱子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定期保洁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天花板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2次/月</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踢脚板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2次/周</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顶灯</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1次/月</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二层以上各楼层通道及茶水间</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墩拖、牵尘</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不少于2次/日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各种标牌、消防器材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墙壁和墙壁上装饰物、开关盒</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各类栏杆、扶手、柱子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定期保洁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天花板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2次/月</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踢脚板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2次/周</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顶灯</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1次/半年</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firstLine="8"/>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楼梯</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梯阶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清扫、墩拖</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窗台、楼梯扶手、栏杆及挡板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墙体附属物</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2次/周</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firstLine="8"/>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大、小便池内外侧</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冲刷、擦拭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6-22时巡视保洁至少4次/日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纸篓</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倾倒垃圾，清洁纸篓，更换垃圾袋</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清扫、墩拖</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巡视保洁至少3-5次/日（根据人流量设定）</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云台、面盆、镜面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巡视保洁至少3-5次/日（根据人流量设定）</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门窗、隔断板、墙壁、窗台</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水龙头等金属物</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会议室</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after="240" w:line="540" w:lineRule="atLeast"/>
              <w:ind w:left="562" w:right="0" w:hanging="562"/>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99"/>
              <w:spacing w:before="240" w:line="540" w:lineRule="atLeast"/>
              <w:ind w:left="562" w:right="0" w:hanging="562"/>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擦拭、清扫</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桌椅及其他家具、窗台、窗框</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茶具</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清洗、消毒</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根据会议情况准备</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倾倒垃圾，清洁垃圾桶，更换垃圾袋</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定期保洁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墩拖</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2-3次/周</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顶灯、壁灯</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1次/半年</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楼宇外围</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after="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99"/>
              <w:spacing w:before="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清扫</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墙面、柱子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巡视清理</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不锈钢围栏</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门前三包</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after="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99"/>
              <w:spacing w:before="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宣传栏、标志牌</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垃圾桶、果皮箱</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bl>
    <w:p>
      <w:pPr>
        <w:pStyle w:val="95"/>
        <w:spacing w:before="0" w:after="0" w:line="360" w:lineRule="auto"/>
        <w:ind w:left="0" w:right="0" w:firstLine="560"/>
        <w:rPr>
          <w:rFonts w:ascii="Times New Roman" w:hAnsi="Times New Roman" w:eastAsia="Times New Roman" w:cs="Times New Roman"/>
        </w:rPr>
      </w:pPr>
      <w:r>
        <w:t> </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4. 垃圾分类</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——垃圾应分类管理，最大限度地实现垃圾资源利用，减少垃圾处置量；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——做好垃圾分类宣传，倡导绿色环保理念，实现垃圾分类投放；</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——根据实际情况，按照可回收物、有害垃圾、厨余垃圾（湿垃圾）、其他垃圾（干垃圾）分别设置垃圾桶，实现分类储存；</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——垃圾收集严格按照分类原则，实现垃圾分类搬运。</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5.垃圾中转站管理</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——中转站为办公楼保洁收集垃圾的临时存放处，垃圾应进行分类，做到分类存放，日产日清；</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——中转站应随脏随打扫,做到站内墙面及天花板无积灰、污迹、蛛网，无乱涂乱画，墙面光洁，外墙面整洁，垃圾清场后应认真冲洗；</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应做好中转站及周围3米内的消杀工作，严格做到每天上午10：00左右消杀一次，下午4：00左右消杀一次，垃圾清运后消杀一次，另视垃圾产量、垃圾成份或天气等具体情况可适当增加消杀次数，尽量减少苍蝇密度；</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——废品不得堆放在中转站外，不得在中转站内外燃烧废品；</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——设立垃圾分类相关设施，做到垃圾减量化、垃圾资源化；</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——及时收管站内工具和设施，对站内设备和设施的完好情况登记，故障要及时汇报；</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——把安全生产放在首位，消除一切不安全因素，做到早发现，早预防，确保安全运行；</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——工作结束后，做好室内外环境卫生，切断电源，关闭水龙头，关锁好门窗；</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——做好节能环保和垃圾处理相关知识宣传，努力实现垃圾减量，厨余垃圾无害化处理。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6.有害生物防治</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——防治方案：防治害虫采用预防为主，综合防治的方法。按照合同防治方案及标准进行治理；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——药物成份：符合国家规范要求，药物安全、环保、无异味；</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——防治人员服务时着装整齐，持证上岗，按照规范操作。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（四）会议服务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 1. 会议室及其用品管理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——会议室专人管理；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——茶具严格消毒、烫洗，封存，达到卫生安全标准；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——毛巾：洗净后应放在蒸箱内高温消毒。</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2.会议受理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——签订会议预定单，详细记录客户会议需求。</w:t>
      </w:r>
    </w:p>
    <w:p>
      <w:pPr>
        <w:pStyle w:val="95"/>
        <w:spacing w:before="0" w:after="0" w:line="360" w:lineRule="auto"/>
        <w:ind w:firstLine="480"/>
        <w:rPr>
          <w:rFonts w:ascii="Times New Roman" w:hAnsi="Times New Roman" w:eastAsia="Times New Roman" w:cs="Times New Roman"/>
        </w:rPr>
      </w:pPr>
      <w:r>
        <w:t>3.</w:t>
      </w:r>
      <w:r>
        <w:rPr>
          <w:rFonts w:ascii="仿宋" w:hAnsi="仿宋" w:eastAsia="仿宋" w:cs="仿宋"/>
          <w:sz w:val="28"/>
          <w:szCs w:val="28"/>
        </w:rPr>
        <w:t>会议前准备</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——场地布置：根据组会方要求、场地大小、用途，明确摆放规定，同时须留有足够的应急疏散通道疏散出口；</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——引导服务：按照会议预定单做好水牌并放置在指定位置；引导人员原则上于会议开始前就位。引导手势规范，语言标准；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rPr>
        <w:t>4.</w:t>
      </w:r>
      <w:r>
        <w:rPr>
          <w:rFonts w:ascii="仿宋" w:hAnsi="仿宋" w:eastAsia="仿宋" w:cs="仿宋"/>
          <w:sz w:val="28"/>
          <w:szCs w:val="28"/>
        </w:rPr>
        <w:t> 会中服务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——会议开始，根据需要为主席台提供服务；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开始后立即给茶杯加满水；茶水加满后立即摆放热毛巾；首次满水后15分钟进行第二次续水；之后每30分钟续水一次；续水时应左手拿暖瓶，从客人右侧，微侧身用右手中指和无名指夹起杯盖，用拇指、食指握住杯把，在客人身后加水，再轻轻的将水杯放在桌上，盖上杯盖，杯把朝向客人的右边。注意续水时倒杯子的八分为宜，续水时应慢，以免开水溅到客人身上。如是矿泉水，要随时注意客人饮用情况，及时更换；</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——会议时间较长时：如果中间休息，服务员要及时整理好座椅、桌面用品，续水，增补便签。在整理时，注意不要弄乱和翻阅桌的文件、本册等；</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召开期间保证会场内（如组会方许可）及会议室外至少各保留一名服务人员进行服务，随时解决与会人员提出的临时要求。会议进行过程中，细心观察会议室动静，如发现客人有事招呼，要立即应承，如客人的要求暂时无法满足，要及时汇报上级，确实无法满足的应向客人解释清楚；会议接待员及协助服务会议的接待员要保持工作纪律，不允许嬉笑、打闹、对会场内指指点点，做出不文明举动；</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结束前，各引导人员迅速抵达岗位，进行疏散。不得影响其他会议正常进行。会议结束后将茶具、会议用品、台型及室内卫生恢复到最佳状态，茶具及时清洗、消毒。关闭所有设备，整理会场，最后关闭电灯、门窗离开。</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rPr>
        <w:t>5.</w:t>
      </w:r>
      <w:r>
        <w:rPr>
          <w:rFonts w:ascii="仿宋" w:hAnsi="仿宋" w:eastAsia="仿宋" w:cs="仿宋"/>
          <w:sz w:val="28"/>
          <w:szCs w:val="28"/>
        </w:rPr>
        <w:t>会后整理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——对会议现场进行检查。如发现参会人员遗忘的物品，要立即归还；</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——请组会方填写会议满意度调查表。</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rPr>
        <w:t>6.</w:t>
      </w:r>
      <w:r>
        <w:rPr>
          <w:rFonts w:ascii="仿宋" w:hAnsi="仿宋" w:eastAsia="仿宋" w:cs="仿宋"/>
          <w:sz w:val="28"/>
          <w:szCs w:val="28"/>
        </w:rPr>
        <w:t>会议安全服务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——制定会议、活动突发事件的应急预案；</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——对于100人以上的大型会议，会前应将会议中心疏散图、各疏散通道位置告知组会方，并提醒组会方顺序退场；</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——发生紧急事件时，立即组织相关责任人处理，按应急方案制定的措施执行，并分析原因，提出整改方案和预防措施。</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（五）特约服务 （食堂餐饮服务）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（1）人员管理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——投标方应积极维护采购人的利益，为采购人提供及时、高效、高质量的服务；投标方需配合采购人对食堂人员进行统一管理，采购人负责食堂食材的采买；</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——服从领导，积极工作，对本职工作认真负责；</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——厨师不得允许任何人在非吃饭时间进入餐厅；</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——严格遵守劳动纪律，不迟到不早退，自觉坚守工作岗位，工作时间不随意离开工作岗位。</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——注意个人卫生，定期体检，工作时间不准吸烟、不留长发、长指甲，搞好个人卫生和环境卫生，做到文明服务；虚心听取意见，改进工作。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——虚心学习技术，努力钻研业务，不断提高烹饪技术水平，逐步达到一定技术等级。</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（2）饮食管理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食品要烧熟煮透，烧好的菜要及时送进熟食间，生熟严格分开，隔餐要回锅烧透；配菜时要注意规格、质量，档次按配比标准执行。按时、按标准做饭，确保准时用餐；每天剩余的成品、半成品，妥善处理，安全存放；</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——开饭时，要及时掌握窗口供需情况，及时补充，确保供应；严格执行用餐规定，杜绝浪费；</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——注意控制和节约食堂成本，热心为用餐者服务，提高服务质量，搞好饮食服务工作。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（3）卫生要求</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——严格把好食品卫生关，保证饮食卫生，防止食物中毒；认真做好厨房内清洁卫生工作；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——保持灶面和环境清洁卫生，调料盆放在固定位置，做到清洁卫生，操作工具用毕洗净擦干，放在架上；</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——服务人员必须保证食堂地面及桌椅的干净整洁；无灰尘、污渍、杂物；垃圾须清理。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（4）安全管理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——注意搞好防火工作，安全使用燃气，防止火灾。 节约水、电、煤、粮、油，爱护食堂设施。严格按操作规程使用机械炊具，避免伤亡事故发生；</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——在服务时应对食堂原有设备设施进行检查，确保所有设施设备正常工作。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（六）突发事件应急管理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 重点部位及安全隐患排查</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——结合办公楼的实际情况，对重点部位及危险隐患进行排查，并建立清单/台账；</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——应对危险隐患进行风险分析，制定相应措施进行控制或整改并定期监控；</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——随着设施设备、服务内容的变化，及时更新清单/台账,使风险隐患始终处于受控状态。</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2.应急预案的建立</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（1）应急预案类型</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——预案包括综合预案、专项预案和现场处置方案；</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办公楼隐患排查的结果和实际情况，制定专项预案，包括但不限于：火情火警紧急处理应急预案、紧急疏散应急预案、停电应急预案、有限空间救援应急预案、高空作业救援应急预案、恶劣天气应对应急预案等；</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（2）应急预案的培训和演练</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——应急预案定期培训和演练，每半年至少组织相关岗位进行一次专项应急预案演练；</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——留存培训及演练记录和影像资料，并对预案进行评价，确保与实际情况相结合。</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（3）应急物资的管理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——根据专项预案中的应对需要，合理配置必要的应急物资，建立清单或台账，并专人管理；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——定期对应急物资进行检查，确保能够随时正常使用。</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（七）绿色物业管理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绿色物业管理的主要管理措施包括但不限于：</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节能：基于办公楼的能耗组成、能耗设备及运行规律、能耗特点等，进行用能分析，查找存在问题与漏洞，给出针对主要耗能对象制定节能改造方案，报政府主管部门同意后实施。节能改造完成后应对实施效果的功能性、经济性进行评价；</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——节水：利用节水技术和设施，杜绝“跑、冒、滴、漏”；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——垃圾分类：配合当地的城市管理要求，进行垃圾分类宣传和行为引导，设立生活垃圾分类集中投放点和分类收集容器，对生活垃圾分类收集、分类暂存和分类交运；</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——环境绿化：选用有机肥料和生物治虫技术，营造生态环境；</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——控烟管理：办公楼内严禁吸烟，会议室、值班室等不设烟灰缸，发现吸烟人员及时劝阻；</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——污染防治：实施雨水、污水分流管理，控制设备噪声、作业噪声和粉尘排放，对有毒化学品容器、机油抹布等固体废弃物等进行有效处置等；</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——绿色采购：优先采购政府公布的绿色采购清单物质。 </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（八）标准化建设</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——熟悉并按照当地政务单位标准化服务要求做好相应的制度与保障服务工作；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——根据政府部门要求做好相关的标准化服务。</w:t>
      </w:r>
    </w:p>
    <w:p>
      <w:pPr>
        <w:pStyle w:val="90"/>
        <w:keepNext w:val="0"/>
        <w:spacing w:before="0" w:after="0" w:line="360" w:lineRule="auto"/>
        <w:jc w:val="center"/>
        <w:rPr>
          <w:rFonts w:ascii="仿宋_GB2312" w:hAnsi="仿宋_GB2312" w:eastAsia="仿宋_GB2312" w:cs="仿宋_GB2312"/>
          <w:b/>
          <w:bCs/>
          <w:sz w:val="32"/>
          <w:szCs w:val="32"/>
        </w:rPr>
      </w:pPr>
      <w:bookmarkStart w:id="24" w:name="_Toc256000020"/>
      <w:r>
        <w:rPr>
          <w:rFonts w:ascii="仿宋_GB2312" w:hAnsi="仿宋_GB2312" w:eastAsia="仿宋_GB2312" w:cs="仿宋_GB2312"/>
          <w:kern w:val="36"/>
        </w:rPr>
        <w:t>4人员要求</w:t>
      </w:r>
      <w:bookmarkEnd w:id="24"/>
    </w:p>
    <w:p>
      <w:pPr>
        <w:pStyle w:val="91"/>
        <w:keepNext w:val="0"/>
        <w:spacing w:before="0" w:after="0" w:line="360" w:lineRule="auto"/>
        <w:rPr>
          <w:rFonts w:ascii="仿宋_GB2312" w:hAnsi="仿宋_GB2312" w:eastAsia="仿宋_GB2312" w:cs="仿宋_GB2312"/>
          <w:b/>
          <w:bCs/>
          <w:sz w:val="28"/>
          <w:szCs w:val="28"/>
        </w:rPr>
      </w:pPr>
      <w:bookmarkStart w:id="25" w:name="_Toc256000021"/>
      <w:r>
        <w:rPr>
          <w:rFonts w:ascii="仿宋_GB2312" w:hAnsi="仿宋_GB2312" w:eastAsia="仿宋_GB2312" w:cs="仿宋_GB2312"/>
          <w:i w:val="0"/>
          <w:iCs w:val="0"/>
        </w:rPr>
        <w:t>4.1总体要求</w:t>
      </w:r>
      <w:bookmarkEnd w:id="25"/>
    </w:p>
    <w:p>
      <w:pPr>
        <w:pStyle w:val="95"/>
        <w:spacing w:before="0" w:after="0" w:line="360" w:lineRule="auto"/>
        <w:ind w:firstLine="562"/>
        <w:rPr>
          <w:rFonts w:ascii="Times New Roman" w:hAnsi="Times New Roman" w:eastAsia="Times New Roman" w:cs="Times New Roman"/>
        </w:rPr>
      </w:pPr>
      <w:r>
        <w:rPr>
          <w:rFonts w:ascii="仿宋" w:hAnsi="仿宋" w:eastAsia="仿宋" w:cs="仿宋"/>
          <w:sz w:val="28"/>
          <w:szCs w:val="28"/>
        </w:rPr>
        <w:t>1.持证上岗</w:t>
      </w:r>
    </w:p>
    <w:p>
      <w:pPr>
        <w:pStyle w:val="101"/>
        <w:spacing w:before="0" w:after="0" w:line="360" w:lineRule="auto"/>
        <w:rPr>
          <w:rFonts w:ascii="Times New Roman" w:hAnsi="Times New Roman" w:eastAsia="Times New Roman" w:cs="Times New Roman"/>
        </w:rPr>
      </w:pPr>
      <w:r>
        <w:rPr>
          <w:rFonts w:ascii="仿宋" w:hAnsi="仿宋" w:eastAsia="仿宋" w:cs="仿宋"/>
          <w:sz w:val="21"/>
          <w:szCs w:val="21"/>
        </w:rPr>
        <w:t>    </w:t>
      </w:r>
      <w:r>
        <w:rPr>
          <w:rFonts w:ascii="仿宋" w:hAnsi="仿宋" w:eastAsia="仿宋" w:cs="仿宋"/>
          <w:sz w:val="28"/>
          <w:szCs w:val="28"/>
        </w:rPr>
        <w:t>根据国家有关规定及行业要求，物业管理的部分岗位要求持证上岗：</w:t>
      </w:r>
    </w:p>
    <w:p>
      <w:pPr>
        <w:pStyle w:val="95"/>
        <w:spacing w:before="0" w:after="0" w:line="360" w:lineRule="auto"/>
        <w:ind w:firstLine="562"/>
        <w:rPr>
          <w:rFonts w:ascii="Times New Roman" w:hAnsi="Times New Roman" w:eastAsia="Times New Roman" w:cs="Times New Roman"/>
        </w:rPr>
      </w:pPr>
      <w:r>
        <w:rPr>
          <w:rFonts w:ascii="仿宋" w:hAnsi="仿宋" w:eastAsia="仿宋" w:cs="仿宋"/>
          <w:sz w:val="28"/>
          <w:szCs w:val="28"/>
        </w:rPr>
        <w:t>2.职业素质</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（1）政治素质</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热爱祖国、诚实守信；爱岗敬业，恪尽职守；遵纪守法，团结协作；无违法犯罪记录。</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（2）业务技能</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具备基本法律知识，了解有关岗位管理政策、规定，熟悉物业服务区域基本情况；具备较强的语言、文字表达能力和沟通能力；具备与岗位职责相应的观察、发现、处置问题能力；熟练使用相关专用设施设备。</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（3）身体素质</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仪表端庄，具备岗位需要的身体条件等。</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（4）文化素质</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具备相应的专业业务知识和技能。</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（5）年龄条件</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依据国家有关行业危险等级划分，秩序维护员等岗位人员年龄应符合国家法律规定的最低或最高年龄要求。</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（6）安全生产</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严格按安全操作规程操作，不得违章作业、违章指挥。</w:t>
      </w:r>
    </w:p>
    <w:p>
      <w:pPr>
        <w:pStyle w:val="95"/>
        <w:spacing w:before="0" w:after="0" w:line="360" w:lineRule="auto"/>
        <w:ind w:firstLine="562"/>
        <w:rPr>
          <w:rFonts w:ascii="Times New Roman" w:hAnsi="Times New Roman" w:eastAsia="Times New Roman" w:cs="Times New Roman"/>
        </w:rPr>
      </w:pPr>
      <w:r>
        <w:rPr>
          <w:rFonts w:ascii="仿宋" w:hAnsi="仿宋" w:eastAsia="仿宋" w:cs="仿宋"/>
          <w:sz w:val="28"/>
          <w:szCs w:val="28"/>
        </w:rPr>
        <w:t>3.行为规范</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（1）着装</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统一着装、干净整洁，并按规定佩带标志，因私外出时应着便服。</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 xml:space="preserve">（2）纪律 </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姿态端正、工作规范、举止文明、精神饱满、表情自然；语言简洁、文明，主动、热情、耐心、周到并及时、主动提供服务；严格履行岗位职责；不准刁难客户及来访人员；不得脱岗、空岗、睡岗，不准迟到、早退，在岗期间不准做与工作无关的事；遵守采购人单位内部的规章制度，不准随意打听、记录、传播采购人单位内部的信息；有重要情况妥善处置并及时上报。不准迟报、漏报、瞒报；认真填写值班记录，做好交接班工作；爱护公物，爱护客户财物；自觉维护环境卫生，保持物业服务区域整齐清洁。</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shd w:val="clear" w:color="auto" w:fill="FFFFFF"/>
        </w:rPr>
        <w:t>4.投标方根据管理和技术团队岗位制定人力资源配置，但总人数不得低于41人。</w:t>
      </w:r>
    </w:p>
    <w:p>
      <w:pPr>
        <w:pStyle w:val="91"/>
        <w:keepNext w:val="0"/>
        <w:spacing w:before="0" w:after="0" w:line="360" w:lineRule="auto"/>
        <w:rPr>
          <w:rFonts w:ascii="仿宋_GB2312" w:hAnsi="仿宋_GB2312" w:eastAsia="仿宋_GB2312" w:cs="仿宋_GB2312"/>
          <w:b/>
          <w:bCs/>
          <w:sz w:val="28"/>
          <w:szCs w:val="28"/>
        </w:rPr>
      </w:pPr>
      <w:bookmarkStart w:id="26" w:name="_Toc256000022"/>
      <w:r>
        <w:rPr>
          <w:rFonts w:ascii="仿宋_GB2312" w:hAnsi="仿宋_GB2312" w:eastAsia="仿宋_GB2312" w:cs="仿宋_GB2312"/>
          <w:i w:val="0"/>
          <w:iCs w:val="0"/>
        </w:rPr>
        <w:t>4.2管理团队</w:t>
      </w:r>
      <w:bookmarkEnd w:id="26"/>
    </w:p>
    <w:p>
      <w:pPr>
        <w:pStyle w:val="92"/>
        <w:keepNext w:val="0"/>
        <w:spacing w:before="0" w:after="0" w:line="360" w:lineRule="auto"/>
        <w:rPr>
          <w:rFonts w:ascii="仿宋_GB2312" w:hAnsi="仿宋_GB2312" w:eastAsia="仿宋_GB2312" w:cs="仿宋_GB2312"/>
          <w:b/>
          <w:bCs/>
          <w:sz w:val="28"/>
          <w:szCs w:val="28"/>
        </w:rPr>
      </w:pPr>
      <w:bookmarkStart w:id="27" w:name="_Toc256000023"/>
      <w:r>
        <w:rPr>
          <w:rFonts w:ascii="仿宋_GB2312" w:hAnsi="仿宋_GB2312" w:eastAsia="仿宋_GB2312" w:cs="仿宋_GB2312"/>
          <w:sz w:val="28"/>
          <w:szCs w:val="28"/>
        </w:rPr>
        <w:t>4.2.1项目经理</w:t>
      </w:r>
      <w:bookmarkEnd w:id="27"/>
    </w:p>
    <w:tbl>
      <w:tblPr>
        <w:tblStyle w:val="98"/>
        <w:tblW w:w="10960" w:type="dxa"/>
        <w:jc w:val="center"/>
        <w:tblCellSpacing w:w="0" w:type="dxa"/>
        <w:tblLayout w:type="autofit"/>
        <w:tblCellMar>
          <w:top w:w="15" w:type="dxa"/>
          <w:left w:w="15" w:type="dxa"/>
          <w:bottom w:w="15" w:type="dxa"/>
          <w:right w:w="15" w:type="dxa"/>
        </w:tblCellMar>
      </w:tblPr>
      <w:tblGrid>
        <w:gridCol w:w="1176"/>
        <w:gridCol w:w="1633"/>
        <w:gridCol w:w="988"/>
        <w:gridCol w:w="1673"/>
        <w:gridCol w:w="1124"/>
        <w:gridCol w:w="1614"/>
        <w:gridCol w:w="2752"/>
      </w:tblGrid>
      <w:tr>
        <w:tblPrEx>
          <w:tblCellMar>
            <w:top w:w="15" w:type="dxa"/>
            <w:left w:w="15" w:type="dxa"/>
            <w:bottom w:w="15" w:type="dxa"/>
            <w:right w:w="15" w:type="dxa"/>
          </w:tblCellMar>
        </w:tblPrEx>
        <w:trPr>
          <w:trHeight w:val="2780" w:hRule="atLeast"/>
          <w:tblCellSpacing w:w="0" w:type="dxa"/>
          <w:jc w:val="center"/>
        </w:trPr>
        <w:tc>
          <w:tcPr>
            <w:tcW w:w="1175" w:type="dxa"/>
            <w:tcBorders>
              <w:top w:val="single" w:color="000000" w:sz="8" w:space="0"/>
              <w:left w:val="single" w:color="000000" w:sz="8" w:space="0"/>
              <w:bottom w:val="single" w:color="000000" w:sz="8" w:space="0"/>
              <w:right w:val="single" w:color="000000" w:sz="8" w:space="0"/>
            </w:tcBorders>
            <w:shd w:val="clear" w:color="auto" w:fill="BFBFBF"/>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63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地点</w:t>
            </w:r>
          </w:p>
        </w:tc>
        <w:tc>
          <w:tcPr>
            <w:tcW w:w="986"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班次</w:t>
            </w:r>
          </w:p>
        </w:tc>
        <w:tc>
          <w:tcPr>
            <w:tcW w:w="167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配置岗位</w:t>
            </w:r>
          </w:p>
        </w:tc>
        <w:tc>
          <w:tcPr>
            <w:tcW w:w="1122"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人员编制</w:t>
            </w:r>
          </w:p>
        </w:tc>
        <w:tc>
          <w:tcPr>
            <w:tcW w:w="1611"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备注（岗位所需服务时长或时段）</w:t>
            </w:r>
          </w:p>
        </w:tc>
        <w:tc>
          <w:tcPr>
            <w:tcW w:w="2747"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要求</w:t>
            </w:r>
          </w:p>
        </w:tc>
      </w:tr>
      <w:tr>
        <w:tblPrEx>
          <w:tblCellMar>
            <w:top w:w="15" w:type="dxa"/>
            <w:left w:w="15" w:type="dxa"/>
            <w:bottom w:w="15" w:type="dxa"/>
            <w:right w:w="15" w:type="dxa"/>
          </w:tblCellMar>
        </w:tblPrEx>
        <w:trPr>
          <w:trHeight w:val="3690" w:hRule="atLeast"/>
          <w:tblCellSpacing w:w="0" w:type="dxa"/>
          <w:jc w:val="center"/>
        </w:trPr>
        <w:tc>
          <w:tcPr>
            <w:tcW w:w="1175"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6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梅河大街1963号--新区局主办公区</w:t>
            </w:r>
          </w:p>
        </w:tc>
        <w:tc>
          <w:tcPr>
            <w:tcW w:w="98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67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项目经理1人</w:t>
            </w:r>
          </w:p>
        </w:tc>
        <w:tc>
          <w:tcPr>
            <w:tcW w:w="1122"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61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专职</w:t>
            </w:r>
          </w:p>
        </w:tc>
        <w:tc>
          <w:tcPr>
            <w:tcW w:w="2747"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1.品德良好，工作态度端正，责任心强，无不良行为记录。 </w:t>
            </w:r>
          </w:p>
          <w:p>
            <w:pPr>
              <w:pStyle w:val="93"/>
              <w:spacing w:before="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2.有类似本项目工作经验。</w:t>
            </w:r>
          </w:p>
        </w:tc>
      </w:tr>
    </w:tbl>
    <w:p>
      <w:pPr>
        <w:pStyle w:val="91"/>
        <w:keepNext w:val="0"/>
        <w:spacing w:before="0" w:after="0" w:line="360" w:lineRule="auto"/>
        <w:rPr>
          <w:rFonts w:ascii="仿宋_GB2312" w:hAnsi="仿宋_GB2312" w:eastAsia="仿宋_GB2312" w:cs="仿宋_GB2312"/>
          <w:b/>
          <w:bCs/>
          <w:sz w:val="28"/>
          <w:szCs w:val="28"/>
        </w:rPr>
      </w:pPr>
      <w:bookmarkStart w:id="28" w:name="_Toc256000024"/>
      <w:r>
        <w:rPr>
          <w:rFonts w:ascii="仿宋_GB2312" w:hAnsi="仿宋_GB2312" w:eastAsia="仿宋_GB2312" w:cs="仿宋_GB2312"/>
          <w:i w:val="0"/>
          <w:iCs w:val="0"/>
        </w:rPr>
        <w:t>4.3技术团队</w:t>
      </w:r>
      <w:bookmarkEnd w:id="28"/>
    </w:p>
    <w:p>
      <w:pPr>
        <w:pStyle w:val="95"/>
        <w:spacing w:before="0" w:after="0" w:line="360" w:lineRule="auto"/>
        <w:jc w:val="center"/>
        <w:rPr>
          <w:rFonts w:ascii="Times New Roman" w:hAnsi="Times New Roman" w:eastAsia="Times New Roman" w:cs="Times New Roman"/>
        </w:rPr>
      </w:pPr>
      <w:r>
        <w:rPr>
          <w:rFonts w:ascii="仿宋" w:hAnsi="仿宋" w:eastAsia="仿宋" w:cs="仿宋"/>
          <w:sz w:val="28"/>
          <w:szCs w:val="28"/>
        </w:rPr>
        <w:t>保安、保洁、会议及其他服务人员配置</w:t>
      </w:r>
    </w:p>
    <w:tbl>
      <w:tblPr>
        <w:tblStyle w:val="98"/>
        <w:tblW w:w="9397" w:type="dxa"/>
        <w:tblCellSpacing w:w="0" w:type="dxa"/>
        <w:tblInd w:w="260" w:type="dxa"/>
        <w:tblLayout w:type="autofit"/>
        <w:tblCellMar>
          <w:top w:w="15" w:type="dxa"/>
          <w:left w:w="15" w:type="dxa"/>
          <w:bottom w:w="15" w:type="dxa"/>
          <w:right w:w="15" w:type="dxa"/>
        </w:tblCellMar>
      </w:tblPr>
      <w:tblGrid>
        <w:gridCol w:w="1382"/>
        <w:gridCol w:w="1271"/>
        <w:gridCol w:w="1142"/>
        <w:gridCol w:w="1248"/>
        <w:gridCol w:w="826"/>
        <w:gridCol w:w="1762"/>
        <w:gridCol w:w="1766"/>
      </w:tblGrid>
      <w:tr>
        <w:trPr>
          <w:trHeight w:val="2285" w:hRule="atLeast"/>
          <w:tblCellSpacing w:w="0" w:type="dxa"/>
        </w:trPr>
        <w:tc>
          <w:tcPr>
            <w:tcW w:w="1666" w:type="dxa"/>
            <w:tcBorders>
              <w:top w:val="single" w:color="000000" w:sz="8" w:space="0"/>
              <w:left w:val="single" w:color="000000" w:sz="8" w:space="0"/>
              <w:bottom w:val="single" w:color="000000" w:sz="8" w:space="0"/>
              <w:right w:val="single" w:color="000000" w:sz="8" w:space="0"/>
            </w:tcBorders>
            <w:shd w:val="clear" w:color="auto" w:fill="BFBFBF"/>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432"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地点</w:t>
            </w:r>
          </w:p>
        </w:tc>
        <w:tc>
          <w:tcPr>
            <w:tcW w:w="1354"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班次</w:t>
            </w:r>
          </w:p>
        </w:tc>
        <w:tc>
          <w:tcPr>
            <w:tcW w:w="1496"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配置岗位</w:t>
            </w:r>
          </w:p>
        </w:tc>
        <w:tc>
          <w:tcPr>
            <w:tcW w:w="93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人员编制</w:t>
            </w:r>
          </w:p>
        </w:tc>
        <w:tc>
          <w:tcPr>
            <w:tcW w:w="209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备注（岗位所需服务时长或时段）</w:t>
            </w:r>
          </w:p>
        </w:tc>
        <w:tc>
          <w:tcPr>
            <w:tcW w:w="1999"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要求</w:t>
            </w:r>
          </w:p>
        </w:tc>
      </w:tr>
      <w:tr>
        <w:trPr>
          <w:trHeight w:val="1246"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432" w:type="dxa"/>
            <w:vMerge w:val="restart"/>
            <w:tcBorders>
              <w:right w:val="single" w:color="000000" w:sz="8" w:space="0"/>
            </w:tcBorders>
            <w:noWrap w:val="0"/>
            <w:tcMar>
              <w:top w:w="0" w:type="dxa"/>
              <w:left w:w="105" w:type="dxa"/>
              <w:bottom w:w="0" w:type="dxa"/>
              <w:right w:w="115" w:type="dxa"/>
            </w:tcMar>
            <w:vAlign w:val="center"/>
          </w:tcPr>
          <w:p>
            <w:pPr>
              <w:pStyle w:val="101"/>
              <w:spacing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p>
            <w:pPr>
              <w:pStyle w:val="101"/>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p>
            <w:pPr>
              <w:pStyle w:val="93"/>
              <w:spacing w:before="24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新区局主办公区</w:t>
            </w:r>
          </w:p>
        </w:tc>
        <w:tc>
          <w:tcPr>
            <w:tcW w:w="1354" w:type="dxa"/>
            <w:vMerge w:val="restart"/>
            <w:tcBorders>
              <w:bottom w:val="nil"/>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24小时轮班</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blPrEx>
          <w:tblCellMar>
            <w:top w:w="15" w:type="dxa"/>
            <w:left w:w="15" w:type="dxa"/>
            <w:bottom w:w="15" w:type="dxa"/>
            <w:right w:w="15" w:type="dxa"/>
          </w:tblCellMar>
        </w:tblPrEx>
        <w:trPr>
          <w:trHeight w:val="480"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24小时轮班</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blPrEx>
          <w:tblCellMar>
            <w:top w:w="15" w:type="dxa"/>
            <w:left w:w="15" w:type="dxa"/>
            <w:bottom w:w="15" w:type="dxa"/>
            <w:right w:w="15" w:type="dxa"/>
          </w:tblCellMar>
        </w:tblPrEx>
        <w:trPr>
          <w:trHeight w:val="1567"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35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10小时在岗</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50周岁(含)以下，女性</w:t>
            </w:r>
          </w:p>
        </w:tc>
      </w:tr>
      <w:tr>
        <w:tblPrEx>
          <w:tblCellMar>
            <w:top w:w="15" w:type="dxa"/>
            <w:left w:w="15" w:type="dxa"/>
            <w:bottom w:w="15" w:type="dxa"/>
            <w:right w:w="15" w:type="dxa"/>
          </w:tblCellMar>
        </w:tblPrEx>
        <w:trPr>
          <w:trHeight w:val="1615"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1432" w:type="dxa"/>
            <w:tcBorders>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35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会议服务</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40周岁（含）以下，女性 ，1.60米以上</w:t>
            </w:r>
          </w:p>
        </w:tc>
      </w:tr>
      <w:tr>
        <w:tblPrEx>
          <w:tblCellMar>
            <w:top w:w="15" w:type="dxa"/>
            <w:left w:w="15" w:type="dxa"/>
            <w:bottom w:w="15" w:type="dxa"/>
            <w:right w:w="15" w:type="dxa"/>
          </w:tblCellMar>
        </w:tblPrEx>
        <w:trPr>
          <w:trHeight w:val="836"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432" w:type="dxa"/>
            <w:vMerge w:val="restart"/>
            <w:tcBorders>
              <w:top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梅河大街2553号--西街办公区</w:t>
            </w:r>
          </w:p>
        </w:tc>
        <w:tc>
          <w:tcPr>
            <w:tcW w:w="1354" w:type="dxa"/>
            <w:tcBorders>
              <w:right w:val="single" w:color="000000" w:sz="8" w:space="0"/>
            </w:tcBorders>
            <w:noWrap w:val="0"/>
            <w:tcMar>
              <w:top w:w="0" w:type="dxa"/>
              <w:left w:w="105" w:type="dxa"/>
              <w:bottom w:w="0" w:type="dxa"/>
              <w:right w:w="115" w:type="dxa"/>
            </w:tcMar>
            <w:vAlign w:val="center"/>
          </w:tcPr>
          <w:p>
            <w:pPr>
              <w:pStyle w:val="93"/>
              <w:spacing w:line="540" w:lineRule="atLeast"/>
              <w:ind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24小时轮班</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blPrEx>
          <w:tblCellMar>
            <w:top w:w="15" w:type="dxa"/>
            <w:left w:w="15" w:type="dxa"/>
            <w:bottom w:w="15" w:type="dxa"/>
            <w:right w:w="15" w:type="dxa"/>
          </w:tblCellMar>
        </w:tblPrEx>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10小时在岗</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50周岁（含）以下，女性</w:t>
            </w:r>
          </w:p>
        </w:tc>
      </w:tr>
      <w:tr>
        <w:tblPrEx>
          <w:tblCellMar>
            <w:top w:w="15" w:type="dxa"/>
            <w:left w:w="15" w:type="dxa"/>
            <w:bottom w:w="15" w:type="dxa"/>
            <w:right w:w="15" w:type="dxa"/>
          </w:tblCellMar>
        </w:tblPrEx>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7</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山城镇税务所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blPrEx>
          <w:tblCellMar>
            <w:top w:w="15" w:type="dxa"/>
            <w:left w:w="15" w:type="dxa"/>
            <w:bottom w:w="15" w:type="dxa"/>
            <w:right w:w="15" w:type="dxa"/>
          </w:tblCellMar>
        </w:tblPrEx>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海龙镇税务所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9</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红梅镇税务所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10</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李炉乡税务所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11</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主办公区</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水暖电工</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12</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主办公区</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司机</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13</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主办公区</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档案库管理</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50周岁(含)以下，女性</w:t>
            </w:r>
          </w:p>
        </w:tc>
      </w:tr>
      <w:tr>
        <w:tblPrEx>
          <w:tblCellMar>
            <w:top w:w="15" w:type="dxa"/>
            <w:left w:w="15" w:type="dxa"/>
            <w:bottom w:w="15" w:type="dxa"/>
            <w:right w:w="15" w:type="dxa"/>
          </w:tblCellMar>
        </w:tblPrEx>
        <w:trPr>
          <w:trHeight w:val="480" w:hRule="atLeast"/>
          <w:tblCellSpacing w:w="0" w:type="dxa"/>
        </w:trPr>
        <w:tc>
          <w:tcPr>
            <w:tcW w:w="5288" w:type="dxa"/>
            <w:gridSpan w:val="4"/>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总    计</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23</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r>
    </w:tbl>
    <w:p>
      <w:pPr>
        <w:pStyle w:val="95"/>
        <w:spacing w:before="0" w:after="0" w:line="360" w:lineRule="auto"/>
        <w:jc w:val="center"/>
        <w:rPr>
          <w:rFonts w:ascii="Times New Roman" w:hAnsi="Times New Roman" w:eastAsia="Times New Roman" w:cs="Times New Roman"/>
        </w:rPr>
      </w:pPr>
      <w:r>
        <w:rPr>
          <w:rFonts w:ascii="仿宋" w:hAnsi="仿宋" w:eastAsia="仿宋" w:cs="仿宋"/>
          <w:sz w:val="28"/>
          <w:szCs w:val="28"/>
        </w:rPr>
        <w:t>食堂服务岗位人员及节假日值班编制</w:t>
      </w:r>
    </w:p>
    <w:tbl>
      <w:tblPr>
        <w:tblStyle w:val="98"/>
        <w:tblW w:w="8979" w:type="dxa"/>
        <w:jc w:val="center"/>
        <w:tblCellSpacing w:w="0" w:type="dxa"/>
        <w:tblLayout w:type="autofit"/>
        <w:tblCellMar>
          <w:top w:w="15" w:type="dxa"/>
          <w:left w:w="15" w:type="dxa"/>
          <w:bottom w:w="15" w:type="dxa"/>
          <w:right w:w="15" w:type="dxa"/>
        </w:tblCellMar>
      </w:tblPr>
      <w:tblGrid>
        <w:gridCol w:w="1024"/>
        <w:gridCol w:w="1063"/>
        <w:gridCol w:w="897"/>
        <w:gridCol w:w="1764"/>
        <w:gridCol w:w="826"/>
        <w:gridCol w:w="1572"/>
        <w:gridCol w:w="1833"/>
      </w:tblGrid>
      <w:tr>
        <w:tblPrEx>
          <w:tblCellMar>
            <w:top w:w="15" w:type="dxa"/>
            <w:left w:w="15" w:type="dxa"/>
            <w:bottom w:w="15" w:type="dxa"/>
            <w:right w:w="15" w:type="dxa"/>
          </w:tblCellMar>
        </w:tblPrEx>
        <w:trPr>
          <w:trHeight w:val="380" w:hRule="atLeast"/>
          <w:tblCellSpacing w:w="0" w:type="dxa"/>
          <w:jc w:val="center"/>
        </w:trPr>
        <w:tc>
          <w:tcPr>
            <w:tcW w:w="1022" w:type="dxa"/>
            <w:tcBorders>
              <w:top w:val="single" w:color="000000" w:sz="8" w:space="0"/>
              <w:left w:val="single" w:color="000000" w:sz="8" w:space="0"/>
              <w:bottom w:val="single" w:color="000000" w:sz="8" w:space="0"/>
              <w:right w:val="single" w:color="000000" w:sz="8" w:space="0"/>
            </w:tcBorders>
            <w:shd w:val="clear" w:color="auto" w:fill="BFBFBF"/>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061"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地点</w:t>
            </w:r>
          </w:p>
        </w:tc>
        <w:tc>
          <w:tcPr>
            <w:tcW w:w="895"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班次</w:t>
            </w:r>
          </w:p>
        </w:tc>
        <w:tc>
          <w:tcPr>
            <w:tcW w:w="176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配置岗位</w:t>
            </w:r>
          </w:p>
        </w:tc>
        <w:tc>
          <w:tcPr>
            <w:tcW w:w="824"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人员编制</w:t>
            </w:r>
          </w:p>
        </w:tc>
        <w:tc>
          <w:tcPr>
            <w:tcW w:w="1569"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备注（岗位所需服务时长或时段）</w:t>
            </w:r>
          </w:p>
        </w:tc>
        <w:tc>
          <w:tcPr>
            <w:tcW w:w="1829"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要求</w:t>
            </w:r>
          </w:p>
        </w:tc>
      </w:tr>
      <w:tr>
        <w:tblPrEx>
          <w:tblCellMar>
            <w:top w:w="15" w:type="dxa"/>
            <w:left w:w="15" w:type="dxa"/>
            <w:bottom w:w="15" w:type="dxa"/>
            <w:right w:w="15" w:type="dxa"/>
          </w:tblCellMar>
        </w:tblPrEx>
        <w:trPr>
          <w:trHeight w:val="61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梅河大街1963号--新区局主办公区</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厨师1人，服务人员4人</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61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梅河大街2553号--西街办公区</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厨师1人，服务人员5人</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梅河大街1963号--新区局主办公区</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厨师1人，服务人员1人（晚餐）</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山城镇税务所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海龙镇税务所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红梅镇税务所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7</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李炉乡税务所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80" w:hRule="atLeast"/>
          <w:tblCellSpacing w:w="0" w:type="dxa"/>
          <w:jc w:val="center"/>
        </w:trPr>
        <w:tc>
          <w:tcPr>
            <w:tcW w:w="4078" w:type="dxa"/>
            <w:gridSpan w:val="4"/>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总    计</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17</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Times New Roman" w:hAnsi="Times New Roman" w:eastAsia="Times New Roman" w:cs="Times New Roman"/>
                <w:b w:val="0"/>
                <w:bCs w:val="0"/>
                <w:i w:val="0"/>
                <w:iCs w:val="0"/>
                <w:smallCaps w:val="0"/>
                <w:color w:val="000000"/>
              </w:rPr>
              <w:t> </w:t>
            </w:r>
          </w:p>
        </w:tc>
      </w:tr>
    </w:tbl>
    <w:p>
      <w:pPr>
        <w:pStyle w:val="91"/>
        <w:keepNext w:val="0"/>
        <w:spacing w:before="0" w:after="0" w:line="360" w:lineRule="auto"/>
        <w:rPr>
          <w:rFonts w:ascii="仿宋_GB2312" w:hAnsi="仿宋_GB2312" w:eastAsia="仿宋_GB2312" w:cs="仿宋_GB2312"/>
          <w:b/>
          <w:bCs/>
          <w:sz w:val="28"/>
          <w:szCs w:val="28"/>
        </w:rPr>
      </w:pPr>
      <w:bookmarkStart w:id="29" w:name="_Toc256000025"/>
      <w:r>
        <w:rPr>
          <w:rFonts w:ascii="仿宋_GB2312" w:hAnsi="仿宋_GB2312" w:eastAsia="仿宋_GB2312" w:cs="仿宋_GB2312"/>
          <w:i w:val="0"/>
          <w:iCs w:val="0"/>
        </w:rPr>
        <w:t>4.4优选资质/优选指标</w:t>
      </w:r>
      <w:bookmarkEnd w:id="29"/>
    </w:p>
    <w:tbl>
      <w:tblPr>
        <w:tblStyle w:val="32"/>
        <w:tblW w:w="5000" w:type="pct"/>
        <w:tblInd w:w="30" w:type="dxa"/>
        <w:tblLayout w:type="autofit"/>
        <w:tblCellMar>
          <w:top w:w="15" w:type="dxa"/>
          <w:left w:w="15" w:type="dxa"/>
          <w:bottom w:w="15" w:type="dxa"/>
          <w:right w:w="15" w:type="dxa"/>
        </w:tblCellMar>
      </w:tblPr>
      <w:tblGrid>
        <w:gridCol w:w="926"/>
        <w:gridCol w:w="2036"/>
        <w:gridCol w:w="2036"/>
        <w:gridCol w:w="2036"/>
        <w:gridCol w:w="2036"/>
      </w:tblGrid>
      <w:tr>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人员类别</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人员岗位</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人员要求</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是否作为加分项</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管理人员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项目经理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具有2年以上物业管理工作经验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保洁人员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女性，45周岁（含）以下，具有1年以上相关工作经验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保安人员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男性，50周岁（含）以下，具有1年以上相关工作经验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食堂厨师</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男50周岁（含）以下、女45周岁（含）以下，具有2年以上相关工作经验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食堂服务人员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男50周岁（含）以下、女45周岁（含）以下，具有1年以上相关工作经验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会议服务人员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35周岁（含）以下 ，1.60米以上，女性，形象较好，具有2年以上相关工作经验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水暖电工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配备具有相应资格证及以上或消防设施操作员证的人员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档案管理人员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45周岁（含）以下，女性，具有相关工作经验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司机</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50周岁(含)以下，男性，具有5年以上驾驶经验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pPr>
        <w:pStyle w:val="90"/>
        <w:keepNext w:val="0"/>
        <w:spacing w:before="0" w:after="0" w:line="360" w:lineRule="auto"/>
        <w:jc w:val="center"/>
        <w:rPr>
          <w:rFonts w:ascii="仿宋_GB2312" w:hAnsi="仿宋_GB2312" w:eastAsia="仿宋_GB2312" w:cs="仿宋_GB2312"/>
          <w:b/>
          <w:bCs/>
          <w:sz w:val="32"/>
          <w:szCs w:val="32"/>
        </w:rPr>
      </w:pPr>
      <w:bookmarkStart w:id="30" w:name="_Toc256000026"/>
      <w:r>
        <w:rPr>
          <w:rFonts w:ascii="仿宋_GB2312" w:hAnsi="仿宋_GB2312" w:eastAsia="仿宋_GB2312" w:cs="仿宋_GB2312"/>
          <w:kern w:val="36"/>
        </w:rPr>
        <w:t>5管理实施要求</w:t>
      </w:r>
      <w:bookmarkEnd w:id="30"/>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采购人每月按照物业管理服务指标及考评表对中标人进行物业管理监管考评，根据考评</w:t>
      </w:r>
      <w:r>
        <w:rPr>
          <w:rFonts w:ascii="仿宋" w:hAnsi="仿宋" w:eastAsia="仿宋" w:cs="仿宋"/>
          <w:spacing w:val="-10"/>
          <w:sz w:val="28"/>
          <w:szCs w:val="28"/>
        </w:rPr>
        <w:t>分</w:t>
      </w:r>
      <w:r>
        <w:rPr>
          <w:rFonts w:ascii="仿宋" w:hAnsi="仿宋" w:eastAsia="仿宋" w:cs="仿宋"/>
          <w:sz w:val="28"/>
          <w:szCs w:val="28"/>
        </w:rPr>
        <w:t>支付物业管理费，扣分和评分不及格处罚按考评办法执行。</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2"/>
          <w:sz w:val="28"/>
          <w:szCs w:val="28"/>
        </w:rPr>
        <w:t>1. 事故过错责任。事故过错责任是指因中标人存在管理责任，导致标的物业发生事故造成财产损失或人身损</w:t>
      </w:r>
      <w:r>
        <w:rPr>
          <w:rFonts w:ascii="仿宋" w:hAnsi="仿宋" w:eastAsia="仿宋" w:cs="仿宋"/>
          <w:sz w:val="28"/>
          <w:szCs w:val="28"/>
        </w:rPr>
        <w:t>害的。事故过错责任分三个</w:t>
      </w:r>
      <w:r>
        <w:rPr>
          <w:rFonts w:ascii="仿宋" w:hAnsi="仿宋" w:eastAsia="仿宋" w:cs="仿宋"/>
          <w:spacing w:val="-2"/>
          <w:sz w:val="28"/>
          <w:szCs w:val="28"/>
        </w:rPr>
        <w:t>等级:a、一般事故过错责任，指中标人存在管理责任，但没有发生人身损害，仅出现财产损失，且损失金额达人民币2万元的情形；b、较大事故过错责任，指中标人存在管理责任，出现人身伤害(低于10级伤残等级鉴定，即没有鉴定法定等级)或财产损失达人民币5万元的情形:c、重大事故过错责任，指中标人存在管理责任，出现人身伤害(伤残等级10级以上，含10级)或财产损失达人民币10万元的情形。</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2. 标的物业出现前款事故过错责任的，中标人除赔偿采购人或第三人损失外，采购人还有权要求中标人按照下列标准支付违约金，其计算基数均为当月的物业管理费。一般事故过错的扣罚比例幅度为5%；较大事故过错的扣罚比例幅度为15%；重大事故过错的扣罚比例幅度为25%。</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3. 上述物业管理服务费的扣罚涉及的投诉类型、过错大小、事故性质、有效性有分歧异议的，以采购人的意见为准。</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4. 采购人将参照行业标准以及招标文件要求、投标文件响应情况、委托管理合同的有关约定，确定考核内容及标准，对中标公司物业服务事项进行考核，并根据考核结果，据实核定管理服务费。</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5. 考核采用百分制，其中:</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90分(含)以上为优秀，支付当期合同价款；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90分以下至85分(含)为良，支付当期98%的合同价款；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85分以下至80分(含)为中，支付当期95%的合同价款；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80分以下至75分(含)为一般，支付当期90%的合同价款；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75分以下至70分(含)为较差，支付当期85%的合同价款；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70分以下为差，采购人有权终止合同。</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采购人检查人员做好工作检查记录和投诉记录，检查中发现或受理投诉不符合服务标准及细则的，按照考核标准确定扣分，向物业公司发出书面整改及扣分通知书，物业负责人签字认可并整理保存。支付管理服务费时，统计扣分累计数，对照考评办法评定是否合格，不合格的进行处罚扣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6. 中标人承担的责任</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——因物业服务人员在物业服务范围内从事违法活动导致的相关责任</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——因工作失误或失职导致物业服务范围内财产被盗责任</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——因工作方法不当、失误而伤害员工或访客以致引发的事故责任</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——因操作不当造成物业服务范围内的设备、设施损坏的责任</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2"/>
          <w:sz w:val="28"/>
          <w:szCs w:val="28"/>
        </w:rPr>
        <w:t>——因在管理内容或职责范围内未有效排除险情(自然灾害除外)或未及时反馈给采购人而造成访客及员工伤残责任。</w:t>
      </w:r>
    </w:p>
    <w:p>
      <w:pPr>
        <w:pStyle w:val="101"/>
        <w:spacing w:before="0" w:after="0" w:line="360" w:lineRule="auto"/>
        <w:ind w:left="0" w:right="0" w:firstLine="740"/>
        <w:rPr>
          <w:rFonts w:ascii="Times New Roman" w:hAnsi="Times New Roman" w:eastAsia="Times New Roman" w:cs="Times New Roman"/>
        </w:rPr>
      </w:pPr>
      <w:r>
        <w:rPr>
          <w:rFonts w:ascii="仿宋" w:hAnsi="仿宋" w:eastAsia="仿宋" w:cs="仿宋"/>
          <w:sz w:val="28"/>
          <w:szCs w:val="28"/>
        </w:rPr>
        <w:t>——因管理松散，未按采购人规定浪费资源，视情节轻重扣减物业管理费</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——因未达到物业管理质量量化考核标准，考核结果按评分细则进行奖惩，严重者解除</w:t>
      </w:r>
      <w:r>
        <w:rPr>
          <w:rFonts w:ascii="仿宋" w:hAnsi="仿宋" w:eastAsia="仿宋" w:cs="仿宋"/>
          <w:spacing w:val="-10"/>
          <w:sz w:val="28"/>
          <w:szCs w:val="28"/>
        </w:rPr>
        <w:t>合</w:t>
      </w:r>
      <w:r>
        <w:rPr>
          <w:rFonts w:ascii="仿宋" w:hAnsi="仿宋" w:eastAsia="仿宋" w:cs="仿宋"/>
          <w:sz w:val="28"/>
          <w:szCs w:val="28"/>
        </w:rPr>
        <w:t>同</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——因半个月内两天以上(含两天)人员配置不到位或者擅离工作岗位按缺岗计算，采购人有权扣减当季5%物业管理费。</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——因合同期内提供的服务与承诺相差较大或因管理问题而发生重大事故的，采购人有权要求中标人按要求整改或单方面解除合同，造成损失的，由中标人承担。</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——因合同期内中标人无故单方解除终止合同，需赔偿采购人经济损失。</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7. 物业管理服务前期交接工作的要求</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——中标人对物业管理服务前期交接工作不收取任何费用</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——中标人须提前做好进场准备工作，服务开始前一周所有工作人员、设备全部准备到位</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——中标人必须参加物业管理项目的全部设备、设施的验收工作，履行交接手续后一切责任由中标人承担。</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8. 验收方式及标准</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2"/>
          <w:sz w:val="28"/>
          <w:szCs w:val="28"/>
        </w:rPr>
        <w:t>每期结算前，采购人依据本项目管理要求和中标人投标文件承诺，对中标人提供的服务质量进行考核打分。考核方式为，市局领导评价打分、各部门评价打分、管理部门打分，采取定期不定期相结合，确保评价客观准确。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p>
      <w:pPr>
        <w:pStyle w:val="95"/>
        <w:spacing w:before="0" w:after="0" w:line="360" w:lineRule="auto"/>
        <w:ind w:left="0" w:right="0" w:firstLine="416"/>
        <w:rPr>
          <w:rFonts w:ascii="Times New Roman" w:hAnsi="Times New Roman" w:eastAsia="Times New Roman" w:cs="Times New Roman"/>
        </w:rPr>
      </w:pPr>
      <w:r>
        <w:rPr>
          <w:rFonts w:ascii="仿宋" w:hAnsi="仿宋" w:eastAsia="仿宋" w:cs="仿宋"/>
          <w:spacing w:val="-1"/>
          <w:sz w:val="28"/>
          <w:szCs w:val="28"/>
        </w:rPr>
        <w:t>9. 考核规则表</w:t>
      </w:r>
    </w:p>
    <w:tbl>
      <w:tblPr>
        <w:tblStyle w:val="102"/>
        <w:tblW w:w="0" w:type="auto"/>
        <w:tblCellSpacing w:w="0" w:type="dxa"/>
        <w:tblInd w:w="236" w:type="dxa"/>
        <w:tblLayout w:type="autofit"/>
        <w:tblCellMar>
          <w:top w:w="15" w:type="dxa"/>
          <w:left w:w="15" w:type="dxa"/>
          <w:bottom w:w="15" w:type="dxa"/>
          <w:right w:w="15" w:type="dxa"/>
        </w:tblCellMar>
      </w:tblPr>
      <w:tblGrid>
        <w:gridCol w:w="1055"/>
        <w:gridCol w:w="1018"/>
        <w:gridCol w:w="1391"/>
        <w:gridCol w:w="4289"/>
        <w:gridCol w:w="200"/>
        <w:gridCol w:w="203"/>
        <w:gridCol w:w="930"/>
      </w:tblGrid>
      <w:tr>
        <w:trPr>
          <w:tblCellSpacing w:w="0" w:type="dxa"/>
        </w:trPr>
        <w:tc>
          <w:tcPr>
            <w:tcW w:w="1150" w:type="dxa"/>
            <w:tcBorders>
              <w:top w:val="single" w:color="000000" w:sz="8" w:space="0"/>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序号</w:t>
            </w:r>
          </w:p>
        </w:tc>
        <w:tc>
          <w:tcPr>
            <w:tcW w:w="7735" w:type="dxa"/>
            <w:gridSpan w:val="3"/>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firstLine="428"/>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评分项目</w:t>
            </w:r>
          </w:p>
        </w:tc>
        <w:tc>
          <w:tcPr>
            <w:tcW w:w="1017" w:type="dxa"/>
            <w:gridSpan w:val="3"/>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分值</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1</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人员配置</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管理人员、接待、秩序维护、保洁、数量、岗位、</w:t>
            </w:r>
            <w:r>
              <w:rPr>
                <w:rFonts w:ascii="仿宋" w:hAnsi="仿宋" w:eastAsia="仿宋" w:cs="仿宋"/>
                <w:b w:val="0"/>
                <w:bCs w:val="0"/>
                <w:i w:val="0"/>
                <w:iCs w:val="0"/>
                <w:smallCaps w:val="0"/>
                <w:color w:val="000000"/>
                <w:spacing w:val="-10"/>
                <w:sz w:val="21"/>
                <w:szCs w:val="21"/>
              </w:rPr>
              <w:t>标</w:t>
            </w:r>
            <w:r>
              <w:rPr>
                <w:rFonts w:ascii="仿宋" w:hAnsi="仿宋" w:eastAsia="仿宋" w:cs="仿宋"/>
                <w:b w:val="0"/>
                <w:bCs w:val="0"/>
                <w:i w:val="0"/>
                <w:iCs w:val="0"/>
                <w:smallCaps w:val="0"/>
                <w:color w:val="000000"/>
                <w:sz w:val="21"/>
                <w:szCs w:val="21"/>
              </w:rPr>
              <w:t>准是否符合采购文件要求。每出现1人(次)不符合扣2</w:t>
            </w:r>
            <w:r>
              <w:rPr>
                <w:rFonts w:ascii="仿宋" w:hAnsi="仿宋" w:eastAsia="仿宋" w:cs="仿宋"/>
                <w:b w:val="0"/>
                <w:bCs w:val="0"/>
                <w:i w:val="0"/>
                <w:iCs w:val="0"/>
                <w:smallCaps w:val="0"/>
                <w:color w:val="000000"/>
                <w:spacing w:val="-5"/>
                <w:sz w:val="21"/>
                <w:szCs w:val="21"/>
              </w:rPr>
              <w:t>分。</w:t>
            </w:r>
          </w:p>
        </w:tc>
        <w:tc>
          <w:tcPr>
            <w:tcW w:w="1017" w:type="dxa"/>
            <w:gridSpan w:val="2"/>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10</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2</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1136" w:type="dxa"/>
            <w:vMerge w:val="restart"/>
            <w:tcBorders>
              <w:right w:val="single" w:color="000000" w:sz="8" w:space="0"/>
            </w:tcBorders>
            <w:noWrap w:val="0"/>
            <w:tcMar>
              <w:top w:w="0" w:type="dxa"/>
              <w:left w:w="108" w:type="dxa"/>
              <w:bottom w:w="0" w:type="dxa"/>
              <w:right w:w="128" w:type="dxa"/>
            </w:tcMar>
            <w:vAlign w:val="center"/>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保洁管理</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办公室保洁要求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工作日每日打扫、酒精擦拭、84消毒，桌面、地毯、地面、办公家具无浮尘、污渍，石材、地砖无灰尘、洁净光亮。相关办公室内保持整洁。玻璃、天花板各处无污渍、积灰，表面整洁。每发现一次(处)扣 1分。</w:t>
            </w:r>
          </w:p>
        </w:tc>
        <w:tc>
          <w:tcPr>
            <w:tcW w:w="1017"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6</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3</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活动（运动）室、浴室保洁要求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39"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各种运动(活动)器材无污迹、无灰尘，地面干净、无水、无污迹，棚面无灰网，门、窗及窗台无灰尘，墙壁光亮、洁净、无污迹，储藏室整洁有序、无灰尘，其他设施均需明亮、洁净、无污迹，无灰尘，每周一次的全面清洁消毒。每发现一次(处)扣 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4</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卫生间保洁要求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台面无杂物、无水迹，洗手盘、水龙头无污迹，纸篓、垃圾桶无污迹，垃圾桶及茶叶桶内垃圾不超过2/3，各洁具无异味、无污物，门、窗及窗台无灰尘，各种放水开关(龙头)干净，墙壁、镜面洁净明亮、无污迹，洗手盆及盆台面无污迹，洗手盆下端返水弯无灰尘，各种水管管线无灰尘，地面、水槽无污水、无杂物，棚壁无灰网，做到每周一次的全面清洁消毒，其他附设物明亮、洁净、无污渍，卫生间随时有卫生纸，洗手液使用正常。洗手间、走廊上下午各2次消毒。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5</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走廊保洁要求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垃圾桶表面洁净，内无沉积污物，指示牌干净、无灰尘，地面干净、无污迹、无杂物，窗台干净、无灰尘；三米下天棚墙面干净，无灰尘，垃圾清运时无撒漏、无乱堆乱放。每发现一次(处)扣1分。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6</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楼梯保洁要求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台阶干净、无污迹，扶手、护栏光亮、无污迹，各种管线与各类窗台无灰尘，三米下棚、壁干净无灰尘。每发现一次(处)扣1分。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7</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大厅、前门厅保洁要求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地面干净、无杂物、无灰尘，地垫上无灰尘、无污物，牌匾、水牌干净、无灰尘，窗台干净、无灰尘，三米棚、壁干净，无灰尘，大门玻璃干净、无污渍灰尘。每发现一次(处)扣1分。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8</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办公楼门及庭院保洁要求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门玻璃及门头干净整洁。庭院干净、无杂物、地面无烟头，垃圾桶表面洁净、桶内无沉积物。每发现一次(处)扣1分。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9</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会议室保洁要求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有会议时要，会议结束立即保洁，无会议时，每周至少清洁2次，地面干净、无杂物、无灰尘，桌椅整齐、干净，会议室设备干净整齐。每发现一次(处)扣1分。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10</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接待管理</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会议接待</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做好重点区域接待工作和保洁工作。每发现一次(处)不符合要求的扣2分。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6</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11</w:t>
            </w:r>
          </w:p>
        </w:tc>
        <w:tc>
          <w:tcPr>
            <w:tcW w:w="1136" w:type="dxa"/>
            <w:vMerge w:val="restart"/>
            <w:tcBorders>
              <w:right w:val="single" w:color="000000" w:sz="8" w:space="0"/>
            </w:tcBorders>
            <w:noWrap w:val="0"/>
            <w:tcMar>
              <w:top w:w="0" w:type="dxa"/>
              <w:left w:w="108" w:type="dxa"/>
              <w:bottom w:w="0" w:type="dxa"/>
              <w:right w:w="128" w:type="dxa"/>
            </w:tcMar>
            <w:vAlign w:val="center"/>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秩序维护工作</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秩序维护人员职责要求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秩序维护人员必须坚守岗位、尽职尽责，严守工作时间，不准随意脱岗、空岗，作好值班日记和交接记录，值班时发生一切情况及时报告；关闭大门。 按时巡逻检查，对重点部位重点检查；办公楼各门岗站岗服务，做好安全保卫。在岗时不准喝酒、下棋、打扑克、看电视、玩手机、聊天、白班不准看报纸。热情服务，礼貌待人，不准接受或索取他人物品；节假日内部员工进入办公大楼，做好登记；外部人员未经有关部门批准严禁进入；要安排专人值守消防控制室，如有异常，作到发现及时，处理及时；作好防火、防盗的检查巡视工作，并做好相关记录，发现紧急情况应及时与办公大楼管理人员或有关主管部门报告，夜间对低层门窗重点巡视。每发现一次(处)不符合要求的扣2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7</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12</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秩序维护白班巡查工作要求</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检查各楼层通道、走廊、卫生间等照明是否有损坏或丢失现象，检查各种消防设备、设施是否正常工作状态，检查大楼步行楼梯(防火通道)、走廊等区域的地面、墙面和顶棚有无损坏，检查各楼层公共部位门、窗及相关的水、电等设施的表象是否正常无损坏，对楼内发生的异声、异味等情况要认真检查，找出原因并做好相应处置，对可疑人员进行盘查并及时上报，巡查中值班员原则上不要进入各办公室。每天全面巡查不少于四次，控制中心要24小时有人监管系统，保证有人在岗，发现问题与秩序维护巡视人员联系，秩序维护人员到现场确定后反馈消防、控制中心，以确保大楼安全。每发现一次(处)不符合要求的扣2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7</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13</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秩序维护夜班巡查工作要求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人员每天21:00以后，对楼内进行一次彻底检查，检查电源(现场记录仪)发现问题能处理的及时处理，无法解决的向晚值班干部报告，作好相关记录，第二天书面报送有关主管部门；夜间巡查时，应做到全面、仔细、不漏查，不得走过场，对重点区域的电器设备、水及各楼层门窗设施重点检查，确保大楼安全，并做好夜间巡查记录；夜间巡查时发现灯具不亮或其他设备设施损坏，第二天报送维修部门，做好记录，做到及时发现及时处理；夜间要求执行坐班与巡查制相结合，即上半夜与下半夜不定时对大楼内巡查，要求不得少于四次，并做好巡查记录。项目负责人夜间抽查每周不少于一次，并做好记录，有利于督促指导消防、安全工作的落实。每发现一次(处)不符合要求的扣5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7</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14</w:t>
            </w:r>
          </w:p>
        </w:tc>
        <w:tc>
          <w:tcPr>
            <w:tcW w:w="1136" w:type="dxa"/>
            <w:vMerge w:val="restart"/>
            <w:tcBorders>
              <w:right w:val="single" w:color="000000" w:sz="8" w:space="0"/>
            </w:tcBorders>
            <w:noWrap w:val="0"/>
            <w:tcMar>
              <w:top w:w="0" w:type="dxa"/>
              <w:left w:w="108" w:type="dxa"/>
              <w:bottom w:w="0" w:type="dxa"/>
              <w:right w:w="128" w:type="dxa"/>
            </w:tcMar>
            <w:vAlign w:val="center"/>
          </w:tcPr>
          <w:p>
            <w:pPr>
              <w:pStyle w:val="95"/>
              <w:spacing w:before="63"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 </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车场秩序维护</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引导准入的各类车辆进入并停放相应区域；对车辆进行及时、有效的指挥、疏导，保证道路通畅；进出车辆进行适当控制并详细记录。每发现一次(处)不符合要求的扣1分。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5</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15</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零星搬抬</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按照工作需要，随时组织人力对零星家具进行搬抬，应有必要的保护措施，确保物品无破损。每发现一次(处)不符合要求的扣1分。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16</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办公楼防灾</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按照应急预案等文件要求，规范操作，做好办公楼防洪、除雪以及极端天气影响的防范工作。每发现一次(处)不符合要求的扣2分。</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17</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节能减排</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配合采购人做好节水、节电等节能相关减排工作。每发现一次(处)不符合要求的扣1分。</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18</w:t>
            </w:r>
          </w:p>
        </w:tc>
        <w:tc>
          <w:tcPr>
            <w:tcW w:w="1136" w:type="dxa"/>
            <w:tcBorders>
              <w:bottom w:val="single" w:color="000000" w:sz="8" w:space="0"/>
              <w:right w:val="single" w:color="000000" w:sz="8" w:space="0"/>
            </w:tcBorders>
            <w:noWrap w:val="0"/>
            <w:tcMar>
              <w:top w:w="0" w:type="dxa"/>
              <w:left w:w="108" w:type="dxa"/>
              <w:bottom w:w="0" w:type="dxa"/>
              <w:right w:w="128" w:type="dxa"/>
            </w:tcMar>
            <w:vAlign w:val="center"/>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食堂</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食堂人员管理未达到餐饮服务人员管理要求、按次扣0.5分；食堂饮食管理未达到餐饮服务饮食管理要求、按次扣0.5分；食堂卫生管理未达到餐饮服务卫生管理要求、按次扣0.5分；食堂安全管理未达到餐饮服务安全管理要求、按次扣0.5分。</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12</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合计</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100</w:t>
            </w:r>
          </w:p>
        </w:tc>
      </w:tr>
    </w:tbl>
    <w:p>
      <w:pPr>
        <w:pStyle w:val="90"/>
        <w:keepNext w:val="0"/>
        <w:spacing w:before="0" w:after="0" w:line="360" w:lineRule="auto"/>
        <w:jc w:val="center"/>
        <w:rPr>
          <w:rFonts w:ascii="仿宋_GB2312" w:hAnsi="仿宋_GB2312" w:eastAsia="仿宋_GB2312" w:cs="仿宋_GB2312"/>
          <w:b/>
          <w:bCs/>
          <w:sz w:val="32"/>
          <w:szCs w:val="32"/>
        </w:rPr>
      </w:pPr>
      <w:bookmarkStart w:id="31" w:name="_Toc256000027"/>
      <w:r>
        <w:rPr>
          <w:rFonts w:ascii="仿宋_GB2312" w:hAnsi="仿宋_GB2312" w:eastAsia="仿宋_GB2312" w:cs="仿宋_GB2312"/>
          <w:kern w:val="36"/>
        </w:rPr>
        <w:t>6风险管控要求</w:t>
      </w:r>
      <w:bookmarkEnd w:id="31"/>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要求供应商对项目实施全过程中可能出现的风险进行全面识别与评估，包括但不限于需求变更风险、人员变动风险、技术风险等。基于风险评估结果，制定针对性的风险应对策略，持续监控风险状况，并根据实际情况及时完善风险应对策略，确保项目目标顺利实现。</w:t>
      </w:r>
    </w:p>
    <w:p>
      <w:pPr>
        <w:pStyle w:val="90"/>
        <w:keepNext w:val="0"/>
        <w:spacing w:before="0" w:after="0" w:line="360" w:lineRule="auto"/>
        <w:jc w:val="center"/>
        <w:rPr>
          <w:rFonts w:ascii="仿宋_GB2312" w:hAnsi="仿宋_GB2312" w:eastAsia="仿宋_GB2312" w:cs="仿宋_GB2312"/>
          <w:b/>
          <w:bCs/>
          <w:sz w:val="32"/>
          <w:szCs w:val="32"/>
        </w:rPr>
      </w:pPr>
      <w:bookmarkStart w:id="32" w:name="_Toc256000028"/>
      <w:r>
        <w:rPr>
          <w:rFonts w:ascii="仿宋_GB2312" w:hAnsi="仿宋_GB2312" w:eastAsia="仿宋_GB2312" w:cs="仿宋_GB2312"/>
          <w:kern w:val="36"/>
        </w:rPr>
        <w:t>7履约验收要求</w:t>
      </w:r>
      <w:bookmarkEnd w:id="32"/>
    </w:p>
    <w:p>
      <w:pPr>
        <w:pStyle w:val="91"/>
        <w:keepNext w:val="0"/>
        <w:spacing w:before="0" w:after="0" w:line="360" w:lineRule="auto"/>
        <w:rPr>
          <w:rFonts w:ascii="仿宋_GB2312" w:hAnsi="仿宋_GB2312" w:eastAsia="仿宋_GB2312" w:cs="仿宋_GB2312"/>
          <w:b/>
          <w:bCs/>
          <w:sz w:val="28"/>
          <w:szCs w:val="28"/>
        </w:rPr>
      </w:pPr>
      <w:bookmarkStart w:id="33" w:name="_Toc256000029"/>
      <w:r>
        <w:rPr>
          <w:rFonts w:ascii="仿宋_GB2312" w:hAnsi="仿宋_GB2312" w:eastAsia="仿宋_GB2312" w:cs="仿宋_GB2312"/>
          <w:i w:val="0"/>
          <w:iCs w:val="0"/>
        </w:rPr>
        <w:t>7.1总体要求</w:t>
      </w:r>
      <w:bookmarkEnd w:id="33"/>
    </w:p>
    <w:tbl>
      <w:tblPr>
        <w:tblStyle w:val="32"/>
        <w:tblW w:w="5000" w:type="pct"/>
        <w:tblInd w:w="30" w:type="dxa"/>
        <w:tblLayout w:type="autofit"/>
        <w:tblCellMar>
          <w:top w:w="15" w:type="dxa"/>
          <w:left w:w="15" w:type="dxa"/>
          <w:bottom w:w="15" w:type="dxa"/>
          <w:right w:w="15" w:type="dxa"/>
        </w:tblCellMar>
      </w:tblPr>
      <w:tblGrid>
        <w:gridCol w:w="4535"/>
        <w:gridCol w:w="4535"/>
      </w:tblGrid>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验收要求</w:t>
            </w:r>
          </w:p>
        </w:tc>
      </w:tr>
      <w:tr>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月度验收考核</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每期结算前，采购人依据本项目管理要求和中标人投标文件承诺，对中标人提供的服务质量进行考核打分。月度验收考核 在符合项目验收条件后，中标人提出验收申请，采购人在收到中标人提出的合格的申请后，组织验收小组完成验收工作，按月执行</w:t>
            </w:r>
          </w:p>
        </w:tc>
      </w:tr>
    </w:tbl>
    <w:p>
      <w:pPr>
        <w:pStyle w:val="91"/>
        <w:keepNext w:val="0"/>
        <w:spacing w:before="0" w:after="0" w:line="360" w:lineRule="auto"/>
        <w:rPr>
          <w:rFonts w:ascii="仿宋_GB2312" w:hAnsi="仿宋_GB2312" w:eastAsia="仿宋_GB2312" w:cs="仿宋_GB2312"/>
          <w:b/>
          <w:bCs/>
          <w:sz w:val="28"/>
          <w:szCs w:val="28"/>
        </w:rPr>
      </w:pPr>
      <w:bookmarkStart w:id="34" w:name="_Toc256000030"/>
      <w:r>
        <w:rPr>
          <w:rFonts w:ascii="仿宋_GB2312" w:hAnsi="仿宋_GB2312" w:eastAsia="仿宋_GB2312" w:cs="仿宋_GB2312"/>
          <w:i w:val="0"/>
          <w:iCs w:val="0"/>
        </w:rPr>
        <w:t>7.2具体要求</w:t>
      </w:r>
      <w:bookmarkEnd w:id="34"/>
    </w:p>
    <w:p>
      <w:pPr>
        <w:pStyle w:val="95"/>
        <w:spacing w:before="0" w:after="0" w:line="360" w:lineRule="auto"/>
        <w:ind w:left="239" w:right="0" w:firstLine="210"/>
        <w:jc w:val="both"/>
        <w:rPr>
          <w:rFonts w:ascii="Times New Roman" w:hAnsi="Times New Roman" w:eastAsia="Times New Roman" w:cs="Times New Roman"/>
        </w:rPr>
      </w:pPr>
      <w:r>
        <w:rPr>
          <w:rFonts w:ascii="仿宋" w:hAnsi="仿宋" w:eastAsia="仿宋" w:cs="仿宋"/>
          <w:sz w:val="28"/>
          <w:szCs w:val="28"/>
        </w:rPr>
        <w:t>采购人以项目采购需求及合同相关内容为验收标准组织验收，中标人配合。</w:t>
      </w:r>
    </w:p>
    <w:p>
      <w:pPr>
        <w:pStyle w:val="99"/>
        <w:spacing w:before="0" w:after="0" w:line="360" w:lineRule="auto"/>
        <w:rPr>
          <w:rFonts w:ascii="Times New Roman" w:hAnsi="Times New Roman" w:eastAsia="Times New Roman" w:cs="Times New Roman"/>
        </w:rPr>
      </w:pPr>
      <w:r>
        <w:t>1.</w:t>
      </w:r>
      <w:r>
        <w:rPr>
          <w:rFonts w:ascii="仿宋" w:hAnsi="仿宋" w:eastAsia="仿宋" w:cs="仿宋"/>
        </w:rPr>
        <w:t> 验收条件</w:t>
      </w:r>
    </w:p>
    <w:p>
      <w:pPr>
        <w:pStyle w:val="99"/>
        <w:spacing w:before="0" w:after="0" w:line="360" w:lineRule="auto"/>
        <w:ind w:firstLine="420"/>
        <w:jc w:val="both"/>
        <w:rPr>
          <w:rFonts w:ascii="Times New Roman" w:hAnsi="Times New Roman" w:eastAsia="Times New Roman" w:cs="Times New Roman"/>
        </w:rPr>
      </w:pPr>
      <w:r>
        <w:rPr>
          <w:rFonts w:ascii="仿宋" w:hAnsi="仿宋" w:eastAsia="仿宋" w:cs="仿宋"/>
          <w:sz w:val="28"/>
          <w:szCs w:val="28"/>
        </w:rPr>
        <w:t>中标人按照项目采购需求及合同相关内容完成全部服务，并通过采购人每个服务周期（1个月为一个服务周期）的考核。</w:t>
      </w:r>
    </w:p>
    <w:p>
      <w:pPr>
        <w:pStyle w:val="99"/>
        <w:spacing w:before="0" w:after="0" w:line="360" w:lineRule="auto"/>
        <w:rPr>
          <w:rFonts w:ascii="Times New Roman" w:hAnsi="Times New Roman" w:eastAsia="Times New Roman" w:cs="Times New Roman"/>
        </w:rPr>
      </w:pPr>
      <w:r>
        <w:rPr>
          <w:rFonts w:ascii="仿宋" w:hAnsi="仿宋" w:eastAsia="仿宋" w:cs="仿宋"/>
        </w:rPr>
        <w:t>2.验收标准</w:t>
      </w:r>
    </w:p>
    <w:p>
      <w:pPr>
        <w:pStyle w:val="99"/>
        <w:spacing w:before="0" w:after="0" w:line="360" w:lineRule="auto"/>
        <w:ind w:firstLine="420"/>
        <w:jc w:val="both"/>
        <w:rPr>
          <w:rFonts w:ascii="Times New Roman" w:hAnsi="Times New Roman" w:eastAsia="Times New Roman" w:cs="Times New Roman"/>
        </w:rPr>
      </w:pPr>
      <w:r>
        <w:rPr>
          <w:rFonts w:ascii="仿宋" w:hAnsi="仿宋" w:eastAsia="仿宋" w:cs="仿宋"/>
          <w:sz w:val="28"/>
          <w:szCs w:val="28"/>
        </w:rPr>
        <w:t>采购人按照采购需求及合同约定的技术、服务和安全标准，对中标人各项义务履行情况、考核情况、整改情况等进行总体评价。验收标准应当符合采购文件及合同约定，未进行约定的，应当符合国家强制性规定、政策要求、安全标准和行业有关标准。</w:t>
      </w:r>
    </w:p>
    <w:p>
      <w:pPr>
        <w:pStyle w:val="99"/>
        <w:spacing w:before="0" w:after="0" w:line="360" w:lineRule="auto"/>
        <w:rPr>
          <w:rFonts w:ascii="Times New Roman" w:hAnsi="Times New Roman" w:eastAsia="Times New Roman" w:cs="Times New Roman"/>
        </w:rPr>
      </w:pPr>
      <w:r>
        <w:rPr>
          <w:rFonts w:ascii="仿宋" w:hAnsi="仿宋" w:eastAsia="仿宋" w:cs="仿宋"/>
        </w:rPr>
        <w:t>3.验收流程</w:t>
      </w:r>
    </w:p>
    <w:p>
      <w:pPr>
        <w:pStyle w:val="99"/>
        <w:spacing w:before="0" w:after="0" w:line="360" w:lineRule="auto"/>
        <w:ind w:firstLine="420"/>
        <w:jc w:val="both"/>
        <w:rPr>
          <w:rFonts w:ascii="Times New Roman" w:hAnsi="Times New Roman" w:eastAsia="Times New Roman" w:cs="Times New Roman"/>
        </w:rPr>
      </w:pPr>
      <w:r>
        <w:rPr>
          <w:rFonts w:ascii="仿宋" w:hAnsi="仿宋" w:eastAsia="仿宋" w:cs="仿宋"/>
          <w:sz w:val="28"/>
          <w:szCs w:val="28"/>
        </w:rPr>
        <w:t>在符合项目验收条件后，中标人可提出项目验收申请。采购人在收到中标人提出的合格的验收申请后，组织验收小组完成验收工作。具体验收流程如下：①中标人向采购人书面提出项目验收申请。②中标人整理提交项目验收相关的管理和技术文档，由采购人进行初步审核，并根据采购人要求进行修正直至审核通过。中标人应提交的相关文档包括但不限于以下内容：每个服务周期的考核情况及整改情况、设施设备运行情况和风险隐患排查情况、各系统运行资料（运行记录、检测报告、外包合同等）、各系统操作密码和门禁卡以及房间钥匙清单、应交回采购人历次移交的资料清单、应移交属于采购人的物资清单、拟移走的中标人物资清单。③采购人成立验收小组，召开项目验收评审会议，根据项目验收内容及相关要求，对中标人提交的项目过程文档进行验收评审。④验收评审通过后，由验收小组出具项目验收意见。⑤项目验收结束后，中标人配合采购人按照档案管理要求进行资料归档。</w:t>
      </w:r>
    </w:p>
    <w:p>
      <w:pPr>
        <w:pStyle w:val="90"/>
        <w:keepNext w:val="0"/>
        <w:spacing w:before="0" w:after="0" w:line="360" w:lineRule="auto"/>
        <w:jc w:val="center"/>
        <w:rPr>
          <w:rFonts w:ascii="仿宋_GB2312" w:hAnsi="仿宋_GB2312" w:eastAsia="仿宋_GB2312" w:cs="仿宋_GB2312"/>
          <w:b/>
          <w:bCs/>
          <w:sz w:val="32"/>
          <w:szCs w:val="32"/>
        </w:rPr>
      </w:pPr>
      <w:bookmarkStart w:id="35" w:name="_Toc256000031"/>
      <w:r>
        <w:rPr>
          <w:rFonts w:ascii="仿宋_GB2312" w:hAnsi="仿宋_GB2312" w:eastAsia="仿宋_GB2312" w:cs="仿宋_GB2312"/>
          <w:kern w:val="36"/>
        </w:rPr>
        <w:t>8其他要求</w:t>
      </w:r>
      <w:bookmarkEnd w:id="35"/>
    </w:p>
    <w:p>
      <w:pPr>
        <w:pStyle w:val="91"/>
        <w:keepNext w:val="0"/>
        <w:spacing w:before="0" w:after="0" w:line="360" w:lineRule="auto"/>
        <w:rPr>
          <w:rFonts w:ascii="仿宋_GB2312" w:hAnsi="仿宋_GB2312" w:eastAsia="仿宋_GB2312" w:cs="仿宋_GB2312"/>
          <w:b/>
          <w:bCs/>
          <w:sz w:val="28"/>
          <w:szCs w:val="28"/>
        </w:rPr>
      </w:pPr>
      <w:bookmarkStart w:id="36" w:name="_Toc256000032"/>
      <w:r>
        <w:rPr>
          <w:rFonts w:ascii="仿宋_GB2312" w:hAnsi="仿宋_GB2312" w:eastAsia="仿宋_GB2312" w:cs="仿宋_GB2312"/>
          <w:i w:val="0"/>
          <w:iCs w:val="0"/>
        </w:rPr>
        <w:t>8.1必备要求</w:t>
      </w:r>
      <w:bookmarkEnd w:id="36"/>
    </w:p>
    <w:p>
      <w:pPr>
        <w:pStyle w:val="92"/>
        <w:keepNext w:val="0"/>
        <w:spacing w:before="0" w:after="0" w:line="360" w:lineRule="auto"/>
        <w:rPr>
          <w:rFonts w:ascii="仿宋_GB2312" w:hAnsi="仿宋_GB2312" w:eastAsia="仿宋_GB2312" w:cs="仿宋_GB2312"/>
          <w:b/>
          <w:bCs/>
          <w:sz w:val="28"/>
          <w:szCs w:val="28"/>
        </w:rPr>
      </w:pPr>
      <w:bookmarkStart w:id="37" w:name="_Toc256000033"/>
      <w:r>
        <w:rPr>
          <w:rFonts w:ascii="仿宋_GB2312" w:hAnsi="仿宋_GB2312" w:eastAsia="仿宋_GB2312" w:cs="仿宋_GB2312"/>
          <w:sz w:val="28"/>
          <w:szCs w:val="28"/>
        </w:rPr>
        <w:t>8.1.1通用必备要求</w:t>
      </w:r>
      <w:bookmarkEnd w:id="37"/>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91"/>
        <w:keepNext w:val="0"/>
        <w:spacing w:before="0" w:after="0" w:line="360" w:lineRule="auto"/>
        <w:rPr>
          <w:rFonts w:ascii="仿宋_GB2312" w:hAnsi="仿宋_GB2312" w:eastAsia="仿宋_GB2312" w:cs="仿宋_GB2312"/>
          <w:b/>
          <w:bCs/>
          <w:sz w:val="28"/>
          <w:szCs w:val="28"/>
        </w:rPr>
      </w:pPr>
      <w:bookmarkStart w:id="38" w:name="_Toc256000034"/>
      <w:r>
        <w:rPr>
          <w:rFonts w:ascii="仿宋_GB2312" w:hAnsi="仿宋_GB2312" w:eastAsia="仿宋_GB2312" w:cs="仿宋_GB2312"/>
          <w:i w:val="0"/>
          <w:iCs w:val="0"/>
        </w:rPr>
        <w:t>8.2付款安排建议</w:t>
      </w:r>
      <w:bookmarkEnd w:id="38"/>
    </w:p>
    <w:tbl>
      <w:tblPr>
        <w:tblStyle w:val="32"/>
        <w:tblW w:w="5000" w:type="pct"/>
        <w:tblInd w:w="30" w:type="dxa"/>
        <w:tblLayout w:type="autofit"/>
        <w:tblCellMar>
          <w:top w:w="15" w:type="dxa"/>
          <w:left w:w="15" w:type="dxa"/>
          <w:bottom w:w="15" w:type="dxa"/>
          <w:right w:w="15" w:type="dxa"/>
        </w:tblCellMar>
      </w:tblPr>
      <w:tblGrid>
        <w:gridCol w:w="1814"/>
        <w:gridCol w:w="5442"/>
        <w:gridCol w:w="1814"/>
      </w:tblGrid>
      <w:tr>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自项目实施开始之日起次月，采购人根据考核验收结果，支付第1个月物业服务费用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自项目实施开始之日起第3个月，采购人根据考核验收结果，支付第2个月物业服务费用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第3次付款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自项目实施开始之日起第4个月，采购人根据考核验收结果，支付第3个月物业服务费用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第4次付款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自项目实施开始之日起第5个月，采购人根据考核验收结果，支付第4个月物业服务费用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第5次付款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自项目实施开始之日起第6个月，采购人根据考核验收结果，支付第5个月物业服务费用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第6次付款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自项目实施开始之日起第7个月，采购人根据考核验收结果，支付第6个月物业服务费用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第7次付款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自项目实施开始之日起第8个月，采购人根据考核验收结果，支付第7个月物业服务费用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第8次付款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自项目实施开始之日起第9个月，采购人根据考核验收结果，支付第8个月物业服务费用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第9次付款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自项目实施开始之日起第10个月，采购人根据考核验收结果，支付第9个月物业服务费用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第10次付款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自项目实施开始之日起第11个月，采购人根据考核验收结果，支付第10个月物业服务费用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自项目实施开始之日起第12个月，采购人根据考核验收结果，支付第11个月物业服务费用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自项目实施开始之日起第13个月，采购人根据考核验收结果，支付第12个月物业服务费用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8.37</w:t>
            </w:r>
          </w:p>
        </w:tc>
      </w:tr>
    </w:tbl>
    <w:p>
      <w:pPr>
        <w:pStyle w:val="91"/>
        <w:keepNext w:val="0"/>
        <w:spacing w:before="0" w:after="0" w:line="360" w:lineRule="auto"/>
        <w:rPr>
          <w:rFonts w:ascii="仿宋_GB2312" w:hAnsi="仿宋_GB2312" w:eastAsia="仿宋_GB2312" w:cs="仿宋_GB2312"/>
          <w:b/>
          <w:bCs/>
          <w:sz w:val="28"/>
          <w:szCs w:val="28"/>
        </w:rPr>
      </w:pPr>
      <w:bookmarkStart w:id="39" w:name="_Toc256000035"/>
      <w:r>
        <w:rPr>
          <w:rFonts w:ascii="仿宋_GB2312" w:hAnsi="仿宋_GB2312" w:eastAsia="仿宋_GB2312" w:cs="仿宋_GB2312"/>
          <w:i w:val="0"/>
          <w:iCs w:val="0"/>
        </w:rPr>
        <w:t>8.3其他要求</w:t>
      </w:r>
      <w:bookmarkEnd w:id="39"/>
    </w:p>
    <w:p>
      <w:pPr>
        <w:pStyle w:val="92"/>
        <w:keepNext w:val="0"/>
        <w:spacing w:before="0" w:after="0" w:line="360" w:lineRule="auto"/>
        <w:rPr>
          <w:rFonts w:ascii="仿宋_GB2312" w:hAnsi="仿宋_GB2312" w:eastAsia="仿宋_GB2312" w:cs="仿宋_GB2312"/>
          <w:b/>
          <w:bCs/>
          <w:sz w:val="28"/>
          <w:szCs w:val="28"/>
        </w:rPr>
      </w:pPr>
      <w:bookmarkStart w:id="40" w:name="_Toc256000036"/>
      <w:r>
        <w:rPr>
          <w:rFonts w:ascii="仿宋_GB2312" w:hAnsi="仿宋_GB2312" w:eastAsia="仿宋_GB2312" w:cs="仿宋_GB2312"/>
          <w:sz w:val="28"/>
          <w:szCs w:val="28"/>
        </w:rPr>
        <w:t>8.3.1其他具体要求</w:t>
      </w:r>
      <w:bookmarkEnd w:id="40"/>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1.中标人严格按照合同的要求向采购人提供物业管理服务，达到质量标准，确保采购人的正常工作环境，办公秩序及安全。采购人有权要求中标人重做未达到标准的工作。</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2.中标人严格遵守采购人的各项规章制度和管理规定，编制物业管理服务年度计划，本着高效、精干的原则设置人员，服从采购人的整体管理。</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3.中标人应及时向采购人汇报工作，征求意见，协助采购人更好的开展工作。</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4.中标人应定期组织员工进行培训，提高其专业技能，牢固树立为采购人服务的思想意识。</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5.建立安全责任制，中标人在工作中应注意防火、防盗，注意工作安全，中标人员工在工作区域内因操作不当造成设备设施、配件损坏，由中标人承担全部责任。并对给采购人造成的损失按实际发生金额进行赔偿。</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6.在合同履约期内，中标人应对任何时候、任何情况下发生的用工人员意外伤害事故或用工人员致他人意外伤害等事故涉及的责任和赔偿承担全部责任，不得就此向采购人主张任何权利。凡提供的服务人员出现任何事故和伤害，全部由中标人负责（包括人身伤害事故）。</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7.采购人有权要求中标人配齐符合规定的工作人员（全体工作人员必须具有身体健康证明）。投标人为本项目所配备的人员不得随意辞退、调离、转岗，且投标人所有人员进场服务前，需向采购人提供人员清单由采购人进行确认，经采购人确认无误后，方可进场。如有特殊情况必须调整，须提交书面申请并征得采购人同意后方可调整。中标人因故无法正常工作时，应报采购人同意。</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8.采购人对中标人不尽职责的项目经理、员工，有辞退的建议权。因中标人工作失误给采购人造成经济损失或重大不利影响的，采购人有权终止合同，并要求中标人给予经济赔偿并消除影响。</w:t>
      </w:r>
    </w:p>
    <w:p>
      <w:pPr>
        <w:pStyle w:val="101"/>
        <w:shd w:val="clear" w:color="auto" w:fill="FFFFFF"/>
        <w:spacing w:before="0" w:after="0" w:line="360" w:lineRule="auto"/>
        <w:ind w:firstLine="480"/>
        <w:rPr>
          <w:rFonts w:ascii="Times New Roman" w:hAnsi="Times New Roman" w:eastAsia="Times New Roman" w:cs="Times New Roman"/>
        </w:rPr>
      </w:pPr>
      <w:r>
        <w:rPr>
          <w:rFonts w:ascii="仿宋" w:hAnsi="仿宋" w:eastAsia="仿宋" w:cs="仿宋"/>
          <w:sz w:val="28"/>
          <w:szCs w:val="28"/>
        </w:rPr>
        <w:t>9.物业工作人员工资、各项保险及伤亡，严格执行《劳动法》、《民法典》相关规定。中标人应为物业工作人员购买相关保险。如发生意外情况由中标人自行承担。</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10.中标人不得拖欠物业服务人员工资，如因拖欠工资而导致的服务质量下降甚至出现重大延误，采购人有权对中标人进行处罚直至终止合同履行。</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11.采购人为中标人提供生活用水、用电、办公场所，提供保洁保安所需清洁消耗品、工具、用具、设备、维修所用材料等。</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12.采购人提供中标人使用的全部资产属采购人所有，中标人不得出售或转让。</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13.中标人所有员工不得使用电饭锅电磁炉等与工作无关的电器设备，不得在楼内存放易燃易爆物品，对违反规定的，由采购人按考核规定扣减相应费用。</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14.物业工作人员服装由中标人提供且须先征得采购人认可。</w:t>
      </w:r>
    </w:p>
    <w:p>
      <w:pPr>
        <w:pStyle w:val="101"/>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15.采购人向中标人提供用餐服务，中标人需按用餐标准统一向采购人交纳餐费。</w:t>
      </w:r>
    </w:p>
    <w:p>
      <w:pPr>
        <w:pStyle w:val="18"/>
        <w:spacing w:before="0" w:after="0" w:line="360" w:lineRule="auto"/>
        <w:jc w:val="left"/>
      </w:pPr>
    </w:p>
    <w:sectPr>
      <w:footerReference r:id="rId5" w:type="default"/>
      <w:pgSz w:w="11906" w:h="16838"/>
      <w:pgMar w:top="144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CC"/>
    <w:family w:val="swiss"/>
    <w:pitch w:val="default"/>
    <w:sig w:usb0="E0002AFF" w:usb1="C0007843" w:usb2="00000009" w:usb3="00000000" w:csb0="400001FF" w:csb1="FFFF0000"/>
  </w:font>
  <w:font w:name="Verdana">
    <w:panose1 w:val="020B0604030504040204"/>
    <w:charset w:val="00"/>
    <w:family w:val="swiss"/>
    <w:pitch w:val="default"/>
    <w:sig w:usb0="A10006FF" w:usb1="4000205B" w:usb2="00000010" w:usb3="00000000" w:csb0="2000019F" w:csb1="00000000"/>
  </w:font>
  <w:font w:name="FangSong_GB2312">
    <w:altName w:val="仿宋"/>
    <w:panose1 w:val="020B0604020202020204"/>
    <w:charset w:val="00"/>
    <w:family w:val="auto"/>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Courier New">
    <w:panose1 w:val="02070309020205020404"/>
    <w:charset w:val="00"/>
    <w:family w:val="modern"/>
    <w:pitch w:val="default"/>
    <w:sig w:usb0="E0002AFF" w:usb1="C0007843" w:usb2="00000009" w:usb3="00000000" w:csb0="400001FF" w:csb1="FFFF0000"/>
  </w:font>
  <w:font w:name="长城仿宋">
    <w:altName w:val="微软雅黑"/>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default"/>
    <w:sig w:usb0="A00002EF" w:usb1="4000207B" w:usb2="00000000"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spacing w:before="0" w:after="0" w:line="360" w:lineRule="auto"/>
      <w:jc w:val="center"/>
    </w:pPr>
    <w:r>
      <w:fldChar w:fldCharType="begin"/>
    </w:r>
    <w:r>
      <w:instrText xml:space="preserve"> PAGE </w:instrText>
    </w:r>
    <w:r>
      <w:fldChar w:fldCharType="separate"/>
    </w:r>
    <w:r>
      <w:t>36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1">
    <w:nsid w:val="00000002"/>
    <w:multiLevelType w:val="multilevel"/>
    <w:tmpl w:val="00000002"/>
    <w:lvl w:ilvl="0" w:tentative="0">
      <w:start w:val="1"/>
      <w:numFmt w:val="decimal"/>
      <w:pStyle w:val="84"/>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00000003"/>
    <w:multiLevelType w:val="multilevel"/>
    <w:tmpl w:val="00000003"/>
    <w:lvl w:ilvl="0" w:tentative="0">
      <w:start w:val="1"/>
      <w:numFmt w:val="decimal"/>
      <w:pStyle w:val="64"/>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documentProtection w:enforcement="0"/>
  <w:defaultTabStop w:val="420"/>
  <w:drawingGridVerticalSpacing w:val="156"/>
  <w:displayHorizontalDrawingGridEvery w:val="0"/>
  <w:displayVerticalDrawingGridEvery w:val="2"/>
  <w:doNotShadeFormData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514CF"/>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9"/>
    <w:qFormat/>
    <w:uiPriority w:val="0"/>
    <w:pPr>
      <w:keepNext/>
      <w:keepLines/>
      <w:spacing w:before="340" w:after="330" w:line="576" w:lineRule="auto"/>
      <w:outlineLvl w:val="0"/>
    </w:pPr>
    <w:rPr>
      <w:b/>
      <w:bCs/>
      <w:kern w:val="44"/>
      <w:sz w:val="44"/>
      <w:szCs w:val="44"/>
    </w:rPr>
  </w:style>
  <w:style w:type="paragraph" w:styleId="4">
    <w:name w:val="heading 2"/>
    <w:basedOn w:val="3"/>
    <w:next w:val="5"/>
    <w:qFormat/>
    <w:uiPriority w:val="0"/>
    <w:pPr>
      <w:numPr>
        <w:ilvl w:val="1"/>
        <w:numId w:val="1"/>
      </w:numPr>
      <w:tabs>
        <w:tab w:val="left" w:pos="2400"/>
      </w:tabs>
      <w:spacing w:before="260" w:afterLines="50" w:line="416" w:lineRule="auto"/>
      <w:outlineLvl w:val="1"/>
    </w:pPr>
    <w:rPr>
      <w:rFonts w:ascii="Arial" w:hAnsi="Arial" w:eastAsia="黑体" w:cs="Calibri"/>
      <w:sz w:val="32"/>
      <w:szCs w:val="32"/>
    </w:rPr>
  </w:style>
  <w:style w:type="paragraph" w:styleId="5">
    <w:name w:val="heading 3"/>
    <w:basedOn w:val="1"/>
    <w:next w:val="1"/>
    <w:link w:val="40"/>
    <w:qFormat/>
    <w:uiPriority w:val="0"/>
    <w:pPr>
      <w:keepNext/>
      <w:keepLines/>
      <w:tabs>
        <w:tab w:val="left" w:pos="0"/>
      </w:tabs>
      <w:spacing w:before="260" w:after="260" w:line="415" w:lineRule="auto"/>
      <w:outlineLvl w:val="2"/>
    </w:pPr>
    <w:rPr>
      <w:b/>
      <w:sz w:val="32"/>
      <w:szCs w:val="32"/>
    </w:rPr>
  </w:style>
  <w:style w:type="paragraph" w:styleId="6">
    <w:name w:val="heading 4"/>
    <w:basedOn w:val="1"/>
    <w:next w:val="1"/>
    <w:link w:val="41"/>
    <w:qFormat/>
    <w:uiPriority w:val="0"/>
    <w:pPr>
      <w:keepNext/>
      <w:autoSpaceDE w:val="0"/>
      <w:autoSpaceDN w:val="0"/>
      <w:adjustRightInd w:val="0"/>
      <w:jc w:val="left"/>
      <w:outlineLvl w:val="3"/>
    </w:pPr>
    <w:rPr>
      <w:rFonts w:ascii="宋体" w:hAnsi="宋体"/>
      <w:color w:val="0000FF"/>
      <w:kern w:val="0"/>
      <w:sz w:val="28"/>
      <w:szCs w:val="20"/>
    </w:rPr>
  </w:style>
  <w:style w:type="paragraph" w:styleId="7">
    <w:name w:val="heading 5"/>
    <w:basedOn w:val="1"/>
    <w:next w:val="1"/>
    <w:link w:val="42"/>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8">
    <w:name w:val="heading 6"/>
    <w:basedOn w:val="1"/>
    <w:next w:val="1"/>
    <w:link w:val="43"/>
    <w:qFormat/>
    <w:uiPriority w:val="0"/>
    <w:pPr>
      <w:keepNext/>
      <w:keepLines/>
      <w:tabs>
        <w:tab w:val="left" w:pos="1152"/>
      </w:tabs>
      <w:spacing w:before="240" w:after="64" w:line="319" w:lineRule="auto"/>
      <w:ind w:left="1152" w:hanging="1152"/>
      <w:outlineLvl w:val="5"/>
    </w:pPr>
    <w:rPr>
      <w:rFonts w:ascii="Arial" w:hAnsi="Arial" w:eastAsia="黑体"/>
      <w:b/>
      <w:bCs/>
      <w:sz w:val="24"/>
    </w:rPr>
  </w:style>
  <w:style w:type="paragraph" w:styleId="9">
    <w:name w:val="heading 7"/>
    <w:basedOn w:val="1"/>
    <w:next w:val="1"/>
    <w:link w:val="44"/>
    <w:qFormat/>
    <w:uiPriority w:val="0"/>
    <w:pPr>
      <w:keepNext/>
      <w:keepLines/>
      <w:tabs>
        <w:tab w:val="left" w:pos="1296"/>
      </w:tabs>
      <w:spacing w:before="240" w:after="64" w:line="319" w:lineRule="auto"/>
      <w:ind w:left="1296" w:hanging="1296"/>
      <w:outlineLvl w:val="6"/>
    </w:pPr>
    <w:rPr>
      <w:b/>
      <w:bCs/>
      <w:sz w:val="24"/>
    </w:rPr>
  </w:style>
  <w:style w:type="paragraph" w:styleId="10">
    <w:name w:val="heading 8"/>
    <w:basedOn w:val="1"/>
    <w:next w:val="1"/>
    <w:link w:val="45"/>
    <w:qFormat/>
    <w:uiPriority w:val="0"/>
    <w:pPr>
      <w:keepNext/>
      <w:keepLines/>
      <w:tabs>
        <w:tab w:val="left" w:pos="1440"/>
      </w:tabs>
      <w:spacing w:before="240" w:after="64" w:line="319" w:lineRule="auto"/>
      <w:ind w:left="1440" w:hanging="1440"/>
      <w:outlineLvl w:val="7"/>
    </w:pPr>
    <w:rPr>
      <w:rFonts w:ascii="Arial" w:hAnsi="Arial" w:eastAsia="黑体"/>
      <w:sz w:val="24"/>
    </w:rPr>
  </w:style>
  <w:style w:type="paragraph" w:styleId="11">
    <w:name w:val="heading 9"/>
    <w:basedOn w:val="1"/>
    <w:next w:val="1"/>
    <w:link w:val="46"/>
    <w:qFormat/>
    <w:uiPriority w:val="0"/>
    <w:pPr>
      <w:keepNext/>
      <w:keepLines/>
      <w:tabs>
        <w:tab w:val="left" w:pos="1584"/>
      </w:tabs>
      <w:spacing w:before="240" w:after="64" w:line="319" w:lineRule="auto"/>
      <w:ind w:left="1584" w:hanging="1584"/>
      <w:outlineLvl w:val="8"/>
    </w:pPr>
    <w:rPr>
      <w:rFonts w:ascii="Arial" w:hAnsi="Arial" w:eastAsia="黑体"/>
      <w:szCs w:val="21"/>
    </w:rPr>
  </w:style>
  <w:style w:type="character" w:default="1" w:styleId="33">
    <w:name w:val="Default Paragraph Font"/>
    <w:semiHidden/>
    <w:unhideWhenUsed/>
    <w:uiPriority w:val="1"/>
  </w:style>
  <w:style w:type="table" w:default="1" w:styleId="32">
    <w:name w:val="Normal Table"/>
    <w:semiHidden/>
    <w:unhideWhenUsed/>
    <w:uiPriority w:val="99"/>
    <w:tblPr>
      <w:tblCellMar>
        <w:top w:w="0" w:type="dxa"/>
        <w:left w:w="108" w:type="dxa"/>
        <w:bottom w:w="0" w:type="dxa"/>
        <w:right w:w="108" w:type="dxa"/>
      </w:tblCellMar>
    </w:tblPr>
  </w:style>
  <w:style w:type="paragraph" w:styleId="2">
    <w:name w:val="Body Text"/>
    <w:basedOn w:val="1"/>
    <w:link w:val="38"/>
    <w:qFormat/>
    <w:uiPriority w:val="0"/>
    <w:pPr>
      <w:spacing w:after="120"/>
    </w:pPr>
  </w:style>
  <w:style w:type="paragraph" w:styleId="12">
    <w:name w:val="List Number 2"/>
    <w:basedOn w:val="1"/>
    <w:qFormat/>
    <w:uiPriority w:val="0"/>
    <w:pPr>
      <w:numPr>
        <w:ilvl w:val="0"/>
        <w:numId w:val="2"/>
      </w:numPr>
    </w:pPr>
  </w:style>
  <w:style w:type="paragraph" w:styleId="13">
    <w:name w:val="Document Map"/>
    <w:basedOn w:val="1"/>
    <w:link w:val="47"/>
    <w:qFormat/>
    <w:uiPriority w:val="0"/>
    <w:pPr>
      <w:shd w:val="clear" w:color="auto" w:fill="000080"/>
    </w:pPr>
    <w:rPr>
      <w:kern w:val="0"/>
      <w:sz w:val="20"/>
      <w:shd w:val="clear" w:color="auto" w:fill="000080"/>
    </w:rPr>
  </w:style>
  <w:style w:type="paragraph" w:styleId="14">
    <w:name w:val="annotation text"/>
    <w:basedOn w:val="1"/>
    <w:qFormat/>
    <w:uiPriority w:val="0"/>
    <w:pPr>
      <w:jc w:val="left"/>
    </w:p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Indent"/>
    <w:basedOn w:val="1"/>
    <w:link w:val="48"/>
    <w:qFormat/>
    <w:uiPriority w:val="0"/>
    <w:pPr>
      <w:ind w:firstLine="360"/>
    </w:pPr>
    <w:rPr>
      <w:kern w:val="0"/>
      <w:sz w:val="20"/>
      <w:szCs w:val="20"/>
    </w:rPr>
  </w:style>
  <w:style w:type="paragraph" w:styleId="17">
    <w:name w:val="toc 3"/>
    <w:basedOn w:val="1"/>
    <w:next w:val="18"/>
    <w:uiPriority w:val="0"/>
    <w:pPr>
      <w:widowControl/>
      <w:spacing w:after="0" w:line="240" w:lineRule="auto"/>
      <w:ind w:left="480"/>
      <w:jc w:val="left"/>
    </w:pPr>
    <w:rPr>
      <w:rFonts w:eastAsia="Times New Roman"/>
      <w:kern w:val="0"/>
      <w:sz w:val="24"/>
      <w:lang w:eastAsia="en-US"/>
    </w:rPr>
  </w:style>
  <w:style w:type="paragraph" w:customStyle="1" w:styleId="18">
    <w:name w:val="Normal_0"/>
    <w:qFormat/>
    <w:uiPriority w:val="0"/>
    <w:rPr>
      <w:rFonts w:ascii="Times New Roman" w:hAnsi="Times New Roman" w:eastAsia="Times New Roman" w:cs="Times New Roman"/>
      <w:sz w:val="24"/>
      <w:szCs w:val="24"/>
      <w:lang w:val="en-US" w:eastAsia="en-US" w:bidi="ar-SA"/>
    </w:rPr>
  </w:style>
  <w:style w:type="paragraph" w:styleId="19">
    <w:name w:val="Plain Text"/>
    <w:basedOn w:val="1"/>
    <w:link w:val="49"/>
    <w:qFormat/>
    <w:uiPriority w:val="0"/>
    <w:pPr>
      <w:spacing w:after="0"/>
    </w:pPr>
    <w:rPr>
      <w:rFonts w:ascii="宋体" w:hAnsi="Courier New"/>
      <w:kern w:val="0"/>
      <w:sz w:val="20"/>
      <w:szCs w:val="21"/>
    </w:rPr>
  </w:style>
  <w:style w:type="paragraph" w:styleId="20">
    <w:name w:val="Date"/>
    <w:basedOn w:val="1"/>
    <w:next w:val="1"/>
    <w:link w:val="50"/>
    <w:qFormat/>
    <w:uiPriority w:val="0"/>
    <w:pPr>
      <w:ind w:left="100" w:leftChars="2500"/>
    </w:pPr>
    <w:rPr>
      <w:kern w:val="0"/>
      <w:sz w:val="20"/>
    </w:rPr>
  </w:style>
  <w:style w:type="paragraph" w:styleId="21">
    <w:name w:val="Body Text Indent 2"/>
    <w:basedOn w:val="1"/>
    <w:link w:val="51"/>
    <w:qFormat/>
    <w:uiPriority w:val="0"/>
    <w:pPr>
      <w:ind w:firstLine="630"/>
    </w:pPr>
    <w:rPr>
      <w:rFonts w:ascii="宋体"/>
      <w:kern w:val="0"/>
      <w:sz w:val="28"/>
      <w:szCs w:val="20"/>
    </w:rPr>
  </w:style>
  <w:style w:type="paragraph" w:styleId="22">
    <w:name w:val="Balloon Text"/>
    <w:basedOn w:val="1"/>
    <w:link w:val="52"/>
    <w:qFormat/>
    <w:uiPriority w:val="0"/>
    <w:rPr>
      <w:kern w:val="0"/>
      <w:sz w:val="18"/>
      <w:szCs w:val="18"/>
    </w:rPr>
  </w:style>
  <w:style w:type="paragraph" w:styleId="23">
    <w:name w:val="footer"/>
    <w:basedOn w:val="1"/>
    <w:link w:val="53"/>
    <w:qFormat/>
    <w:uiPriority w:val="0"/>
    <w:pPr>
      <w:tabs>
        <w:tab w:val="center" w:pos="4140"/>
        <w:tab w:val="right" w:pos="8300"/>
      </w:tabs>
      <w:snapToGrid w:val="0"/>
      <w:spacing w:after="0"/>
      <w:jc w:val="left"/>
    </w:pPr>
    <w:rPr>
      <w:kern w:val="0"/>
      <w:sz w:val="18"/>
    </w:rPr>
  </w:style>
  <w:style w:type="paragraph" w:styleId="24">
    <w:name w:val="header"/>
    <w:basedOn w:val="1"/>
    <w:link w:val="54"/>
    <w:qFormat/>
    <w:uiPriority w:val="0"/>
    <w:pPr>
      <w:pBdr>
        <w:bottom w:val="single" w:color="auto" w:sz="6" w:space="1"/>
      </w:pBdr>
      <w:tabs>
        <w:tab w:val="center" w:pos="4153"/>
        <w:tab w:val="right" w:pos="8306"/>
      </w:tabs>
      <w:snapToGrid w:val="0"/>
      <w:jc w:val="center"/>
    </w:pPr>
    <w:rPr>
      <w:kern w:val="0"/>
      <w:sz w:val="18"/>
      <w:szCs w:val="18"/>
    </w:rPr>
  </w:style>
  <w:style w:type="paragraph" w:styleId="25">
    <w:name w:val="toc 1"/>
    <w:basedOn w:val="1"/>
    <w:next w:val="1"/>
    <w:qFormat/>
    <w:uiPriority w:val="0"/>
    <w:pPr>
      <w:spacing w:before="120" w:after="120"/>
      <w:jc w:val="left"/>
    </w:pPr>
    <w:rPr>
      <w:b/>
      <w:bCs/>
      <w:caps/>
      <w:sz w:val="20"/>
      <w:szCs w:val="20"/>
    </w:rPr>
  </w:style>
  <w:style w:type="paragraph" w:styleId="26">
    <w:name w:val="Body Text Indent 3"/>
    <w:basedOn w:val="1"/>
    <w:link w:val="55"/>
    <w:qFormat/>
    <w:uiPriority w:val="0"/>
    <w:pPr>
      <w:spacing w:line="360" w:lineRule="auto"/>
      <w:ind w:firstLine="480" w:firstLineChars="200"/>
      <w:jc w:val="left"/>
    </w:pPr>
    <w:rPr>
      <w:kern w:val="0"/>
      <w:sz w:val="24"/>
      <w:szCs w:val="20"/>
    </w:rPr>
  </w:style>
  <w:style w:type="paragraph" w:styleId="27">
    <w:name w:val="toc 2"/>
    <w:basedOn w:val="1"/>
    <w:next w:val="18"/>
    <w:uiPriority w:val="0"/>
    <w:pPr>
      <w:widowControl/>
      <w:spacing w:after="0" w:line="240" w:lineRule="auto"/>
      <w:ind w:left="240"/>
      <w:jc w:val="left"/>
    </w:pPr>
    <w:rPr>
      <w:rFonts w:eastAsia="Times New Roman"/>
      <w:kern w:val="0"/>
      <w:sz w:val="24"/>
      <w:lang w:eastAsia="en-US"/>
    </w:rPr>
  </w:style>
  <w:style w:type="paragraph" w:styleId="28">
    <w:name w:val="Body Text 2"/>
    <w:basedOn w:val="1"/>
    <w:link w:val="56"/>
    <w:qFormat/>
    <w:uiPriority w:val="0"/>
    <w:rPr>
      <w:rFonts w:ascii="FangSong_GB2312" w:eastAsia="FangSong_GB2312"/>
      <w:kern w:val="0"/>
      <w:sz w:val="28"/>
      <w:szCs w:val="20"/>
    </w:rPr>
  </w:style>
  <w:style w:type="paragraph" w:styleId="29">
    <w:name w:val="Normal (Web)"/>
    <w:basedOn w:val="1"/>
    <w:qFormat/>
    <w:uiPriority w:val="0"/>
    <w:pPr>
      <w:spacing w:before="100" w:beforeAutospacing="1" w:after="100" w:afterAutospacing="1"/>
      <w:jc w:val="left"/>
    </w:pPr>
    <w:rPr>
      <w:kern w:val="0"/>
      <w:sz w:val="24"/>
    </w:rPr>
  </w:style>
  <w:style w:type="paragraph" w:styleId="30">
    <w:name w:val="Title"/>
    <w:basedOn w:val="1"/>
    <w:link w:val="57"/>
    <w:qFormat/>
    <w:uiPriority w:val="0"/>
    <w:pPr>
      <w:spacing w:before="240" w:after="60"/>
      <w:jc w:val="center"/>
      <w:outlineLvl w:val="0"/>
    </w:pPr>
    <w:rPr>
      <w:rFonts w:ascii="Cambria" w:hAnsi="Cambria"/>
      <w:b/>
      <w:bCs/>
      <w:kern w:val="0"/>
      <w:sz w:val="32"/>
      <w:szCs w:val="32"/>
    </w:rPr>
  </w:style>
  <w:style w:type="paragraph" w:styleId="31">
    <w:name w:val="Body Text First Indent"/>
    <w:basedOn w:val="2"/>
    <w:link w:val="58"/>
    <w:qFormat/>
    <w:uiPriority w:val="0"/>
    <w:pPr>
      <w:ind w:firstLine="420" w:firstLineChars="100"/>
    </w:pPr>
    <w:rPr>
      <w:kern w:val="0"/>
      <w:sz w:val="20"/>
    </w:rPr>
  </w:style>
  <w:style w:type="character" w:styleId="34">
    <w:name w:val="Strong"/>
    <w:qFormat/>
    <w:uiPriority w:val="0"/>
    <w:rPr>
      <w:rFonts w:ascii="Times New Roman" w:hAnsi="Times New Roman" w:eastAsia="宋体" w:cs="Times New Roman"/>
      <w:b/>
    </w:rPr>
  </w:style>
  <w:style w:type="character" w:styleId="35">
    <w:name w:val="page number"/>
    <w:qFormat/>
    <w:uiPriority w:val="0"/>
    <w:rPr>
      <w:rFonts w:ascii="Times New Roman" w:hAnsi="Times New Roman" w:eastAsia="宋体" w:cs="Times New Roman"/>
    </w:rPr>
  </w:style>
  <w:style w:type="character" w:styleId="36">
    <w:name w:val="FollowedHyperlink"/>
    <w:qFormat/>
    <w:uiPriority w:val="0"/>
    <w:rPr>
      <w:rFonts w:hint="eastAsia" w:ascii="微软雅黑" w:hAnsi="微软雅黑" w:eastAsia="微软雅黑" w:cs="微软雅黑"/>
      <w:color w:val="02396F"/>
      <w:u w:val="single"/>
    </w:rPr>
  </w:style>
  <w:style w:type="character" w:styleId="37">
    <w:name w:val="Hyperlink"/>
    <w:qFormat/>
    <w:uiPriority w:val="0"/>
    <w:rPr>
      <w:rFonts w:ascii="Times New Roman" w:hAnsi="Times New Roman" w:eastAsia="宋体" w:cs="Times New Roman"/>
      <w:color w:val="0000FF"/>
      <w:u w:val="single"/>
    </w:rPr>
  </w:style>
  <w:style w:type="character" w:customStyle="1" w:styleId="38">
    <w:name w:val="Body Text Char"/>
    <w:link w:val="2"/>
    <w:qFormat/>
    <w:uiPriority w:val="0"/>
    <w:rPr>
      <w:rFonts w:ascii="Times New Roman" w:hAnsi="Times New Roman" w:eastAsia="宋体" w:cs="Times New Roman"/>
      <w:kern w:val="2"/>
      <w:sz w:val="21"/>
      <w:szCs w:val="24"/>
      <w:lang w:val="en-US" w:eastAsia="zh-CN" w:bidi="ar-SA"/>
    </w:rPr>
  </w:style>
  <w:style w:type="character" w:customStyle="1" w:styleId="39">
    <w:name w:val="Heading 1 Char"/>
    <w:link w:val="3"/>
    <w:qFormat/>
    <w:uiPriority w:val="0"/>
    <w:rPr>
      <w:rFonts w:ascii="Times New Roman" w:hAnsi="Times New Roman" w:eastAsia="宋体" w:cs="Times New Roman"/>
      <w:b/>
      <w:bCs/>
      <w:kern w:val="44"/>
      <w:sz w:val="44"/>
      <w:szCs w:val="44"/>
      <w:lang w:val="en-US" w:eastAsia="zh-CN" w:bidi="ar-SA"/>
    </w:rPr>
  </w:style>
  <w:style w:type="character" w:customStyle="1" w:styleId="40">
    <w:name w:val="Heading 3 Char"/>
    <w:link w:val="5"/>
    <w:qFormat/>
    <w:uiPriority w:val="0"/>
    <w:rPr>
      <w:rFonts w:ascii="Times New Roman" w:hAnsi="Times New Roman" w:eastAsia="宋体" w:cs="Times New Roman"/>
      <w:b/>
      <w:bCs/>
      <w:kern w:val="2"/>
      <w:sz w:val="32"/>
      <w:szCs w:val="32"/>
      <w:lang w:val="en-US" w:eastAsia="zh-CN" w:bidi="ar-SA"/>
    </w:rPr>
  </w:style>
  <w:style w:type="character" w:customStyle="1" w:styleId="41">
    <w:name w:val="Heading 4 Char"/>
    <w:link w:val="6"/>
    <w:qFormat/>
    <w:uiPriority w:val="0"/>
    <w:rPr>
      <w:rFonts w:ascii="宋体" w:hAnsi="宋体" w:eastAsia="宋体" w:cs="Times New Roman"/>
      <w:color w:val="0000FF"/>
      <w:sz w:val="28"/>
      <w:lang w:val="en-US" w:eastAsia="zh-CN" w:bidi="ar-SA"/>
    </w:rPr>
  </w:style>
  <w:style w:type="character" w:customStyle="1" w:styleId="42">
    <w:name w:val="Heading 5 Char"/>
    <w:link w:val="7"/>
    <w:qFormat/>
    <w:uiPriority w:val="0"/>
    <w:rPr>
      <w:rFonts w:ascii="Verdana" w:hAnsi="Verdana" w:eastAsia="宋体" w:cs="Times New Roman"/>
      <w:b/>
      <w:bCs/>
      <w:kern w:val="2"/>
      <w:sz w:val="28"/>
      <w:szCs w:val="28"/>
      <w:lang w:val="en-US" w:eastAsia="zh-CN" w:bidi="ar-SA"/>
    </w:rPr>
  </w:style>
  <w:style w:type="character" w:customStyle="1" w:styleId="43">
    <w:name w:val="Heading 6 Char"/>
    <w:link w:val="8"/>
    <w:qFormat/>
    <w:uiPriority w:val="0"/>
    <w:rPr>
      <w:rFonts w:ascii="Arial" w:hAnsi="Arial" w:eastAsia="黑体" w:cs="Times New Roman"/>
      <w:b/>
      <w:bCs/>
      <w:kern w:val="2"/>
      <w:sz w:val="24"/>
      <w:szCs w:val="24"/>
      <w:lang w:val="en-US" w:eastAsia="zh-CN" w:bidi="ar-SA"/>
    </w:rPr>
  </w:style>
  <w:style w:type="character" w:customStyle="1" w:styleId="44">
    <w:name w:val="Heading 7 Char"/>
    <w:link w:val="9"/>
    <w:qFormat/>
    <w:uiPriority w:val="0"/>
    <w:rPr>
      <w:rFonts w:ascii="Times New Roman" w:hAnsi="Times New Roman" w:eastAsia="宋体" w:cs="Times New Roman"/>
      <w:b/>
      <w:bCs/>
      <w:kern w:val="2"/>
      <w:sz w:val="24"/>
      <w:szCs w:val="24"/>
      <w:lang w:val="en-US" w:eastAsia="zh-CN" w:bidi="ar-SA"/>
    </w:rPr>
  </w:style>
  <w:style w:type="character" w:customStyle="1" w:styleId="45">
    <w:name w:val="Heading 8 Char"/>
    <w:link w:val="10"/>
    <w:qFormat/>
    <w:uiPriority w:val="0"/>
    <w:rPr>
      <w:rFonts w:ascii="Arial" w:hAnsi="Arial" w:eastAsia="黑体" w:cs="Times New Roman"/>
      <w:kern w:val="2"/>
      <w:sz w:val="24"/>
      <w:szCs w:val="24"/>
      <w:lang w:val="en-US" w:eastAsia="zh-CN" w:bidi="ar-SA"/>
    </w:rPr>
  </w:style>
  <w:style w:type="character" w:customStyle="1" w:styleId="46">
    <w:name w:val="Heading 9 Char"/>
    <w:link w:val="11"/>
    <w:qFormat/>
    <w:uiPriority w:val="0"/>
    <w:rPr>
      <w:rFonts w:ascii="Arial" w:hAnsi="Arial" w:eastAsia="黑体" w:cs="Times New Roman"/>
      <w:kern w:val="2"/>
      <w:sz w:val="21"/>
      <w:szCs w:val="21"/>
      <w:lang w:val="en-US" w:eastAsia="zh-CN" w:bidi="ar-SA"/>
    </w:rPr>
  </w:style>
  <w:style w:type="character" w:customStyle="1" w:styleId="47">
    <w:name w:val="Document Map Char"/>
    <w:link w:val="13"/>
    <w:qFormat/>
    <w:uiPriority w:val="0"/>
    <w:rPr>
      <w:rFonts w:ascii="Times New Roman" w:hAnsi="Times New Roman" w:eastAsia="宋体" w:cs="Times New Roman"/>
      <w:szCs w:val="24"/>
      <w:shd w:val="clear" w:color="auto" w:fill="000080"/>
      <w:lang w:bidi="ar-SA"/>
    </w:rPr>
  </w:style>
  <w:style w:type="character" w:customStyle="1" w:styleId="48">
    <w:name w:val="Body Text Indent Char"/>
    <w:link w:val="16"/>
    <w:qFormat/>
    <w:uiPriority w:val="0"/>
    <w:rPr>
      <w:rFonts w:ascii="Times New Roman" w:hAnsi="Times New Roman" w:eastAsia="宋体" w:cs="Times New Roman"/>
      <w:lang w:bidi="ar-SA"/>
    </w:rPr>
  </w:style>
  <w:style w:type="character" w:customStyle="1" w:styleId="49">
    <w:name w:val="Plain Text Char"/>
    <w:link w:val="19"/>
    <w:qFormat/>
    <w:uiPriority w:val="0"/>
    <w:rPr>
      <w:rFonts w:ascii="宋体" w:hAnsi="Courier New" w:eastAsia="宋体" w:cs="Times New Roman"/>
      <w:szCs w:val="21"/>
      <w:lang w:bidi="ar-SA"/>
    </w:rPr>
  </w:style>
  <w:style w:type="character" w:customStyle="1" w:styleId="50">
    <w:name w:val="Date Char"/>
    <w:link w:val="20"/>
    <w:qFormat/>
    <w:uiPriority w:val="0"/>
    <w:rPr>
      <w:rFonts w:ascii="Times New Roman" w:hAnsi="Times New Roman" w:eastAsia="宋体" w:cs="Times New Roman"/>
      <w:szCs w:val="24"/>
      <w:lang w:bidi="ar-SA"/>
    </w:rPr>
  </w:style>
  <w:style w:type="character" w:customStyle="1" w:styleId="51">
    <w:name w:val="Body Text Indent 2 Char"/>
    <w:link w:val="21"/>
    <w:qFormat/>
    <w:uiPriority w:val="0"/>
    <w:rPr>
      <w:rFonts w:ascii="宋体" w:hAnsi="Times New Roman" w:eastAsia="宋体" w:cs="Times New Roman"/>
      <w:sz w:val="28"/>
      <w:lang w:bidi="ar-SA"/>
    </w:rPr>
  </w:style>
  <w:style w:type="character" w:customStyle="1" w:styleId="52">
    <w:name w:val="Balloon Text Char"/>
    <w:link w:val="22"/>
    <w:qFormat/>
    <w:uiPriority w:val="0"/>
    <w:rPr>
      <w:rFonts w:ascii="Times New Roman" w:hAnsi="Times New Roman" w:eastAsia="宋体" w:cs="Times New Roman"/>
      <w:sz w:val="18"/>
      <w:szCs w:val="18"/>
      <w:lang w:bidi="ar-SA"/>
    </w:rPr>
  </w:style>
  <w:style w:type="character" w:customStyle="1" w:styleId="53">
    <w:name w:val="Footer Char"/>
    <w:link w:val="23"/>
    <w:qFormat/>
    <w:uiPriority w:val="0"/>
    <w:rPr>
      <w:rFonts w:ascii="Times New Roman" w:hAnsi="Times New Roman" w:eastAsia="宋体" w:cs="Times New Roman"/>
      <w:sz w:val="18"/>
      <w:szCs w:val="24"/>
      <w:lang w:bidi="ar-SA"/>
    </w:rPr>
  </w:style>
  <w:style w:type="character" w:customStyle="1" w:styleId="54">
    <w:name w:val="Header Char"/>
    <w:link w:val="24"/>
    <w:qFormat/>
    <w:uiPriority w:val="0"/>
    <w:rPr>
      <w:rFonts w:ascii="Times New Roman" w:hAnsi="Times New Roman" w:eastAsia="宋体" w:cs="Times New Roman"/>
      <w:sz w:val="18"/>
      <w:szCs w:val="18"/>
      <w:lang w:bidi="ar-SA"/>
    </w:rPr>
  </w:style>
  <w:style w:type="character" w:customStyle="1" w:styleId="55">
    <w:name w:val="Body Text Indent 3 Char"/>
    <w:link w:val="26"/>
    <w:qFormat/>
    <w:uiPriority w:val="0"/>
    <w:rPr>
      <w:rFonts w:ascii="Times New Roman" w:hAnsi="Times New Roman" w:eastAsia="宋体" w:cs="Times New Roman"/>
      <w:sz w:val="24"/>
      <w:lang w:bidi="ar-SA"/>
    </w:rPr>
  </w:style>
  <w:style w:type="character" w:customStyle="1" w:styleId="56">
    <w:name w:val="Body Text 2 Char"/>
    <w:link w:val="28"/>
    <w:qFormat/>
    <w:uiPriority w:val="0"/>
    <w:rPr>
      <w:rFonts w:ascii="FangSong_GB2312" w:hAnsi="Times New Roman" w:eastAsia="FangSong_GB2312" w:cs="Times New Roman"/>
      <w:sz w:val="28"/>
      <w:lang w:bidi="ar-SA"/>
    </w:rPr>
  </w:style>
  <w:style w:type="character" w:customStyle="1" w:styleId="57">
    <w:name w:val="Title Char"/>
    <w:link w:val="30"/>
    <w:qFormat/>
    <w:uiPriority w:val="0"/>
    <w:rPr>
      <w:rFonts w:ascii="Cambria" w:hAnsi="Cambria" w:eastAsia="宋体" w:cs="Times New Roman"/>
      <w:b/>
      <w:bCs/>
      <w:sz w:val="32"/>
      <w:szCs w:val="32"/>
      <w:lang w:bidi="ar-SA"/>
    </w:rPr>
  </w:style>
  <w:style w:type="character" w:customStyle="1" w:styleId="58">
    <w:name w:val="Body Text First Indent Char"/>
    <w:link w:val="31"/>
    <w:qFormat/>
    <w:uiPriority w:val="0"/>
    <w:rPr>
      <w:rFonts w:ascii="Times New Roman" w:hAnsi="Times New Roman" w:eastAsia="宋体" w:cs="Times New Roman"/>
      <w:szCs w:val="24"/>
      <w:lang w:bidi="ar-SA"/>
    </w:rPr>
  </w:style>
  <w:style w:type="character" w:customStyle="1" w:styleId="59">
    <w:name w:val="gjfg"/>
    <w:basedOn w:val="33"/>
    <w:qFormat/>
    <w:uiPriority w:val="0"/>
  </w:style>
  <w:style w:type="character" w:customStyle="1" w:styleId="60">
    <w:name w:val="cfdate"/>
    <w:qFormat/>
    <w:uiPriority w:val="0"/>
    <w:rPr>
      <w:rFonts w:ascii="Times New Roman" w:hAnsi="Times New Roman" w:eastAsia="宋体" w:cs="Times New Roman"/>
      <w:color w:val="333333"/>
      <w:sz w:val="12"/>
      <w:szCs w:val="12"/>
    </w:rPr>
  </w:style>
  <w:style w:type="character" w:customStyle="1" w:styleId="61">
    <w:name w:val="正文文本 Char1"/>
    <w:qFormat/>
    <w:uiPriority w:val="0"/>
    <w:rPr>
      <w:rFonts w:ascii="Times New Roman" w:hAnsi="Times New Roman" w:eastAsia="宋体" w:cs="Times New Roman"/>
      <w:szCs w:val="24"/>
    </w:rPr>
  </w:style>
  <w:style w:type="character" w:customStyle="1" w:styleId="62">
    <w:name w:val="redfilenumber"/>
    <w:qFormat/>
    <w:uiPriority w:val="0"/>
    <w:rPr>
      <w:rFonts w:ascii="Times New Roman" w:hAnsi="Times New Roman" w:eastAsia="宋体" w:cs="Times New Roman"/>
      <w:color w:val="BA2636"/>
      <w:sz w:val="12"/>
      <w:szCs w:val="12"/>
    </w:rPr>
  </w:style>
  <w:style w:type="character" w:customStyle="1" w:styleId="63">
    <w:name w:val="ll2 Char Char"/>
    <w:link w:val="64"/>
    <w:qFormat/>
    <w:uiPriority w:val="0"/>
    <w:rPr>
      <w:rFonts w:ascii="宋体" w:hAnsi="宋体" w:eastAsia="Times New Roman" w:cs="Times New Roman"/>
      <w:bCs/>
      <w:color w:val="000000"/>
      <w:sz w:val="24"/>
      <w:szCs w:val="32"/>
      <w:lang w:val="en-US" w:eastAsia="zh-CN" w:bidi="ar-SA"/>
    </w:rPr>
  </w:style>
  <w:style w:type="paragraph" w:customStyle="1" w:styleId="64">
    <w:name w:val="ll2"/>
    <w:link w:val="63"/>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5">
    <w:name w:val="Style .. + 宋体 五号 Black Char"/>
    <w:link w:val="66"/>
    <w:qFormat/>
    <w:uiPriority w:val="0"/>
    <w:rPr>
      <w:rFonts w:ascii="宋体" w:hAnsi="宋体" w:eastAsia="宋体" w:cs="Times New Roman"/>
      <w:color w:val="000000"/>
      <w:sz w:val="24"/>
      <w:lang w:bidi="ar-SA"/>
    </w:rPr>
  </w:style>
  <w:style w:type="paragraph" w:customStyle="1" w:styleId="66">
    <w:name w:val="Style .. + 宋体 五号 Black"/>
    <w:basedOn w:val="1"/>
    <w:link w:val="65"/>
    <w:qFormat/>
    <w:uiPriority w:val="0"/>
    <w:pPr>
      <w:autoSpaceDE w:val="0"/>
      <w:autoSpaceDN w:val="0"/>
      <w:adjustRightInd w:val="0"/>
      <w:spacing w:line="360" w:lineRule="auto"/>
      <w:jc w:val="left"/>
    </w:pPr>
    <w:rPr>
      <w:rFonts w:ascii="宋体" w:hAnsi="宋体"/>
      <w:color w:val="000000"/>
      <w:kern w:val="0"/>
      <w:sz w:val="24"/>
      <w:szCs w:val="20"/>
    </w:rPr>
  </w:style>
  <w:style w:type="character" w:customStyle="1" w:styleId="67">
    <w:name w:val="15"/>
    <w:basedOn w:val="33"/>
    <w:qFormat/>
    <w:uiPriority w:val="0"/>
    <w:rPr>
      <w:rFonts w:hint="default" w:ascii="Times New Roman" w:hAnsi="Times New Roman" w:eastAsia="宋体" w:cs="Times New Roman"/>
    </w:rPr>
  </w:style>
  <w:style w:type="character" w:customStyle="1" w:styleId="68">
    <w:name w:val="正文文字 Char"/>
    <w:link w:val="69"/>
    <w:qFormat/>
    <w:uiPriority w:val="0"/>
    <w:rPr>
      <w:rFonts w:ascii="Times New Roman" w:hAnsi="Times New Roman" w:eastAsia="宋体" w:cs="Times New Roman"/>
      <w:sz w:val="24"/>
      <w:szCs w:val="24"/>
      <w:lang w:bidi="ar-SA"/>
    </w:rPr>
  </w:style>
  <w:style w:type="paragraph" w:customStyle="1" w:styleId="69">
    <w:name w:val="正文文字"/>
    <w:basedOn w:val="1"/>
    <w:link w:val="68"/>
    <w:qFormat/>
    <w:uiPriority w:val="0"/>
    <w:pPr>
      <w:spacing w:before="60" w:after="60" w:line="360" w:lineRule="auto"/>
      <w:ind w:firstLine="200" w:firstLineChars="200"/>
      <w:jc w:val="left"/>
    </w:pPr>
    <w:rPr>
      <w:kern w:val="0"/>
      <w:sz w:val="24"/>
    </w:rPr>
  </w:style>
  <w:style w:type="character" w:customStyle="1" w:styleId="70">
    <w:name w:val="文档正文 Char"/>
    <w:link w:val="71"/>
    <w:qFormat/>
    <w:uiPriority w:val="0"/>
    <w:rPr>
      <w:rFonts w:ascii="长城仿宋" w:hAnsi="Times New Roman" w:eastAsia="宋体" w:cs="Times New Roman"/>
      <w:sz w:val="24"/>
      <w:lang w:bidi="ar-SA"/>
    </w:rPr>
  </w:style>
  <w:style w:type="paragraph" w:customStyle="1" w:styleId="71">
    <w:name w:val="文档正文"/>
    <w:basedOn w:val="1"/>
    <w:link w:val="70"/>
    <w:qFormat/>
    <w:uiPriority w:val="0"/>
    <w:pPr>
      <w:adjustRightInd w:val="0"/>
      <w:spacing w:line="480" w:lineRule="atLeast"/>
      <w:ind w:firstLine="567"/>
    </w:pPr>
    <w:rPr>
      <w:rFonts w:ascii="长城仿宋"/>
      <w:kern w:val="0"/>
      <w:sz w:val="24"/>
      <w:szCs w:val="20"/>
    </w:rPr>
  </w:style>
  <w:style w:type="character" w:customStyle="1" w:styleId="72">
    <w:name w:val="displayarti"/>
    <w:qFormat/>
    <w:uiPriority w:val="0"/>
    <w:rPr>
      <w:rFonts w:ascii="Times New Roman" w:hAnsi="Times New Roman" w:eastAsia="宋体" w:cs="Times New Roman"/>
      <w:color w:val="FFFFFF"/>
      <w:shd w:val="clear" w:color="auto" w:fill="A00000"/>
    </w:rPr>
  </w:style>
  <w:style w:type="character" w:customStyle="1" w:styleId="73">
    <w:name w:val="redfilefwwh"/>
    <w:qFormat/>
    <w:uiPriority w:val="0"/>
    <w:rPr>
      <w:rFonts w:ascii="Times New Roman" w:hAnsi="Times New Roman" w:eastAsia="宋体" w:cs="Times New Roman"/>
      <w:color w:val="BA2636"/>
      <w:sz w:val="12"/>
      <w:szCs w:val="12"/>
    </w:rPr>
  </w:style>
  <w:style w:type="character" w:customStyle="1" w:styleId="74">
    <w:name w:val="qxdate"/>
    <w:qFormat/>
    <w:uiPriority w:val="0"/>
    <w:rPr>
      <w:rFonts w:ascii="Times New Roman" w:hAnsi="Times New Roman" w:eastAsia="宋体" w:cs="Times New Roman"/>
      <w:color w:val="333333"/>
      <w:sz w:val="12"/>
      <w:szCs w:val="12"/>
    </w:rPr>
  </w:style>
  <w:style w:type="paragraph" w:customStyle="1" w:styleId="75">
    <w:name w:val="_Style 3"/>
    <w:basedOn w:val="3"/>
    <w:next w:val="1"/>
    <w:qFormat/>
    <w:uiPriority w:val="0"/>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76">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7">
    <w:name w:val="标题 5（有编号）（绿盟科技）"/>
    <w:basedOn w:val="1"/>
    <w:next w:val="76"/>
    <w:qFormat/>
    <w:uiPriority w:val="0"/>
    <w:pPr>
      <w:keepNext/>
      <w:keepLines/>
      <w:numPr>
        <w:ilvl w:val="4"/>
        <w:numId w:val="4"/>
      </w:numPr>
      <w:spacing w:before="280" w:after="156" w:line="377" w:lineRule="auto"/>
      <w:jc w:val="left"/>
      <w:outlineLvl w:val="4"/>
    </w:pPr>
    <w:rPr>
      <w:rFonts w:ascii="Arial" w:hAnsi="Arial" w:eastAsia="黑体" w:cs="黑体"/>
      <w:b/>
      <w:kern w:val="0"/>
      <w:sz w:val="24"/>
      <w:szCs w:val="28"/>
    </w:rPr>
  </w:style>
  <w:style w:type="paragraph" w:customStyle="1" w:styleId="78">
    <w:name w:val="Char"/>
    <w:basedOn w:val="1"/>
    <w:qFormat/>
    <w:uiPriority w:val="0"/>
    <w:rPr>
      <w:rFonts w:ascii="Tahoma" w:hAnsi="Tahoma"/>
      <w:sz w:val="24"/>
      <w:szCs w:val="20"/>
    </w:rPr>
  </w:style>
  <w:style w:type="paragraph" w:styleId="79">
    <w:name w:val="List Paragraph"/>
    <w:basedOn w:val="1"/>
    <w:qFormat/>
    <w:uiPriority w:val="34"/>
    <w:pPr>
      <w:ind w:firstLine="420"/>
    </w:pPr>
    <w:rPr>
      <w:kern w:val="0"/>
      <w:szCs w:val="21"/>
    </w:rPr>
  </w:style>
  <w:style w:type="paragraph" w:customStyle="1" w:styleId="80">
    <w:name w:val="正常"/>
    <w:basedOn w:val="81"/>
    <w:qFormat/>
    <w:uiPriority w:val="0"/>
    <w:rPr>
      <w:sz w:val="24"/>
    </w:rPr>
  </w:style>
  <w:style w:type="paragraph" w:customStyle="1" w:styleId="81">
    <w:name w:val="小正常"/>
    <w:basedOn w:val="1"/>
    <w:qFormat/>
    <w:uiPriority w:val="0"/>
    <w:rPr>
      <w:sz w:val="20"/>
      <w:szCs w:val="20"/>
    </w:rPr>
  </w:style>
  <w:style w:type="paragraph" w:customStyle="1" w:styleId="82">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83">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4">
    <w:name w:val="样式1"/>
    <w:basedOn w:val="1"/>
    <w:qFormat/>
    <w:uiPriority w:val="0"/>
    <w:pPr>
      <w:numPr>
        <w:ilvl w:val="0"/>
        <w:numId w:val="5"/>
      </w:numPr>
      <w:adjustRightInd w:val="0"/>
    </w:pPr>
    <w:rPr>
      <w:rFonts w:ascii="宋体" w:hAnsi="宋体"/>
      <w:kern w:val="0"/>
      <w:szCs w:val="20"/>
    </w:rPr>
  </w:style>
  <w:style w:type="paragraph" w:customStyle="1" w:styleId="85">
    <w:name w:val="Char Char Char"/>
    <w:basedOn w:val="1"/>
    <w:qFormat/>
    <w:uiPriority w:val="0"/>
    <w:rPr>
      <w:rFonts w:ascii="Tahoma" w:hAnsi="Tahoma"/>
      <w:sz w:val="24"/>
      <w:szCs w:val="20"/>
    </w:rPr>
  </w:style>
  <w:style w:type="paragraph" w:customStyle="1" w:styleId="86">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table" w:customStyle="1" w:styleId="87">
    <w:name w:val="Table Normal_0"/>
    <w:unhideWhenUsed/>
    <w:qFormat/>
    <w:uiPriority w:val="0"/>
    <w:pPr>
      <w:spacing w:after="160" w:line="259" w:lineRule="auto"/>
    </w:pPr>
    <w:tblPr>
      <w:tblCellMar>
        <w:top w:w="0" w:type="dxa"/>
        <w:left w:w="0" w:type="dxa"/>
        <w:bottom w:w="0" w:type="dxa"/>
        <w:right w:w="0" w:type="dxa"/>
      </w:tblCellMar>
    </w:tblPr>
  </w:style>
  <w:style w:type="character" w:customStyle="1" w:styleId="88">
    <w:name w:val="Hyperlink_0"/>
    <w:basedOn w:val="33"/>
    <w:uiPriority w:val="0"/>
    <w:rPr>
      <w:color w:val="0000FF"/>
      <w:u w:val="single"/>
    </w:rPr>
  </w:style>
  <w:style w:type="paragraph" w:customStyle="1" w:styleId="89">
    <w:name w:val="TOC 1_0"/>
    <w:basedOn w:val="1"/>
    <w:next w:val="18"/>
    <w:uiPriority w:val="0"/>
    <w:pPr>
      <w:widowControl/>
      <w:spacing w:after="0" w:line="240" w:lineRule="auto"/>
      <w:jc w:val="left"/>
    </w:pPr>
    <w:rPr>
      <w:rFonts w:eastAsia="Times New Roman"/>
      <w:kern w:val="0"/>
      <w:sz w:val="24"/>
      <w:lang w:eastAsia="en-US"/>
    </w:rPr>
  </w:style>
  <w:style w:type="paragraph" w:customStyle="1" w:styleId="90">
    <w:name w:val="Heading 1_0"/>
    <w:basedOn w:val="1"/>
    <w:next w:val="18"/>
    <w:qFormat/>
    <w:uiPriority w:val="0"/>
    <w:pPr>
      <w:keepNext/>
      <w:widowControl/>
      <w:spacing w:before="240" w:after="60" w:line="240" w:lineRule="auto"/>
      <w:jc w:val="left"/>
      <w:outlineLvl w:val="0"/>
    </w:pPr>
    <w:rPr>
      <w:rFonts w:ascii="Arial" w:hAnsi="Arial" w:eastAsia="Times New Roman" w:cs="Arial"/>
      <w:b/>
      <w:bCs/>
      <w:kern w:val="32"/>
      <w:sz w:val="32"/>
      <w:szCs w:val="32"/>
      <w:lang w:eastAsia="en-US"/>
    </w:rPr>
  </w:style>
  <w:style w:type="paragraph" w:customStyle="1" w:styleId="91">
    <w:name w:val="Heading 2_0"/>
    <w:basedOn w:val="1"/>
    <w:next w:val="18"/>
    <w:qFormat/>
    <w:uiPriority w:val="0"/>
    <w:pPr>
      <w:keepNext/>
      <w:widowControl/>
      <w:spacing w:before="240" w:after="60" w:line="240" w:lineRule="auto"/>
      <w:jc w:val="left"/>
      <w:outlineLvl w:val="1"/>
    </w:pPr>
    <w:rPr>
      <w:rFonts w:ascii="Arial" w:hAnsi="Arial" w:eastAsia="Times New Roman" w:cs="Arial"/>
      <w:b/>
      <w:bCs/>
      <w:i/>
      <w:iCs/>
      <w:kern w:val="0"/>
      <w:sz w:val="28"/>
      <w:szCs w:val="28"/>
      <w:lang w:eastAsia="en-US"/>
    </w:rPr>
  </w:style>
  <w:style w:type="paragraph" w:customStyle="1" w:styleId="92">
    <w:name w:val="Heading 3_0"/>
    <w:basedOn w:val="1"/>
    <w:next w:val="18"/>
    <w:qFormat/>
    <w:uiPriority w:val="0"/>
    <w:pPr>
      <w:keepNext/>
      <w:widowControl/>
      <w:spacing w:before="240" w:after="60" w:line="240" w:lineRule="auto"/>
      <w:jc w:val="left"/>
      <w:outlineLvl w:val="2"/>
    </w:pPr>
    <w:rPr>
      <w:rFonts w:ascii="Arial" w:hAnsi="Arial" w:eastAsia="Times New Roman" w:cs="Arial"/>
      <w:b/>
      <w:bCs/>
      <w:kern w:val="0"/>
      <w:sz w:val="26"/>
      <w:szCs w:val="26"/>
      <w:lang w:eastAsia="en-US"/>
    </w:rPr>
  </w:style>
  <w:style w:type="paragraph" w:customStyle="1" w:styleId="93">
    <w:name w:val="MsoNormal"/>
    <w:basedOn w:val="1"/>
    <w:qFormat/>
    <w:uiPriority w:val="0"/>
    <w:pPr>
      <w:widowControl/>
      <w:spacing w:after="0" w:line="240" w:lineRule="auto"/>
      <w:jc w:val="left"/>
    </w:pPr>
    <w:rPr>
      <w:rFonts w:eastAsia="Times New Roman"/>
      <w:kern w:val="0"/>
      <w:sz w:val="24"/>
      <w:lang w:eastAsia="en-US"/>
    </w:rPr>
  </w:style>
  <w:style w:type="paragraph" w:customStyle="1" w:styleId="94">
    <w:name w:val="Heading 4_0"/>
    <w:basedOn w:val="1"/>
    <w:next w:val="18"/>
    <w:qFormat/>
    <w:uiPriority w:val="0"/>
    <w:pPr>
      <w:keepNext/>
      <w:widowControl/>
      <w:spacing w:before="240" w:after="60" w:line="240" w:lineRule="auto"/>
      <w:jc w:val="left"/>
      <w:outlineLvl w:val="3"/>
    </w:pPr>
    <w:rPr>
      <w:rFonts w:eastAsia="Times New Roman"/>
      <w:b/>
      <w:bCs/>
      <w:kern w:val="0"/>
      <w:sz w:val="28"/>
      <w:szCs w:val="28"/>
      <w:lang w:eastAsia="en-US"/>
    </w:rPr>
  </w:style>
  <w:style w:type="paragraph" w:customStyle="1" w:styleId="95">
    <w:name w:val="17"/>
    <w:basedOn w:val="1"/>
    <w:uiPriority w:val="0"/>
    <w:pPr>
      <w:widowControl/>
      <w:spacing w:after="0" w:line="240" w:lineRule="auto"/>
      <w:jc w:val="left"/>
    </w:pPr>
    <w:rPr>
      <w:rFonts w:eastAsia="Times New Roman"/>
      <w:kern w:val="0"/>
      <w:sz w:val="24"/>
      <w:lang w:eastAsia="en-US"/>
    </w:rPr>
  </w:style>
  <w:style w:type="table" w:customStyle="1" w:styleId="96">
    <w:name w:val="19"/>
    <w:basedOn w:val="32"/>
    <w:uiPriority w:val="0"/>
    <w:rPr>
      <w:rFonts w:eastAsia="Times New Roman"/>
      <w:lang w:val="en-US" w:eastAsia="en-US"/>
    </w:rPr>
  </w:style>
  <w:style w:type="paragraph" w:customStyle="1" w:styleId="97">
    <w:name w:val="19 Paragraph"/>
    <w:basedOn w:val="1"/>
    <w:uiPriority w:val="0"/>
    <w:pPr>
      <w:widowControl/>
      <w:spacing w:after="0" w:line="240" w:lineRule="auto"/>
      <w:jc w:val="left"/>
    </w:pPr>
    <w:rPr>
      <w:rFonts w:eastAsia="Times New Roman"/>
      <w:kern w:val="0"/>
      <w:sz w:val="24"/>
      <w:lang w:eastAsia="en-US"/>
    </w:rPr>
  </w:style>
  <w:style w:type="table" w:customStyle="1" w:styleId="98">
    <w:name w:val="MsoNormalTable"/>
    <w:basedOn w:val="32"/>
    <w:uiPriority w:val="0"/>
    <w:rPr>
      <w:rFonts w:eastAsia="Times New Roman"/>
      <w:lang w:val="en-US" w:eastAsia="en-US"/>
    </w:rPr>
  </w:style>
  <w:style w:type="paragraph" w:customStyle="1" w:styleId="99">
    <w:name w:val="16"/>
    <w:basedOn w:val="1"/>
    <w:uiPriority w:val="0"/>
    <w:pPr>
      <w:widowControl/>
      <w:spacing w:after="0" w:line="240" w:lineRule="auto"/>
      <w:jc w:val="left"/>
    </w:pPr>
    <w:rPr>
      <w:rFonts w:eastAsia="Times New Roman"/>
      <w:kern w:val="0"/>
      <w:sz w:val="24"/>
      <w:lang w:eastAsia="en-US"/>
    </w:rPr>
  </w:style>
  <w:style w:type="table" w:customStyle="1" w:styleId="100">
    <w:name w:val="17 Table"/>
    <w:basedOn w:val="32"/>
    <w:uiPriority w:val="0"/>
    <w:rPr>
      <w:rFonts w:eastAsia="Times New Roman"/>
      <w:lang w:val="en-US" w:eastAsia="en-US"/>
    </w:rPr>
  </w:style>
  <w:style w:type="paragraph" w:customStyle="1" w:styleId="101">
    <w:name w:val="18"/>
    <w:basedOn w:val="1"/>
    <w:uiPriority w:val="0"/>
    <w:pPr>
      <w:widowControl/>
      <w:spacing w:after="0" w:line="240" w:lineRule="auto"/>
      <w:jc w:val="left"/>
    </w:pPr>
    <w:rPr>
      <w:rFonts w:eastAsia="Times New Roman"/>
      <w:kern w:val="0"/>
      <w:sz w:val="24"/>
      <w:lang w:eastAsia="en-US"/>
    </w:rPr>
  </w:style>
  <w:style w:type="table" w:customStyle="1" w:styleId="102">
    <w:name w:val="18 Table"/>
    <w:basedOn w:val="32"/>
    <w:uiPriority w:val="0"/>
    <w:rPr>
      <w:rFonts w:eastAsia="Times New Roman"/>
      <w:lang w:val="en-US" w:eastAsia="en-US"/>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Pages>
  <Words>9</Words>
  <Characters>53</Characters>
  <Lines>1</Lines>
  <Paragraphs>1</Paragraphs>
  <TotalTime>2</TotalTime>
  <ScaleCrop>false</ScaleCrop>
  <LinksUpToDate>false</LinksUpToDate>
  <CharactersWithSpaces>61</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2020-05-09T07:26:00Z</dcterms:created>
  <dc:creator>Administrator</dc:creator>
  <cp:lastModifiedBy>华佳</cp:lastModifiedBy>
  <cp:lastPrinted>2023-10-01T11:04:00Z</cp:lastPrinted>
  <dcterms:modified xsi:type="dcterms:W3CDTF">2025-08-21T08:44:20Z</dcterms:modified>
  <dc:title>招 标 文 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2052-11.8.2.10158</vt:lpwstr>
  </property>
</Properties>
</file>