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国家税务总局敦化市税务局2025年多功能会议室升级及视频音频设备采购项目（第二次）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JL2025-ZXGK-A0116-B00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国家税务总局延边朝鲜族自治州税务局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2025年11月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1.1.1项目基本情况</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3.2采购产品一览表</w:t>
        </w:r>
        <w:r>
          <w:tab/>
        </w:r>
        <w:r>
          <w:fldChar w:fldCharType="begin"/>
        </w:r>
        <w:r>
          <w:instrText xml:space="preserve"> PAGEREF _Toc256000017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3.2.1拟采购产品一览表</w:t>
        </w:r>
        <w:r>
          <w:tab/>
        </w:r>
        <w:r>
          <w:fldChar w:fldCharType="begin"/>
        </w:r>
        <w:r>
          <w:instrText xml:space="preserve"> PAGEREF _Toc256000018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3.3采购产品详细清单及技术指标</w:t>
        </w:r>
        <w:r>
          <w:tab/>
        </w:r>
        <w:r>
          <w:fldChar w:fldCharType="begin"/>
        </w:r>
        <w:r>
          <w:instrText xml:space="preserve"> PAGEREF _Toc256000019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3.3.1产品和服务指标要求</w:t>
        </w:r>
        <w:r>
          <w:tab/>
        </w:r>
        <w:r>
          <w:fldChar w:fldCharType="begin"/>
        </w:r>
        <w:r>
          <w:instrText xml:space="preserve"> PAGEREF _Toc256000020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3.4服务要求</w:t>
        </w:r>
        <w:r>
          <w:tab/>
        </w:r>
        <w:r>
          <w:fldChar w:fldCharType="begin"/>
        </w:r>
        <w:r>
          <w:instrText xml:space="preserve"> PAGEREF _Toc256000021 \h </w:instrText>
        </w:r>
        <w:r>
          <w:fldChar w:fldCharType="separate"/>
        </w:r>
        <w:r>
          <w:t>31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3.4.1服务要求</w:t>
        </w:r>
        <w:r>
          <w:tab/>
        </w:r>
        <w:r>
          <w:fldChar w:fldCharType="begin"/>
        </w:r>
        <w:r>
          <w:instrText xml:space="preserve"> PAGEREF _Toc256000022 \h </w:instrText>
        </w:r>
        <w:r>
          <w:fldChar w:fldCharType="separate"/>
        </w:r>
        <w:r>
          <w:t>31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3.5其他要求</w:t>
        </w:r>
        <w:r>
          <w:tab/>
        </w:r>
        <w:r>
          <w:fldChar w:fldCharType="begin"/>
        </w:r>
        <w:r>
          <w:instrText xml:space="preserve"> PAGEREF _Toc256000023 \h </w:instrText>
        </w:r>
        <w:r>
          <w:fldChar w:fldCharType="separate"/>
        </w:r>
        <w:r>
          <w:t>32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3.5.1★供应链安全管理要求</w:t>
        </w:r>
        <w:r>
          <w:tab/>
        </w:r>
        <w:r>
          <w:fldChar w:fldCharType="begin"/>
        </w:r>
        <w:r>
          <w:instrText xml:space="preserve"> PAGEREF _Toc256000024 \h </w:instrText>
        </w:r>
        <w:r>
          <w:fldChar w:fldCharType="separate"/>
        </w:r>
        <w:r>
          <w:t>32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3.5.2知识产权要求</w:t>
        </w:r>
        <w:r>
          <w:tab/>
        </w:r>
        <w:r>
          <w:fldChar w:fldCharType="begin"/>
        </w:r>
        <w:r>
          <w:instrText xml:space="preserve"> PAGEREF _Toc256000025 \h </w:instrText>
        </w:r>
        <w:r>
          <w:fldChar w:fldCharType="separate"/>
        </w:r>
        <w:r>
          <w:t>33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kern w:val="36"/>
          </w:rPr>
          <w:t>4人员要求</w:t>
        </w:r>
        <w:r>
          <w:tab/>
        </w:r>
        <w:r>
          <w:fldChar w:fldCharType="begin"/>
        </w:r>
        <w:r>
          <w:instrText xml:space="preserve"> PAGEREF _Toc256000026 \h </w:instrText>
        </w:r>
        <w:r>
          <w:fldChar w:fldCharType="separate"/>
        </w:r>
        <w:r>
          <w:t>33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4.1团队要求</w:t>
        </w:r>
        <w:r>
          <w:tab/>
        </w:r>
        <w:r>
          <w:fldChar w:fldCharType="begin"/>
        </w:r>
        <w:r>
          <w:instrText xml:space="preserve"> PAGEREF _Toc256000027 \h </w:instrText>
        </w:r>
        <w:r>
          <w:fldChar w:fldCharType="separate"/>
        </w:r>
        <w:r>
          <w:t>33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4.1.1基本要求</w:t>
        </w:r>
        <w:r>
          <w:tab/>
        </w:r>
        <w:r>
          <w:fldChar w:fldCharType="begin"/>
        </w:r>
        <w:r>
          <w:instrText xml:space="preserve"> PAGEREF _Toc256000028 \h </w:instrText>
        </w:r>
        <w:r>
          <w:fldChar w:fldCharType="separate"/>
        </w:r>
        <w:r>
          <w:t>33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4.1.2优选资质/优选指标</w:t>
        </w:r>
        <w:r>
          <w:tab/>
        </w:r>
        <w:r>
          <w:fldChar w:fldCharType="begin"/>
        </w:r>
        <w:r>
          <w:instrText xml:space="preserve"> PAGEREF _Toc256000029 \h </w:instrText>
        </w:r>
        <w:r>
          <w:fldChar w:fldCharType="separate"/>
        </w:r>
        <w:r>
          <w:t>33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5管理实施要求</w:t>
        </w:r>
        <w:r>
          <w:tab/>
        </w:r>
        <w:r>
          <w:fldChar w:fldCharType="begin"/>
        </w:r>
        <w:r>
          <w:instrText xml:space="preserve"> PAGEREF _Toc256000030 \h </w:instrText>
        </w:r>
        <w:r>
          <w:fldChar w:fldCharType="separate"/>
        </w:r>
        <w:r>
          <w:t>33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6风险管控要求</w:t>
        </w:r>
        <w:r>
          <w:tab/>
        </w:r>
        <w:r>
          <w:fldChar w:fldCharType="begin"/>
        </w:r>
        <w:r>
          <w:instrText xml:space="preserve"> PAGEREF _Toc256000031 \h </w:instrText>
        </w:r>
        <w:r>
          <w:fldChar w:fldCharType="separate"/>
        </w:r>
        <w:r>
          <w:t>34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7履约验收要求</w:t>
        </w:r>
        <w:r>
          <w:tab/>
        </w:r>
        <w:r>
          <w:fldChar w:fldCharType="begin"/>
        </w:r>
        <w:r>
          <w:instrText xml:space="preserve"> PAGEREF _Toc256000032 \h </w:instrText>
        </w:r>
        <w:r>
          <w:fldChar w:fldCharType="separate"/>
        </w:r>
        <w:r>
          <w:t>34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7.1总体要求</w:t>
        </w:r>
        <w:r>
          <w:tab/>
        </w:r>
        <w:r>
          <w:fldChar w:fldCharType="begin"/>
        </w:r>
        <w:r>
          <w:instrText xml:space="preserve"> PAGEREF _Toc256000033 \h </w:instrText>
        </w:r>
        <w:r>
          <w:fldChar w:fldCharType="separate"/>
        </w:r>
        <w:r>
          <w:t>34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7.2具体要求</w:t>
        </w:r>
        <w:r>
          <w:tab/>
        </w:r>
        <w:r>
          <w:fldChar w:fldCharType="begin"/>
        </w:r>
        <w:r>
          <w:instrText xml:space="preserve"> PAGEREF _Toc256000034 \h </w:instrText>
        </w:r>
        <w:r>
          <w:fldChar w:fldCharType="separate"/>
        </w:r>
        <w:r>
          <w:t>34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kern w:val="36"/>
          </w:rPr>
          <w:t>8其他要求</w:t>
        </w:r>
        <w:r>
          <w:tab/>
        </w:r>
        <w:r>
          <w:fldChar w:fldCharType="begin"/>
        </w:r>
        <w:r>
          <w:instrText xml:space="preserve"> PAGEREF _Toc256000035 \h </w:instrText>
        </w:r>
        <w:r>
          <w:fldChar w:fldCharType="separate"/>
        </w:r>
        <w:r>
          <w:t>35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8.1必备要求</w:t>
        </w:r>
        <w:r>
          <w:tab/>
        </w:r>
        <w:r>
          <w:fldChar w:fldCharType="begin"/>
        </w:r>
        <w:r>
          <w:instrText xml:space="preserve"> PAGEREF _Toc256000036 \h </w:instrText>
        </w:r>
        <w:r>
          <w:fldChar w:fldCharType="separate"/>
        </w:r>
        <w:r>
          <w:t>35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8.1.1通用必备要求</w:t>
        </w:r>
        <w:r>
          <w:tab/>
        </w:r>
        <w:r>
          <w:fldChar w:fldCharType="begin"/>
        </w:r>
        <w:r>
          <w:instrText xml:space="preserve"> PAGEREF _Toc256000037 \h </w:instrText>
        </w:r>
        <w:r>
          <w:fldChar w:fldCharType="separate"/>
        </w:r>
        <w:r>
          <w:t>35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8.2付款安排建议</w:t>
        </w:r>
        <w:r>
          <w:tab/>
        </w:r>
        <w:r>
          <w:fldChar w:fldCharType="begin"/>
        </w:r>
        <w:r>
          <w:instrText xml:space="preserve"> PAGEREF _Toc256000038 \h </w:instrText>
        </w:r>
        <w:r>
          <w:fldChar w:fldCharType="separate"/>
        </w:r>
        <w:r>
          <w:t>35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8.3其他要求</w:t>
        </w:r>
        <w:r>
          <w:tab/>
        </w:r>
        <w:r>
          <w:fldChar w:fldCharType="begin"/>
        </w:r>
        <w:r>
          <w:instrText xml:space="preserve"> PAGEREF _Toc256000039 \h </w:instrText>
        </w:r>
        <w:r>
          <w:fldChar w:fldCharType="separate"/>
        </w:r>
        <w:r>
          <w:t>35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8.3.1保密要求</w:t>
        </w:r>
        <w:r>
          <w:tab/>
        </w:r>
        <w:r>
          <w:fldChar w:fldCharType="begin"/>
        </w:r>
        <w:r>
          <w:instrText xml:space="preserve"> PAGEREF _Toc256000040 \h </w:instrText>
        </w:r>
        <w:r>
          <w:fldChar w:fldCharType="separate"/>
        </w:r>
        <w:r>
          <w:t>35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8.3.2★税收信息化项目开发和应用管理工作要求</w:t>
        </w:r>
        <w:r>
          <w:tab/>
        </w:r>
        <w:r>
          <w:fldChar w:fldCharType="begin"/>
        </w:r>
        <w:r>
          <w:instrText xml:space="preserve"> PAGEREF _Toc256000041 \h </w:instrText>
        </w:r>
        <w:r>
          <w:fldChar w:fldCharType="separate"/>
        </w:r>
        <w:r>
          <w:t>36</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1.1.1项目基本情况</w:t>
      </w:r>
      <w:bookmarkEnd w:id="6"/>
    </w:p>
    <w:p>
      <w:pPr>
        <w:pStyle w:val="150"/>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国家税务总局敦化市税务局</w:t>
      </w:r>
      <w:r>
        <w:rPr>
          <w:rFonts w:ascii="仿宋_GB2312" w:eastAsia="仿宋_GB2312" w:hAnsi="仿宋_GB2312" w:cs="仿宋_GB2312"/>
          <w:sz w:val="28"/>
          <w:szCs w:val="28"/>
        </w:rPr>
        <w:t>2025年多功能会议室升级及视频音频设备采购项目，为多功能会议室升级及视频音频设备采购标包，预算83万元，供应商按照本包金额进行投标报价，投标价格不得超过预算。</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本项目采购国家税务总局敦化市税务局所需多功能会议室升级及视频音频设备，含相应安装及配送。</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1.2.2项目实施要求</w:t>
      </w:r>
      <w:bookmarkEnd w:id="9"/>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18"/>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具体要求如下：</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1.2.2.1.1场地准备与基础环境改造</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会议室环境评估：对目标会议室的空间布局、声学环境（混响、隔音）、光学环境（遮光、照明）进行初步评估，提出优化建议。</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弱电线路布设：根据新系统需求，规划并实施必要的新增或改造音视频线缆（</w:t>
      </w:r>
      <w:r>
        <w:rPr>
          <w:rFonts w:ascii="仿宋_GB2312" w:eastAsia="仿宋_GB2312" w:hAnsi="仿宋_GB2312" w:cs="仿宋_GB2312"/>
          <w:sz w:val="28"/>
          <w:szCs w:val="28"/>
        </w:rPr>
        <w:t>HDMI，SDI，网线等）、控制线缆、电源线路的敷设，确保线路整洁、规范、安全。</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设备安装点位规划：确定所有设备（如</w:t>
      </w:r>
      <w:r>
        <w:rPr>
          <w:rFonts w:ascii="仿宋_GB2312" w:eastAsia="仿宋_GB2312" w:hAnsi="仿宋_GB2312" w:cs="仿宋_GB2312"/>
          <w:sz w:val="28"/>
          <w:szCs w:val="28"/>
        </w:rPr>
        <w:t>LED拼接屏、视频会议摄像头、音箱、麦克风、机柜等）的最佳安装位置及固定方式。</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1.2.2.1.2核心音视频设备采购与安装</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视频系统：视频会议终端采用性能稳定、兼容性强的高清视频会议终端主机。</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音频系统：核心处理器采购数字音频处理器</w:t>
      </w:r>
      <w:r>
        <w:rPr>
          <w:rFonts w:ascii="仿宋_GB2312" w:eastAsia="仿宋_GB2312" w:hAnsi="仿宋_GB2312" w:cs="仿宋_GB2312"/>
          <w:sz w:val="28"/>
          <w:szCs w:val="28"/>
        </w:rPr>
        <w:t> (DSP)，负责回声消除、反馈抑制、自动混音、均衡等核心音频处理。</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拾音设备：采购并安装会议麦克风</w:t>
      </w:r>
      <w:r>
        <w:rPr>
          <w:rFonts w:ascii="仿宋_GB2312" w:eastAsia="仿宋_GB2312" w:hAnsi="仿宋_GB2312" w:cs="仿宋_GB2312"/>
          <w:sz w:val="28"/>
          <w:szCs w:val="28"/>
        </w:rPr>
        <w:t> (满足主要与会区域)；采购适量手持无线麦克风及领夹式无线麦克风 (含接收主机)。</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扩声设备：采购并安装专业会议音箱</w:t>
      </w:r>
      <w:r>
        <w:rPr>
          <w:rFonts w:ascii="仿宋_GB2312" w:eastAsia="仿宋_GB2312" w:hAnsi="仿宋_GB2312" w:cs="仿宋_GB2312"/>
          <w:sz w:val="28"/>
          <w:szCs w:val="28"/>
        </w:rPr>
        <w:t> (主扩声音箱、辅助音箱，数量及功率根据房间面积和声学需求确定)，采购相应功率放大器。</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信号切换与传输：采购高清混合拼接控制器，实现各类视频信号源（电脑、视频会议终端、摄像机等）到各类显示设备的灵活切换。</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1.2.2.1.3集中控制系统采购与集成</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中央控制主机：采购中控系统主机。</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用户控制界面：采购并安装触摸屏控制面板，或提供移动端</w:t>
      </w:r>
      <w:r>
        <w:rPr>
          <w:rFonts w:ascii="仿宋_GB2312" w:eastAsia="仿宋_GB2312" w:hAnsi="仿宋_GB2312" w:cs="仿宋_GB2312"/>
          <w:sz w:val="28"/>
          <w:szCs w:val="28"/>
        </w:rPr>
        <w:t>APP控制解决方案 (触控终端、平板电脑)。</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控制模块与编程：采购配套的电源控制模块、串口</w:t>
      </w:r>
      <w:r>
        <w:rPr>
          <w:rFonts w:ascii="仿宋_GB2312" w:eastAsia="仿宋_GB2312" w:hAnsi="仿宋_GB2312" w:cs="仿宋_GB2312"/>
          <w:sz w:val="28"/>
          <w:szCs w:val="28"/>
        </w:rPr>
        <w:t>/红外控制模块、网络控制模块等。</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系统编程与调试：完成对整个会议室设备（电源、拼接屏显示、拼接处理器、音频、视频会议终端、灯光、窗帘等）的一键式场景化控制程序的编写与调试。</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1.2.2.1.4会议辅助设备采购</w:t>
      </w:r>
    </w:p>
    <w:p>
      <w:pPr>
        <w:pStyle w:val="16"/>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数字会议发言单元：采购并安装带申请发言、表决功能的数字会议系统主机及单元。</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1.2.2.1.5系统集成、调试与服务</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系统集成：将所有采购设备（音视频、控制、会议）进行物理连接和系统集成，确保各子系统协同工作。</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全面调试与优化：音频系统调试（均衡、压限、增益、回声消除效果等）；控制系统调试（场景功能、响应速度、稳定性）；网络配置（视频会议终端、控制网络）；与上级或常用视频会议平台进行对接测试。</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操作培训：为税务局指定的管理人员和常用人员提供系统操作、日常维护及简单故障排除的现场培训。</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文档交付：提供完整的系统设备清单、接线图、操作手册、维护指南及主要设备保修卡。</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售后与维保：明确设备保修期及保修范围，提供保修期内的技术支持与故障响应服务。</w:t>
      </w:r>
    </w:p>
    <w:p>
      <w:pPr>
        <w:pStyle w:val="Heading50"/>
        <w:spacing w:before="0" w:after="0" w:line="360" w:lineRule="auto"/>
        <w:ind w:firstLine="398"/>
        <w:rPr>
          <w:rFonts w:ascii="Times New Roman" w:eastAsia="Times New Roman" w:hAnsi="Times New Roman" w:cs="Times New Roman"/>
          <w:b/>
          <w:bCs/>
          <w:sz w:val="20"/>
          <w:szCs w:val="20"/>
        </w:rPr>
      </w:pPr>
      <w:r>
        <w:rPr>
          <w:rFonts w:ascii="仿宋_GB2312" w:eastAsia="仿宋_GB2312" w:hAnsi="仿宋_GB2312" w:cs="仿宋_GB2312"/>
          <w:i w:val="0"/>
          <w:iCs w:val="0"/>
          <w:sz w:val="28"/>
          <w:szCs w:val="28"/>
        </w:rPr>
        <w:t>1.2.2.1.6项目实施关键要求</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兼容性与扩展性：系统设计需考虑与现有及未来可能使用的上级单位平台、主流云会议软件的兼容性，并具备一定的扩展能力。</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安全性与稳定性：设备选型需符合国家相关标准，系统设计需确保运行稳定可靠，满足政府单位信息安全要求。</w:t>
      </w:r>
    </w:p>
    <w:p>
      <w:pPr>
        <w:pStyle w:val="17"/>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易用性：集中控制系统界面需直观友好，操作简单，降低使用门槛。</w:t>
      </w:r>
    </w:p>
    <w:p>
      <w:pPr>
        <w:pStyle w:val="150"/>
        <w:spacing w:before="0" w:after="0" w:line="360" w:lineRule="auto"/>
        <w:ind w:firstLine="48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品牌与质量：采购设备应性能稳定，质量可靠，售后服务有保障。</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到货期限：自合同签订之日起</w:t>
      </w:r>
      <w:r>
        <w:rPr>
          <w:rFonts w:ascii="仿宋_GB2312" w:eastAsia="仿宋_GB2312" w:hAnsi="仿宋_GB2312" w:cs="仿宋_GB2312"/>
          <w:sz w:val="28"/>
          <w:szCs w:val="28"/>
        </w:rPr>
        <w:t>10天到达国家税务总局敦化市税务局指定地点，并保证所有货物全部符合质量标准和要求。货物经验收合格后，10天内完成设备调试部署，并保证所有设备稳定运行。</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质量保障服务期限：自验收通过之日起</w:t>
      </w:r>
      <w:r>
        <w:rPr>
          <w:rFonts w:ascii="仿宋_GB2312" w:eastAsia="仿宋_GB2312" w:hAnsi="仿宋_GB2312" w:cs="仿宋_GB2312"/>
          <w:sz w:val="28"/>
          <w:szCs w:val="28"/>
        </w:rPr>
        <w:t>2年。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150"/>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国家税务总局敦化市税务局。</w:t>
      </w:r>
    </w:p>
    <w:p>
      <w:pPr>
        <w:pStyle w:val="Heading10"/>
        <w:keepNext w:val="0"/>
        <w:spacing w:before="0" w:after="0" w:line="360" w:lineRule="auto"/>
        <w:jc w:val="center"/>
        <w:rPr>
          <w:rFonts w:ascii="仿宋_GB2312" w:eastAsia="仿宋_GB2312" w:hAnsi="仿宋_GB2312" w:cs="仿宋_GB2312"/>
          <w:b/>
          <w:bCs/>
          <w:sz w:val="32"/>
          <w:szCs w:val="32"/>
        </w:rPr>
      </w:pPr>
      <w:bookmarkStart w:id="10" w:name="_Toc256000006"/>
      <w:r>
        <w:rPr>
          <w:rFonts w:ascii="仿宋_GB2312" w:eastAsia="仿宋_GB2312" w:hAnsi="仿宋_GB2312" w:cs="仿宋_GB2312"/>
          <w:kern w:val="36"/>
        </w:rPr>
        <w:t>2投标/响应要求</w:t>
      </w:r>
      <w:bookmarkEnd w:id="10"/>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2.1对供应商的要求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2.1.1必备资质</w:t>
      </w:r>
      <w:bookmarkEnd w:id="1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2.1.2优选资质/优选指标</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16Table"/>
        <w:tblW w:w="5000" w:type="pct"/>
        <w:tblCellSpacing w:w="0" w:type="dxa"/>
        <w:tblInd w:w="286" w:type="dxa"/>
        <w:tblCellMar>
          <w:top w:w="15" w:type="dxa"/>
          <w:left w:w="15" w:type="dxa"/>
          <w:bottom w:w="15" w:type="dxa"/>
          <w:right w:w="15" w:type="dxa"/>
        </w:tblCellMar>
        <w:tblLook w:val="05E0"/>
      </w:tblPr>
      <w:tblGrid>
        <w:gridCol w:w="907"/>
        <w:gridCol w:w="4083"/>
        <w:gridCol w:w="4083"/>
      </w:tblGrid>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00" w:type="pct"/>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2250"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证书名称</w:t>
            </w:r>
          </w:p>
        </w:tc>
        <w:tc>
          <w:tcPr>
            <w:tcW w:w="2250"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备注</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提供</w:t>
      </w:r>
      <w:r>
        <w:rPr>
          <w:rFonts w:ascii="仿宋_GB2312" w:eastAsia="仿宋_GB2312" w:hAnsi="仿宋_GB2312" w:cs="仿宋_GB2312"/>
          <w:sz w:val="28"/>
          <w:szCs w:val="28"/>
        </w:rPr>
        <w:t>2020年1月1日以来（以合同签订日期为准）独立承担实施的相类似项目成功案例。为同一个单位提供类似货物分年度多次签订的案例按1个计算。投标方提供同类业绩资料的合同等证明材料复印件。有效业绩要求包括：根据应答人提供近年同类项目业绩，要求提供同类业绩发票相关信息和发票扫描件及对应的合同扫描件，发票未通过税务局网站验证的不予计取，提供的合同关键信息必须完整。</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2.1.3是否允许联合体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2.1.4是否专门面向中小企业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2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i w:val="0"/>
          <w:iCs w:val="0"/>
        </w:rPr>
        <w:t>2.2技术部分投标/响应内容</w:t>
      </w:r>
      <w:bookmarkEnd w:id="16"/>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2.2.1技术投标/响应总要求</w:t>
      </w:r>
      <w:bookmarkEnd w:id="17"/>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投标人必须针对技术部分中的需求逐个或分块作出实质性响应，其响应与采购文件内容采用同样的顺序。对每个需求的响应必须遵循如下规则：</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·重复该需求。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·用“是/否”响应来表明该需求是否被满足。</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·简要描述投标文件如何满足该需求，如果该响应在投标文件其他部分有详述，可在该处简单应答，但必须给出确切的位置索引。</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·解释投标文件与用户需求之间的偏差，用数量来表示的需求，必须用确切的数字、单位来响应。</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·采购文件（技术部分）中有标注★号的，为必备服务内容，必须满足，如未作出响应，将导致投标无效。#为重要服务内容、△为一般服务内容。</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·投标人认为对整个项目建设特别重要的建议，需单独说明（此项单列为可选性需求）。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上传报价必须填写所有产品品牌、型号、单价、合计价并且报价单必须加盖单位公章，否则视为无效响应。报价方必须认真审核本需求清单所列技术参数和报价要求，若发现报价方存在未实质性响应需求的行为，采购方将视该报价为无效报价。若报价方行为违反税务采购网相关制度和规章的，我方将报有关部门依法处理。建设内容清单全部内容并能实现包括但不限于全部需求功能。供应商在报价时需充分考虑设备费用、安装线材费用、人工费、运输费、装卸费、安装调试费、售后服务费、合理利润及税费等一切相关的费用，使用方不再单独另行支付。</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为确保产品质量和售后服务的及时响应，本项目不接受非原厂生产的品牌参与。供应商应保证提供给采购方的产品是生产厂家原厂生产的、全新的、未使用过的，并完全符合采购方在采购时提出的规格参数等要求，如无法提供的，视为虚假应标，取消成交资格。</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2.2.2投标/响应方案要求</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pPr>
        <w:pStyle w:val="150"/>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投标人根据项目特点和采购需求，制定和提供完整、详细、可操作性强的管理实施方案、风险管控方案、保密方案、履约验收方案、售后服务方案。</w:t>
      </w:r>
    </w:p>
    <w:p>
      <w:pPr>
        <w:pStyle w:val="Heading10"/>
        <w:keepNext w:val="0"/>
        <w:spacing w:before="0" w:after="0" w:line="360" w:lineRule="auto"/>
        <w:jc w:val="center"/>
        <w:rPr>
          <w:rFonts w:ascii="仿宋_GB2312" w:eastAsia="仿宋_GB2312" w:hAnsi="仿宋_GB2312" w:cs="仿宋_GB2312"/>
          <w:b/>
          <w:bCs/>
          <w:sz w:val="32"/>
          <w:szCs w:val="32"/>
        </w:rPr>
      </w:pPr>
      <w:bookmarkStart w:id="19" w:name="_Toc256000015"/>
      <w:r>
        <w:rPr>
          <w:rFonts w:ascii="仿宋_GB2312" w:eastAsia="仿宋_GB2312" w:hAnsi="仿宋_GB2312" w:cs="仿宋_GB2312"/>
          <w:kern w:val="36"/>
        </w:rPr>
        <w:t>3项目需求</w:t>
      </w:r>
      <w:bookmarkEnd w:id="19"/>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3.1总体要求</w:t>
      </w:r>
      <w:bookmarkEnd w:id="20"/>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投标人需确保项目工作的顺利实施和稳定运行，满足市局工作的要求。</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3.2采购产品一览表</w:t>
      </w:r>
      <w:bookmarkEnd w:id="21"/>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3.2.1拟采购产品一览表</w:t>
      </w:r>
      <w:bookmarkEnd w:id="22"/>
    </w:p>
    <w:tbl>
      <w:tblPr>
        <w:tblStyle w:val="16Table"/>
        <w:tblW w:w="8085" w:type="dxa"/>
        <w:jc w:val="center"/>
        <w:tblCellSpacing w:w="0" w:type="dxa"/>
        <w:tblInd w:w="168" w:type="dxa"/>
        <w:tblCellMar>
          <w:top w:w="15" w:type="dxa"/>
          <w:left w:w="15" w:type="dxa"/>
          <w:bottom w:w="15" w:type="dxa"/>
          <w:right w:w="15" w:type="dxa"/>
        </w:tblCellMar>
        <w:tblLook w:val="05E0"/>
      </w:tblPr>
      <w:tblGrid>
        <w:gridCol w:w="1471"/>
        <w:gridCol w:w="3273"/>
        <w:gridCol w:w="1674"/>
        <w:gridCol w:w="1667"/>
      </w:tblGrid>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序号</w:t>
            </w:r>
          </w:p>
        </w:tc>
        <w:tc>
          <w:tcPr>
            <w:tcW w:w="4312" w:type="dxa"/>
            <w:tcBorders>
              <w:top w:val="single" w:sz="8" w:space="0" w:color="000000"/>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设备或材料名称</w:t>
            </w:r>
          </w:p>
        </w:tc>
        <w:tc>
          <w:tcPr>
            <w:tcW w:w="2167" w:type="dxa"/>
            <w:tcBorders>
              <w:top w:val="single" w:sz="8" w:space="0" w:color="000000"/>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数量</w:t>
            </w:r>
          </w:p>
        </w:tc>
        <w:tc>
          <w:tcPr>
            <w:tcW w:w="2167" w:type="dxa"/>
            <w:tcBorders>
              <w:top w:val="single" w:sz="8" w:space="0" w:color="000000"/>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单位</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同轴扬声器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只</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功率放大器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调音台</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数字音频矩阵</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电源时序器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监听音箱</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监听耳机</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音频隔离器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流媒体终端</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多功能控制器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数字会议系统主机</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只</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手拉手延长线</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40</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米</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无线话筒</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十路天线分配器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定向天线</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网络中控主机</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电源控制器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无线路由器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平板电脑</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门禁系统</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音视频线材</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附件及管材</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23</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空调制冷系统</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24</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实物展台</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25</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高清编码器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26</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高清解码器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多功能地插</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28</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附件及管材</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29</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温湿度显示屏</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30</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有线双耳耳机</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31</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高保真拾音器</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085" w:type="dxa"/>
          <w:jc w:val="center"/>
          <w:tblCellSpacing w:w="0" w:type="dxa"/>
          <w:tblInd w:w="168" w:type="dxa"/>
          <w:tblCellMar>
            <w:top w:w="15" w:type="dxa"/>
            <w:left w:w="15" w:type="dxa"/>
            <w:bottom w:w="15" w:type="dxa"/>
            <w:right w:w="15" w:type="dxa"/>
          </w:tblCellMar>
          <w:tblLook w:val="05E0"/>
        </w:tblPrEx>
        <w:trPr>
          <w:trHeight w:val="340"/>
          <w:tblCellSpacing w:w="0" w:type="dxa"/>
          <w:jc w:val="center"/>
        </w:trPr>
        <w:tc>
          <w:tcPr>
            <w:tcW w:w="1742"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32</w:t>
            </w:r>
          </w:p>
        </w:tc>
        <w:tc>
          <w:tcPr>
            <w:tcW w:w="4312"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系统集成费</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167" w:type="dxa"/>
            <w:tcBorders>
              <w:bottom w:val="single" w:sz="8" w:space="0" w:color="000000"/>
              <w:right w:val="single" w:sz="8" w:space="0" w:color="000000"/>
            </w:tcBorders>
            <w:noWrap w:val="0"/>
            <w:tcMar>
              <w:top w:w="0" w:type="dxa"/>
              <w:left w:w="123" w:type="dxa"/>
              <w:bottom w:w="0" w:type="dxa"/>
              <w:right w:w="15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bl>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3.3采购产品详细清单及技术指标</w:t>
      </w:r>
      <w:bookmarkEnd w:id="23"/>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pPr>
        <w:pStyle w:val="Heading3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sz w:val="28"/>
          <w:szCs w:val="28"/>
        </w:rPr>
        <w:t>3.3.1产品和服务指标要求</w:t>
      </w:r>
      <w:bookmarkEnd w:id="24"/>
    </w:p>
    <w:tbl>
      <w:tblPr>
        <w:tblStyle w:val="16Table"/>
        <w:tblW w:w="4997" w:type="pct"/>
        <w:tblCellSpacing w:w="0" w:type="dxa"/>
        <w:tblInd w:w="348" w:type="dxa"/>
        <w:tblCellMar>
          <w:top w:w="15" w:type="dxa"/>
          <w:left w:w="15" w:type="dxa"/>
          <w:bottom w:w="15" w:type="dxa"/>
          <w:right w:w="15" w:type="dxa"/>
        </w:tblCellMar>
        <w:tblLook w:val="05E0"/>
      </w:tblPr>
      <w:tblGrid>
        <w:gridCol w:w="176"/>
        <w:gridCol w:w="395"/>
        <w:gridCol w:w="8035"/>
        <w:gridCol w:w="197"/>
        <w:gridCol w:w="513"/>
      </w:tblGrid>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tcBorders>
              <w:top w:val="single" w:sz="8" w:space="0" w:color="000000"/>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序号</w:t>
            </w:r>
          </w:p>
        </w:tc>
        <w:tc>
          <w:tcPr>
            <w:tcW w:w="628" w:type="pct"/>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设备或材料名称</w:t>
            </w:r>
          </w:p>
        </w:tc>
        <w:tc>
          <w:tcPr>
            <w:tcW w:w="2842" w:type="pct"/>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指标内容</w:t>
            </w:r>
          </w:p>
        </w:tc>
        <w:tc>
          <w:tcPr>
            <w:tcW w:w="413" w:type="pct"/>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重要性</w:t>
            </w:r>
          </w:p>
        </w:tc>
        <w:tc>
          <w:tcPr>
            <w:tcW w:w="773" w:type="pct"/>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是否需要证明材料</w:t>
            </w:r>
          </w:p>
        </w:tc>
      </w:tr>
      <w:tr>
        <w:tblPrEx>
          <w:tblW w:w="4997" w:type="pct"/>
          <w:tblCellSpacing w:w="0" w:type="dxa"/>
          <w:tblInd w:w="348" w:type="dxa"/>
          <w:tblCellMar>
            <w:top w:w="15" w:type="dxa"/>
            <w:left w:w="15" w:type="dxa"/>
            <w:bottom w:w="15" w:type="dxa"/>
            <w:right w:w="15" w:type="dxa"/>
          </w:tblCellMar>
          <w:tblLook w:val="05E0"/>
        </w:tblPrEx>
        <w:trPr>
          <w:trHeight w:val="27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同轴扬声器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1.两分频同轴音箱</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7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2.箱体采用优质木工板</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361"/>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3.表面喷涂黑色水性砂面漆</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4.扬声器采用同轴单元</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5.专业U型安装挂件，可多只组合吊装</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6.金属防护网，8mm六边形透声孔，内衬防尘透声网</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7.额定阻抗：8Ω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8.功率(AES)：160W</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9.最大功率（AES）：640W</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10.特性灵敏度：92dB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7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11.连续声压级：114dB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12.最大声压级：120dB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13.额定频率范围：100～20000Hz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14.同轴扬声器：5"×1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15.覆盖角度（H×V）：70°×70°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16.输入接口：凤凰钳位电路接口×1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17.尺寸（mm）：约192(H)×175(W)×171(D)</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18.净重：约3.6kg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功率放大器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1.D类数字功放与开关电源组成的高效率功放系统</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2.模块化设计，有效提升生产、售中及售后服务的效率</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3.可支持DSP模块及数字音频传输处理模块，可通过电脑软件调试DSP处理音效、智能化网络监测功放工作状态、远程开关机控制及性能调试</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4.支持物联网运维管理平台接入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5.具备开机电源软启动，过热、过流、短路和DC漂移等多重检测保护性能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6.具备1.4V/1V/0.775V三档输入灵敏度可选择，音源的兼容性更强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7.具备立体声/并接/桥接三种工作模式可选择，音响系统的构建更灵活</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8.具备完整的LED工作状态指示灯</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9.具备COMBO XLR平衡输入端口（兼容6.35插口）和快装式输出端口，系统连接可靠、高效</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10.专用铝齿散热器、高效风速可变风冷散热系统</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11.国际标准2U高度设计，适合安装在标准的19吋机柜内；标准化机箱设计，系统集成更方便、美观</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12.内置自动压限器，有效限制大动态信号削波，确保音色悦耳，保护扬声器系统</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13.额定功率：4×400W/8Ω，4×600W/4Ω，2×1200W/8Ω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14.频率响应：20Hz～20kHz ±1dB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15.输入灵敏度：0.775V/1V/1.4V</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16.输入阻抗：平衡20kΩ，非平衡10kΩ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17.总谐波失真(1kHz)：≤0.1%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18.信噪比(A计权)：≥95dB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19.串音(1kHz)：≥70dB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20.电压适应范围：AC100V～240V，50Hz/60Hz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21.整机尺寸（W×D×H）：约483mm×410mm×100mm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22.净重：约7.5kg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调音台</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1.20路输入【12路MIC+LINE+2组路立体声+1组返回+MP3+光纤+USB声卡】</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2.+48V幻象电压可以独立打开与关闭</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3.每个通道有4段参量均衡，压限器、噪声门、延时、相位、高通滤波、声像、反馈抑制、静音、监听等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4.内置3个9段的图示均衡，可以任意插入1-16通道</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5.参量均衡可开可关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6.12只高性能100mm电动推子，便于一键快速操控</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7.通道参数可以快速复制</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8.两路辅助输出，推子前后可以切换</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9.6路编组输出，1组立体声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10.每路输出有15段参量均衡、压限器、延时器、相位</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11.支持多轨多模数字录音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12.支持MP3播放，且双解码</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13.四个场景快捷调用，20组用户数据存储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14.多种通讯接口，方便用户远程控制（WLAN，USB，LINK）</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15.内置双效果器，每个效果器16种模式，ECHO，而且可调参数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16.使用7寸高清触摸屏（800*480）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17.使用Linux操作系统，功能强大，32位DSP处理器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18.支持FX脚踏开关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19.支持光纤输入输出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20.10个输出接口；混合左右通道，6编组输出，2辅助输出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21.用户可自定义层</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22.参数锁定功能，防止误操作</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23.可安装在机柜上</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24.输入灵敏度：MIC -60dB； LINE：-50dB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25.电子增益：-32dB 至+10dB   0.7步进</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26.输入阻抗：MIC＞5K   LINE＞10k</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27.监听输出：7V   @220OHm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28.输出电压：4V</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29.信噪比：&gt;85dBu</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30.失真度：(THD) &lt;%0.005(@1kHz)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31.频率响应：20Hz-20kHz±1dB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32.参量均衡：4段，（20Hz-20KHz）±12dB     Q:0.3-15 可调</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33.输出参量均衡：15段（20Hz-20KHz）±12dB      Q:0.3-15 可调</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34.输入延时：最大25ms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35.输出延时：最大35ms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36.阈值/比率：-50dB至6dB/1:1至无穷</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37.冲击/释放：1-127ms/1-127ms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38.可插入的9段均衡：63Hz、125Hz、250Hz、500Hz、1Kz、2Kz、4KHz、8KHz、16KHz：±12dB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39.功耗：&lt;65W</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40.体积：约L510xW434xH140mm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数字音频矩阵</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1.16*16数字音频矩阵处理器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2.每路输入带48V环相供电</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3.DSP音频处理，内置自动混音台，反馈消除，回声消除，噪声消除模块</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4.输入：前级放大、信号发生器、扩展器、压缩器、5段参量均衡、自动增益</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5.输出：31段图示均衡、延时器、分频器、限幅器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6.全功能矩阵混音功能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7.USB背景音乐播放与录制功能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8.支持Windows，Android，IOS平台客户端</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9.支持外接RS232控制</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10.支持场景预设功能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11.断电自动保护记忆功能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12.每通道可独立设置中文名称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13.1.3英寸OLED屏幕，实时显示本机当前IP</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14.测试信号发生器，正弦波、粉噪、白噪</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15.输入相位开关、静音开关、环相供电开关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16.每通道5段参量均衡-15至+15dB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17.每通道压缩器阈值-48至0dBFS，压缩输出-24至+30dBFS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18.每通道自动增益比率1至20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19.反馈抑制功能有输入输出开关，回声抑制功能有3种模式5个等级选择，噪声抑制功能有5个等级选择</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20.每通道最大延时2S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21.每输出通道独立高低通滤波，3种模式8种等级，独立开关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22.每通道独立31段图示均衡，3种Q值可选，-15至+15dB范围调控，独立开关控制，一键复位</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23.每通道限幅器阈值-48至0dBFS，恢复时间1至1000ms</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24.每通道输出独立开关，相位开关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25.中、繁、英三种语言灵活切换</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26.一键显示所有功能模块</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27.随机存储PC软件</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28.中控代码随机生成</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29.同一台主机允许10个用户管理，用户名可设置为中文</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30.设备名称可修改，允许中文名称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31.可编辑预置模式，新建、删除、修改，一键初始化，预置模式可存储至电脑及一键恢复</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32.输入输出通道可独立设置颜色，一键恢复开关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33.有摄像跟踪功能，可独立对一台摄像机进行预置位调整</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34.支持Dante数字音频信号扩展</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35.频率响应：20Hz-20kHz ±0.3dB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36.总谐波失真：≤0.01%@4dBu，1kHz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37.采样率及量化位数：48kHz/24bit</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38.最大输入电平：≥17dBu</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39.最大输出电平：≥17dBu</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40.信噪比：≥100dB（A计权）</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41.增益：≥48dB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42.净重：约3.2kg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电源时序器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1.采用MCU控制，使时序时间更准确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2.采用80A空气开关提供过流保护</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3.LED数字电压指示，时刻监控当前市电电压</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4.过压报警功能（带报警铃声）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5.提供单机控制、多机联机控制，串口控制、外接设备触发控制功能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6.提供6路DC12V/1.2A和1路USB接口的DC5V输出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7.电源总功率：交流～220V/80A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8.压显示精准度：空载时±1%，满载时±10%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9.输出通道数和插座模式：14路，万用电源插座</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10.每通道最大输出电流：20A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11.时序开关频率：每1步/秒</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12.工作电压：220V±10%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13.工作频率：50Hz±5%</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14.净尺寸（宽×高×深）：约480×371×104mm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15.净重：约10kg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监听音箱</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1.中纤板木质音箱</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 适用于电影院、多功能厅、录音棚等场所的音乐监听</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35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ind w:left="0" w:firstLine="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 内置高效功率放大器和5.25吋低音/20芯丝膜高音优质扬声；音频输入：两路莲花音频输入，USB/TF卡输入，无线蓝牙输入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4.音频输出：一路副机功率输出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5.调节形式：主音量、高音、低音独立调节</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6.支持MP3、WMA、WAV、APE、FLAC格式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7.功率：2X50W</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8.阻抗：4Ω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9.频率范围：80Hz~20KHz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10.输入电源：AC:220V/50Hz/1.6A(±5%)</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11.失 真 度：≤1%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12.音箱尺寸：约180(W)X252(D)X290(H)mm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13.喇叭单元：低音：5.25吋纸盆低音，高音：3吋黑色丝膜高音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96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监听耳机</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全封闭式振膜耳机，最大功率200mW，阻抗55欧，频率响应16Hz-28kHz，灵敏度91dB，3m缆线长度，耳机为Mini-XLR接口，连接线为3.5mm镀金直型插头，附件3.5mm转6.3mm镀金插头；重量约240g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音频隔离器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有效解决设备共地产生的电流声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流媒体终端</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1.使用音视频编解码芯片，嵌入式操作系统，非PC架构，非工控机架构</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2.通过终端管理平台，可实时查看终端视频输入输出接口的连接状态，端口接入HDMI信号时，平台对应端口颜色显示为绿色，无HDMI信号时，对应端口颜色显示红色</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3.支持4K信号源接入并向下兼容，视频编码支持H.265、H.264，分辨率支持：3840*2160、1920*1080、1280*720等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4.设备管理平台具有重启设备功能，支持通过管理平台远程一键重启流媒体终端</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5.具有2路HDMI视频输入接口，2路HDMI视频输出接口，支持视频环出功能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6.前面板具有2路视频信号指示灯，信号接入对应指示灯亮、信号断开对应指示灯灭</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7.额定电源电压：DC12V 3A；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8.最大功耗：&lt;30W</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96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多功能控制器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1.设备采用全铝结构，显示屏框架为整体铝合金整体CNC一次成型，薄处不大于4毫米，设备的表面需进行阳极氧化处理</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2.合理利用会议桌空间，升降器面板尺寸不大于：601mm（长）*70mm（宽）*3mm（厚）</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120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3.屏幕仰角0-30度可调，前面板具有2个USB接口，同时前面板应具有上升、下降、暂停及终端信号切换按键，电源按键开关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96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4.传动结构需做特殊处理，噪音降到最低，内部结构要采用防水方式处理，一般的会议茶水渗漏不会影响机器的使用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5.电源供电：AC 220V/50-60/HZ、电能消耗 &gt;25W、升降时间30S、环境条件：-20℃～50℃   湿度≤70%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数字会议系统主机</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1.讨论，视像跟踪综合会议系统</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2.主机与系统单元采用8芯线缆手拉手连接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3.可独立工作，亦可外接电脑，结合软件，同步联动操作，实现多种会务管理功能，会议模式或操作：指定发言、自由发言、申请发言及先进先出发言等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4.具有：开放模式(Free )、先进先出(FIFO)、限制发言（LIMIT）三种会务管理模式，可选择同时1-9支麦克风发言，或全开放式发言</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5.内置视像中央处理器，可实现对发言者定位视像跟踪功能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6.LCD显示，122×32点阵可显示会议模式，功能调节等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7.具有平衡、不平衡、数据接口（DATA）、RS232电脑接口等输出端子</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8.具有电话耦合器连接端子，可外接电话耦合器进行电话会议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9.主机可带60只客席/主席麦克风，加扩展主机最多可带240只</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7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10.功率消耗：415W 供电方式：AC220V～240V 50Hz～60Hz 主机净重：约11.8kg 外形尺寸： 约485mm（包括把手）×100mm（2U，包括机箱脚垫）×355mm（W×H×D）；可安装于19英寸标准机柜中</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手拉手延长线</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8芯延长线</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无线话筒</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1.采用金属机箱，具有坚固的结构、散热及隔离谐波干扰极佳的专业质量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2.RF高动态范围及第三代中频电路，大幅提升互不干扰的频道数及抗干扰特性</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3.预设群组需要满足以下条件。第1-4组预设16个互不干扰频率，第5-8预设24个互不干扰频率，第U组为用户自定义组，最多可提供2000频率供客户自定义选择使用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4.采用天线分集式接收及数字导音，杂音锁定双重静音控制，接收距离远，消除接收断音及不稳的缺失</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5.黑色金属面板，LED段码显示器，可同时显示群组、频率、电池电量、静音位准、电子音量等相关信息；LED灯柱显示RF/AF强度</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6.需要采用飞梭旋钮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7.天线接口采用50Ω/TNC，保持天线可靠连接。支持天线环路输出，支持8套同型产品射频级联</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8.各频道可单独或混合输出，可切换两段输出的音量，具有MIC/LINE输出开关：LINE比MIC输出约大10dBu</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9.天线座提供强波器偏压，可以连接天线系统，增加接收距离及稳定的接收效果</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10.100-240V，内置AC电源板。保持系统稳定，且支持AC电源环路输出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11.载波频段: UHF530-690.000MHZ（常规：640.000MHZ-690.000MHZ）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12.单机频带宽度：50 MHz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13.单机频道数量：2000个</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14.频率间隔：25KHz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15.音频灵敏度: -48±3dB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16.综合S/N比：&gt;100dB(A)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17.指向性频响曲线：300-2000Hz≤-8dB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18.综合T.H.D.：&lt;0.5%@1kHz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19.频率响应：65Hz-15kHz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20.天线：50Ω/TNC，支持天线环路输出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21.发射器拾音头：动圈式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22.发射器供电方式：两节AA电池</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十路天线分配器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1.采用动态低杂讯元件与超宽频微带线路设计，具有超低内调失真及损耗的特性，提供多频道接收系统同时使用时能排除混频干扰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2.天线输入连接座具有供应天线放大器的电源，可直接连接具有天线放大器的延长天线及内建放大器的天线</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3.载波范围为500MHZ─850MHZ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4.能提供四台宽频多频道接收机共用一对天线，第二台分配器同时级联或宽频多频道接收机，简化天线装配工程</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5.分路器可提供4路12V DC电源输出，为4台无线接收机提供电源，简化机柜安装</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6.天线分配：4路双通道输出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7.适用频宽范围：500MHz ─850MHz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8.输入截断点：+15dBm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9.输出/输入增益：+1.0dB±1dB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10.输出端隔离度：&gt;18dB 在500MHz─850MHz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11.输出/入阻抗：50Ω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12.天线输出接头：TNC插座</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13.天线输入接头电源：天线A、B输入端各提供约8V DC，250mA(max)</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14.电源输入：12V-15V/5A DC</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15.电源输出：12V/1.2A DC (Each one)</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16.消耗电流:（单机）：约 145mA在12V DC输入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17.尺寸：约480mm（宽）*45mm（高）*180mm（深）</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18.重量：约1.8kg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72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定向天线</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1.需采用UHF频段外接延长对数天线，适用的频宽涵盖500MHz─850MHz范围</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2.天线阻抗：50Ω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3.天线增益：3-5dB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4.驻波比：≤2.5:1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5.接收模式(3dB波束宽度)：65°（垂直角），120°(水平面）</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6.连接插座：TNC母座×1</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7.尺寸：约302mm（长）×252mm（宽）×20mm（高）</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8.重量：约200g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网络中控主机</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1.中控主机采用主频1200MHz的64位内嵌式处理器，ARM Cortex-A9架构CPU，512M内存，4G Flash闪存</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2.具有8路可编程双向串行通讯COM口，支持RS-232/422/485通讯格式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3.具有内部通讯4芯凤凰接口，可连接配套控制设备，如电源控制器，调光器，音量控制器、无线接收器，有线触摸屏等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4.需具备8路独立可编程红外控制接口，控制多种相同或不同设备，接口需为2芯凤凰接口类型，配套红外发射棒实现控制连接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96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5.需具备8路继电器的常开接口，可驱动AC 0.3A/125V或者DC 0.3A/110V、DC 1A/30V以下的负载，可以控制符合以上负载类型的各类相关电器设备的开关，实现以小电流低电压驱动大电流高电压的负载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6.需具备8路I/O输入输出控制接口，可提供5V/10mA负载输出或接收0~5V（10mA负载电流）的信号输入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7.需具备主机电源指示灯，数据信号指示灯如数据信号正常传输，此指示灯亮起，反之不亮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8.需具备中央控制主机内置红外学习器，用于完成红外学习中的红外信号接收功能</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9.面板需具备复位按键，可通过按键恢复到初始设置状态和出厂IP</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10.需具备8路RS-232/422/485接口COM数据收发指示灯，当COM口发送或接收数据时，相应的指示灯会闪亮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11.需具备8路红外信号指示灯，当主机对外部受控设备发送红外控制信号时，对应的指示灯闪亮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12.需具备网络接口，连接外部网络实现与控制终端的通讯或以太网远程控制</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13.需具备清晰的COM接口针脚功能说明印刷标识，方便长期使用维护</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14.采用DC 24V输入供电，具有接地柱、保险管等保证系统安全可靠</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电源控制器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1.具有8路独立电源开关控制接口</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2.采用RS-232,RS-485通讯方式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3.具有ID选择功能：旋转的ID切换设置网络ID身份代码</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4.电源方式：外部AC100-240V电源输入或通过T-BUS控制总线提供+24VDC供电</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5.具有单路或多路开关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6.单路载入容量AC250V/10A、DC30V/10A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无线路由器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企业级千兆核心路由器 Web网管多WAN口商用高速宽带VPN高性能工业级网关 AR101W-S 双频无线路由器带机50</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平板电脑</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≥11英寸，≥8+128G</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20</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门禁系统</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单门门禁控制器、双门电磁锁、刷卡器、开门按钮、IC卡</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21</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音视频线材</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HDMI高清视频线、200芯音箱线、电源线等</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22</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附件及管材</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金属穿线管、线槽、桥架等、2个PDU、2套工业连接器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23</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空调制冷系统</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4台3匹空调</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24</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实物展台</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1.图像传感器：≥1/3.2”CMOS传感器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2.物理分辨率：≥3264(H) ×2448(V) 800万像素</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3.图像区域：≥6.18mm × 5.85mm</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4.信噪比：≥34dB</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5.镜头参数：≥12倍光学变焦</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6.最大拍摄幅面：≥A3</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7.VGA/HDMI拍摄显示输出：≥8Mp，3264×2448（拍摄）</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8.接口类型：不少于HDMI、VGA</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9.音频接口：内置MIC</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10.USB口：≥1个，支持鼠标、USB线连接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11.VGA输入：≥1个，支持待机状态时VGA-OUT显示VGA-IN</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12.HDMI输入：≥1个，支持HDMI接入</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13.VGA/HDMI显示输出规格不少于：1920×1080@60Hz、1280×1024@60Hz、1024×768 @60Hz、1280×720@60Hz</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14.具备音频输入输出接口</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15.支持触摸按键：灯光、拍照、录像、冻结、旋转、退返键、信号源、菜单</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96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25</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高清编码器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具有1路HDMI音视频输入接口，输入分辨率，最大1920*1080（1080P），1路HDMI输出、1路VGA输出、1路3.5mm音频输出，支持H.265、H.264视频编码格式和AAC、G.711A、G.711U音频编码格式，支持RTSP、RTMP等协议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26</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高清解码器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1.支持1路HDMI+1路VGA同源输出</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2.支持语音对讲;画面分割：1/2/4/6/8/9/10/13/16/20A/20B/25</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3.解码能力2路8MP/ 2路6MP/ 3路5MP/ 4路4MP/ 5路3MP/8路1080P/ 16路720P</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4.交互式可视化软件操作终端，支持PAD使用safari浏览器控制</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5.支持报警输入/输出功能设置，支持布撤防时间设置</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6.支持报警联动切换</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7.支持单画面添加36路通道轮巡切换解码</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8.支持录像文件解码输出上墙</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9.支持网络键盘/RS485键盘通过解码器控制前端</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10.支持透明通道传输;支持解码H.264/265编码格式</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11.支持解码H.265、H.264的Baseline/Main/High-profile编码级别</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12.支持ONVIF标准协议接入前端设备</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13.支持RTP/RTSP协议进行设备预览</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14.支持平台以SDK方式集成设备</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15.支持GB28181协议接入平台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16.支持WEB方式或平台访问、配置和管理</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17.支持远程获取和配置参数，支持远程导出和导入参数</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18.支持远程获取系统运行状态、系统日志</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19.支持远程重启、恢复默认配置、升级等日常维护</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多功能地插</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音频模块、视频模块、网络模块、供电模块、金属多功能地插</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28</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附件及管材</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金属穿线管、线槽、桥架等、4个PDU、4套工业连接器</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29</w:t>
            </w:r>
          </w:p>
        </w:tc>
        <w:tc>
          <w:tcPr>
            <w:tcW w:w="628" w:type="pct"/>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温湿度显示屏</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1.显示范围：温度：-9℃～99℃，湿度：0％～99％</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2.测量精度：＜±1℃，湿度＜±3%RH</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3.显示时间精确到分（年月日、时分）</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4.供电电压：AC 100V～260V</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5.外部接口：485接口</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6.外观尺寸：约580mm(长) x 380mm(宽) x 37mm(高)</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7.温湿度协议：leicai</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4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30</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有线双耳耳机</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询问人员使用，可接收远程指挥人员声音指令</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16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31</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高保真拾音器</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需实现以下功能：采用两只高保真预极化电容传声器，对前期音频无差别拾取；内置可调电位器，音量调节最小可关闭（无声音输出）；重点突出还原度，清晰度、声音高频不刺耳、中低频不含糊、清晰度高，声像定位准确；高速DSP浮点运算，实时对拾取到的音频信号进行噪音滤除；内置浪涌防护、电源极性反接保护和静电保护；内置自主产权降噪算法、音频补偿算法，通过和原音信号的对比，在消除环境噪音的同时，尽最大程度还原拾取到的声音</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4997" w:type="pct"/>
          <w:tblCellSpacing w:w="0" w:type="dxa"/>
          <w:tblInd w:w="348" w:type="dxa"/>
          <w:tblCellMar>
            <w:top w:w="15" w:type="dxa"/>
            <w:left w:w="15" w:type="dxa"/>
            <w:bottom w:w="15" w:type="dxa"/>
            <w:right w:w="15" w:type="dxa"/>
          </w:tblCellMar>
          <w:tblLook w:val="05E0"/>
        </w:tblPrEx>
        <w:trPr>
          <w:trHeight w:val="280"/>
          <w:tblCellSpacing w:w="0" w:type="dxa"/>
        </w:trPr>
        <w:tc>
          <w:tcPr>
            <w:tcW w:w="342" w:type="pct"/>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32</w:t>
            </w:r>
          </w:p>
        </w:tc>
        <w:tc>
          <w:tcPr>
            <w:tcW w:w="628"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系统集成费</w:t>
            </w:r>
          </w:p>
        </w:tc>
        <w:tc>
          <w:tcPr>
            <w:tcW w:w="2842"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安装运输搬迁服务费</w:t>
            </w:r>
          </w:p>
        </w:tc>
        <w:tc>
          <w:tcPr>
            <w:tcW w:w="41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773" w:type="pct"/>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bl>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3.4服务要求</w:t>
      </w:r>
      <w:bookmarkEnd w:id="25"/>
    </w:p>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3.4.1服务要求</w:t>
      </w:r>
      <w:bookmarkEnd w:id="26"/>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3.4.1.1 所有货物质保期和功能维护期时间自最终验收合格并交付使用之日起计算，质保期为二年，自安装调试完毕并经验收合格之日起一年内提供免费硬件及所有功能维护。在质保期内，供货商应无偿提供上门服务，采购方无需支付任何费用（包括但不限于上门费、备件费、人工费等）。采购方提出技术支持请求后，成交供应商须在30分钟内响应，在12小时内提供现场服务。</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3.4.1.2 成交供应商每季度应提供不少于1次定期巡检服务，及时发现问题、解决问题，确保用户安全有效的使用设备，并提交由采购方确认的巡检报告。如采购方因某一时期运维工作内容增加、紧急事件处理等需增加现场技术支持人员服务的，成交供应商需安排相应技术人员协助开展相关工作。提供技术培训，使采购方人员能掌握有关系统设备的使用、维护和管理，达到能独立进行管理、故障处理、日常测试维护等工作的目的。</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3.4.1.3 供应商必须提供项目所有设备的系统集成，包含线路铺设安装及配套设备安装，安装调试符合使用要求。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3.4.1.4 为了确保项目进度，成交方需在场安排不少于3名技术员。</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3.4.1.5 售后及质量保障服务要求：自验收通过之日起2年。</w:t>
      </w:r>
    </w:p>
    <w:p>
      <w:pPr>
        <w:pStyle w:val="Heading2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i w:val="0"/>
          <w:iCs w:val="0"/>
        </w:rPr>
        <w:t>3.5其他要求</w:t>
      </w:r>
      <w:bookmarkEnd w:id="27"/>
    </w:p>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3.5.1★供应链安全管理要求</w:t>
      </w:r>
      <w:bookmarkEnd w:id="28"/>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3.5.1.1 人员资格要求</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3.5.1.1.1 签订承诺书。供应商应严格落实国家税务总局网络安全和保密管理要求，承担技术支持人员的网络安全和保密管理责任，按采购人要求签订协议和承诺书。</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3.5.1.1.2 开展背景审查。供应商承担技术支持人员背景审查工作，提供其身份证明、履历、家庭成员及主要社会关系、无犯罪记录证明等材料，并提交采购人进行备案。</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3.5.1.1.3 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3.5.1.2 日常行为规范要求</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3.5.1.2.1 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3.5.1.2.2 教育培训要求。供应商负责对技术支持人员进行网络和数据安全法律法规、网络安全意识、网络安全管理、网络安全技能、保密意识以及网络安全警示教育等培训，上岗前对其进行考核。</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3.5.1.3 违约惩戒措施</w:t>
      </w:r>
    </w:p>
    <w:p>
      <w:pPr>
        <w:pStyle w:val="150"/>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供应商对供应链安全管理责任落实不到位，造成安全事件或产生不良影响的，采购人按照《税务系统信息化服务商失信行为记录名单制度（试行）》（税总办征科发〔</w:t>
      </w:r>
      <w:r>
        <w:rPr>
          <w:rFonts w:ascii="仿宋_GB2312" w:eastAsia="仿宋_GB2312" w:hAnsi="仿宋_GB2312" w:cs="仿宋_GB2312"/>
          <w:sz w:val="28"/>
          <w:szCs w:val="28"/>
        </w:rPr>
        <w:t>2022〕1号）要求，组织对供应商进行失信行为认定，并采取相应的处置措施。</w:t>
      </w:r>
    </w:p>
    <w:p>
      <w:pPr>
        <w:pStyle w:val="Heading3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sz w:val="28"/>
          <w:szCs w:val="28"/>
        </w:rPr>
        <w:t>3.5.2知识产权要求</w:t>
      </w:r>
      <w:bookmarkEnd w:id="29"/>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投标人需保证在本项目中所有预装和为本项目安装的软件为在中国境内具有合法版权或使用权的正版软件且无质量瑕疵。</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投标人需保证所提供的服务不侵犯第三方的知识产权（专利权、商标权、版权等），因侵害第三方知识产权而产生的法律责任，全部由投标人承担。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30" w:name="_Toc256000026"/>
      <w:r>
        <w:rPr>
          <w:rFonts w:ascii="仿宋_GB2312" w:eastAsia="仿宋_GB2312" w:hAnsi="仿宋_GB2312" w:cs="仿宋_GB2312"/>
          <w:kern w:val="36"/>
        </w:rPr>
        <w:t>4人员要求</w:t>
      </w:r>
      <w:bookmarkEnd w:id="30"/>
    </w:p>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4.1团队要求</w:t>
      </w:r>
      <w:bookmarkEnd w:id="31"/>
    </w:p>
    <w:p>
      <w:pPr>
        <w:pStyle w:val="Heading3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sz w:val="28"/>
          <w:szCs w:val="28"/>
        </w:rPr>
        <w:t>4.1.1基本要求</w:t>
      </w:r>
      <w:bookmarkEnd w:id="32"/>
    </w:p>
    <w:p>
      <w:pPr>
        <w:pStyle w:val="16"/>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为保证优质售后服务，中标供应商应具备相应资质的技术支撑团队，为国家税务总局敦化市税务局提供质保期内</w:t>
      </w:r>
      <w:r>
        <w:rPr>
          <w:rFonts w:ascii="仿宋_GB2312" w:eastAsia="仿宋_GB2312" w:hAnsi="仿宋_GB2312" w:cs="仿宋_GB2312"/>
          <w:sz w:val="28"/>
          <w:szCs w:val="28"/>
        </w:rPr>
        <w:t>7*24小时的技术支持服务。在设备出现故障时,中标供应商必须按照采购人要求到达现场。</w:t>
      </w:r>
    </w:p>
    <w:p>
      <w:pPr>
        <w:pStyle w:val="16"/>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★本项目涉及信息化服务外包运维人员应当是运维单位的正式人员，或者是与运维单位签订1年以上劳动合同且实际工作满1年的人员，常驻外包运维人员应当为技术骨干。</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为确保本项目高效、顺利实施，投标人需为本项目配置不少于</w:t>
      </w:r>
      <w:r>
        <w:rPr>
          <w:rFonts w:ascii="仿宋_GB2312" w:eastAsia="仿宋_GB2312" w:hAnsi="仿宋_GB2312" w:cs="仿宋_GB2312"/>
          <w:sz w:val="28"/>
          <w:szCs w:val="28"/>
        </w:rPr>
        <w:t>5人的专业项目团队，团队成员除具备良好的沟通能力和团队协作精神外，还需满足以下要求：</w:t>
      </w:r>
    </w:p>
    <w:p>
      <w:pPr>
        <w:pStyle w:val="Heading3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sz w:val="28"/>
          <w:szCs w:val="28"/>
        </w:rPr>
        <w:t>4.1.2优选资质/优选指标</w:t>
      </w:r>
      <w:bookmarkEnd w:id="33"/>
    </w:p>
    <w:tbl>
      <w:tblPr>
        <w:tblStyle w:val="16Table"/>
        <w:tblW w:w="5000" w:type="pct"/>
        <w:tblCellSpacing w:w="0" w:type="dxa"/>
        <w:tblInd w:w="286" w:type="dxa"/>
        <w:tblCellMar>
          <w:top w:w="15" w:type="dxa"/>
          <w:left w:w="15" w:type="dxa"/>
          <w:bottom w:w="15" w:type="dxa"/>
          <w:right w:w="15" w:type="dxa"/>
        </w:tblCellMar>
        <w:tblLook w:val="05E0"/>
      </w:tblPr>
      <w:tblGrid>
        <w:gridCol w:w="349"/>
        <w:gridCol w:w="550"/>
        <w:gridCol w:w="1025"/>
        <w:gridCol w:w="6285"/>
        <w:gridCol w:w="901"/>
      </w:tblGrid>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人员类别</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人员岗位</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人员要求</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是否作为加分项</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管理团队</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项目经理（1名）</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spacing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需具备10年及以上类似项目管理工作经验，熟悉项目全流程管理，能够有效协调资源、把控进度、应对风险。</w:t>
            </w:r>
          </w:p>
          <w:p>
            <w:pPr>
              <w:pStyle w:val="150"/>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投标人需为本项目的项目经理缴纳社保。</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技术团队</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工程师（4名）</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spacing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需具有3年及以上类似项目工作经验，具备深厚的技术功底和解决复杂技术问题的能力，能为项目提供坚实的技术支持。</w:t>
            </w:r>
          </w:p>
          <w:p>
            <w:pPr>
              <w:pStyle w:val="150"/>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投标人需为本项目的工程师缴纳社保。</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5管理实施要求</w:t>
      </w:r>
      <w:bookmarkEnd w:id="34"/>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针对其提供的多功能会议室升级及视频音频设备部署、安装与调试。并于硬件抵达安装现场后的</w:t>
      </w:r>
      <w:r>
        <w:rPr>
          <w:rFonts w:ascii="仿宋_GB2312" w:eastAsia="仿宋_GB2312" w:hAnsi="仿宋_GB2312" w:cs="仿宋_GB2312"/>
          <w:sz w:val="28"/>
          <w:szCs w:val="28"/>
        </w:rPr>
        <w:t>10天内完成安装部署。</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中标供应商要根据我局情况</w:t>
      </w:r>
      <w:r>
        <w:rPr>
          <w:rFonts w:ascii="仿宋_GB2312" w:eastAsia="仿宋_GB2312" w:hAnsi="仿宋_GB2312" w:cs="仿宋_GB2312"/>
          <w:sz w:val="28"/>
          <w:szCs w:val="28"/>
        </w:rPr>
        <w:t>,提供完整管理实施方案、风险管控方案、保密方案、履约验收方案、售后服务方案。</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按照合同提供产品和服务，承诺与本项目相关单位（在用设备和系统集成商、运维商等）进行积极配合，完成软硬件安装、调试、测试工作，完成与我局现有信息化资源的适配及融合。</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在实施过程中要求由专业的系统集成人员进行安装、检测和故障排除。中标供应商必须服从采购人的统一协调，在实施方案设计、设备供货、技术支持、运行维护等方面相互配合。投标人应充分理解本项目的意义和重要性，在投标时应提交本项目的项目管理方案和集成方案，保障本项目在相关设备到货时能顺利实施。</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投标人应根据项目制定合理的产品培训，提交本项目的培训方案，以满足对采购设备和软件的使用和日常维护需求。</w:t>
      </w:r>
    </w:p>
    <w:p>
      <w:pPr>
        <w:pStyle w:val="Heading10"/>
        <w:keepNext w:val="0"/>
        <w:spacing w:before="0" w:after="0" w:line="360" w:lineRule="auto"/>
        <w:jc w:val="center"/>
        <w:rPr>
          <w:rFonts w:ascii="仿宋_GB2312" w:eastAsia="仿宋_GB2312" w:hAnsi="仿宋_GB2312" w:cs="仿宋_GB2312"/>
          <w:b/>
          <w:bCs/>
          <w:sz w:val="32"/>
          <w:szCs w:val="32"/>
        </w:rPr>
      </w:pPr>
      <w:bookmarkStart w:id="35" w:name="_Toc256000031"/>
      <w:r>
        <w:rPr>
          <w:rFonts w:ascii="仿宋_GB2312" w:eastAsia="仿宋_GB2312" w:hAnsi="仿宋_GB2312" w:cs="仿宋_GB2312"/>
          <w:kern w:val="36"/>
        </w:rPr>
        <w:t>6风险管控要求</w:t>
      </w:r>
      <w:bookmarkEnd w:id="35"/>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7履约验收要求</w:t>
      </w:r>
      <w:bookmarkEnd w:id="36"/>
    </w:p>
    <w:p>
      <w:pPr>
        <w:pStyle w:val="Heading20"/>
        <w:keepNext w:val="0"/>
        <w:spacing w:before="0" w:after="0" w:line="360" w:lineRule="auto"/>
        <w:rPr>
          <w:rFonts w:ascii="仿宋_GB2312" w:eastAsia="仿宋_GB2312" w:hAnsi="仿宋_GB2312" w:cs="仿宋_GB2312"/>
          <w:b/>
          <w:bCs/>
          <w:sz w:val="28"/>
          <w:szCs w:val="28"/>
        </w:rPr>
      </w:pPr>
      <w:bookmarkStart w:id="37" w:name="_Toc256000033"/>
      <w:r>
        <w:rPr>
          <w:rFonts w:ascii="仿宋_GB2312" w:eastAsia="仿宋_GB2312" w:hAnsi="仿宋_GB2312" w:cs="仿宋_GB2312"/>
          <w:i w:val="0"/>
          <w:iCs w:val="0"/>
        </w:rPr>
        <w:t>7.1总体要求</w:t>
      </w:r>
      <w:bookmarkEnd w:id="37"/>
    </w:p>
    <w:tbl>
      <w:tblPr>
        <w:tblStyle w:val="TableNormal"/>
        <w:tblW w:w="5000" w:type="pct"/>
        <w:tblInd w:w="30" w:type="dxa"/>
        <w:tblCellMar>
          <w:top w:w="15" w:type="dxa"/>
          <w:left w:w="15" w:type="dxa"/>
          <w:bottom w:w="15" w:type="dxa"/>
          <w:right w:w="15" w:type="dxa"/>
        </w:tblCellMar>
      </w:tblPr>
      <w:tblGrid>
        <w:gridCol w:w="390"/>
        <w:gridCol w:w="8680"/>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根据合同内容对本次所采购的硬件设备的型号、规格、数量核对与验收并出具验收合格书，货物经验收合格后，完成设备调试、部署上线，所有设备稳定运行后完成验收。如发现货物参数规格等与要求不符，采购方有权根据检验结果要求与成交供应商终止合同服务，并提出索赔要求。</w:t>
            </w:r>
          </w:p>
        </w:tc>
      </w:tr>
    </w:tbl>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7.2具体要求</w:t>
      </w:r>
      <w:bookmarkEnd w:id="38"/>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7.2.1 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7.2.2 中标供应商应在项目验收、测试时提供相关测试环境及必要的设备和工具，使用各类支撑工具应保证采购人在测试过程合法免费使用，中标供应商承担由于知识产权等纠纷导致的所有责任。</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7.2.3 中标供应商提供的各类文档应内容完整、描述清晰、版本最新，各类方案要求实现目标明确、工作措施得力、可操作性强、具有前瞻性。产出物应提供电子和纸质两种介质，保持版本一致。</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7.2.4 对验收中发现的问题，中标供应商应提出有效解决办法和措施，经采购人确认后实施。</w:t>
      </w:r>
    </w:p>
    <w:p>
      <w:pPr>
        <w:pStyle w:val="Heading10"/>
        <w:keepNext w:val="0"/>
        <w:spacing w:before="0" w:after="0" w:line="360" w:lineRule="auto"/>
        <w:jc w:val="center"/>
        <w:rPr>
          <w:rFonts w:ascii="仿宋_GB2312" w:eastAsia="仿宋_GB2312" w:hAnsi="仿宋_GB2312" w:cs="仿宋_GB2312"/>
          <w:b/>
          <w:bCs/>
          <w:sz w:val="32"/>
          <w:szCs w:val="32"/>
        </w:rPr>
      </w:pPr>
      <w:bookmarkStart w:id="39" w:name="_Toc256000035"/>
      <w:r>
        <w:rPr>
          <w:rFonts w:ascii="仿宋_GB2312" w:eastAsia="仿宋_GB2312" w:hAnsi="仿宋_GB2312" w:cs="仿宋_GB2312"/>
          <w:kern w:val="36"/>
        </w:rPr>
        <w:t>8其他要求</w:t>
      </w:r>
      <w:bookmarkEnd w:id="39"/>
    </w:p>
    <w:p>
      <w:pPr>
        <w:pStyle w:val="Heading2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i w:val="0"/>
          <w:iCs w:val="0"/>
        </w:rPr>
        <w:t>8.1必备要求</w:t>
      </w:r>
      <w:bookmarkEnd w:id="40"/>
    </w:p>
    <w:p>
      <w:pPr>
        <w:pStyle w:val="Heading3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sz w:val="28"/>
          <w:szCs w:val="28"/>
        </w:rPr>
        <w:t>8.1.1通用必备要求</w:t>
      </w:r>
      <w:bookmarkEnd w:id="41"/>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i w:val="0"/>
          <w:iCs w:val="0"/>
        </w:rPr>
        <w:t>8.2付款安排建议</w:t>
      </w:r>
      <w:bookmarkEnd w:id="42"/>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项目经验收合格10个工作日内由中标供应商出具等额发票后，支付合同款。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i w:val="0"/>
          <w:iCs w:val="0"/>
        </w:rPr>
        <w:t>8.3其他要求</w:t>
      </w:r>
      <w:bookmarkEnd w:id="43"/>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8.3.1保密要求</w:t>
      </w:r>
      <w:bookmarkEnd w:id="44"/>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投标人对项目实施过程中所获得数据及文档等保密信息，承担以下保密义务：</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8.3.1.1 投标人应对在合同签订或履行过程中所接触的对方信息，包括但不限于知识产权、技术资料、技术诀窍、内部管理及其他相关信息，负有保密义务，防止不承担同等保密义务的任何第三者知悉及使用。</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8.3.1.2 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应以审慎态度避免泄露、公开或传播用户方的信息</w:t>
      </w:r>
      <w:r>
        <w:rPr>
          <w:rFonts w:ascii="仿宋_GB2312" w:eastAsia="仿宋_GB2312" w:hAnsi="仿宋_GB2312" w:cs="仿宋_GB2312"/>
          <w:sz w:val="28"/>
          <w:szCs w:val="28"/>
        </w:rPr>
        <w:t>;</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未经用户方书面许可，不得对有关信息进行修改、补充、复制</w:t>
      </w:r>
      <w:r>
        <w:rPr>
          <w:rFonts w:ascii="仿宋_GB2312" w:eastAsia="仿宋_GB2312" w:hAnsi="仿宋_GB2312" w:cs="仿宋_GB2312"/>
          <w:sz w:val="28"/>
          <w:szCs w:val="28"/>
        </w:rPr>
        <w:t>;</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未经用户方书面许可，不得将信息以任何方式</w:t>
      </w:r>
      <w:r>
        <w:rPr>
          <w:rFonts w:ascii="仿宋_GB2312" w:eastAsia="仿宋_GB2312" w:hAnsi="仿宋_GB2312" w:cs="仿宋_GB2312"/>
          <w:sz w:val="28"/>
          <w:szCs w:val="28"/>
        </w:rPr>
        <w:t>(如 E-mail)携带出项目服务场所;</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未经用户方书面许可，不得将信息透露给任何其他人</w:t>
      </w:r>
      <w:r>
        <w:rPr>
          <w:rFonts w:ascii="仿宋_GB2312" w:eastAsia="仿宋_GB2312" w:hAnsi="仿宋_GB2312" w:cs="仿宋_GB2312"/>
          <w:sz w:val="28"/>
          <w:szCs w:val="28"/>
        </w:rPr>
        <w:t>;</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用户方以书面形式提出的其他保密措施。</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8.3.1.3 保密期限不受合同有效期的限制，在合同有效期结束后，信息接收方仍应承担保密义务，直至该等信息成为公开信息。</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8.3.1.4 投标人应按要求与委托方签署保密协议，服务人员签订保密承诺书及网络安全承诺书。</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8.3.1.5 投标人如出现泄密行为，泄密方应承担相关的法律责任并承担由此给采购方造成的经济损失。</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8.3.2★税收信息化项目开发和应用管理工作要求</w:t>
      </w:r>
      <w:bookmarkEnd w:id="45"/>
    </w:p>
    <w:p>
      <w:pPr>
        <w:pStyle w:val="16"/>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供应商在采购以及后续项目实施过程中，应严格遵守国家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拒绝参加税务系统政府采购活动等措施；对于存在影响恶劣的严重违法失信行为的，由采购人按规定推送财政部纳入政府采购严重违法失信行为记录名单。</w:t>
      </w:r>
    </w:p>
    <w:p>
      <w:pPr>
        <w:pStyle w:val="150"/>
        <w:spacing w:before="0" w:after="0" w:line="360" w:lineRule="auto"/>
        <w:ind w:left="0" w:right="0" w:firstLine="48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中标人</w:t>
      </w:r>
      <w:r>
        <w:rPr>
          <w:rFonts w:ascii="仿宋_GB2312" w:eastAsia="仿宋_GB2312" w:hAnsi="仿宋_GB2312" w:cs="仿宋_GB2312"/>
          <w:spacing w:val="0"/>
          <w:sz w:val="28"/>
          <w:szCs w:val="28"/>
        </w:rPr>
        <w:t>在参与</w:t>
      </w:r>
      <w:r>
        <w:rPr>
          <w:rFonts w:ascii="仿宋_GB2312" w:eastAsia="仿宋_GB2312" w:hAnsi="仿宋_GB2312" w:cs="仿宋_GB2312"/>
          <w:sz w:val="28"/>
          <w:szCs w:val="28"/>
        </w:rPr>
        <w:t>税务部门信息化项目工作过程中，需严格遵守法律法规、规范履行合同</w:t>
      </w:r>
      <w:r>
        <w:rPr>
          <w:rFonts w:ascii="仿宋_GB2312" w:eastAsia="仿宋_GB2312" w:hAnsi="仿宋_GB2312" w:cs="仿宋_GB2312"/>
          <w:spacing w:val="0"/>
          <w:sz w:val="28"/>
          <w:szCs w:val="28"/>
        </w:rPr>
        <w:t>，积极协助税务部门开</w:t>
      </w:r>
      <w:r>
        <w:rPr>
          <w:rFonts w:ascii="仿宋_GB2312" w:eastAsia="仿宋_GB2312" w:hAnsi="仿宋_GB2312" w:cs="仿宋_GB2312"/>
          <w:sz w:val="28"/>
          <w:szCs w:val="28"/>
        </w:rPr>
        <w:t>展廉政风险防控工作。</w:t>
      </w:r>
      <w:r>
        <w:rPr>
          <w:rFonts w:ascii="仿宋_GB2312" w:eastAsia="仿宋_GB2312" w:hAnsi="仿宋_GB2312" w:cs="仿宋_GB2312"/>
          <w:sz w:val="28"/>
          <w:szCs w:val="28"/>
        </w:rPr>
        <w:t>★供应商在投标时须承诺已知悉并遵守《税务系统信息化服务商失信行为记录名单制度（试行）》（税总办征科发〔2022〕1号）相关规定，并承担相应后果。</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36</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150">
    <w:name w:val="15_0"/>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8">
    <w:name w:val="18"/>
    <w:basedOn w:val="Normal"/>
    <w:pPr>
      <w:widowControl/>
      <w:spacing w:after="0" w:line="240" w:lineRule="auto"/>
      <w:jc w:val="left"/>
    </w:pPr>
    <w:rPr>
      <w:rFonts w:eastAsia="Times New Roman"/>
      <w:kern w:val="0"/>
      <w:sz w:val="24"/>
      <w:lang w:eastAsia="en-US"/>
    </w:rPr>
  </w:style>
  <w:style w:type="paragraph" w:customStyle="1" w:styleId="Heading50">
    <w:name w:val="Heading 5_0"/>
    <w:basedOn w:val="Normal"/>
    <w:next w:val="Normal0"/>
    <w:qFormat/>
    <w:rsid w:val="00EF7B96"/>
    <w:pPr>
      <w:widowControl/>
      <w:spacing w:before="240" w:after="60" w:line="240" w:lineRule="auto"/>
      <w:jc w:val="left"/>
      <w:outlineLvl w:val="4"/>
    </w:pPr>
    <w:rPr>
      <w:rFonts w:eastAsia="Times New Roman"/>
      <w:b/>
      <w:bCs/>
      <w:i/>
      <w:iCs/>
      <w:kern w:val="0"/>
      <w:sz w:val="26"/>
      <w:szCs w:val="26"/>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table" w:customStyle="1" w:styleId="16Table">
    <w:name w:val="16 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36</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